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700" w:right="3859" w:hanging="344"/>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2001</w:t>
      </w:r>
    </w:p>
    <w:p>
      <w:pPr>
        <w:spacing w:after="0" w:line="200" w:lineRule="exact"/>
        <w:rPr>
          <w:sz w:val="24"/>
          <w:szCs w:val="24"/>
          <w:color w:val="auto"/>
        </w:rPr>
      </w:pPr>
    </w:p>
    <w:p>
      <w:pPr>
        <w:spacing w:after="0" w:line="291"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860" w:space="500"/>
            <w:col w:w="1040" w:space="520"/>
            <w:col w:w="5319"/>
          </w:cols>
          <w:pgMar w:left="220" w:top="561" w:right="1440" w:bottom="1440" w:gutter="0" w:footer="0" w:header="0"/>
          <w:type w:val="continuous"/>
        </w:sectPr>
      </w:pPr>
    </w:p>
    <w:p>
      <w:pPr>
        <w:spacing w:after="0" w:line="138" w:lineRule="exact"/>
        <w:rPr>
          <w:sz w:val="24"/>
          <w:szCs w:val="24"/>
          <w:color w:val="auto"/>
        </w:rPr>
      </w:pPr>
    </w:p>
    <w:p>
      <w:pPr>
        <w:ind w:left="260"/>
        <w:spacing w:after="0"/>
        <w:tabs>
          <w:tab w:leader="none" w:pos="524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4"/>
          <w:szCs w:val="24"/>
          <w:color w:val="auto"/>
        </w:rPr>
      </w:pPr>
    </w:p>
    <w:p>
      <w:pPr>
        <w:ind w:left="260"/>
        <w:spacing w:after="0"/>
        <w:tabs>
          <w:tab w:leader="none" w:pos="524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580" w:space="160"/>
            <w:col w:w="5499"/>
          </w:cols>
          <w:pgMar w:left="220" w:top="561" w:right="1440" w:bottom="1440" w:gutter="0" w:footer="0" w:header="0"/>
          <w:type w:val="continuous"/>
        </w:sect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2001.</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421"/>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2001</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tabs>
          <w:tab w:leader="none" w:pos="600" w:val="left"/>
          <w:tab w:leader="none" w:pos="2320" w:val="left"/>
        </w:tabs>
        <w:rPr>
          <w:sz w:val="20"/>
          <w:szCs w:val="20"/>
          <w:color w:val="auto"/>
        </w:rPr>
      </w:pPr>
      <w:r>
        <w:rPr>
          <w:rFonts w:ascii="Courier New" w:cs="Courier New" w:eastAsia="Courier New" w:hAnsi="Courier New"/>
          <w:sz w:val="14"/>
          <w:szCs w:val="14"/>
          <w:color w:val="auto"/>
        </w:rPr>
        <w:t>Date:</w:t>
        <w:tab/>
        <w:t>May 8, 2001</w:t>
      </w:r>
      <w:r>
        <w:rPr>
          <w:sz w:val="20"/>
          <w:szCs w:val="20"/>
          <w:color w:val="auto"/>
        </w:rPr>
        <w:tab/>
      </w:r>
      <w:r>
        <w:rPr>
          <w:rFonts w:ascii="Courier New" w:cs="Courier New" w:eastAsia="Courier New" w:hAnsi="Courier New"/>
          <w:sz w:val="14"/>
          <w:szCs w:val="14"/>
          <w:color w:val="auto"/>
        </w:rPr>
        <w:t>__________________________________________</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180"/>
            <w:col w:w="4440" w:space="720"/>
            <w:col w:w="411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portfolio information at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E-1</w:t>
      </w:r>
    </w:p>
    <w:p>
      <w:pPr>
        <w:spacing w:after="0" w:line="173" w:lineRule="exact"/>
        <w:rPr>
          <w:sz w:val="20"/>
          <w:szCs w:val="20"/>
          <w:color w:val="auto"/>
        </w:rPr>
      </w:pPr>
    </w:p>
    <w:p>
      <w:pPr>
        <w:sectPr>
          <w:pgSz w:w="11900" w:h="16838" w:orient="portrait"/>
          <w:cols w:equalWidth="0" w:num="3">
            <w:col w:w="440" w:space="520"/>
            <w:col w:w="4880" w:space="720"/>
            <w:col w:w="36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549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E-2</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6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Percentage Leased...............................................</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60" w:type="dxa"/>
            <w:vAlign w:val="bottom"/>
          </w:tcPr>
          <w:p>
            <w:pPr>
              <w:spacing w:after="0"/>
              <w:rPr>
                <w:sz w:val="14"/>
                <w:szCs w:val="14"/>
                <w:color w:val="auto"/>
              </w:rPr>
            </w:pPr>
          </w:p>
        </w:tc>
        <w:tc>
          <w:tcPr>
            <w:tcW w:w="6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Regional Breakdown..............................................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E-4</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3.</w:t>
            </w:r>
          </w:p>
        </w:tc>
        <w:tc>
          <w:tcPr>
            <w:tcW w:w="6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Sales/Occupancy Cost....................................................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520" w:hanging="512"/>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6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Comparable and Non-Comparable..................................</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E-6</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Development</w:t>
            </w:r>
          </w:p>
        </w:tc>
        <w:tc>
          <w:tcPr>
            <w:tcW w:w="5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Pipeline....................................................</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E-7</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6.</w:t>
            </w:r>
          </w:p>
        </w:tc>
        <w:tc>
          <w:tcPr>
            <w:tcW w:w="6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First Quarter Earnings Press Release, May 8, 2001.......................</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E-8</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7.</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Glossary of</w:t>
            </w:r>
          </w:p>
        </w:tc>
        <w:tc>
          <w:tcPr>
            <w:tcW w:w="5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Terms.......................................................</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w w:val="95"/>
              </w:rPr>
              <w:t>E-12</w:t>
            </w:r>
          </w:p>
        </w:tc>
      </w:tr>
    </w:tbl>
    <w:p>
      <w:pPr>
        <w:spacing w:after="0" w:line="200" w:lineRule="exact"/>
        <w:rPr>
          <w:sz w:val="20"/>
          <w:szCs w:val="20"/>
          <w:color w:val="auto"/>
        </w:rPr>
      </w:pPr>
    </w:p>
    <w:p>
      <w:pPr>
        <w:spacing w:after="0" w:line="301"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right"/>
        <w:ind w:right="5499"/>
        <w:spacing w:after="0"/>
        <w:tabs>
          <w:tab w:leader="none" w:pos="342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301/998-8100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473"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Balance</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Maturity</w:t>
            </w:r>
          </w:p>
        </w:tc>
        <w:tc>
          <w:tcPr>
            <w:tcW w:w="520" w:type="dxa"/>
            <w:vAlign w:val="bottom"/>
          </w:tcPr>
          <w:p>
            <w:pPr>
              <w:spacing w:after="0"/>
              <w:rPr>
                <w:sz w:val="14"/>
                <w:szCs w:val="14"/>
                <w:color w:val="auto"/>
              </w:rPr>
            </w:pPr>
          </w:p>
        </w:tc>
        <w:tc>
          <w:tcPr>
            <w:tcW w:w="1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Rate</w:t>
            </w: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Mortgages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Leesburg Plaza</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10/01/08</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6.100%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Federal Plaza</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05/10/01</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26,542</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Tysons Station</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09/01/01</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9.875%</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3,967</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164 E Houston Street</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10/06/08</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7.500%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Barracks Road</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11/01/15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Hauppauge</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11/01/15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Lawrence Park</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11/01/15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31,400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Wildwood</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11/01/15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Wynnewood</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11/01/15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Escondido (Municipal bonds)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10/01/16</w:t>
            </w:r>
          </w:p>
        </w:tc>
        <w:tc>
          <w:tcPr>
            <w:tcW w:w="198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Variable (a)</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$202,138</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Revolving credit facilities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12/19/03</w:t>
            </w:r>
          </w:p>
        </w:tc>
        <w:tc>
          <w:tcPr>
            <w:tcW w:w="198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libor +.80%</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$153,000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Term note with banks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12/19/03</w:t>
            </w:r>
          </w:p>
        </w:tc>
        <w:tc>
          <w:tcPr>
            <w:tcW w:w="19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libor +.95%(b)</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125,000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Construction loan on Woodmont East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220"/>
              <w:spacing w:after="0"/>
              <w:rPr>
                <w:sz w:val="20"/>
                <w:szCs w:val="20"/>
                <w:color w:val="auto"/>
              </w:rPr>
            </w:pPr>
            <w:r>
              <w:rPr>
                <w:rFonts w:ascii="Courier New" w:cs="Courier New" w:eastAsia="Courier New" w:hAnsi="Courier New"/>
                <w:sz w:val="14"/>
                <w:szCs w:val="14"/>
                <w:color w:val="auto"/>
              </w:rPr>
              <w:t>{may be extended to 8/29/04}</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08/29/02</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+ 1.25% - 1.35%</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18,438</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Note issued in connection with</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220"/>
              <w:spacing w:after="0"/>
              <w:rPr>
                <w:sz w:val="20"/>
                <w:szCs w:val="20"/>
                <w:color w:val="auto"/>
              </w:rPr>
            </w:pPr>
            <w:r>
              <w:rPr>
                <w:rFonts w:ascii="Courier New" w:cs="Courier New" w:eastAsia="Courier New" w:hAnsi="Courier New"/>
                <w:sz w:val="14"/>
                <w:szCs w:val="14"/>
                <w:color w:val="auto"/>
              </w:rPr>
              <w:t>renovation of Perring Plaza</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01/31/13</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2,475</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5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06/30/01</w:t>
            </w:r>
          </w:p>
        </w:tc>
        <w:tc>
          <w:tcPr>
            <w:tcW w:w="198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libor + 1.5%</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various</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various</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$302,404</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Unsecured Public Debt</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55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04/30/02</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5.250%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55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10/28/03</w:t>
            </w:r>
          </w:p>
        </w:tc>
        <w:tc>
          <w:tcPr>
            <w:tcW w:w="520" w:type="dxa"/>
            <w:vAlign w:val="bottom"/>
          </w:tcPr>
          <w:p>
            <w:pPr>
              <w:spacing w:after="0"/>
              <w:rPr>
                <w:sz w:val="24"/>
                <w:szCs w:val="2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5.250%</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$ 75,000</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8% Notes (fixed)</w:t>
            </w:r>
          </w:p>
        </w:tc>
        <w:tc>
          <w:tcPr>
            <w:tcW w:w="14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04/21/02</w:t>
            </w:r>
          </w:p>
        </w:tc>
        <w:tc>
          <w:tcPr>
            <w:tcW w:w="520" w:type="dxa"/>
            <w:vAlign w:val="bottom"/>
          </w:tcPr>
          <w:p>
            <w:pPr>
              <w:spacing w:after="0"/>
              <w:rPr>
                <w:sz w:val="24"/>
                <w:szCs w:val="2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8.000%</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$ 25,000</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6.625% Notes (fixed)</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12/01/05</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6.625%</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7.48% Debentures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08/15/26</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7.480%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6.82% Medium Term Notes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08/01/27</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6.820%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6.74% Medium Term Notes (c)</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03/10/04</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6.370%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6.99% Medium Term Notes (c)</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03/10/06</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6.894%</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8.75% Notes</w:t>
            </w:r>
          </w:p>
        </w:tc>
        <w:tc>
          <w:tcPr>
            <w:tcW w:w="14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12/01/09</w:t>
            </w:r>
          </w:p>
        </w:tc>
        <w:tc>
          <w:tcPr>
            <w:tcW w:w="520" w:type="dxa"/>
            <w:vAlign w:val="bottom"/>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8.750%</w:t>
            </w:r>
          </w:p>
        </w:tc>
        <w:tc>
          <w:tcPr>
            <w:tcW w:w="4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175,000</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$410,000</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Total fixed rate</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debt</w:t>
            </w: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$680,593</w:t>
            </w:r>
          </w:p>
        </w:tc>
        <w:tc>
          <w:tcPr>
            <w:tcW w:w="8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68.76%</w:t>
            </w: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Total variable rate debt</w:t>
            </w: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309,238</w:t>
            </w:r>
          </w:p>
        </w:tc>
        <w:tc>
          <w:tcPr>
            <w:tcW w:w="8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31.24%</w:t>
            </w: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Total debt</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$989,831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Weighted average</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interest rate:</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1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Fixed rate debt</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7.56%</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6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Variable on revolving credit facilities</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and term note</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 (d)</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Variable on muncipal bonds</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w:t>
            </w:r>
          </w:p>
        </w:tc>
        <w:tc>
          <w:tcPr>
            <w:tcW w:w="820" w:type="dxa"/>
            <w:vAlign w:val="bottom"/>
          </w:tcPr>
          <w:p>
            <w:pPr>
              <w:spacing w:after="0"/>
              <w:rPr>
                <w:sz w:val="14"/>
                <w:szCs w:val="14"/>
                <w:color w:val="auto"/>
              </w:rPr>
            </w:pPr>
          </w:p>
        </w:tc>
      </w:tr>
      <w:tr>
        <w:trPr>
          <w:trHeight w:val="497"/>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c>
          <w:tcPr>
            <w:tcW w:w="66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The bonds bear interest at a variable rate determined weekly to be the</w:t>
            </w: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rate which would enable the bonds to be remarketed at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100% of</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their principal amount.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66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The Trust purchased interest rate swaps or hedges on this note, thereby</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locking in the effective interest rate at 6.22%.</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(c)</w:t>
            </w:r>
          </w:p>
        </w:tc>
        <w:tc>
          <w:tcPr>
            <w:tcW w:w="66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The Trust purchased interest rate swaps or hedges on these notes, thereby</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decreasing the effective interest.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(d)</w:t>
            </w:r>
          </w:p>
        </w:tc>
        <w:tc>
          <w:tcPr>
            <w:tcW w:w="66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Weighted average interest rate on revolving credit facilities and term note</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for three months ended March 31, 2001.</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DEBT MATURITIES  (excluding capital leases and interest rate swaps)</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Cumulative</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Percent of</w:t>
            </w: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Percent of</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Scheduled</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Debt</w:t>
            </w:r>
          </w:p>
        </w:tc>
        <w:tc>
          <w:tcPr>
            <w:tcW w:w="48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Debt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060" w:type="dxa"/>
            <w:vAlign w:val="bottom"/>
          </w:tcPr>
          <w:p>
            <w:pPr>
              <w:ind w:left="2340"/>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Expiring</w:t>
            </w:r>
          </w:p>
        </w:tc>
        <w:tc>
          <w:tcPr>
            <w:tcW w:w="4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Expiring</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10120" w:type="dxa"/>
            <w:vAlign w:val="bottom"/>
            <w:gridSpan w:val="7"/>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ectPr>
          <w:pgSz w:w="11900" w:h="16838" w:orient="portrait"/>
          <w:cols w:equalWidth="0" w:num="1">
            <w:col w:w="11200"/>
          </w:cols>
          <w:pgMar w:left="220" w:top="616" w:right="479" w:bottom="0" w:gutter="0" w:footer="0" w:header="0"/>
        </w:sectPr>
      </w:pPr>
    </w:p>
    <w:bookmarkStart w:id="5" w:name="page6"/>
    <w:bookmarkEnd w:id="5"/>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33,873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34,057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25,289</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25,457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2003</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353,000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353,310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2004</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1,876</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57,938</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59,814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2,053</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42,053</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2006</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2,326</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42,826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56.3%</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2007</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2,520</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2008</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2,673</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9,541</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12,214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2009</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2,751</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175,045</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177,796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2010</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2,984</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76.1%</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Thereafter</w:t>
            </w:r>
          </w:p>
        </w:tc>
        <w:tc>
          <w:tcPr>
            <w:tcW w:w="14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17,260</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219,540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236,800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900" w:type="dxa"/>
            <w:vAlign w:val="bottom"/>
          </w:tcPr>
          <w:p>
            <w:pPr>
              <w:spacing w:after="0"/>
              <w:rPr>
                <w:sz w:val="14"/>
                <w:szCs w:val="14"/>
                <w:color w:val="auto"/>
              </w:rPr>
            </w:pPr>
          </w:p>
        </w:tc>
        <w:tc>
          <w:tcPr>
            <w:tcW w:w="5940" w:type="dxa"/>
            <w:vAlign w:val="bottom"/>
            <w:gridSpan w:val="7"/>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900" w:type="dxa"/>
            <w:vAlign w:val="bottom"/>
          </w:tcPr>
          <w:p>
            <w:pPr>
              <w:spacing w:after="0"/>
              <w:rPr>
                <w:sz w:val="24"/>
                <w:szCs w:val="24"/>
                <w:color w:val="auto"/>
              </w:rPr>
            </w:pPr>
          </w:p>
        </w:tc>
        <w:tc>
          <w:tcPr>
            <w:tcW w:w="2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$ 35,105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954,726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989,831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900" w:type="dxa"/>
            <w:vAlign w:val="bottom"/>
          </w:tcPr>
          <w:p>
            <w:pPr>
              <w:spacing w:after="0"/>
              <w:rPr>
                <w:sz w:val="24"/>
                <w:szCs w:val="24"/>
                <w:color w:val="auto"/>
              </w:rPr>
            </w:pPr>
          </w:p>
        </w:tc>
      </w:tr>
      <w:tr>
        <w:trPr>
          <w:trHeight w:val="166"/>
        </w:trPr>
        <w:tc>
          <w:tcPr>
            <w:tcW w:w="900" w:type="dxa"/>
            <w:vAlign w:val="bottom"/>
          </w:tcPr>
          <w:p>
            <w:pPr>
              <w:spacing w:after="0"/>
              <w:rPr>
                <w:sz w:val="14"/>
                <w:szCs w:val="14"/>
                <w:color w:val="auto"/>
              </w:rPr>
            </w:pPr>
          </w:p>
        </w:tc>
        <w:tc>
          <w:tcPr>
            <w:tcW w:w="5940" w:type="dxa"/>
            <w:vAlign w:val="bottom"/>
            <w:gridSpan w:val="7"/>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663"/>
        </w:trPr>
        <w:tc>
          <w:tcPr>
            <w:tcW w:w="900" w:type="dxa"/>
            <w:vAlign w:val="bottom"/>
          </w:tcPr>
          <w:p>
            <w:pPr>
              <w:spacing w:after="0"/>
              <w:rPr>
                <w:sz w:val="24"/>
                <w:szCs w:val="24"/>
                <w:color w:val="auto"/>
              </w:rPr>
            </w:pPr>
          </w:p>
        </w:tc>
        <w:tc>
          <w:tcPr>
            <w:tcW w:w="14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E-2</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860"/>
          </w:cols>
          <w:pgMar w:left="220" w:top="616" w:right="8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12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jc w:val="center"/>
        <w:ind w:left="120"/>
        <w:spacing w:after="0"/>
        <w:rPr>
          <w:sz w:val="20"/>
          <w:szCs w:val="20"/>
          <w:color w:val="auto"/>
        </w:rPr>
      </w:pPr>
      <w:r>
        <w:rPr>
          <w:rFonts w:ascii="Courier New" w:cs="Courier New" w:eastAsia="Courier New" w:hAnsi="Courier New"/>
          <w:sz w:val="14"/>
          <w:szCs w:val="14"/>
          <w:color w:val="auto"/>
        </w:rPr>
        <w:t>(Quarter to Quarter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line="255" w:lineRule="auto"/>
        <w:rPr>
          <w:sz w:val="20"/>
          <w:szCs w:val="20"/>
          <w:color w:val="auto"/>
        </w:rPr>
      </w:pPr>
      <w:r>
        <w:rPr>
          <w:rFonts w:ascii="Courier New" w:cs="Courier New" w:eastAsia="Courier New" w:hAnsi="Courier New"/>
          <w:sz w:val="14"/>
          <w:szCs w:val="14"/>
          <w:color w:val="auto"/>
        </w:rPr>
        <w:t>At March 31, 2001                       At March 31, 2000 -------------------------------------  -------------------------------------</w:t>
      </w:r>
    </w:p>
    <w:p>
      <w:pPr>
        <w:spacing w:after="0" w:line="160" w:lineRule="exact"/>
        <w:rPr>
          <w:sz w:val="20"/>
          <w:szCs w:val="20"/>
          <w:color w:val="auto"/>
        </w:rPr>
      </w:pPr>
    </w:p>
    <w:p>
      <w:pPr>
        <w:sectPr>
          <w:pgSz w:w="11900" w:h="16838" w:orient="portrait"/>
          <w:cols w:equalWidth="0" w:num="2">
            <w:col w:w="3420" w:space="720"/>
            <w:col w:w="672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w:t>
      </w:r>
      <w:r>
        <w:rPr>
          <w:sz w:val="20"/>
          <w:szCs w:val="20"/>
          <w:color w:val="auto"/>
        </w:rPr>
        <w:t xml:space="preserve"> </w:t>
      </w:r>
      <w:r>
        <w:rPr>
          <w:rFonts w:ascii="Courier New" w:cs="Courier New" w:eastAsia="Courier New" w:hAnsi="Courier New"/>
          <w:sz w:val="14"/>
          <w:szCs w:val="14"/>
          <w:color w:val="auto"/>
        </w:rPr>
        <w:t>Size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20" w:space="700"/>
            <w:col w:w="860" w:space="260"/>
            <w:col w:w="860" w:space="260"/>
            <w:col w:w="1980" w:space="160"/>
            <w:col w:w="9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14,609,901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13,938,466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14,171,079</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13,506,203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60" w:space="680"/>
            <w:col w:w="860" w:space="260"/>
            <w:col w:w="860" w:space="600"/>
            <w:col w:w="260" w:space="520"/>
            <w:col w:w="860" w:space="260"/>
            <w:col w:w="860" w:space="600"/>
            <w:col w:w="780"/>
          </w:cols>
          <w:pgMar w:left="220" w:top="616" w:right="8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100" w:space="260"/>
            <w:col w:w="336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00" w:space="720"/>
            <w:col w:w="1900" w:space="240"/>
            <w:col w:w="960" w:space="260"/>
            <w:col w:w="860" w:space="260"/>
            <w:col w:w="8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14,609,901</w:t>
        <w:tab/>
        <w:t>13,938,466</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14,101,425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13,504,384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6">
            <w:col w:w="3460" w:space="680"/>
            <w:col w:w="1900" w:space="600"/>
            <w:col w:w="260" w:space="600"/>
            <w:col w:w="860" w:space="260"/>
            <w:col w:w="860" w:space="440"/>
            <w:col w:w="940"/>
          </w:cols>
          <w:pgMar w:left="220" w:top="616" w:right="819"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September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At June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100" w:space="260"/>
            <w:col w:w="336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00" w:space="720"/>
            <w:col w:w="1900" w:space="240"/>
            <w:col w:w="960" w:space="260"/>
            <w:col w:w="860" w:space="260"/>
            <w:col w:w="8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13,929,402</w:t>
        <w:tab/>
        <w:t>13,397,528</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14,179,596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13,619,718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6">
            <w:col w:w="3460" w:space="680"/>
            <w:col w:w="1900" w:space="600"/>
            <w:col w:w="340" w:space="520"/>
            <w:col w:w="860" w:space="260"/>
            <w:col w:w="860" w:space="600"/>
            <w:col w:w="780"/>
          </w:cols>
          <w:pgMar w:left="220" w:top="616" w:right="81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jc w:val="center"/>
        <w:ind w:left="-79"/>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100" w:space="260"/>
            <w:col w:w="336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00" w:space="720"/>
            <w:col w:w="1900" w:space="240"/>
            <w:col w:w="960" w:space="260"/>
            <w:col w:w="860" w:space="260"/>
            <w:col w:w="8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13,997,565</w:t>
        <w:tab/>
        <w:t>13,392,116</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13,946,800</w:t>
        <w:tab/>
        <w:t>13,260,766</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5">
            <w:col w:w="3460" w:space="680"/>
            <w:col w:w="1900" w:space="600"/>
            <w:col w:w="260" w:space="340"/>
            <w:col w:w="1900" w:space="680"/>
            <w:col w:w="1040"/>
          </w:cols>
          <w:pgMar w:left="220" w:top="616" w:right="8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100" w:space="260"/>
            <w:col w:w="336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00" w:space="720"/>
            <w:col w:w="1900" w:space="240"/>
            <w:col w:w="960" w:space="260"/>
            <w:col w:w="860" w:space="260"/>
            <w:col w:w="8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13,997,565</w:t>
        <w:tab/>
        <w:t>13,392,116</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13,748,913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13,188,363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6">
            <w:col w:w="3460" w:space="680"/>
            <w:col w:w="1900" w:space="680"/>
            <w:col w:w="260" w:space="520"/>
            <w:col w:w="860" w:space="260"/>
            <w:col w:w="860" w:space="600"/>
            <w:col w:w="780"/>
          </w:cols>
          <w:pgMar w:left="220" w:top="616" w:right="819" w:bottom="1440" w:gutter="0" w:footer="0" w:header="0"/>
          <w:type w:val="continuous"/>
        </w:sectPr>
      </w:pP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September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4"/>
          <w:szCs w:val="14"/>
          <w:color w:val="auto"/>
        </w:rPr>
        <w:t>At June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100" w:space="260"/>
            <w:col w:w="3360"/>
          </w:cols>
          <w:pgMar w:left="220" w:top="616" w:right="819"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6">
            <w:col w:w="3600" w:space="720"/>
            <w:col w:w="1900" w:space="240"/>
            <w:col w:w="960" w:space="260"/>
            <w:col w:w="860" w:space="260"/>
            <w:col w:w="860" w:space="160"/>
            <w:col w:w="10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13,563,527</w:t>
        <w:tab/>
        <w:t>13,038,704</w:t>
      </w:r>
    </w:p>
    <w:p>
      <w:pPr>
        <w:spacing w:after="0" w:line="7"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14,074,930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13,521,971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6">
            <w:col w:w="3460" w:space="680"/>
            <w:col w:w="1900" w:space="600"/>
            <w:col w:w="340" w:space="520"/>
            <w:col w:w="860" w:space="260"/>
            <w:col w:w="860" w:space="600"/>
            <w:col w:w="780"/>
          </w:cols>
          <w:pgMar w:left="220" w:top="616" w:right="819"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860"/>
          </w:cols>
          <w:pgMar w:left="220" w:top="616" w:right="819"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Square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50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2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Footage</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03/31/01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7,448,848</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95%</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6,066,406</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96%</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1,094,647</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Square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50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2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Footage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03/31/01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4,660,973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2,787,875</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2,767,439</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3,298,967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351,352</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743,295</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w:t>
            </w:r>
          </w:p>
        </w:tc>
      </w:tr>
      <w:tr>
        <w:trPr>
          <w:trHeight w:val="497"/>
        </w:trPr>
        <w:tc>
          <w:tcPr>
            <w:tcW w:w="2500" w:type="dxa"/>
            <w:vAlign w:val="bottom"/>
          </w:tcPr>
          <w:p>
            <w:pPr>
              <w:spacing w:after="0"/>
              <w:rPr>
                <w:sz w:val="24"/>
                <w:szCs w:val="24"/>
                <w:color w:val="auto"/>
              </w:rPr>
            </w:pPr>
          </w:p>
        </w:tc>
        <w:tc>
          <w:tcPr>
            <w:tcW w:w="22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E-4</w:t>
            </w:r>
          </w:p>
        </w:tc>
        <w:tc>
          <w:tcPr>
            <w:tcW w:w="1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Sales/Occupancy Costs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Sales Per</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Cost per</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$307.52</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$18.27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$302.90</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$12.86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$314.22</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$26.11</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8.3%</w:t>
            </w:r>
          </w:p>
        </w:tc>
      </w:tr>
      <w:tr>
        <w:trPr>
          <w:trHeight w:val="497"/>
        </w:trPr>
        <w:tc>
          <w:tcPr>
            <w:tcW w:w="260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E-5</w:t>
            </w: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March 31,</w:t>
        <w:tab/>
        <w:t>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 Prior</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Average Current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Square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 Lease</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Rent Per</w:t>
            </w:r>
          </w:p>
        </w:tc>
        <w:tc>
          <w:tcPr>
            <w:tcW w:w="100" w:type="dxa"/>
            <w:vAlign w:val="bottom"/>
          </w:tcPr>
          <w:p>
            <w:pPr>
              <w:spacing w:after="0"/>
              <w:rPr>
                <w:sz w:val="14"/>
                <w:szCs w:val="1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Rent Per</w:t>
            </w:r>
          </w:p>
        </w:tc>
        <w:tc>
          <w:tcPr>
            <w:tcW w:w="140" w:type="dxa"/>
            <w:vAlign w:val="bottom"/>
          </w:tcPr>
          <w:p>
            <w:pPr>
              <w:spacing w:after="0"/>
              <w:rPr>
                <w:sz w:val="14"/>
                <w:szCs w:val="14"/>
                <w:color w:val="auto"/>
              </w:rPr>
            </w:pPr>
          </w:p>
        </w:tc>
        <w:tc>
          <w:tcPr>
            <w:tcW w:w="154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Leases Signed</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Feet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Term (Years)</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Square Foot</w:t>
            </w:r>
          </w:p>
        </w:tc>
        <w:tc>
          <w:tcPr>
            <w:tcW w:w="10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Square Foot</w:t>
            </w:r>
          </w:p>
        </w:tc>
        <w:tc>
          <w:tcPr>
            <w:tcW w:w="168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Increase in Rent</w:t>
            </w:r>
          </w:p>
        </w:tc>
      </w:tr>
      <w:tr>
        <w:trPr>
          <w:trHeight w:val="166"/>
        </w:trPr>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2001</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63</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233,106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6.0</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$17.27</w:t>
            </w:r>
          </w:p>
        </w:tc>
        <w:tc>
          <w:tcPr>
            <w:tcW w:w="100" w:type="dxa"/>
            <w:vAlign w:val="bottom"/>
          </w:tcPr>
          <w:p>
            <w:pPr>
              <w:spacing w:after="0"/>
              <w:rPr>
                <w:sz w:val="24"/>
                <w:szCs w:val="2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$19.64</w:t>
            </w:r>
          </w:p>
        </w:tc>
        <w:tc>
          <w:tcPr>
            <w:tcW w:w="14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554,492</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2000</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197,642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5.9</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$19.40</w:t>
            </w:r>
          </w:p>
        </w:tc>
        <w:tc>
          <w:tcPr>
            <w:tcW w:w="100" w:type="dxa"/>
            <w:vAlign w:val="bottom"/>
          </w:tcPr>
          <w:p>
            <w:pPr>
              <w:spacing w:after="0"/>
              <w:rPr>
                <w:sz w:val="14"/>
                <w:szCs w:val="1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$21.58</w:t>
            </w:r>
          </w:p>
        </w:tc>
        <w:tc>
          <w:tcPr>
            <w:tcW w:w="1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430,649</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2000</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52</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282,354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10.3</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$12.85</w:t>
            </w:r>
          </w:p>
        </w:tc>
        <w:tc>
          <w:tcPr>
            <w:tcW w:w="100" w:type="dxa"/>
            <w:vAlign w:val="bottom"/>
          </w:tcPr>
          <w:p>
            <w:pPr>
              <w:spacing w:after="0"/>
              <w:rPr>
                <w:sz w:val="14"/>
                <w:szCs w:val="1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$15.29</w:t>
            </w:r>
          </w:p>
        </w:tc>
        <w:tc>
          <w:tcPr>
            <w:tcW w:w="1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687,804</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2000</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214,111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5.8</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$16.97</w:t>
            </w:r>
          </w:p>
        </w:tc>
        <w:tc>
          <w:tcPr>
            <w:tcW w:w="100" w:type="dxa"/>
            <w:vAlign w:val="bottom"/>
          </w:tcPr>
          <w:p>
            <w:pPr>
              <w:spacing w:after="0"/>
              <w:rPr>
                <w:sz w:val="14"/>
                <w:szCs w:val="1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$18.85</w:t>
            </w:r>
          </w:p>
        </w:tc>
        <w:tc>
          <w:tcPr>
            <w:tcW w:w="1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402,991</w:t>
            </w:r>
          </w:p>
        </w:tc>
      </w:tr>
      <w:tr>
        <w:trPr>
          <w:trHeight w:val="166"/>
        </w:trPr>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251</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927,213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7.0</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$16.31</w:t>
            </w:r>
          </w:p>
        </w:tc>
        <w:tc>
          <w:tcPr>
            <w:tcW w:w="100" w:type="dxa"/>
            <w:vAlign w:val="bottom"/>
          </w:tcPr>
          <w:p>
            <w:pPr>
              <w:spacing w:after="0"/>
              <w:rPr>
                <w:sz w:val="14"/>
                <w:szCs w:val="14"/>
                <w:color w:val="auto"/>
              </w:rPr>
            </w:pP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$18.55</w:t>
            </w:r>
          </w:p>
        </w:tc>
        <w:tc>
          <w:tcPr>
            <w:tcW w:w="14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$2,075,936</w:t>
            </w:r>
          </w:p>
        </w:tc>
      </w:tr>
      <w:tr>
        <w:trPr>
          <w:trHeight w:val="497"/>
        </w:trPr>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gridSpan w:val="3"/>
          </w:tcPr>
          <w:p>
            <w:pPr>
              <w:jc w:val="center"/>
              <w:ind w:right="1048"/>
              <w:spacing w:after="0"/>
              <w:rPr>
                <w:sz w:val="20"/>
                <w:szCs w:val="20"/>
                <w:color w:val="auto"/>
              </w:rPr>
            </w:pPr>
            <w:r>
              <w:rPr>
                <w:rFonts w:ascii="Courier New" w:cs="Courier New" w:eastAsia="Courier New" w:hAnsi="Courier New"/>
                <w:sz w:val="14"/>
                <w:szCs w:val="14"/>
                <w:color w:val="auto"/>
              </w:rPr>
              <w:t>Estimated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w w:val="99"/>
              </w:rPr>
              <w:t>Tenant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Increase</w:t>
            </w:r>
          </w:p>
        </w:tc>
        <w:tc>
          <w:tcPr>
            <w:tcW w:w="2720" w:type="dxa"/>
            <w:vAlign w:val="bottom"/>
            <w:gridSpan w:val="4"/>
          </w:tcPr>
          <w:p>
            <w:pPr>
              <w:jc w:val="center"/>
              <w:ind w:right="228"/>
              <w:spacing w:after="0"/>
              <w:rPr>
                <w:sz w:val="20"/>
                <w:szCs w:val="20"/>
                <w:color w:val="auto"/>
              </w:rPr>
            </w:pPr>
            <w:r>
              <w:rPr>
                <w:rFonts w:ascii="Courier New" w:cs="Courier New" w:eastAsia="Courier New" w:hAnsi="Courier New"/>
                <w:sz w:val="14"/>
                <w:szCs w:val="14"/>
                <w:color w:val="auto"/>
              </w:rPr>
              <w:t>Improvement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25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over Prior Rent</w:t>
            </w:r>
          </w:p>
        </w:tc>
        <w:tc>
          <w:tcPr>
            <w:tcW w:w="80" w:type="dxa"/>
            <w:vAlign w:val="bottom"/>
          </w:tcPr>
          <w:p>
            <w:pPr>
              <w:spacing w:after="0"/>
              <w:rPr>
                <w:sz w:val="14"/>
                <w:szCs w:val="14"/>
                <w:color w:val="auto"/>
              </w:rPr>
            </w:pPr>
          </w:p>
        </w:tc>
        <w:tc>
          <w:tcPr>
            <w:tcW w:w="1820" w:type="dxa"/>
            <w:vAlign w:val="bottom"/>
            <w:gridSpan w:val="2"/>
          </w:tcPr>
          <w:p>
            <w:pPr>
              <w:jc w:val="center"/>
              <w:ind w:right="1128"/>
              <w:spacing w:after="0"/>
              <w:rPr>
                <w:sz w:val="20"/>
                <w:szCs w:val="20"/>
                <w:color w:val="auto"/>
              </w:rPr>
            </w:pPr>
            <w:r>
              <w:rPr>
                <w:rFonts w:ascii="Courier New" w:cs="Courier New" w:eastAsia="Courier New" w:hAnsi="Courier New"/>
                <w:sz w:val="14"/>
                <w:szCs w:val="14"/>
                <w:color w:val="auto"/>
                <w:w w:val="99"/>
              </w:rPr>
              <w:t>Costs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w:t>
            </w:r>
          </w:p>
        </w:tc>
        <w:tc>
          <w:tcPr>
            <w:tcW w:w="25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2001</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24"/>
                <w:szCs w:val="2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8"/>
              </w:rPr>
              <w:t>614,000</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2000</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8"/>
              </w:rPr>
              <w:t>313,000</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2000</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1,407,000</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2000</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8"/>
              </w:rPr>
              <w:t>866,000</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3,200,000</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28"/>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Annualized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Tenant</w:t>
            </w:r>
          </w:p>
        </w:tc>
      </w:tr>
      <w:tr>
        <w:trPr>
          <w:trHeight w:val="166"/>
        </w:trPr>
        <w:tc>
          <w:tcPr>
            <w:tcW w:w="212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Square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Average Rent</w:t>
            </w:r>
          </w:p>
        </w:tc>
        <w:tc>
          <w:tcPr>
            <w:tcW w:w="1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Leases Signed</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Feet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Term (Years)</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Per Square Foot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Rent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2001</w:t>
            </w: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16</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299,677</w:t>
            </w:r>
          </w:p>
        </w:tc>
        <w:tc>
          <w:tcPr>
            <w:tcW w:w="180" w:type="dxa"/>
            <w:vAlign w:val="bottom"/>
          </w:tcPr>
          <w:p>
            <w:pPr>
              <w:spacing w:after="0"/>
              <w:rPr>
                <w:sz w:val="24"/>
                <w:szCs w:val="24"/>
                <w:color w:val="auto"/>
              </w:rPr>
            </w:pP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19.5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$14.95</w:t>
            </w:r>
          </w:p>
        </w:tc>
        <w:tc>
          <w:tcPr>
            <w:tcW w:w="100" w:type="dxa"/>
            <w:vAlign w:val="bottom"/>
          </w:tcPr>
          <w:p>
            <w:pPr>
              <w:spacing w:after="0"/>
              <w:rPr>
                <w:sz w:val="24"/>
                <w:szCs w:val="2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$ 4,479,734</w:t>
            </w:r>
          </w:p>
        </w:tc>
        <w:tc>
          <w:tcPr>
            <w:tcW w:w="140" w:type="dxa"/>
            <w:vAlign w:val="bottom"/>
          </w:tcPr>
          <w:p>
            <w:pPr>
              <w:spacing w:after="0"/>
              <w:rPr>
                <w:sz w:val="24"/>
                <w:szCs w:val="2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735,000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2000</w:t>
            </w: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23</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101,245</w:t>
            </w:r>
          </w:p>
        </w:tc>
        <w:tc>
          <w:tcPr>
            <w:tcW w:w="180" w:type="dxa"/>
            <w:vAlign w:val="bottom"/>
          </w:tcPr>
          <w:p>
            <w:pPr>
              <w:spacing w:after="0"/>
              <w:rPr>
                <w:sz w:val="14"/>
                <w:szCs w:val="14"/>
                <w:color w:val="auto"/>
              </w:rPr>
            </w:pP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10.0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$31.82</w:t>
            </w:r>
          </w:p>
        </w:tc>
        <w:tc>
          <w:tcPr>
            <w:tcW w:w="1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$ 3 221,510</w:t>
            </w:r>
          </w:p>
        </w:tc>
        <w:tc>
          <w:tcPr>
            <w:tcW w:w="14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2000</w:t>
            </w: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26</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138,794</w:t>
            </w:r>
          </w:p>
        </w:tc>
        <w:tc>
          <w:tcPr>
            <w:tcW w:w="180" w:type="dxa"/>
            <w:vAlign w:val="bottom"/>
          </w:tcPr>
          <w:p>
            <w:pPr>
              <w:spacing w:after="0"/>
              <w:rPr>
                <w:sz w:val="14"/>
                <w:szCs w:val="14"/>
                <w:color w:val="auto"/>
              </w:rPr>
            </w:pP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17.3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$30.05</w:t>
            </w:r>
          </w:p>
        </w:tc>
        <w:tc>
          <w:tcPr>
            <w:tcW w:w="1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$ 4,170,745</w:t>
            </w:r>
          </w:p>
        </w:tc>
        <w:tc>
          <w:tcPr>
            <w:tcW w:w="14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116,000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2000</w:t>
            </w: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16</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84,287</w:t>
            </w:r>
          </w:p>
        </w:tc>
        <w:tc>
          <w:tcPr>
            <w:tcW w:w="180" w:type="dxa"/>
            <w:vAlign w:val="bottom"/>
          </w:tcPr>
          <w:p>
            <w:pPr>
              <w:spacing w:after="0"/>
              <w:rPr>
                <w:sz w:val="14"/>
                <w:szCs w:val="14"/>
                <w:color w:val="auto"/>
              </w:rPr>
            </w:pP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11.7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$29.37</w:t>
            </w:r>
          </w:p>
        </w:tc>
        <w:tc>
          <w:tcPr>
            <w:tcW w:w="1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$ 2,475,607</w:t>
            </w:r>
          </w:p>
        </w:tc>
        <w:tc>
          <w:tcPr>
            <w:tcW w:w="14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248,000</w:t>
            </w:r>
          </w:p>
        </w:tc>
      </w:tr>
      <w:tr>
        <w:trPr>
          <w:trHeight w:val="166"/>
        </w:trPr>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81</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624,003</w:t>
            </w:r>
          </w:p>
        </w:tc>
        <w:tc>
          <w:tcPr>
            <w:tcW w:w="180" w:type="dxa"/>
            <w:vAlign w:val="bottom"/>
          </w:tcPr>
          <w:p>
            <w:pPr>
              <w:spacing w:after="0"/>
              <w:rPr>
                <w:sz w:val="14"/>
                <w:szCs w:val="14"/>
                <w:color w:val="auto"/>
              </w:rPr>
            </w:pPr>
          </w:p>
        </w:tc>
        <w:tc>
          <w:tcPr>
            <w:tcW w:w="16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15.4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$22.99</w:t>
            </w:r>
          </w:p>
        </w:tc>
        <w:tc>
          <w:tcPr>
            <w:tcW w:w="1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$14,347,596</w:t>
            </w:r>
          </w:p>
        </w:tc>
        <w:tc>
          <w:tcPr>
            <w:tcW w:w="140" w:type="dxa"/>
            <w:vAlign w:val="bottom"/>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$1,099,000</w:t>
            </w:r>
          </w:p>
        </w:tc>
      </w:tr>
      <w:tr>
        <w:trPr>
          <w:trHeight w:val="663"/>
        </w:trPr>
        <w:tc>
          <w:tcPr>
            <w:tcW w:w="2120" w:type="dxa"/>
            <w:vAlign w:val="bottom"/>
          </w:tcPr>
          <w:p>
            <w:pPr>
              <w:spacing w:after="0"/>
              <w:rPr>
                <w:sz w:val="24"/>
                <w:szCs w:val="2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E-6</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60"/>
          </w:cols>
          <w:pgMar w:left="220" w:top="616" w:right="219" w:bottom="1440" w:gutter="0" w:footer="0" w:header="0"/>
        </w:sectPr>
      </w:pPr>
    </w:p>
    <w:bookmarkStart w:id="10" w:name="page11"/>
    <w:bookmarkEnd w:id="10"/>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2001</w:t>
      </w:r>
    </w:p>
    <w:p>
      <w:pPr>
        <w:spacing w:after="0" w:line="200" w:lineRule="exact"/>
        <w:rPr>
          <w:sz w:val="20"/>
          <w:szCs w:val="20"/>
          <w:color w:val="auto"/>
        </w:rPr>
      </w:pP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Expected</w:t>
            </w:r>
          </w:p>
        </w:tc>
        <w:tc>
          <w:tcPr>
            <w:tcW w:w="106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Cost</w:t>
            </w:r>
          </w:p>
        </w:tc>
        <w:tc>
          <w:tcPr>
            <w:tcW w:w="2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Estimate To Complete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Completed</w:t>
            </w:r>
          </w:p>
        </w:tc>
        <w:tc>
          <w:tcPr>
            <w:tcW w:w="1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Stabilized</w:t>
            </w:r>
          </w:p>
        </w:tc>
        <w:tc>
          <w:tcPr>
            <w:tcW w:w="10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Project</w:t>
            </w:r>
          </w:p>
        </w:tc>
        <w:tc>
          <w:tcPr>
            <w:tcW w:w="2200" w:type="dxa"/>
            <w:vAlign w:val="bottom"/>
          </w:tcPr>
          <w:p>
            <w:pPr>
              <w:ind w:left="620"/>
              <w:spacing w:after="0"/>
              <w:rPr>
                <w:sz w:val="20"/>
                <w:szCs w:val="20"/>
                <w:color w:val="auto"/>
              </w:rPr>
            </w:pPr>
            <w:r>
              <w:rPr>
                <w:rFonts w:ascii="Courier New" w:cs="Courier New" w:eastAsia="Courier New" w:hAnsi="Courier New"/>
                <w:sz w:val="14"/>
                <w:szCs w:val="14"/>
                <w:color w:val="auto"/>
              </w:rPr>
              <w:t>Specifications</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To Date</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240" w:type="dxa"/>
            <w:vAlign w:val="bottom"/>
          </w:tcPr>
          <w:p>
            <w:pPr>
              <w:ind w:left="240"/>
              <w:spacing w:after="0"/>
              <w:rPr>
                <w:sz w:val="20"/>
                <w:szCs w:val="20"/>
                <w:color w:val="auto"/>
              </w:rPr>
            </w:pPr>
            <w:r>
              <w:rPr>
                <w:rFonts w:ascii="Courier New" w:cs="Courier New" w:eastAsia="Courier New" w:hAnsi="Courier New"/>
                <w:sz w:val="14"/>
                <w:szCs w:val="14"/>
                <w:color w:val="auto"/>
              </w:rPr>
              <w:t>Thereafter</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Return</w:t>
            </w:r>
          </w:p>
        </w:tc>
        <w:tc>
          <w:tcPr>
            <w:tcW w:w="10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Tenants</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i n   m i l l i o n s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DEVELOPMENT IN PROGRESS</w:t>
            </w: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52,000 sf retail</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$ 28</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  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w:t>
            </w:r>
          </w:p>
        </w:tc>
        <w:tc>
          <w:tcPr>
            <w:tcW w:w="7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$ 32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Jaleo Restaurant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78,000 sf office</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OpNet Technologies</w:t>
            </w: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300,000 sf retail (1)</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$ 50</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$ 25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$ 75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Bed, Bath &amp; Beyond</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500</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apartment units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Harris Teeter</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Santana Row (Phase I)</w:t>
            </w: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538,000 sf retail</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$126</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$175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7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$475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 - 9.0%</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Borders Books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501</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residential units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Crate &amp; Barrel</w:t>
            </w:r>
          </w:p>
        </w:tc>
      </w:tr>
      <w:tr>
        <w:trPr>
          <w:trHeight w:val="166"/>
        </w:trPr>
        <w:tc>
          <w:tcPr>
            <w:tcW w:w="250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214</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Gucci</w:t>
            </w:r>
          </w:p>
        </w:tc>
      </w:tr>
      <w:tr>
        <w:trPr>
          <w:trHeight w:val="166"/>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Hotel Valencia</w:t>
            </w:r>
          </w:p>
        </w:tc>
      </w:tr>
      <w:tr>
        <w:trPr>
          <w:trHeight w:val="166"/>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Tommy Bahama</w:t>
            </w:r>
          </w:p>
        </w:tc>
      </w:tr>
      <w:tr>
        <w:trPr>
          <w:trHeight w:val="166"/>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$204</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7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$582</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170"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FUTURE DEVELOPMENT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2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400,000 sf retail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2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12,000 sf office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Lindbergh City Center</w:t>
            </w:r>
          </w:p>
        </w:tc>
        <w:tc>
          <w:tcPr>
            <w:tcW w:w="2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300,000 sf retail (1)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320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apartments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120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290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condominiums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920" w:hanging="174"/>
        <w:spacing w:after="0"/>
        <w:tabs>
          <w:tab w:leader="none" w:pos="49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4"/>
          <w:szCs w:val="14"/>
          <w:color w:val="auto"/>
        </w:rPr>
        <w:t>Total New Development and</w:t>
      </w:r>
    </w:p>
    <w:p>
      <w:pPr>
        <w:spacing w:after="0" w:line="7"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4"/>
          <w:szCs w:val="14"/>
          <w:color w:val="auto"/>
        </w:rPr>
        <w:t>Construction in Progress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6360"/>
        <w:spacing w:after="0"/>
        <w:rPr>
          <w:sz w:val="20"/>
          <w:szCs w:val="20"/>
          <w:color w:val="auto"/>
        </w:rPr>
      </w:pPr>
      <w:r>
        <w:rPr>
          <w:rFonts w:ascii="Courier New" w:cs="Courier New" w:eastAsia="Courier New" w:hAnsi="Courier New"/>
          <w:sz w:val="14"/>
          <w:szCs w:val="14"/>
          <w:color w:val="auto"/>
        </w:rPr>
        <w:t>$219</w:t>
      </w:r>
    </w:p>
    <w:p>
      <w:pPr>
        <w:spacing w:after="0" w:line="7" w:lineRule="exact"/>
        <w:rPr>
          <w:sz w:val="20"/>
          <w:szCs w:val="20"/>
          <w:color w:val="auto"/>
        </w:rPr>
      </w:pPr>
    </w:p>
    <w:p>
      <w:pPr>
        <w:jc w:val="center"/>
        <w:ind w:right="6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40" w:space="720"/>
            <w:col w:w="6880"/>
          </w:cols>
          <w:pgMar w:left="220" w:top="616" w:right="139" w:bottom="1440" w:gutter="0" w:footer="0" w:header="0"/>
          <w:type w:val="continuous"/>
        </w:sectPr>
      </w:pPr>
    </w:p>
    <w:p>
      <w:pPr>
        <w:spacing w:after="0" w:line="304"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7" w:lineRule="exact"/>
        <w:rPr>
          <w:rFonts w:ascii="Courier New" w:cs="Courier New" w:eastAsia="Courier New" w:hAnsi="Courier New"/>
          <w:sz w:val="14"/>
          <w:szCs w:val="14"/>
          <w:color w:val="auto"/>
        </w:rPr>
      </w:pPr>
    </w:p>
    <w:p>
      <w:pPr>
        <w:ind w:left="440" w:right="4640"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costs and expected stabilized return assume recovery in litigation of damages incurred as a result of defaults under the original construction contract and replacement of the General Contractor.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1540"/>
          </w:cols>
          <w:pgMar w:left="220" w:top="616" w:right="139" w:bottom="1440" w:gutter="0" w:footer="0" w:header="0"/>
          <w:type w:val="continuous"/>
        </w:sectPr>
      </w:pPr>
    </w:p>
    <w:bookmarkStart w:id="11" w:name="page12"/>
    <w:bookmarkEnd w:id="11"/>
    <w:p>
      <w:pPr>
        <w:ind w:right="560"/>
        <w:spacing w:after="0" w:line="255" w:lineRule="auto"/>
        <w:rPr>
          <w:sz w:val="20"/>
          <w:szCs w:val="20"/>
          <w:color w:val="auto"/>
        </w:rPr>
      </w:pPr>
      <w:r>
        <w:rPr>
          <w:rFonts w:ascii="Courier New" w:cs="Courier New" w:eastAsia="Courier New" w:hAnsi="Courier New"/>
          <w:sz w:val="14"/>
          <w:szCs w:val="14"/>
          <w:color w:val="auto"/>
        </w:rPr>
        <w:t>FOR IMMEDIATE RELEASE May 8,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 998-8166</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QUARTER 2001 OPERATING RESULTS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ROCKVILLE, MD (May 8, 2001) - Federal Realty Investment Trust (NYSE:FRT)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today reported operating results for its first quarter ended March 31, 2001.</w:t>
      </w:r>
    </w:p>
    <w:p>
      <w:pPr>
        <w:spacing w:after="0" w:line="173" w:lineRule="exact"/>
        <w:rPr>
          <w:sz w:val="20"/>
          <w:szCs w:val="20"/>
          <w:color w:val="auto"/>
        </w:rPr>
      </w:pPr>
    </w:p>
    <w:p>
      <w:pPr>
        <w:ind w:left="700" w:hanging="261"/>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increased 6.5% to $0.66 per diluted share</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progress at both Pentagon Row and Santana Row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Funds from operations for the quarter ended March 31, 2001 increased 5.2 % to $26.4 million from $25.1 million for the first quarter of 2000. On a per diluted share basis, funds from operations increased 6.5% from $0.62 in 2000 to $0.66 in 2001. Net operating income, which includes interest income from mortgage notes receivable, was $50.0 million, a 4.2% increase from the $48.0 million reported for 2000.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"We're pleased with the strong operating performance we continue to see from our core properties; both shopping centers and main street assets," commented Steven J. Guttman, Chairman and Chief Executive Officer of Federal Realty. "In addition, we made significant progress in the financing, construction and leasing of our main street development properties so far this year. We are well on our way to meeting analyst consensus FFO expectations of $2.65 per share in 2001."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first quarter, rental income increased from $64.2 million in 2000 to</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$67.1 million in 2001, a 4.5% increase. On a same-center basis, which ignores the impact of properties acquired, developed or sold during the analyzed periods, rental income increased 6.5% from $62.0 million to $66.0 million. The strong growth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1440" w:gutter="0" w:footer="0" w:header="0"/>
          <w:type w:val="continuous"/>
        </w:sectPr>
      </w:pPr>
    </w:p>
    <w:bookmarkStart w:id="12" w:name="page13"/>
    <w:bookmarkEnd w:id="12"/>
    <w:p>
      <w:pPr>
        <w:ind w:right="3339"/>
        <w:spacing w:after="0" w:line="255" w:lineRule="auto"/>
        <w:rPr>
          <w:sz w:val="20"/>
          <w:szCs w:val="20"/>
          <w:color w:val="auto"/>
        </w:rPr>
      </w:pPr>
      <w:r>
        <w:rPr>
          <w:rFonts w:ascii="Courier New" w:cs="Courier New" w:eastAsia="Courier New" w:hAnsi="Courier New"/>
          <w:sz w:val="14"/>
          <w:szCs w:val="14"/>
          <w:color w:val="auto"/>
        </w:rPr>
        <w:t>of same-center rental income was the leading factor driving improvements in both net operating income and funds from operations.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the Trust signed leases for nearly 400,000 square feet of retail and office space. On a comparable space basis, the Trust re-leased 280,916 square feet at an average increase in rent per square foot of 19%. The weighted-average rent on these same space leases was $20.97 per square foot compared to the previous average rent of $17.64 per square foot. At March 31, 2001, overall occupancy remained strong at 95.4%, versus 95.3% reported for March 31,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Pentagon Row, in Arlington, Virginia, the Trust continues to make progress with construction. Bed, Bath and Beyond, an anchor for the development, opened for business on April 6, 2001. Current expectations call for Building A's other retail tenant, a state-of-the art Harris Teeter grocery store, to open this summer. Buildings B and C are scheduled to open in the third quarter, and a fourth quarter opening is currently expected for Building 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Leasing remains strong at Santana Row, the Trust's pedestrian-friendly, mixed-use community in the heart of San Jose, California. To date, executed leases and signed letters of intent account for approximately 250,000 square feet of Phase I retail space. In addition, the Trust recently announced a signed ground lease with Hotel Valencia group who will build a 214-room boutique hotel at the center of Santana Row, and the closing of a $295 million construction loan for the first phase of the project. Construction at Santana Row continues on schedule, with Phase I expected to begin opening in mid-2002.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Federal Realty's first quarter earnings conference call is scheduled for 4:00 PM ET, Wednesday May 9, 2001. To participate, please call (800) 665-0430 five to ten minutes prior to the start time. Federal Realty will also provide an online Web Simulcast on the company's web site, www.federalrealty.com. For those</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interested parties who are unable to participate in the conference call, a re-broadcast will be available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online at www.federalrealty.com beginning on May 10. A telephone recording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call can also be heard by dialing (888) 203-1112. The passcode for this replay is 770370.</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high quality retail and mixed-use properties. The Trust owns or has an interest in 153 real estate assets consisting of community and neighborhood shopping centers and retail and urban mixed-use properties located in strategic metropolitan markets across the United States. The Trust is nationally recognized for its main street revitalization programs as well as the development of urban mixed-use, pedestrian-friendly communities. Federal Realty has paid quarterly dividends to its shareholders continuously since its founding in 1962, and has increased its dividend rate for 33 consecutive years. Shares of Federal Realty are traded on the New York Stock Exchange under the symbol FRT. Additional information about Federal Realty can be found on the Internet at www.federalrealty.com.</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616" w:right="1440" w:bottom="1440" w:gutter="0" w:footer="0" w:header="0"/>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ind w:left="1820"/>
              <w:spacing w:after="0"/>
              <w:rPr>
                <w:sz w:val="20"/>
                <w:szCs w:val="20"/>
                <w:color w:val="auto"/>
              </w:rPr>
            </w:pPr>
            <w:r>
              <w:rPr>
                <w:rFonts w:ascii="Courier New" w:cs="Courier New" w:eastAsia="Courier New" w:hAnsi="Courier New"/>
                <w:sz w:val="14"/>
                <w:szCs w:val="14"/>
                <w:color w:val="auto"/>
              </w:rPr>
              <w:t>(in thousands, except per share data)</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6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700" w:type="dxa"/>
            <w:vAlign w:val="bottom"/>
          </w:tcPr>
          <w:p>
            <w:pPr>
              <w:spacing w:after="0"/>
              <w:rPr>
                <w:sz w:val="14"/>
                <w:szCs w:val="14"/>
                <w:color w:val="auto"/>
              </w:rPr>
            </w:pPr>
          </w:p>
        </w:tc>
      </w:tr>
      <w:tr>
        <w:trPr>
          <w:trHeight w:val="166"/>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c>
          <w:tcPr>
            <w:tcW w:w="700" w:type="dxa"/>
            <w:vAlign w:val="bottom"/>
          </w:tcPr>
          <w:p>
            <w:pPr>
              <w:spacing w:after="0"/>
              <w:rPr>
                <w:sz w:val="14"/>
                <w:szCs w:val="14"/>
                <w:color w:val="auto"/>
              </w:rPr>
            </w:pP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9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2001</w:t>
            </w:r>
          </w:p>
        </w:tc>
        <w:tc>
          <w:tcPr>
            <w:tcW w:w="6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Rental income</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$67,136</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$64,232</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Other property income</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2,765</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Interest  and other income</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1,857</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2,107</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71,703</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69,104</w:t>
            </w:r>
          </w:p>
        </w:tc>
      </w:tr>
      <w:tr>
        <w:trPr>
          <w:trHeight w:val="166"/>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Rental</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15,045</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14,620</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Real estate taxes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6,620</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6,457</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Interest</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17,150</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16,493</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Administrative</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3,133</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2,922</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14,144</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12,655</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56,092</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53,147</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90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15,611</w:t>
            </w:r>
          </w:p>
        </w:tc>
        <w:tc>
          <w:tcPr>
            <w:tcW w:w="64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15,957</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Investor's share of operations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(1,378)</w:t>
            </w:r>
          </w:p>
        </w:tc>
        <w:tc>
          <w:tcPr>
            <w:tcW w:w="6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(1,818)</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$14,233</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$14,139</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Dividends on preferred stock</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(1,988)</w:t>
            </w:r>
          </w:p>
        </w:tc>
        <w:tc>
          <w:tcPr>
            <w:tcW w:w="6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(1,988)</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$12,245</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$12,151</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Earnings per common share, basic</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Earnings per common share, diluted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38,822</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39,444</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39,856</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40,595</w:t>
            </w:r>
          </w:p>
        </w:tc>
      </w:tr>
      <w:tr>
        <w:trPr>
          <w:trHeight w:val="331"/>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$12,245</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$12,151</w:t>
            </w:r>
          </w:p>
        </w:tc>
      </w:tr>
      <w:tr>
        <w:trPr>
          <w:trHeight w:val="166"/>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12,866</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11,487</w:t>
            </w:r>
          </w:p>
        </w:tc>
      </w:tr>
      <w:tr>
        <w:trPr>
          <w:trHeight w:val="166"/>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969</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w:t>
            </w:r>
          </w:p>
        </w:tc>
      </w:tr>
      <w:tr>
        <w:trPr>
          <w:trHeight w:val="166"/>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$26,379</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$25,081</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 per share, diluted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0.62</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6860" w:type="dxa"/>
            <w:vAlign w:val="bottom"/>
          </w:tcPr>
          <w:p>
            <w:pPr>
              <w:spacing w:after="0"/>
              <w:rPr>
                <w:sz w:val="24"/>
                <w:szCs w:val="2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March 31,</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(Unaudited)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Real estate, at cost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$1,925,568</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$1 854,913</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(364,214)</w:t>
            </w:r>
          </w:p>
        </w:tc>
        <w:tc>
          <w:tcPr>
            <w:tcW w:w="1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(351,258)</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1,561,354</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1 503,655</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Mortgage notes receivable</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43,457</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47,360</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Cash and investments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11,143</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11,357</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13,214</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13,092</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46,524</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45,615</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$1,675,692</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$1,621,079</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Liabilities and Shareholders' Equity</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302,276</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323,911</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Notes payable</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302,404</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225,246</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Senior Notes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410,000</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5 1/4% Convertible subordinated debentures</w:t>
            </w: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75,289</w:t>
            </w:r>
          </w:p>
        </w:tc>
        <w:tc>
          <w:tcPr>
            <w:tcW w:w="6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75,289</w:t>
            </w: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121,440</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118,979</w:t>
            </w:r>
          </w:p>
        </w:tc>
      </w:tr>
      <w:tr>
        <w:trPr>
          <w:trHeight w:val="331"/>
        </w:trPr>
        <w:tc>
          <w:tcPr>
            <w:tcW w:w="686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464,283</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467,654</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$1,675,692</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$1,621,079</w:t>
            </w:r>
          </w:p>
        </w:tc>
      </w:tr>
      <w:tr>
        <w:trPr>
          <w:trHeight w:val="166"/>
        </w:trPr>
        <w:tc>
          <w:tcPr>
            <w:tcW w:w="686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6860" w:type="dxa"/>
            <w:vAlign w:val="bottom"/>
          </w:tcPr>
          <w:p>
            <w:pPr>
              <w:ind w:left="3200"/>
              <w:spacing w:after="0"/>
              <w:rPr>
                <w:sz w:val="20"/>
                <w:szCs w:val="20"/>
                <w:color w:val="auto"/>
              </w:rPr>
            </w:pPr>
            <w:r>
              <w:rPr>
                <w:rFonts w:ascii="Courier New" w:cs="Courier New" w:eastAsia="Courier New" w:hAnsi="Courier New"/>
                <w:sz w:val="14"/>
                <w:szCs w:val="14"/>
                <w:color w:val="auto"/>
              </w:rPr>
              <w:t>E-11</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6" w:right="1440" w:bottom="919" w:gutter="0" w:footer="0" w:header="0"/>
        </w:sectPr>
      </w:pPr>
    </w:p>
    <w:bookmarkStart w:id="15" w:name="page16"/>
    <w:bookmarkEnd w:id="15"/>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E-12</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2019-12-11T17:56:19Z</dcterms:created>
  <dcterms:modified xsi:type="dcterms:W3CDTF">2019-12-11T17:56:19Z</dcterms:modified>
</cp:coreProperties>
</file>