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180" w:after="283"/>
        <w:jc w:val="center"/>
        <w:rPr>
          <w:rFonts w:ascii="Times New Roman;sans-serif" w:hAnsi="Times New Roman;sans-serif"/>
          <w:b/>
          <w:color w:val="000000"/>
          <w:sz w:val="26"/>
        </w:rPr>
      </w:pPr>
      <w:r>
        <w:rPr>
          <w:rFonts w:ascii="Times New Roman;sans-serif" w:hAnsi="Times New Roman;sans-serif"/>
          <w:b/>
          <w:color w:val="000000"/>
          <w:sz w:val="26"/>
        </w:rPr>
        <w:t xml:space="preserve">CURRENT REPORT </w:t>
      </w:r>
    </w:p>
    <w:p>
      <w:pPr>
        <w:pStyle w:val="TextBody"/>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spacing w:lineRule="auto" w:line="288" w:before="180" w:after="283"/>
        <w:jc w:val="center"/>
        <w:rPr/>
      </w:pPr>
      <w:r>
        <w:rPr>
          <w:rFonts w:ascii="Times New Roman;sans-serif" w:hAnsi="Times New Roman;sans-serif"/>
          <w:b/>
          <w:color w:val="000000"/>
          <w:sz w:val="22"/>
        </w:rPr>
        <w:t>Date of Report (Date of earliest event reported) May 4, 2023</w:t>
      </w:r>
      <w:r>
        <w:rPr>
          <w:color w:val="000000"/>
        </w:rPr>
        <w:t xml:space="preserve"> </w:t>
      </w:r>
    </w:p>
    <w:p>
      <w:pPr>
        <w:pStyle w:val="TextBody"/>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Federal Realty Investment Trust</w:t>
      </w:r>
    </w:p>
    <w:p>
      <w:pPr>
        <w:pStyle w:val="TextBody"/>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 xml:space="preserve">Federal Realty OP LP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spacing w:lineRule="auto" w:line="288" w:before="0" w:after="0"/>
        <w:rPr>
          <w:color w:val="000000"/>
        </w:rPr>
      </w:pPr>
      <w:r>
        <w:rPr>
          <w:color w:val="000000"/>
        </w:rPr>
        <w:t> </w:t>
      </w:r>
    </w:p>
    <w:tbl>
      <w:tblPr>
        <w:tblW w:w="7162" w:type="dxa"/>
        <w:jc w:val="center"/>
        <w:tblInd w:w="0" w:type="dxa"/>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Maryland (Federal Realty Investment Trust)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1-07533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87-3916363</w:t>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Delaware (Federal Realty OP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333-262016-01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52-0782497</w:t>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w:t>
              <w:br/>
              <w:t>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bl>
    <w:tbl>
      <w:tblPr>
        <w:tblW w:w="6440" w:type="dxa"/>
        <w:jc w:val="center"/>
        <w:tblInd w:w="0" w:type="dxa"/>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909 Rose Avenue, Suite 200</w:t>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North Bethesda,</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20852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301/998-8100 </w:t>
      </w:r>
    </w:p>
    <w:p>
      <w:pPr>
        <w:pStyle w:val="TextBody"/>
        <w:spacing w:lineRule="auto" w:line="288" w:before="9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CellMar>
          <w:top w:w="28" w:type="dxa"/>
          <w:left w:w="28" w:type="dxa"/>
          <w:bottom w:w="28" w:type="dxa"/>
          <w:right w:w="28" w:type="dxa"/>
        </w:tblCellMar>
      </w:tblPr>
      <w:tblGrid>
        <w:gridCol w:w="124"/>
        <w:gridCol w:w="109"/>
        <w:gridCol w:w="109"/>
        <w:gridCol w:w="1904"/>
        <w:gridCol w:w="1904"/>
        <w:gridCol w:w="27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CellMar>
          <w:top w:w="28" w:type="dxa"/>
          <w:left w:w="28" w:type="dxa"/>
          <w:bottom w:w="28" w:type="dxa"/>
          <w:right w:w="28" w:type="dxa"/>
        </w:tblCellMar>
      </w:tblPr>
      <w:tblGrid>
        <w:gridCol w:w="124"/>
        <w:gridCol w:w="109"/>
        <w:gridCol w:w="109"/>
        <w:gridCol w:w="1904"/>
        <w:gridCol w:w="1904"/>
        <w:gridCol w:w="27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CellMar>
          <w:top w:w="28" w:type="dxa"/>
          <w:left w:w="28" w:type="dxa"/>
          <w:bottom w:w="28" w:type="dxa"/>
          <w:right w:w="28" w:type="dxa"/>
        </w:tblCellMar>
      </w:tblPr>
      <w:tblGrid>
        <w:gridCol w:w="124"/>
        <w:gridCol w:w="109"/>
        <w:gridCol w:w="109"/>
        <w:gridCol w:w="2368"/>
        <w:gridCol w:w="2368"/>
        <w:gridCol w:w="33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33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CellMar>
          <w:top w:w="28" w:type="dxa"/>
          <w:left w:w="28" w:type="dxa"/>
          <w:bottom w:w="28" w:type="dxa"/>
          <w:right w:w="28" w:type="dxa"/>
        </w:tblCellMar>
      </w:tblPr>
      <w:tblGrid>
        <w:gridCol w:w="124"/>
        <w:gridCol w:w="109"/>
        <w:gridCol w:w="109"/>
        <w:gridCol w:w="2350"/>
        <w:gridCol w:w="2350"/>
        <w:gridCol w:w="33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33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spacing w:lineRule="auto" w:line="288" w:before="100" w:after="100"/>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046"/>
        <w:gridCol w:w="1738"/>
        <w:gridCol w:w="1733"/>
        <w:gridCol w:w="434"/>
        <w:gridCol w:w="434"/>
        <w:gridCol w:w="422"/>
        <w:gridCol w:w="993"/>
        <w:gridCol w:w="993"/>
        <w:gridCol w:w="1412"/>
      </w:tblGrid>
      <w:tr>
        <w:trPr/>
        <w:tc>
          <w:tcPr>
            <w:tcW w:w="2046"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55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of Beneficial Interest</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w:t>
            </w:r>
          </w:p>
        </w:tc>
        <w:tc>
          <w:tcPr>
            <w:tcW w:w="3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par value per share, with associated Common Share Purchase Rights</w:t>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Depositary Shares, each representing 1/1000 of a share </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FRT-C</w:t>
            </w:r>
          </w:p>
        </w:tc>
        <w:tc>
          <w:tcPr>
            <w:tcW w:w="3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of 5.00% Series C Cumulative Redeemable Preferred Stock, $.01 par value per share</w:t>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OP LP</w:t>
            </w:r>
          </w:p>
        </w:tc>
      </w:tr>
      <w:tr>
        <w:trPr/>
        <w:tc>
          <w:tcPr>
            <w:tcW w:w="55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tbl>
      <w:tblPr>
        <w:tblW w:w="10205" w:type="dxa"/>
        <w:jc w:val="center"/>
        <w:tblInd w:w="0" w:type="dxa"/>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Yes ☐ No ☒</w:t>
            </w:r>
          </w:p>
        </w:tc>
        <w:tc>
          <w:tcPr>
            <w:tcW w:w="32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Yes ☐ No ☒</w:t>
            </w:r>
          </w:p>
        </w:tc>
        <w:tc>
          <w:tcPr>
            <w:tcW w:w="3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w:t>
            </w:r>
          </w:p>
        </w:tc>
        <w:tc>
          <w:tcPr>
            <w:tcW w:w="3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w:t>
            </w:r>
          </w:p>
        </w:tc>
        <w:tc>
          <w:tcPr>
            <w:tcW w:w="3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2.02. Results of Operations and Financial Condition.</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4"/>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4"/>
        </w:rPr>
        <w:t>On May 4, 2023, Federal Realty Investment Trust issued supplemental data pertaining to its operations, as well as a press release, to report its financial results for the quarter ended March 31, 2023. The supplemental data and press release are furnished as Exhibit 99.1 hereto.</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4"/>
        </w:rPr>
        <w:t>Item 9.01.</w:t>
      </w:r>
      <w:r>
        <w:rPr>
          <w:color w:val="000000"/>
        </w:rPr>
        <w:t xml:space="preserve">     </w:t>
      </w:r>
      <w:r>
        <w:rPr>
          <w:rFonts w:ascii="Times New Roman;sans-serif" w:hAnsi="Times New Roman;sans-serif"/>
          <w:b/>
          <w:color w:val="000000"/>
          <w:sz w:val="24"/>
        </w:rPr>
        <w:t>Financial Statements and Exhibits.</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Exhibits</w:t>
      </w:r>
    </w:p>
    <w:p>
      <w:pPr>
        <w:pStyle w:val="TextBody"/>
        <w:spacing w:before="0" w:after="0"/>
        <w:rPr/>
      </w:pPr>
      <w:r>
        <w:rPr/>
      </w:r>
    </w:p>
    <w:p>
      <w:pPr>
        <w:pStyle w:val="TextBody"/>
        <w:spacing w:lineRule="auto" w:line="288" w:before="0" w:after="0"/>
        <w:ind w:left="0" w:right="0" w:hanging="1440"/>
        <w:rPr/>
      </w:pPr>
      <w:r>
        <w:rPr>
          <w:color w:val="000000"/>
        </w:rPr>
        <w:t>    </w:t>
      </w:r>
      <w:r>
        <w:rPr>
          <w:rFonts w:ascii="Times New Roman;sans-serif" w:hAnsi="Times New Roman;sans-serif"/>
          <w:b w:val="false"/>
          <w:color w:val="000000"/>
          <w:sz w:val="24"/>
        </w:rPr>
        <w:t>99.1</w:t>
      </w:r>
      <w:r>
        <w:rPr>
          <w:color w:val="000000"/>
        </w:rPr>
        <w:t>    </w:t>
      </w:r>
      <w:r>
        <w:rPr>
          <w:rFonts w:ascii="Times New Roman;sans-serif" w:hAnsi="Times New Roman;sans-serif"/>
          <w:b w:val="false"/>
          <w:color w:val="000000"/>
          <w:sz w:val="24"/>
        </w:rPr>
        <w:t>Supplemental information at March 31, 2023 (including press release dated May 4, 2023)</w:t>
      </w:r>
    </w:p>
    <w:p>
      <w:pPr>
        <w:pStyle w:val="TextBody"/>
        <w:spacing w:before="0" w:after="0"/>
        <w:rPr/>
      </w:pPr>
      <w:r>
        <w:rPr/>
      </w:r>
    </w:p>
    <w:p>
      <w:pPr>
        <w:pStyle w:val="TextBody"/>
        <w:spacing w:before="0" w:after="0"/>
        <w:ind w:left="0" w:right="0" w:hanging="1440"/>
        <w:rPr/>
      </w:pPr>
      <w:r>
        <w:rPr/>
      </w:r>
    </w:p>
    <w:p>
      <w:pPr>
        <w:pStyle w:val="TextBody"/>
        <w:spacing w:before="0" w:after="0"/>
        <w:ind w:left="0" w:right="0" w:hanging="1440"/>
        <w:rPr/>
      </w:pPr>
      <w:r>
        <w:rPr/>
      </w:r>
    </w:p>
    <w:p>
      <w:pPr>
        <w:pStyle w:val="TextBody"/>
        <w:spacing w:lineRule="auto" w:line="288" w:before="0" w:after="0"/>
        <w:ind w:left="0" w:right="0" w:hanging="1440"/>
        <w:rPr>
          <w:color w:val="000000"/>
        </w:rPr>
      </w:pPr>
      <w:r>
        <w:rPr>
          <w:color w:val="000000"/>
        </w:rPr>
        <w:t>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pPr>
      <w:r>
        <w:rPr>
          <w:color w:val="000000"/>
        </w:rPr>
        <w:t>    </w:t>
      </w:r>
      <w:r>
        <w:rPr>
          <w:rFonts w:ascii="Times New Roman;sans-serif" w:hAnsi="Times New Roman;sans-serif"/>
          <w:b w:val="false"/>
          <w:color w:val="000000"/>
          <w:sz w:val="24"/>
        </w:rPr>
        <w:t>Pursuant to the requirements of the Securities Exchange Act of 1934, the registrants have duly caused this report to be signed on their behalf by the undersigned hereunto duly authorized.</w:t>
      </w:r>
    </w:p>
    <w:p>
      <w:pPr>
        <w:pStyle w:val="TextBody"/>
        <w:spacing w:before="0" w:after="0"/>
        <w:rPr/>
      </w:pPr>
      <w:r>
        <w:rPr/>
      </w:r>
    </w:p>
    <w:tbl>
      <w:tblPr>
        <w:tblW w:w="7300" w:type="dxa"/>
        <w:jc w:val="center"/>
        <w:tblInd w:w="0" w:type="dxa"/>
        <w:tblCellMar>
          <w:top w:w="28" w:type="dxa"/>
          <w:left w:w="28" w:type="dxa"/>
          <w:bottom w:w="28" w:type="dxa"/>
          <w:right w:w="28" w:type="dxa"/>
        </w:tblCellMar>
      </w:tblPr>
      <w:tblGrid>
        <w:gridCol w:w="228"/>
        <w:gridCol w:w="200"/>
        <w:gridCol w:w="202"/>
        <w:gridCol w:w="439"/>
        <w:gridCol w:w="439"/>
        <w:gridCol w:w="441"/>
        <w:gridCol w:w="109"/>
        <w:gridCol w:w="109"/>
        <w:gridCol w:w="109"/>
        <w:gridCol w:w="1470"/>
        <w:gridCol w:w="1470"/>
        <w:gridCol w:w="2084"/>
      </w:tblGrid>
      <w:tr>
        <w:trPr/>
        <w:tc>
          <w:tcPr>
            <w:tcW w:w="22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r>
      <w:tr>
        <w:trPr/>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INVESTMENT TRUST</w:t>
            </w:r>
          </w:p>
        </w:tc>
      </w:tr>
      <w:tr>
        <w:trPr/>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OP LP</w:t>
            </w:r>
          </w:p>
        </w:tc>
      </w:tr>
      <w:tr>
        <w:trPr/>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4"/>
                <w:u w:val="single"/>
              </w:rPr>
              <w:t>/s/ Daniel Guglielmone</w:t>
            </w:r>
          </w:p>
        </w:tc>
      </w:tr>
      <w:tr>
        <w:trPr/>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Guglielmone</w:t>
            </w:r>
          </w:p>
        </w:tc>
      </w:tr>
      <w:tr>
        <w:trPr/>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r>
        <w:trPr/>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tc>
      </w:tr>
    </w:tbl>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INDEX</w:t>
      </w:r>
    </w:p>
    <w:p>
      <w:pPr>
        <w:pStyle w:val="TextBody"/>
        <w:spacing w:lineRule="auto" w:line="288" w:before="0" w:after="0"/>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501"/>
        <w:gridCol w:w="440"/>
        <w:gridCol w:w="442"/>
        <w:gridCol w:w="109"/>
        <w:gridCol w:w="109"/>
        <w:gridCol w:w="109"/>
        <w:gridCol w:w="2476"/>
        <w:gridCol w:w="2476"/>
        <w:gridCol w:w="3543"/>
      </w:tblGrid>
      <w:tr>
        <w:trPr/>
        <w:tc>
          <w:tcPr>
            <w:tcW w:w="501"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3543" w:type="dxa"/>
            <w:tcBorders/>
            <w:shd w:fill="auto" w:val="clear"/>
            <w:vAlign w:val="center"/>
          </w:tcPr>
          <w:p>
            <w:pPr>
              <w:pStyle w:val="TableContents"/>
              <w:spacing w:before="0" w:after="283"/>
              <w:rPr>
                <w:sz w:val="4"/>
                <w:szCs w:val="4"/>
              </w:rPr>
            </w:pPr>
            <w:r>
              <w:rPr>
                <w:sz w:val="4"/>
                <w:szCs w:val="4"/>
              </w:rPr>
            </w:r>
          </w:p>
        </w:tc>
      </w:tr>
      <w:tr>
        <w:trPr/>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3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frt-3312023xex991.htm">
              <w:r>
                <w:rPr>
                  <w:rStyle w:val="InternetLink"/>
                  <w:rFonts w:ascii="Times New Roman;sans-serif" w:hAnsi="Times New Roman;sans-serif"/>
                  <w:b w:val="false"/>
                  <w:color w:val="0000FF"/>
                  <w:sz w:val="20"/>
                  <w:u w:val="single"/>
                </w:rPr>
                <w:t>99.1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at March 31, 2023</w:t>
            </w:r>
          </w:p>
        </w:tc>
      </w:tr>
      <w:tr>
        <w:trPr/>
        <w:tc>
          <w:tcPr>
            <w:tcW w:w="1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Interactive Data File is embedded within the Inline XBRL document)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8584" w:type="dxa"/>
        <w:jc w:val="center"/>
        <w:tblInd w:w="0" w:type="dxa"/>
        <w:tblCellMar>
          <w:top w:w="28" w:type="dxa"/>
          <w:left w:w="28" w:type="dxa"/>
          <w:bottom w:w="28" w:type="dxa"/>
          <w:right w:w="28" w:type="dxa"/>
        </w:tblCellMar>
      </w:tblPr>
      <w:tblGrid>
        <w:gridCol w:w="360"/>
        <w:gridCol w:w="317"/>
        <w:gridCol w:w="317"/>
        <w:gridCol w:w="577"/>
        <w:gridCol w:w="577"/>
        <w:gridCol w:w="577"/>
        <w:gridCol w:w="1590"/>
        <w:gridCol w:w="1590"/>
        <w:gridCol w:w="1590"/>
        <w:gridCol w:w="317"/>
        <w:gridCol w:w="317"/>
        <w:gridCol w:w="455"/>
      </w:tblGrid>
      <w:tr>
        <w:trPr/>
        <w:tc>
          <w:tcPr>
            <w:tcW w:w="36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r>
      <w:tr>
        <w:trPr/>
        <w:tc>
          <w:tcPr>
            <w:tcW w:w="858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994" w:type="dxa"/>
            <w:gridSpan w:val="3"/>
            <w:tcBorders/>
            <w:shd w:fill="auto" w:val="clear"/>
            <w:vAlign w:val="center"/>
          </w:tcPr>
          <w:p>
            <w:pPr>
              <w:pStyle w:val="TableContents"/>
              <w:spacing w:before="0" w:after="283"/>
              <w:rPr>
                <w:sz w:val="4"/>
                <w:szCs w:val="4"/>
              </w:rPr>
            </w:pPr>
            <w:r>
              <w:rPr>
                <w:sz w:val="4"/>
                <w:szCs w:val="4"/>
              </w:rPr>
            </w:r>
          </w:p>
        </w:tc>
        <w:tc>
          <w:tcPr>
            <w:tcW w:w="7590" w:type="dxa"/>
            <w:gridSpan w:val="9"/>
            <w:tcBorders/>
            <w:shd w:fill="auto" w:val="clear"/>
          </w:tcPr>
          <w:p>
            <w:pPr>
              <w:pStyle w:val="TableContents"/>
              <w:spacing w:before="0" w:after="283"/>
              <w:rPr>
                <w:sz w:val="4"/>
                <w:szCs w:val="4"/>
              </w:rPr>
            </w:pPr>
            <w:r>
              <w:rPr>
                <w:sz w:val="4"/>
                <w:szCs w:val="4"/>
              </w:rPr>
            </w:r>
          </w:p>
        </w:tc>
      </w:tr>
      <w:tr>
        <w:trPr/>
        <w:tc>
          <w:tcPr>
            <w:tcW w:w="858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r>
      <w:tr>
        <w:trPr/>
        <w:tc>
          <w:tcPr>
            <w:tcW w:w="858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2023 Earnings Press Release</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7">
              <w:r>
                <w:rPr>
                  <w:rStyle w:val="InternetLink"/>
                  <w:rFonts w:ascii="Times New Roman;sans-serif" w:hAnsi="Times New Roman;sans-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10">
              <w:r>
                <w:rPr>
                  <w:rStyle w:val="InternetLink"/>
                  <w:rFonts w:ascii="Times New Roman;sans-serif" w:hAnsi="Times New Roman;sans-serif"/>
                  <w:b w:val="false"/>
                  <w:color w:val="0000FF"/>
                  <w:sz w:val="20"/>
                  <w:u w:val="single"/>
                </w:rPr>
                <w:t>7</w:t>
              </w:r>
            </w:hyperlink>
          </w:p>
        </w:tc>
      </w:tr>
      <w:tr>
        <w:trPr/>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13">
              <w:r>
                <w:rPr>
                  <w:rStyle w:val="InternetLink"/>
                  <w:rFonts w:ascii="Times New Roman;sans-serif" w:hAnsi="Times New Roman;sans-serif"/>
                  <w:b w:val="false"/>
                  <w:color w:val="0000FF"/>
                  <w:sz w:val="20"/>
                  <w:u w:val="single"/>
                </w:rPr>
                <w:t>8</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 Other Supplemental Information</w:t>
            </w:r>
          </w:p>
        </w:tc>
        <w:tc>
          <w:tcPr>
            <w:tcW w:w="108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16">
              <w:r>
                <w:rPr>
                  <w:rStyle w:val="InternetLink"/>
                  <w:rFonts w:ascii="Times New Roman;sans-serif" w:hAnsi="Times New Roman;sans-serif"/>
                  <w:b w:val="false"/>
                  <w:color w:val="0000FF"/>
                  <w:sz w:val="20"/>
                  <w:u w:val="single"/>
                </w:rPr>
                <w:t>9</w:t>
              </w:r>
            </w:hyperlink>
          </w:p>
        </w:tc>
      </w:tr>
      <w:tr>
        <w:trPr/>
        <w:tc>
          <w:tcPr>
            <w:tcW w:w="994" w:type="dxa"/>
            <w:gridSpan w:val="3"/>
            <w:tcBorders/>
            <w:shd w:fill="auto" w:val="clear"/>
            <w:vAlign w:val="center"/>
          </w:tcPr>
          <w:p>
            <w:pPr>
              <w:pStyle w:val="TableContents"/>
              <w:spacing w:before="0" w:after="283"/>
              <w:rPr>
                <w:sz w:val="4"/>
                <w:szCs w:val="4"/>
              </w:rPr>
            </w:pPr>
            <w:r>
              <w:rPr>
                <w:sz w:val="4"/>
                <w:szCs w:val="4"/>
              </w:rPr>
            </w:r>
          </w:p>
        </w:tc>
        <w:tc>
          <w:tcPr>
            <w:tcW w:w="1731" w:type="dxa"/>
            <w:gridSpan w:val="3"/>
            <w:tcBorders/>
            <w:shd w:fill="auto" w:val="clear"/>
            <w:vAlign w:val="center"/>
          </w:tcPr>
          <w:p>
            <w:pPr>
              <w:pStyle w:val="TableContents"/>
              <w:spacing w:before="0" w:after="283"/>
              <w:rPr>
                <w:sz w:val="4"/>
                <w:szCs w:val="4"/>
              </w:rPr>
            </w:pPr>
            <w:r>
              <w:rPr>
                <w:sz w:val="4"/>
                <w:szCs w:val="4"/>
              </w:rPr>
            </w:r>
          </w:p>
        </w:tc>
        <w:tc>
          <w:tcPr>
            <w:tcW w:w="4770"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Rental Income</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19">
              <w:r>
                <w:rPr>
                  <w:rStyle w:val="InternetLink"/>
                  <w:rFonts w:ascii="Times New Roman;sans-serif" w:hAnsi="Times New Roman;sans-serif"/>
                  <w:b w:val="false"/>
                  <w:color w:val="0000FF"/>
                  <w:sz w:val="20"/>
                  <w:u w:val="single"/>
                </w:rPr>
                <w:t>10</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Property Information</w:t>
            </w:r>
          </w:p>
        </w:tc>
        <w:tc>
          <w:tcPr>
            <w:tcW w:w="108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22">
              <w:r>
                <w:rPr>
                  <w:rStyle w:val="InternetLink"/>
                  <w:rFonts w:ascii="Times New Roman;sans-serif" w:hAnsi="Times New Roman;sans-serif"/>
                  <w:b w:val="false"/>
                  <w:color w:val="0000FF"/>
                  <w:sz w:val="20"/>
                  <w:u w:val="single"/>
                </w:rPr>
                <w:t>11</w:t>
              </w:r>
            </w:hyperlink>
          </w:p>
        </w:tc>
      </w:tr>
      <w:tr>
        <w:trPr/>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 and Leverage and Liquidity Ratios</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25">
              <w:r>
                <w:rPr>
                  <w:rStyle w:val="InternetLink"/>
                  <w:rFonts w:ascii="Times New Roman;sans-serif" w:hAnsi="Times New Roman;sans-serif"/>
                  <w:b w:val="false"/>
                  <w:color w:val="0000FF"/>
                  <w:sz w:val="20"/>
                  <w:u w:val="single"/>
                </w:rPr>
                <w:t>12</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w:t>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Outstanding Debt</w:t>
            </w:r>
          </w:p>
        </w:tc>
        <w:tc>
          <w:tcPr>
            <w:tcW w:w="108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28">
              <w:r>
                <w:rPr>
                  <w:rStyle w:val="InternetLink"/>
                  <w:rFonts w:ascii="Times New Roman;sans-serif" w:hAnsi="Times New Roman;sans-serif"/>
                  <w:b w:val="false"/>
                  <w:color w:val="0000FF"/>
                  <w:sz w:val="20"/>
                  <w:u w:val="single"/>
                </w:rPr>
                <w:t>13</w:t>
              </w:r>
            </w:hyperlink>
          </w:p>
        </w:tc>
      </w:tr>
      <w:tr>
        <w:trPr/>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 Maturities</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31">
              <w:r>
                <w:rPr>
                  <w:rStyle w:val="InternetLink"/>
                  <w:rFonts w:ascii="Times New Roman;sans-serif" w:hAnsi="Times New Roman;sans-serif"/>
                  <w:b w:val="false"/>
                  <w:color w:val="0000FF"/>
                  <w:sz w:val="20"/>
                  <w:u w:val="single"/>
                </w:rPr>
                <w:t>14</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34">
              <w:r>
                <w:rPr>
                  <w:rStyle w:val="InternetLink"/>
                  <w:rFonts w:ascii="Times New Roman;sans-serif" w:hAnsi="Times New Roman;sans-serif"/>
                  <w:b w:val="false"/>
                  <w:color w:val="0000FF"/>
                  <w:sz w:val="20"/>
                  <w:u w:val="single"/>
                </w:rPr>
                <w:t>15</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auto" w:val="clear"/>
            <w:vAlign w:val="center"/>
          </w:tcPr>
          <w:p>
            <w:pPr>
              <w:pStyle w:val="TableContents"/>
              <w:spacing w:before="0" w:after="283"/>
              <w:rPr>
                <w:sz w:val="4"/>
                <w:szCs w:val="4"/>
              </w:rPr>
            </w:pPr>
            <w:r>
              <w:rPr>
                <w:sz w:val="4"/>
                <w:szCs w:val="4"/>
              </w:rPr>
            </w:r>
          </w:p>
        </w:tc>
        <w:tc>
          <w:tcPr>
            <w:tcW w:w="1731" w:type="dxa"/>
            <w:gridSpan w:val="3"/>
            <w:tcBorders/>
            <w:shd w:fill="auto" w:val="clear"/>
            <w:vAlign w:val="center"/>
          </w:tcPr>
          <w:p>
            <w:pPr>
              <w:pStyle w:val="TableContents"/>
              <w:spacing w:before="0" w:after="283"/>
              <w:rPr>
                <w:sz w:val="4"/>
                <w:szCs w:val="4"/>
              </w:rPr>
            </w:pPr>
            <w:r>
              <w:rPr>
                <w:sz w:val="4"/>
                <w:szCs w:val="4"/>
              </w:rPr>
            </w:r>
          </w:p>
        </w:tc>
        <w:tc>
          <w:tcPr>
            <w:tcW w:w="4770"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tcPr>
          <w:p>
            <w:pPr>
              <w:pStyle w:val="TableContents"/>
              <w:spacing w:before="0" w:after="283"/>
              <w:rPr>
                <w:sz w:val="4"/>
                <w:szCs w:val="4"/>
              </w:rPr>
            </w:pPr>
            <w:r>
              <w:rPr>
                <w:sz w:val="4"/>
                <w:szCs w:val="4"/>
              </w:rPr>
            </w:r>
          </w:p>
        </w:tc>
      </w:tr>
      <w:tr>
        <w:trPr/>
        <w:tc>
          <w:tcPr>
            <w:tcW w:w="994" w:type="dxa"/>
            <w:gridSpan w:val="3"/>
            <w:tcBorders/>
            <w:shd w:fill="auto" w:val="clear"/>
            <w:vAlign w:val="center"/>
          </w:tcPr>
          <w:p>
            <w:pPr>
              <w:pStyle w:val="TableContents"/>
              <w:spacing w:before="0" w:after="283"/>
              <w:rPr>
                <w:sz w:val="4"/>
                <w:szCs w:val="4"/>
              </w:rPr>
            </w:pPr>
            <w:r>
              <w:rPr>
                <w:sz w:val="4"/>
                <w:szCs w:val="4"/>
              </w:rPr>
            </w:r>
          </w:p>
        </w:tc>
        <w:tc>
          <w:tcPr>
            <w:tcW w:w="1731" w:type="dxa"/>
            <w:gridSpan w:val="3"/>
            <w:tcBorders/>
            <w:shd w:fill="auto" w:val="clear"/>
            <w:vAlign w:val="center"/>
          </w:tcPr>
          <w:p>
            <w:pPr>
              <w:pStyle w:val="TableContents"/>
              <w:spacing w:before="0" w:after="283"/>
              <w:rPr>
                <w:sz w:val="4"/>
                <w:szCs w:val="4"/>
              </w:rPr>
            </w:pPr>
            <w:r>
              <w:rPr>
                <w:sz w:val="4"/>
                <w:szCs w:val="4"/>
              </w:rPr>
            </w:r>
          </w:p>
        </w:tc>
        <w:tc>
          <w:tcPr>
            <w:tcW w:w="4770"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40">
              <w:r>
                <w:rPr>
                  <w:rStyle w:val="InternetLink"/>
                  <w:rFonts w:ascii="Times New Roman;sans-serif" w:hAnsi="Times New Roman;sans-serif"/>
                  <w:b w:val="false"/>
                  <w:color w:val="0000FF"/>
                  <w:sz w:val="20"/>
                  <w:u w:val="single"/>
                </w:rPr>
                <w:t>16</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Disposition, &amp; Other Transaction</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43">
              <w:r>
                <w:rPr>
                  <w:rStyle w:val="InternetLink"/>
                  <w:rFonts w:ascii="Times New Roman;sans-serif" w:hAnsi="Times New Roman;sans-serif"/>
                  <w:b w:val="false"/>
                  <w:color w:val="0000FF"/>
                  <w:sz w:val="20"/>
                  <w:u w:val="single"/>
                </w:rPr>
                <w:t>17</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Status Report</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46">
              <w:r>
                <w:rPr>
                  <w:rStyle w:val="InternetLink"/>
                  <w:rFonts w:ascii="Times New Roman;sans-serif" w:hAnsi="Times New Roman;sans-serif"/>
                  <w:b w:val="false"/>
                  <w:color w:val="0000FF"/>
                  <w:sz w:val="20"/>
                  <w:u w:val="single"/>
                </w:rPr>
                <w:t>18</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Leasing Summary</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49">
              <w:r>
                <w:rPr>
                  <w:rStyle w:val="InternetLink"/>
                  <w:rFonts w:ascii="Times New Roman;sans-serif" w:hAnsi="Times New Roman;sans-serif"/>
                  <w:b w:val="false"/>
                  <w:color w:val="0000FF"/>
                  <w:sz w:val="20"/>
                  <w:u w:val="single"/>
                </w:rPr>
                <w:t>23</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Expirations</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52">
              <w:r>
                <w:rPr>
                  <w:rStyle w:val="InternetLink"/>
                  <w:rFonts w:ascii="Times New Roman;sans-serif" w:hAnsi="Times New Roman;sans-serif"/>
                  <w:b w:val="false"/>
                  <w:color w:val="0000FF"/>
                  <w:sz w:val="20"/>
                  <w:u w:val="single"/>
                </w:rPr>
                <w:t>24</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Leased Statistics</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649">
              <w:r>
                <w:rPr>
                  <w:rStyle w:val="InternetLink"/>
                  <w:rFonts w:ascii="Times New Roman;sans-serif" w:hAnsi="Times New Roman;sans-serif"/>
                  <w:b w:val="false"/>
                  <w:color w:val="0000FF"/>
                  <w:sz w:val="20"/>
                  <w:u w:val="single"/>
                </w:rPr>
                <w:t>25</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Top 25 Tenants</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58">
              <w:r>
                <w:rPr>
                  <w:rStyle w:val="InternetLink"/>
                  <w:rFonts w:ascii="Times New Roman;sans-serif" w:hAnsi="Times New Roman;sans-serif"/>
                  <w:b w:val="false"/>
                  <w:color w:val="0000FF"/>
                  <w:sz w:val="20"/>
                  <w:u w:val="single"/>
                </w:rPr>
                <w:t>26</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auto" w:val="clear"/>
            <w:vAlign w:val="center"/>
          </w:tcPr>
          <w:p>
            <w:pPr>
              <w:pStyle w:val="TableContents"/>
              <w:spacing w:before="0" w:after="283"/>
              <w:rPr>
                <w:sz w:val="4"/>
                <w:szCs w:val="4"/>
              </w:rPr>
            </w:pPr>
            <w:r>
              <w:rPr>
                <w:sz w:val="4"/>
                <w:szCs w:val="4"/>
              </w:rPr>
            </w:r>
          </w:p>
        </w:tc>
        <w:tc>
          <w:tcPr>
            <w:tcW w:w="1731" w:type="dxa"/>
            <w:gridSpan w:val="3"/>
            <w:tcBorders/>
            <w:shd w:fill="auto" w:val="clear"/>
            <w:vAlign w:val="center"/>
          </w:tcPr>
          <w:p>
            <w:pPr>
              <w:pStyle w:val="TableContents"/>
              <w:spacing w:before="0" w:after="283"/>
              <w:rPr>
                <w:sz w:val="4"/>
                <w:szCs w:val="4"/>
              </w:rPr>
            </w:pPr>
            <w:r>
              <w:rPr>
                <w:sz w:val="4"/>
                <w:szCs w:val="4"/>
              </w:rPr>
            </w:r>
          </w:p>
        </w:tc>
        <w:tc>
          <w:tcPr>
            <w:tcW w:w="4770"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tcPr>
          <w:p>
            <w:pPr>
              <w:pStyle w:val="TableContents"/>
              <w:spacing w:before="0" w:after="283"/>
              <w:rPr>
                <w:sz w:val="4"/>
                <w:szCs w:val="4"/>
              </w:rPr>
            </w:pPr>
            <w:r>
              <w:rPr>
                <w:sz w:val="4"/>
                <w:szCs w:val="4"/>
              </w:rPr>
            </w:r>
          </w:p>
        </w:tc>
      </w:tr>
      <w:tr>
        <w:trPr/>
        <w:tc>
          <w:tcPr>
            <w:tcW w:w="994" w:type="dxa"/>
            <w:gridSpan w:val="3"/>
            <w:tcBorders/>
            <w:shd w:fill="auto" w:val="clear"/>
            <w:vAlign w:val="center"/>
          </w:tcPr>
          <w:p>
            <w:pPr>
              <w:pStyle w:val="TableContents"/>
              <w:spacing w:before="0" w:after="283"/>
              <w:rPr>
                <w:sz w:val="4"/>
                <w:szCs w:val="4"/>
              </w:rPr>
            </w:pPr>
            <w:r>
              <w:rPr>
                <w:sz w:val="4"/>
                <w:szCs w:val="4"/>
              </w:rPr>
            </w:r>
          </w:p>
        </w:tc>
        <w:tc>
          <w:tcPr>
            <w:tcW w:w="1731" w:type="dxa"/>
            <w:gridSpan w:val="3"/>
            <w:tcBorders/>
            <w:shd w:fill="auto" w:val="clear"/>
            <w:vAlign w:val="center"/>
          </w:tcPr>
          <w:p>
            <w:pPr>
              <w:pStyle w:val="TableContents"/>
              <w:spacing w:before="0" w:after="283"/>
              <w:rPr>
                <w:sz w:val="4"/>
                <w:szCs w:val="4"/>
              </w:rPr>
            </w:pPr>
            <w:r>
              <w:rPr>
                <w:sz w:val="4"/>
                <w:szCs w:val="4"/>
              </w:rPr>
            </w:r>
          </w:p>
        </w:tc>
        <w:tc>
          <w:tcPr>
            <w:tcW w:w="4770"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FFO Guidance</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61">
              <w:r>
                <w:rPr>
                  <w:rStyle w:val="InternetLink"/>
                  <w:rFonts w:ascii="Times New Roman;sans-serif" w:hAnsi="Times New Roman;sans-serif"/>
                  <w:b w:val="false"/>
                  <w:color w:val="0000FF"/>
                  <w:sz w:val="20"/>
                  <w:u w:val="single"/>
                </w:rPr>
                <w:t>27</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5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w:t>
            </w:r>
          </w:p>
        </w:tc>
        <w:tc>
          <w:tcPr>
            <w:tcW w:w="108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07f4e42dd82a489397c0ea04b9af2d1d_64">
              <w:r>
                <w:rPr>
                  <w:rStyle w:val="InternetLink"/>
                  <w:rFonts w:ascii="Times New Roman;sans-serif" w:hAnsi="Times New Roman;sans-serif"/>
                  <w:b w:val="false"/>
                  <w:color w:val="0000FF"/>
                  <w:sz w:val="20"/>
                  <w:u w:val="single"/>
                </w:rPr>
                <w:t>28</w:t>
              </w:r>
            </w:hyperlink>
          </w:p>
        </w:tc>
      </w:tr>
      <w:tr>
        <w:trPr/>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4"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 Rose Avenue, Suite 200</w:t>
            </w:r>
          </w:p>
        </w:tc>
      </w:tr>
      <w:tr>
        <w:trPr/>
        <w:tc>
          <w:tcPr>
            <w:tcW w:w="8584"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Bethesda, Maryland 20852</w:t>
            </w:r>
          </w:p>
        </w:tc>
      </w:tr>
      <w:tr>
        <w:trPr/>
        <w:tc>
          <w:tcPr>
            <w:tcW w:w="8584"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301-998-8100</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Safe Harbor Language</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8, 2023, and include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that our growth will be limited if we cannot obtain additional capital, or if the costs of capital we obtain are significantly higher than historical levels;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associated with general economic conditions, including inflation and local economic conditions in our geographic markets;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center"/>
        <w:rPr/>
      </w:pPr>
      <w:r>
        <w:rPr/>
        <w:drawing>
          <wp:inline distT="0" distB="6350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6388" w:type="dxa"/>
        <w:jc w:val="left"/>
        <w:tblInd w:w="0" w:type="dxa"/>
        <w:tblCellMar>
          <w:top w:w="28" w:type="dxa"/>
          <w:left w:w="28" w:type="dxa"/>
          <w:bottom w:w="28" w:type="dxa"/>
          <w:right w:w="28" w:type="dxa"/>
        </w:tblCellMar>
      </w:tblPr>
      <w:tblGrid>
        <w:gridCol w:w="1120"/>
        <w:gridCol w:w="981"/>
        <w:gridCol w:w="988"/>
        <w:gridCol w:w="965"/>
        <w:gridCol w:w="965"/>
        <w:gridCol w:w="1369"/>
      </w:tblGrid>
      <w:tr>
        <w:trPr/>
        <w:tc>
          <w:tcPr>
            <w:tcW w:w="112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08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9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Investor Inquiries:</w:t>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Media Inquiries:</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Leah Andress Brady</w:t>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Investor Relations</w:t>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Director, Corporate Communications</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lbrady@federalrealty.com</w:t>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spacing w:before="0" w:after="0"/>
        <w:jc w:val="center"/>
        <w:rPr/>
      </w:pPr>
      <w:r>
        <w:rPr/>
      </w:r>
    </w:p>
    <w:p>
      <w:pPr>
        <w:pStyle w:val="TextBody"/>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Announces First Quarter 2023 Operating Results</w:t>
      </w:r>
    </w:p>
    <w:p>
      <w:pPr>
        <w:pStyle w:val="TextBody"/>
        <w:spacing w:lineRule="auto" w:line="417" w:before="0" w:after="160"/>
        <w:rPr/>
      </w:pPr>
      <w:r>
        <w:rPr>
          <w:rFonts w:ascii="Arial;sans-serif" w:hAnsi="Arial;sans-serif"/>
          <w:b w:val="false"/>
          <w:color w:val="000000"/>
          <w:sz w:val="20"/>
        </w:rPr>
        <w:t xml:space="preserve">NORTH BETHESDA, Md. (May 4, 2023) - </w:t>
      </w:r>
      <w:r>
        <w:rPr>
          <w:rFonts w:ascii="Arial;sans-serif" w:hAnsi="Arial;sans-serif"/>
          <w:b w:val="false"/>
          <w:color w:val="000000"/>
          <w:sz w:val="20"/>
          <w:u w:val="single"/>
        </w:rPr>
        <w:t>Federal Realty Investment Trust</w:t>
      </w:r>
      <w:r>
        <w:rPr>
          <w:color w:val="000000"/>
        </w:rPr>
        <w:t xml:space="preserve"> </w:t>
      </w:r>
      <w:r>
        <w:rPr>
          <w:rFonts w:ascii="Arial;sans-serif" w:hAnsi="Arial;sans-serif"/>
          <w:b w:val="false"/>
          <w:color w:val="000000"/>
          <w:sz w:val="20"/>
        </w:rPr>
        <w:t>(NYSE:FRT) today reported operating results for its first quarter ended March 31, 2023. For the three months ended March 31, 2023 and 2022, net income available for common shareholders was $0.65 per diluted share and $0.63 per diluted share, respectively. For the three months ended March 31, 2023 and 2022, operating income was $95.8 million and $86.0 million, respectively.</w:t>
      </w:r>
    </w:p>
    <w:p>
      <w:pPr>
        <w:pStyle w:val="TextBody"/>
        <w:spacing w:lineRule="auto" w:line="417" w:before="0" w:after="160"/>
        <w:rPr>
          <w:rFonts w:ascii="Arial;sans-serif" w:hAnsi="Arial;sans-serif"/>
          <w:b w:val="false"/>
          <w:color w:val="000000"/>
          <w:sz w:val="20"/>
        </w:rPr>
      </w:pPr>
      <w:r>
        <w:rPr>
          <w:rFonts w:ascii="Arial;sans-serif" w:hAnsi="Arial;sans-serif"/>
          <w:b w:val="false"/>
          <w:color w:val="000000"/>
          <w:sz w:val="20"/>
        </w:rPr>
        <w:t>Highlights for the first quarter and subsequent to quarter-end include:</w:t>
      </w:r>
    </w:p>
    <w:p>
      <w:pPr>
        <w:pStyle w:val="TextBody"/>
        <w:spacing w:lineRule="auto" w:line="417" w:before="0" w:after="0"/>
        <w:ind w:left="0" w:right="0" w:hanging="360"/>
        <w:jc w:val="both"/>
        <w:rPr/>
      </w:pPr>
      <w:r>
        <w:rPr>
          <w:color w:val="000000"/>
        </w:rPr>
        <w:t>•</w:t>
      </w:r>
      <w:r>
        <w:rPr>
          <w:rFonts w:ascii="Arial;sans-serif" w:hAnsi="Arial;sans-serif"/>
          <w:b w:val="false"/>
          <w:color w:val="000000"/>
          <w:sz w:val="20"/>
        </w:rPr>
        <w:t xml:space="preserve">Generated funds from operations available to common shareholders (FFO) per diluted share of $1.59 for the quarter, compared to $1.50 for the first quarter 2022, an increase of 6% year-over-year. </w:t>
      </w:r>
    </w:p>
    <w:p>
      <w:pPr>
        <w:pStyle w:val="TextBody"/>
        <w:spacing w:lineRule="auto" w:line="417" w:before="0" w:after="0"/>
        <w:ind w:left="0" w:right="0" w:hanging="360"/>
        <w:jc w:val="both"/>
        <w:rPr/>
      </w:pPr>
      <w:r>
        <w:rPr>
          <w:color w:val="000000"/>
        </w:rPr>
        <w:t>•</w:t>
      </w:r>
      <w:r>
        <w:rPr>
          <w:rFonts w:ascii="Arial;sans-serif" w:hAnsi="Arial;sans-serif"/>
          <w:b w:val="false"/>
          <w:color w:val="000000"/>
          <w:sz w:val="20"/>
        </w:rPr>
        <w:t xml:space="preserve">Generated comparable property operating income (POI) growth of 3.6% for the first quarter. </w:t>
      </w:r>
    </w:p>
    <w:p>
      <w:pPr>
        <w:pStyle w:val="TextBody"/>
        <w:spacing w:lineRule="auto" w:line="417" w:before="0" w:after="0"/>
        <w:ind w:left="0" w:right="0" w:hanging="360"/>
        <w:jc w:val="both"/>
        <w:rPr/>
      </w:pPr>
      <w:r>
        <w:rPr>
          <w:color w:val="000000"/>
        </w:rPr>
        <w:t>•</w:t>
      </w:r>
      <w:r>
        <w:rPr>
          <w:rFonts w:ascii="Arial;sans-serif" w:hAnsi="Arial;sans-serif"/>
          <w:b w:val="false"/>
          <w:color w:val="000000"/>
          <w:sz w:val="20"/>
        </w:rPr>
        <w:t>Continued robust levels of leasing with 101 signed leases for 504,502 square feet of comparable space in the first quarter at a cash basis rollover of 11%, the second consecutive quarter of double-digit cash basis rollover.</w:t>
      </w:r>
    </w:p>
    <w:p>
      <w:pPr>
        <w:pStyle w:val="TextBody"/>
        <w:spacing w:lineRule="auto" w:line="417" w:before="0" w:after="0"/>
        <w:ind w:left="0" w:right="0" w:hanging="360"/>
        <w:jc w:val="both"/>
        <w:rPr/>
      </w:pPr>
      <w:r>
        <w:rPr>
          <w:color w:val="000000"/>
        </w:rPr>
        <w:t>•</w:t>
      </w:r>
      <w:r>
        <w:rPr>
          <w:rFonts w:ascii="Arial;sans-serif" w:hAnsi="Arial;sans-serif"/>
          <w:b w:val="false"/>
          <w:color w:val="000000"/>
          <w:sz w:val="20"/>
        </w:rPr>
        <w:t>Federal Realty’s portfolio was 92.6% occupied and 94.2% leased, representing year-over-year increases of 140 basis points and 50 basis points, respectively.</w:t>
      </w:r>
    </w:p>
    <w:p>
      <w:pPr>
        <w:pStyle w:val="TextBody"/>
        <w:spacing w:lineRule="auto" w:line="417" w:before="0" w:after="160"/>
        <w:ind w:left="0" w:right="0" w:hanging="360"/>
        <w:jc w:val="both"/>
        <w:rPr/>
      </w:pPr>
      <w:r>
        <w:rPr>
          <w:color w:val="000000"/>
        </w:rPr>
        <w:t>•</w:t>
      </w:r>
      <w:r>
        <w:rPr>
          <w:rFonts w:ascii="Arial;sans-serif" w:hAnsi="Arial;sans-serif"/>
          <w:b w:val="false"/>
          <w:color w:val="000000"/>
          <w:sz w:val="20"/>
        </w:rPr>
        <w:t>Subsequent to quarter end, issued, as a green bond, $350.0 million of fixed rate senior unsecured notes that mature on May 1, 2028 and bear interest at 5.375%. The notes were offered at 99.590% of the principal amount with a yield to maturity of 5.468%.</w:t>
      </w:r>
    </w:p>
    <w:p>
      <w:pPr>
        <w:pStyle w:val="TextBody"/>
        <w:spacing w:lineRule="auto" w:line="417" w:before="0" w:after="160"/>
        <w:jc w:val="both"/>
        <w:rPr>
          <w:color w:val="000000"/>
        </w:rPr>
      </w:pPr>
      <w:r>
        <w:rPr>
          <w:color w:val="000000"/>
        </w:rPr>
        <w:t>“</w:t>
      </w:r>
      <w:r>
        <w:rPr>
          <w:rFonts w:ascii="Arial;sans-serif" w:hAnsi="Arial;sans-serif"/>
          <w:b w:val="false"/>
          <w:color w:val="000000"/>
          <w:sz w:val="20"/>
        </w:rPr>
        <w:t>Strong start to 2023, the strongest first quarter in Federal Realty’s 60-year history,” said Donald C. Wood, Federal Realty’s Chief Executive Officer. “Leasing volume has remained strong exceeding pre-pandemic levels by 20 – 30%. The retail demand for the product that Federal Realty offers is in lock step with what today’s consumers and retailers demand in the affluent first ring suburbs of major metropolitan areas in which we operate.”</w:t>
      </w:r>
    </w:p>
    <w:p>
      <w:pPr>
        <w:pStyle w:val="TextBody"/>
        <w:spacing w:lineRule="auto" w:line="417" w:before="0" w:after="160"/>
        <w:jc w:val="both"/>
        <w:rPr>
          <w:rFonts w:ascii="Arial;sans-serif" w:hAnsi="Arial;sans-serif"/>
          <w:b/>
          <w:color w:val="000000"/>
          <w:sz w:val="20"/>
        </w:rPr>
      </w:pPr>
      <w:r>
        <w:rPr>
          <w:rFonts w:ascii="Arial;sans-serif" w:hAnsi="Arial;sans-serif"/>
          <w:b/>
          <w:color w:val="000000"/>
          <w:sz w:val="20"/>
        </w:rPr>
        <w:t>Financial Results</w:t>
      </w:r>
    </w:p>
    <w:p>
      <w:pPr>
        <w:pStyle w:val="TextBody"/>
        <w:spacing w:lineRule="auto" w:line="417" w:before="0" w:after="160"/>
        <w:rPr/>
      </w:pPr>
      <w:r>
        <w:rPr>
          <w:rFonts w:ascii="Arial;sans-serif" w:hAnsi="Arial;sans-serif"/>
          <w:b w:val="false"/>
          <w:i/>
          <w:color w:val="000000"/>
          <w:sz w:val="20"/>
        </w:rPr>
        <w:t>Net Incom</w:t>
      </w:r>
      <w:r>
        <w:rPr>
          <w:rFonts w:ascii="Arial;sans-serif" w:hAnsi="Arial;sans-serif"/>
          <w:b w:val="false"/>
          <w:color w:val="000000"/>
          <w:sz w:val="20"/>
        </w:rPr>
        <w:t>e</w:t>
      </w:r>
    </w:p>
    <w:p>
      <w:pPr>
        <w:pStyle w:val="TextBody"/>
        <w:spacing w:lineRule="auto" w:line="417" w:before="0" w:after="160"/>
        <w:rPr>
          <w:rFonts w:ascii="Arial;sans-serif" w:hAnsi="Arial;sans-serif"/>
          <w:b w:val="false"/>
          <w:color w:val="000000"/>
          <w:sz w:val="20"/>
        </w:rPr>
      </w:pPr>
      <w:r>
        <w:rPr>
          <w:rFonts w:ascii="Arial;sans-serif" w:hAnsi="Arial;sans-serif"/>
          <w:b w:val="false"/>
          <w:color w:val="000000"/>
          <w:sz w:val="20"/>
        </w:rPr>
        <w:t>For the first quarter 2023, net income available for common shareholders was $53.3 million and earnings per diluted share was $0.65 versus $50.0 million and $0.63, respectively, for the first quarter 2022.</w:t>
      </w:r>
      <w:r>
        <w:br w:type="page"/>
      </w:r>
    </w:p>
    <w:p>
      <w:pPr>
        <w:pStyle w:val="TextBody"/>
        <w:spacing w:before="0" w:after="0"/>
        <w:jc w:val="right"/>
        <w:rPr/>
      </w:pPr>
      <w:r>
        <w:rPr/>
        <w:drawing>
          <wp:inline distT="0" distB="6350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v:textbox>
              </v:rect>
            </w:pict>
          </mc:Fallback>
        </mc:AlternateContent>
      </w:r>
    </w:p>
    <w:p>
      <w:pPr>
        <w:pStyle w:val="TextBody"/>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FFO</w:t>
      </w:r>
    </w:p>
    <w:p>
      <w:pPr>
        <w:pStyle w:val="TextBody"/>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For the first quarter 2023, FFO was $130.3 million, or $1.59 per diluted share, compared to $119.1 million, or $1.50 per diluted share for the first quarter 2022.</w:t>
      </w:r>
    </w:p>
    <w:p>
      <w:pPr>
        <w:pStyle w:val="TextBody"/>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FFO is a non-GAAP supplemental earnings measure which the Trust considers meaningful in measuring its operating performance. A reconciliation of FFO to net income is attached to this press release.</w:t>
      </w:r>
    </w:p>
    <w:p>
      <w:pPr>
        <w:pStyle w:val="TextBody"/>
        <w:spacing w:lineRule="auto" w:line="417" w:before="0" w:after="160"/>
        <w:jc w:val="both"/>
        <w:rPr>
          <w:rFonts w:ascii="Arial;sans-serif" w:hAnsi="Arial;sans-serif"/>
          <w:b/>
          <w:color w:val="000000"/>
          <w:sz w:val="20"/>
        </w:rPr>
      </w:pPr>
      <w:r>
        <w:rPr>
          <w:rFonts w:ascii="Arial;sans-serif" w:hAnsi="Arial;sans-serif"/>
          <w:b/>
          <w:color w:val="000000"/>
          <w:sz w:val="20"/>
        </w:rPr>
        <w:t>Operational Update</w:t>
      </w:r>
    </w:p>
    <w:p>
      <w:pPr>
        <w:pStyle w:val="TextBody"/>
        <w:spacing w:lineRule="auto" w:line="417" w:before="0" w:after="160"/>
        <w:rPr>
          <w:rFonts w:ascii="Arial;sans-serif" w:hAnsi="Arial;sans-serif"/>
          <w:b w:val="false"/>
          <w:i/>
          <w:color w:val="000000"/>
          <w:sz w:val="20"/>
        </w:rPr>
      </w:pPr>
      <w:r>
        <w:rPr>
          <w:rFonts w:ascii="Arial;sans-serif" w:hAnsi="Arial;sans-serif"/>
          <w:b w:val="false"/>
          <w:i/>
          <w:color w:val="000000"/>
          <w:sz w:val="20"/>
        </w:rPr>
        <w:t>Occupancy</w:t>
      </w:r>
    </w:p>
    <w:p>
      <w:pPr>
        <w:pStyle w:val="TextBody"/>
        <w:spacing w:lineRule="auto" w:line="417" w:before="0" w:after="160"/>
        <w:rPr>
          <w:rFonts w:ascii="Arial;sans-serif" w:hAnsi="Arial;sans-serif"/>
          <w:b w:val="false"/>
          <w:color w:val="000000"/>
          <w:sz w:val="20"/>
        </w:rPr>
      </w:pPr>
      <w:r>
        <w:rPr>
          <w:rFonts w:ascii="Arial;sans-serif" w:hAnsi="Arial;sans-serif"/>
          <w:b w:val="false"/>
          <w:color w:val="000000"/>
          <w:sz w:val="20"/>
        </w:rPr>
        <w:t>The portfolio was 92.6% occupied as of March 31, 2023, an increase of 140 basis points year-over-year. The portfolio was 94.2% leased as of March 31, 2023, an increase of 50 basis points year-over-year.</w:t>
      </w:r>
    </w:p>
    <w:p>
      <w:pPr>
        <w:pStyle w:val="TextBody"/>
        <w:spacing w:lineRule="auto" w:line="417" w:before="0" w:after="160"/>
        <w:jc w:val="both"/>
        <w:rPr>
          <w:rFonts w:ascii="Arial;sans-serif" w:hAnsi="Arial;sans-serif"/>
          <w:b w:val="false"/>
          <w:color w:val="000000"/>
          <w:sz w:val="20"/>
        </w:rPr>
      </w:pPr>
      <w:r>
        <w:rPr>
          <w:rFonts w:ascii="Arial;sans-serif" w:hAnsi="Arial;sans-serif"/>
          <w:b w:val="false"/>
          <w:color w:val="000000"/>
          <w:sz w:val="20"/>
        </w:rPr>
        <w:t xml:space="preserve">Additionally, our comparable residential properties were 96.9% leased as of March 31, 2023. </w:t>
      </w:r>
    </w:p>
    <w:p>
      <w:pPr>
        <w:pStyle w:val="TextBody"/>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Leasing Activity</w:t>
      </w:r>
    </w:p>
    <w:p>
      <w:pPr>
        <w:pStyle w:val="TextBody"/>
        <w:spacing w:lineRule="auto" w:line="417" w:before="0" w:after="160"/>
        <w:jc w:val="both"/>
        <w:rPr>
          <w:rFonts w:ascii="Arial;sans-serif" w:hAnsi="Arial;sans-serif"/>
          <w:b w:val="false"/>
          <w:color w:val="000000"/>
          <w:sz w:val="20"/>
        </w:rPr>
      </w:pPr>
      <w:r>
        <w:rPr>
          <w:rFonts w:ascii="Arial;sans-serif" w:hAnsi="Arial;sans-serif"/>
          <w:b w:val="false"/>
          <w:color w:val="000000"/>
          <w:sz w:val="20"/>
        </w:rPr>
        <w:t>During the first quarter 2023, Federal Realty signed 107 leases for 524,286 square feet of retail space. On a comparable space basis (i.e., spaces for which there was a former tenant), Federal Realty signed 101 leases for 504,502 square feet at an average rent of $34.72 per square foot compared to the average contractual rent of $31.20 per square foot for the last year of the prior leases, representing a cash basis rollover growth on those comparable spaces of 11%, 24% on a straight-line basis.</w:t>
      </w:r>
    </w:p>
    <w:p>
      <w:pPr>
        <w:pStyle w:val="TextBody"/>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Transaction Activity</w:t>
      </w:r>
    </w:p>
    <w:p>
      <w:pPr>
        <w:pStyle w:val="TextBody"/>
        <w:spacing w:lineRule="auto" w:line="417" w:before="0" w:after="160"/>
        <w:jc w:val="both"/>
        <w:rPr>
          <w:rFonts w:ascii="Arial;sans-serif" w:hAnsi="Arial;sans-serif"/>
          <w:b w:val="false"/>
          <w:color w:val="000000"/>
          <w:sz w:val="20"/>
        </w:rPr>
      </w:pPr>
      <w:r>
        <w:rPr>
          <w:rFonts w:ascii="Arial;sans-serif" w:hAnsi="Arial;sans-serif"/>
          <w:b w:val="false"/>
          <w:color w:val="000000"/>
          <w:sz w:val="20"/>
        </w:rPr>
        <w:t>During the first quarter, Federal Realty acquired the remaining portions of Huntington Square in East Northport, New York, for $35.5 million. The acquisition included a 168,000 square foot parcel and the entire fee interest of the property giving us full control of the entirety of this 243,000 square foot property located in the heart of Suffolk County’s retail corridor.</w:t>
      </w:r>
    </w:p>
    <w:p>
      <w:pPr>
        <w:pStyle w:val="TextBody"/>
        <w:spacing w:lineRule="auto" w:line="417" w:before="0" w:after="160"/>
        <w:jc w:val="both"/>
        <w:rPr>
          <w:rFonts w:ascii="Arial;sans-serif" w:hAnsi="Arial;sans-serif"/>
          <w:b w:val="false"/>
          <w:color w:val="000000"/>
          <w:sz w:val="20"/>
        </w:rPr>
      </w:pPr>
      <w:r>
        <w:rPr>
          <w:rFonts w:ascii="Arial;sans-serif" w:hAnsi="Arial;sans-serif"/>
          <w:b w:val="false"/>
          <w:color w:val="000000"/>
          <w:sz w:val="20"/>
        </w:rPr>
        <w:t>In the first quarter, Federal Realty sold one retail property for a total sales price of $13.2 million.</w:t>
      </w:r>
    </w:p>
    <w:p>
      <w:pPr>
        <w:pStyle w:val="TextBody"/>
        <w:spacing w:lineRule="auto" w:line="417" w:before="0" w:after="160"/>
        <w:jc w:val="both"/>
        <w:rPr>
          <w:rFonts w:ascii="Arial;sans-serif" w:hAnsi="Arial;sans-serif"/>
          <w:b/>
          <w:color w:val="000000"/>
          <w:sz w:val="20"/>
        </w:rPr>
      </w:pPr>
      <w:r>
        <w:rPr>
          <w:rFonts w:ascii="Arial;sans-serif" w:hAnsi="Arial;sans-serif"/>
          <w:b/>
          <w:color w:val="000000"/>
          <w:sz w:val="20"/>
        </w:rPr>
        <w:t>Regular Quarterly Dividends</w:t>
      </w:r>
    </w:p>
    <w:p>
      <w:pPr>
        <w:pStyle w:val="TextBody"/>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announced today that its Board of Trustees declared a regular quarterly cash dividend of $1.08 per common share, resulting in an indicated annual rate of $4.32 per common share. The regular common dividend will be payable on July 17, 2023 to common shareholders of record as of June 22, 2023.</w:t>
      </w:r>
    </w:p>
    <w:p>
      <w:pPr>
        <w:pStyle w:val="TextBody"/>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July 17, 2023 to shareholders of record as of July 3, 2023.</w:t>
      </w:r>
      <w:r>
        <w:br w:type="page"/>
      </w:r>
    </w:p>
    <w:p>
      <w:pPr>
        <w:pStyle w:val="TextBody"/>
        <w:spacing w:before="0" w:after="0"/>
        <w:jc w:val="right"/>
        <w:rPr/>
      </w:pPr>
      <w:r>
        <w:rPr/>
        <w:drawing>
          <wp:inline distT="0" distB="6350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417" w:before="0" w:after="160"/>
        <w:jc w:val="both"/>
        <w:rPr>
          <w:rFonts w:ascii="Arial;sans-serif" w:hAnsi="Arial;sans-serif"/>
          <w:b/>
          <w:color w:val="000000"/>
          <w:sz w:val="20"/>
        </w:rPr>
      </w:pPr>
      <w:r>
        <w:rPr>
          <w:rFonts w:ascii="Arial;sans-serif" w:hAnsi="Arial;sans-serif"/>
          <w:b/>
          <w:color w:val="000000"/>
          <w:sz w:val="20"/>
        </w:rPr>
        <w:t>Guidance</w:t>
      </w:r>
    </w:p>
    <w:p>
      <w:pPr>
        <w:pStyle w:val="TextBody"/>
        <w:spacing w:lineRule="auto" w:line="417" w:before="0" w:after="160"/>
        <w:rPr>
          <w:rFonts w:ascii="Arial;sans-serif" w:hAnsi="Arial;sans-serif"/>
          <w:b w:val="false"/>
          <w:color w:val="000000"/>
          <w:sz w:val="20"/>
        </w:rPr>
      </w:pPr>
      <w:r>
        <w:rPr>
          <w:rFonts w:ascii="Arial;sans-serif" w:hAnsi="Arial;sans-serif"/>
          <w:b w:val="false"/>
          <w:color w:val="000000"/>
          <w:sz w:val="20"/>
        </w:rPr>
        <w:t>Federal Realty maintained its 2023 guidance for earnings per diluted share of $2.59 to $2.79 and 2023 FFO per diluted share of $6.38 to $6.58.</w:t>
      </w:r>
    </w:p>
    <w:p>
      <w:pPr>
        <w:pStyle w:val="TextBody"/>
        <w:spacing w:lineRule="auto" w:line="417" w:before="0" w:after="160"/>
        <w:jc w:val="both"/>
        <w:rPr>
          <w:rFonts w:ascii="Arial;sans-serif" w:hAnsi="Arial;sans-serif"/>
          <w:b/>
          <w:color w:val="000000"/>
          <w:sz w:val="20"/>
        </w:rPr>
      </w:pPr>
      <w:r>
        <w:rPr>
          <w:rFonts w:ascii="Arial;sans-serif" w:hAnsi="Arial;sans-serif"/>
          <w:b/>
          <w:color w:val="000000"/>
          <w:sz w:val="20"/>
        </w:rPr>
        <w:t>Conference Call Information</w:t>
      </w:r>
    </w:p>
    <w:p>
      <w:pPr>
        <w:pStyle w:val="TextBody"/>
        <w:spacing w:lineRule="auto" w:line="417" w:before="0" w:after="160"/>
        <w:rPr>
          <w:rFonts w:ascii="Arial;sans-serif" w:hAnsi="Arial;sans-serif"/>
          <w:b w:val="false"/>
          <w:color w:val="000000"/>
          <w:sz w:val="20"/>
        </w:rPr>
      </w:pPr>
      <w:r>
        <w:rPr>
          <w:rFonts w:ascii="Arial;sans-serif" w:hAnsi="Arial;sans-serif"/>
          <w:b w:val="false"/>
          <w:color w:val="000000"/>
          <w:sz w:val="20"/>
        </w:rPr>
        <w:t>Federal Realty’s management team will present an in-depth discussion of Federal Realty’s operating performance on its first quarter 2023 earnings conference call, which is scheduled for Thursday, May 4, 2023 at 5:00 PM ET. To participate, please call 1-844-826-3035 five to ten minutes prior to the call start time and use the passcode 8664992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May 25, 2023 by dialing 1-844-512-2921; Passcode: 10177310.</w:t>
      </w:r>
    </w:p>
    <w:p>
      <w:pPr>
        <w:pStyle w:val="TextBody"/>
        <w:spacing w:lineRule="auto" w:line="417" w:before="0" w:after="160"/>
        <w:jc w:val="both"/>
        <w:rPr>
          <w:rFonts w:ascii="Arial;sans-serif" w:hAnsi="Arial;sans-serif"/>
          <w:b/>
          <w:color w:val="000000"/>
          <w:sz w:val="20"/>
        </w:rPr>
      </w:pPr>
      <w:r>
        <w:rPr>
          <w:rFonts w:ascii="Arial;sans-serif" w:hAnsi="Arial;sans-serif"/>
          <w:b/>
          <w:color w:val="000000"/>
          <w:sz w:val="20"/>
        </w:rPr>
        <w:t>About Federal Realty</w:t>
      </w:r>
    </w:p>
    <w:p>
      <w:pPr>
        <w:pStyle w:val="TextBody"/>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102 properties include approximately 3,200 tenants, in 26 million square feet, and approximately 3,100 residential units.</w:t>
      </w:r>
    </w:p>
    <w:p>
      <w:pPr>
        <w:pStyle w:val="TextBody"/>
        <w:spacing w:lineRule="auto" w:line="417" w:before="0" w:after="160"/>
        <w:rPr>
          <w:rFonts w:ascii="Arial;sans-serif" w:hAnsi="Arial;sans-serif"/>
          <w:b w:val="false"/>
          <w:color w:val="000000"/>
          <w:sz w:val="20"/>
        </w:rPr>
      </w:pPr>
      <w:r>
        <w:rPr>
          <w:rFonts w:ascii="Arial;sans-serif" w:hAnsi="Arial;sans-serif"/>
          <w:b w:val="false"/>
          <w:color w:val="000000"/>
          <w:sz w:val="20"/>
        </w:rPr>
        <w:t>Federal Realty has increased its quarterly dividends to its shareholders for 55 consecutive years, the longest record in the REIT industry. Federal Realty is an S&amp;P 500 index member and its shares are traded on the NYSE under the symbol FRT. For additional information about Federal Realty and its properties, visit www.federalrealty.com.</w:t>
      </w:r>
    </w:p>
    <w:p>
      <w:pPr>
        <w:pStyle w:val="TextBody"/>
        <w:spacing w:lineRule="auto" w:line="417" w:before="0" w:after="160"/>
        <w:jc w:val="both"/>
        <w:rPr>
          <w:rFonts w:ascii="Arial;sans-serif" w:hAnsi="Arial;sans-serif"/>
          <w:b/>
          <w:color w:val="000000"/>
          <w:sz w:val="20"/>
        </w:rPr>
      </w:pPr>
      <w:r>
        <w:rPr>
          <w:rFonts w:ascii="Arial;sans-serif" w:hAnsi="Arial;sans-serif"/>
          <w:b/>
          <w:color w:val="000000"/>
          <w:sz w:val="20"/>
        </w:rPr>
        <w:t>Safe Harbor Language</w:t>
      </w:r>
    </w:p>
    <w:p>
      <w:pPr>
        <w:pStyle w:val="TextBody"/>
        <w:spacing w:lineRule="auto" w:line="288" w:before="0" w:after="0"/>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8, 2023, and include the following:</w:t>
      </w:r>
    </w:p>
    <w:p>
      <w:pPr>
        <w:pStyle w:val="TextBody"/>
        <w:spacing w:lineRule="auto" w:line="288" w:before="0" w:after="0"/>
        <w:ind w:left="0" w:right="0" w:hanging="360"/>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spacing w:lineRule="auto" w:line="288" w:before="0" w:after="0"/>
        <w:ind w:left="0" w:right="0" w:hanging="360"/>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spacing w:lineRule="auto" w:line="288" w:before="0" w:after="0"/>
        <w:ind w:left="0" w:right="0" w:hanging="360"/>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spacing w:lineRule="auto" w:line="288" w:before="0" w:after="0"/>
        <w:ind w:left="0" w:right="0" w:hanging="360"/>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spacing w:lineRule="auto" w:line="288" w:before="0" w:after="0"/>
        <w:ind w:left="0" w:right="0" w:hanging="360"/>
        <w:rPr/>
      </w:pPr>
      <w:r>
        <w:rPr>
          <w:color w:val="000000"/>
        </w:rPr>
        <w:t>•</w:t>
      </w:r>
      <w:r>
        <w:rPr>
          <w:rFonts w:ascii="Arial;sans-serif" w:hAnsi="Arial;sans-serif"/>
          <w:b w:val="false"/>
          <w:i/>
          <w:color w:val="000000"/>
          <w:sz w:val="16"/>
        </w:rPr>
        <w:t>risks associated with general economic conditions, including inflation and local economic conditions in our geographic markets;</w:t>
      </w:r>
    </w:p>
    <w:p>
      <w:pPr>
        <w:pStyle w:val="TextBody"/>
        <w:spacing w:lineRule="auto" w:line="288" w:before="0" w:after="0"/>
        <w:ind w:left="0" w:right="0" w:hanging="360"/>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spacing w:lineRule="auto" w:line="288"/>
        <w:ind w:left="0" w:right="0" w:hanging="360"/>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r>
        <w:br w:type="page"/>
      </w:r>
    </w:p>
    <w:p>
      <w:pPr>
        <w:pStyle w:val="TextBody"/>
        <w:spacing w:before="0" w:after="0"/>
        <w:jc w:val="right"/>
        <w:rPr/>
      </w:pPr>
      <w:r>
        <w:rPr/>
        <w:drawing>
          <wp:inline distT="0" distB="6350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ind w:left="0" w:right="0" w:hanging="360"/>
        <w:rPr/>
      </w:pPr>
      <w:r>
        <w:rPr>
          <w:color w:val="000000"/>
        </w:rPr>
        <w:t>•</w:t>
      </w:r>
      <w:r>
        <w:rPr>
          <w:rFonts w:ascii="Arial;sans-serif" w:hAnsi="Arial;sans-serif"/>
          <w:b w:val="false"/>
          <w:i/>
          <w:color w:val="000000"/>
          <w:sz w:val="16"/>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spacing w:before="0" w:after="160"/>
        <w:jc w:val="both"/>
        <w:rPr/>
      </w:pPr>
      <w:r>
        <w:rPr/>
      </w:r>
    </w:p>
    <w:p>
      <w:pPr>
        <w:pStyle w:val="TextBody"/>
        <w:spacing w:lineRule="auto" w:line="276" w:before="0" w:after="0"/>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tbl>
      <w:tblPr>
        <w:tblW w:w="8709" w:type="dxa"/>
        <w:jc w:val="center"/>
        <w:tblInd w:w="0" w:type="dxa"/>
        <w:tblCellMar>
          <w:top w:w="28" w:type="dxa"/>
          <w:left w:w="28" w:type="dxa"/>
          <w:bottom w:w="28" w:type="dxa"/>
          <w:right w:w="28" w:type="dxa"/>
        </w:tblCellMar>
      </w:tblPr>
      <w:tblGrid>
        <w:gridCol w:w="1946"/>
        <w:gridCol w:w="1706"/>
        <w:gridCol w:w="1717"/>
        <w:gridCol w:w="109"/>
        <w:gridCol w:w="109"/>
        <w:gridCol w:w="128"/>
        <w:gridCol w:w="128"/>
        <w:gridCol w:w="248"/>
        <w:gridCol w:w="972"/>
        <w:gridCol w:w="128"/>
        <w:gridCol w:w="109"/>
        <w:gridCol w:w="109"/>
        <w:gridCol w:w="109"/>
        <w:gridCol w:w="211"/>
        <w:gridCol w:w="826"/>
        <w:gridCol w:w="154"/>
      </w:tblGrid>
      <w:tr>
        <w:trPr/>
        <w:tc>
          <w:tcPr>
            <w:tcW w:w="1946"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1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Statements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8" w:type="dxa"/>
            <w:gridSpan w:val="6"/>
            <w:tcBorders/>
            <w:shd w:fill="auto" w:val="clear"/>
          </w:tcPr>
          <w:p>
            <w:pPr>
              <w:pStyle w:val="TableContents"/>
              <w:spacing w:before="0" w:after="283"/>
              <w:rPr>
                <w:sz w:val="4"/>
                <w:szCs w:val="4"/>
              </w:rPr>
            </w:pPr>
            <w:r>
              <w:rPr>
                <w:sz w:val="4"/>
                <w:szCs w:val="4"/>
              </w:rPr>
            </w:r>
          </w:p>
        </w:tc>
      </w:tr>
      <w:tr>
        <w:trPr/>
        <w:tc>
          <w:tcPr>
            <w:tcW w:w="5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5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2936"/>
        <w:gridCol w:w="2023"/>
        <w:gridCol w:w="1996"/>
        <w:gridCol w:w="231"/>
        <w:gridCol w:w="1069"/>
        <w:gridCol w:w="119"/>
        <w:gridCol w:w="119"/>
        <w:gridCol w:w="119"/>
        <w:gridCol w:w="119"/>
        <w:gridCol w:w="231"/>
        <w:gridCol w:w="1069"/>
        <w:gridCol w:w="174"/>
      </w:tblGrid>
      <w:tr>
        <w:trPr/>
        <w:tc>
          <w:tcPr>
            <w:tcW w:w="2936" w:type="dxa"/>
            <w:tcBorders/>
            <w:shd w:fill="auto" w:val="clear"/>
            <w:vAlign w:val="center"/>
          </w:tcPr>
          <w:p>
            <w:pPr>
              <w:pStyle w:val="TableContents"/>
              <w:spacing w:before="0" w:after="283"/>
              <w:rPr>
                <w:sz w:val="4"/>
                <w:szCs w:val="4"/>
              </w:rPr>
            </w:pPr>
            <w:r>
              <w:rPr>
                <w:sz w:val="4"/>
                <w:szCs w:val="4"/>
              </w:rPr>
            </w:r>
          </w:p>
        </w:tc>
        <w:tc>
          <w:tcPr>
            <w:tcW w:w="2023"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6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0"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$2,002,163 and $1,997,583 of consolidated variable interest entities, respectively)</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9,532,332 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$12,174 and $8,477 of consolidated variable interest entities, respectively)</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664,184 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474" w:type="dxa"/>
            <w:gridSpan w:val="3"/>
            <w:tcBorders/>
            <w:shd w:fill="auto" w:val="cle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10,196,516 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$376,441 and $362,921 of consolidated variable interest entities, respectively)</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(2,771,150)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7,425,366 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143,464 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257,050 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8,269,294 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$191,193 and $191,827 of consolidated variable interest entities, respectively)</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319,910 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661,391 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3,408,104 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196,092 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237,316 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5,086,700 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178,353 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$0.01 par:</w:t>
            </w:r>
          </w:p>
        </w:tc>
        <w:tc>
          <w:tcPr>
            <w:tcW w:w="14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100,000,000 shares authorized, 81,511,204 and 81,342,959 shares issued and outstanding, respectively</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3,828,930 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3,821,801 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(1,068,892)</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(1,034,186)</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2,925,226 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3,004,241 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8,269,294 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center"/>
        <w:rPr/>
      </w:pPr>
      <w:r>
        <w:rPr/>
      </w:r>
    </w:p>
    <w:tbl>
      <w:tblPr>
        <w:tblW w:w="9055" w:type="dxa"/>
        <w:jc w:val="center"/>
        <w:tblInd w:w="0" w:type="dxa"/>
        <w:tblCellMar>
          <w:top w:w="28" w:type="dxa"/>
          <w:left w:w="28" w:type="dxa"/>
          <w:bottom w:w="28" w:type="dxa"/>
          <w:right w:w="28" w:type="dxa"/>
        </w:tblCellMar>
      </w:tblPr>
      <w:tblGrid>
        <w:gridCol w:w="1843"/>
        <w:gridCol w:w="1615"/>
        <w:gridCol w:w="1626"/>
        <w:gridCol w:w="191"/>
        <w:gridCol w:w="191"/>
        <w:gridCol w:w="191"/>
        <w:gridCol w:w="167"/>
        <w:gridCol w:w="109"/>
        <w:gridCol w:w="128"/>
        <w:gridCol w:w="128"/>
        <w:gridCol w:w="248"/>
        <w:gridCol w:w="972"/>
        <w:gridCol w:w="128"/>
        <w:gridCol w:w="109"/>
        <w:gridCol w:w="109"/>
        <w:gridCol w:w="109"/>
        <w:gridCol w:w="211"/>
        <w:gridCol w:w="826"/>
        <w:gridCol w:w="154"/>
      </w:tblGrid>
      <w:tr>
        <w:trPr/>
        <w:tc>
          <w:tcPr>
            <w:tcW w:w="1843"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 / Other Supplemental Information</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4" w:type="dxa"/>
            <w:gridSpan w:val="10"/>
            <w:tcBorders/>
            <w:shd w:fill="auto" w:val="clea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8" w:type="dxa"/>
            <w:gridSpan w:val="6"/>
            <w:tcBorders/>
            <w:shd w:fill="auto" w:val="clea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65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Funds from Operations available for common shareholders (FFO) (1)</w:t>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(2)</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(2)(3)</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81,877 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 per diluted share (3)</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 and Payout Ratios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Regular common dividends declared</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payout ratio as a percentage of FFO</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5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Summary of Capital Expenditures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Non-maintenance capital expenditures</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and expansions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 and incentives</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non-maintenance capital expenditures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Noncontrolling Interests Supplemental Information (4)</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(1)See Glossary of Terms.</w:t>
      </w:r>
    </w:p>
    <w:p>
      <w:pPr>
        <w:pStyle w:val="TextBody"/>
        <w:spacing w:lineRule="auto" w:line="288" w:before="60" w:after="283"/>
        <w:ind w:left="0" w:right="0" w:hanging="720"/>
        <w:rPr/>
      </w:pPr>
      <w:r>
        <w:rPr>
          <w:rFonts w:ascii="Times New Roman;sans-serif" w:hAnsi="Times New Roman;sans-serif"/>
          <w:b w:val="false"/>
          <w:color w:val="000000"/>
          <w:sz w:val="19"/>
        </w:rPr>
        <w:t>(2)</w:t>
      </w:r>
      <w:r>
        <w:rPr>
          <w:rFonts w:ascii="Times New Roman;sans-serif" w:hAnsi="Times New Roman;sans-serif"/>
          <w:b w:val="false"/>
          <w:color w:val="000000"/>
          <w:sz w:val="18"/>
        </w:rPr>
        <w:t xml:space="preserve">For the three months ended March 31, 2023 and 2022, dividends on our Series 1 preferred stock were not deducted in the calculation of FFO available to common shareholders, as the related shares were dilutive and are included in "weighted average common shares, diluted." </w:t>
      </w:r>
    </w:p>
    <w:p>
      <w:pPr>
        <w:pStyle w:val="TextBody"/>
        <w:spacing w:lineRule="auto" w:line="288" w:before="60" w:after="283"/>
        <w:ind w:left="0" w:right="0" w:hanging="720"/>
        <w:rPr/>
      </w:pPr>
      <w:r>
        <w:rPr>
          <w:rFonts w:ascii="Times New Roman;sans-serif" w:hAnsi="Times New Roman;sans-serif"/>
          <w:b w:val="false"/>
          <w:color w:val="000000"/>
          <w:sz w:val="19"/>
        </w:rPr>
        <w:t>(3)</w:t>
      </w:r>
      <w:r>
        <w:rPr>
          <w:rFonts w:ascii="Times New Roman;sans-serif" w:hAnsi="Times New Roman;sans-serif"/>
          <w:b w:val="false"/>
          <w:color w:val="000000"/>
          <w:sz w:val="18"/>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these periods.</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(4)Amounts reflect the components of "net income attributable to noncontrolling interests," but excludes "income attributable to downREIT operating partnership units."</w:t>
      </w:r>
    </w:p>
    <w:p>
      <w:pPr>
        <w:pStyle w:val="TextBody"/>
        <w:spacing w:before="60" w:after="283"/>
        <w:ind w:left="0" w:right="0" w:hanging="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tbl>
      <w:tblPr>
        <w:tblW w:w="6025" w:type="dxa"/>
        <w:jc w:val="center"/>
        <w:tblInd w:w="0" w:type="dxa"/>
        <w:tblCellMar>
          <w:top w:w="28" w:type="dxa"/>
          <w:left w:w="28" w:type="dxa"/>
          <w:bottom w:w="28" w:type="dxa"/>
          <w:right w:w="28" w:type="dxa"/>
        </w:tblCellMar>
      </w:tblPr>
      <w:tblGrid>
        <w:gridCol w:w="540"/>
        <w:gridCol w:w="476"/>
        <w:gridCol w:w="476"/>
        <w:gridCol w:w="476"/>
        <w:gridCol w:w="476"/>
        <w:gridCol w:w="481"/>
        <w:gridCol w:w="211"/>
        <w:gridCol w:w="826"/>
        <w:gridCol w:w="109"/>
        <w:gridCol w:w="109"/>
        <w:gridCol w:w="109"/>
        <w:gridCol w:w="109"/>
        <w:gridCol w:w="211"/>
        <w:gridCol w:w="826"/>
        <w:gridCol w:w="109"/>
        <w:gridCol w:w="109"/>
        <w:gridCol w:w="109"/>
        <w:gridCol w:w="109"/>
        <w:gridCol w:w="154"/>
      </w:tblGrid>
      <w:tr>
        <w:trPr/>
        <w:tc>
          <w:tcPr>
            <w:tcW w:w="540"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Rental Income</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Components of Rental Income (1)</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Minimum rents (2)</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Commercial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Residential</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reimbursements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Percentage rents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(3)</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Collectibility related impact (4)</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spacing w:lineRule="auto" w:line="288" w:before="60" w:after="283"/>
        <w:ind w:left="0" w:right="0" w:hanging="720"/>
        <w:rPr>
          <w:rFonts w:ascii="Times New Roman;sans-serif" w:hAnsi="Times New Roman;sans-serif"/>
          <w:b w:val="false"/>
          <w:color w:val="000000"/>
          <w:sz w:val="19"/>
        </w:rPr>
      </w:pPr>
      <w:r>
        <w:rPr>
          <w:rFonts w:ascii="Times New Roman;sans-serif" w:hAnsi="Times New Roman;sans-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spacing w:lineRule="auto" w:line="288" w:before="60" w:after="283"/>
        <w:ind w:left="0" w:right="0" w:hanging="720"/>
        <w:rPr>
          <w:rFonts w:ascii="Times New Roman;sans-serif" w:hAnsi="Times New Roman;sans-serif"/>
          <w:b w:val="false"/>
          <w:color w:val="000000"/>
          <w:sz w:val="19"/>
        </w:rPr>
      </w:pPr>
      <w:r>
        <w:rPr>
          <w:rFonts w:ascii="Times New Roman;sans-serif" w:hAnsi="Times New Roman;sans-serif"/>
          <w:b w:val="false"/>
          <w:color w:val="000000"/>
          <w:sz w:val="19"/>
        </w:rPr>
        <w:t>(2)Minimum rents include the following:</w:t>
      </w:r>
    </w:p>
    <w:tbl>
      <w:tblPr>
        <w:tblW w:w="5226" w:type="dxa"/>
        <w:jc w:val="center"/>
        <w:tblInd w:w="0" w:type="dxa"/>
        <w:tblCellMar>
          <w:top w:w="28" w:type="dxa"/>
          <w:left w:w="28" w:type="dxa"/>
          <w:bottom w:w="28" w:type="dxa"/>
          <w:right w:w="28" w:type="dxa"/>
        </w:tblCellMar>
      </w:tblPr>
      <w:tblGrid>
        <w:gridCol w:w="124"/>
        <w:gridCol w:w="109"/>
        <w:gridCol w:w="109"/>
        <w:gridCol w:w="436"/>
        <w:gridCol w:w="436"/>
        <w:gridCol w:w="436"/>
        <w:gridCol w:w="436"/>
        <w:gridCol w:w="436"/>
        <w:gridCol w:w="444"/>
        <w:gridCol w:w="211"/>
        <w:gridCol w:w="406"/>
        <w:gridCol w:w="109"/>
        <w:gridCol w:w="109"/>
        <w:gridCol w:w="109"/>
        <w:gridCol w:w="109"/>
        <w:gridCol w:w="211"/>
        <w:gridCol w:w="406"/>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Straight-line rents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in-place leases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rFonts w:ascii="Times New Roman;sans-serif" w:hAnsi="Times New Roman;sans-serif"/>
          <w:b w:val="false"/>
          <w:color w:val="000000"/>
          <w:sz w:val="19"/>
        </w:rPr>
      </w:pPr>
      <w:r>
        <w:rPr>
          <w:rFonts w:ascii="Times New Roman;sans-serif" w:hAnsi="Times New Roman;sans-serif"/>
          <w:b w:val="false"/>
          <w:color w:val="000000"/>
          <w:sz w:val="19"/>
        </w:rPr>
        <w:t>(3)Includes lease termination fees of $1.6 million and $1.5 million, respectively, for the three months ended March 31, 2023 and 2022.</w:t>
      </w:r>
    </w:p>
    <w:p>
      <w:pPr>
        <w:pStyle w:val="TextBody"/>
        <w:spacing w:lineRule="auto" w:line="288" w:before="60" w:after="283"/>
        <w:ind w:left="0" w:right="0" w:hanging="720"/>
        <w:rPr>
          <w:rFonts w:ascii="Times New Roman;sans-serif" w:hAnsi="Times New Roman;sans-serif"/>
          <w:b w:val="false"/>
          <w:color w:val="000000"/>
          <w:sz w:val="19"/>
        </w:rPr>
      </w:pPr>
      <w:r>
        <w:rPr>
          <w:rFonts w:ascii="Times New Roman;sans-serif" w:hAnsi="Times New Roman;sans-serif"/>
          <w:b w:val="false"/>
          <w:color w:val="000000"/>
          <w:sz w:val="19"/>
        </w:rPr>
        <w:t>(4)For the three months ended March 31, 2023 and 2022, our collectability related impact includes the collection of approximately $1.5 million and $2.6 million, respectively, of prior period rents which were contractually deferred or payment renegotiated specifically related to the COVID-19 pandemic.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522"/>
        <w:gridCol w:w="978"/>
        <w:gridCol w:w="984"/>
        <w:gridCol w:w="341"/>
        <w:gridCol w:w="1335"/>
        <w:gridCol w:w="176"/>
        <w:gridCol w:w="176"/>
        <w:gridCol w:w="176"/>
        <w:gridCol w:w="176"/>
        <w:gridCol w:w="341"/>
        <w:gridCol w:w="1335"/>
        <w:gridCol w:w="176"/>
        <w:gridCol w:w="685"/>
        <w:gridCol w:w="176"/>
        <w:gridCol w:w="176"/>
        <w:gridCol w:w="176"/>
        <w:gridCol w:w="176"/>
        <w:gridCol w:w="176"/>
        <w:gridCol w:w="109"/>
        <w:gridCol w:w="109"/>
        <w:gridCol w:w="109"/>
        <w:gridCol w:w="109"/>
        <w:gridCol w:w="109"/>
        <w:gridCol w:w="109"/>
        <w:gridCol w:w="109"/>
        <w:gridCol w:w="161"/>
      </w:tblGrid>
      <w:tr>
        <w:trPr/>
        <w:tc>
          <w:tcPr>
            <w:tcW w:w="1522"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Comparable Property Information</w:t>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281"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Q1 include: Assembly Row Phase 3, CocoWalk, Darien Commons, Friendship Center, Huntington Shopping Center, Pike &amp; Rose Phase 3, Willow Grove Shopping Center, and all properties acquired, disposed of, or deconsolidated from Q1 2022 to Q1 2023. Comparable Property property operating income ("Comparable Property POI") is a non-GAAP measure used by management in evaluating the operating performance of our properties period over period. </w:t>
            </w:r>
          </w:p>
        </w:tc>
        <w:tc>
          <w:tcPr>
            <w:tcW w:w="924" w:type="dxa"/>
            <w:gridSpan w:val="8"/>
            <w:tcBorders/>
            <w:shd w:fill="auto" w:val="clea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875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Reconciliation of GAAP operating income to Comparable Property POI</w:t>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95,808 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85,984 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Add: </w:t>
            </w:r>
          </w:p>
        </w:tc>
        <w:tc>
          <w:tcPr>
            <w:tcW w:w="1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78,637 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71,674 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w:t>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12,545 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12,342 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sale of real estate</w:t>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(1,702)</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operating income (POI)</w:t>
            </w:r>
          </w:p>
        </w:tc>
        <w:tc>
          <w:tcPr>
            <w:tcW w:w="16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185,288 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170,000 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Non-comparable POI - acquisitions/dispositions</w:t>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(6,998)</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(1,645)</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Non-comparable POI - redevelopment, development &amp; other</w:t>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(13,134)</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(8,984)</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Comparable property POI</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165,156 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159,371 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875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Additional information regarding the components of Comparable Property POI</w:t>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Minimum rent (1)</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183,667 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177,662 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reimbursements</w:t>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45,920 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47,259 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(2)</w:t>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11,005 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10,606 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Collectibility related impacts (3)</w:t>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240,417 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235,671 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Rental expenses</w:t>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(46,390)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(48,344)</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Real estate taxes</w:t>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(28,871)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(27,956)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(75,261)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(76,300)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Comparable property POI</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165,156 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159,371 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3484"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875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Comparable Property - Summary of Capital Expenditures (4)</w:t>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Redevelopment and tenant improvements and incentives</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32,441 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28,092 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Maintenance capital expenditures</w:t>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5,190 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33,282 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875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Comparable Property - Occupancy Statistics (4)</w:t>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GLA - comparable commercial properties</w:t>
            </w:r>
          </w:p>
        </w:tc>
        <w:tc>
          <w:tcPr>
            <w:tcW w:w="18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23,315,000</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23,330,000</w:t>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Leased % - comparable commercial properties</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94.0%</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93.8%</w:t>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Occupancy % - comparable commercial properties</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92.5%</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91.7%</w:t>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40" w:before="0" w:after="0"/>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spacing w:lineRule="auto" w:line="288" w:before="0" w:after="0"/>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(1)For the three months ended March 31, 2023 and 2022, amount includes straight-line rents of $1.6 million and $2.2 million and amortization of in-place leases of $2.5 million and $2.7 million, respectively.</w:t>
      </w:r>
    </w:p>
    <w:p>
      <w:pPr>
        <w:pStyle w:val="TextBody"/>
        <w:spacing w:lineRule="auto" w:line="288" w:before="0" w:after="0"/>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(2)For both the three months ended March 31, 2023 and 2022, amount includes lease termination fees of $1.4 million.</w:t>
      </w:r>
    </w:p>
    <w:p>
      <w:pPr>
        <w:pStyle w:val="TextBody"/>
        <w:spacing w:lineRule="auto" w:line="288" w:before="0" w:after="0"/>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(3)For the three months ended March 31, 2023 and 2022, our collectability related impact includes the collection of approximately $1.3 million and $2.4 million, respectively, of prior period rents which were contractually deferred or payment renegotiated specifically related to the COVID-19 pandemic.</w:t>
      </w:r>
    </w:p>
    <w:p>
      <w:pPr>
        <w:pStyle w:val="TextBody"/>
        <w:spacing w:lineRule="auto" w:line="288" w:before="0" w:after="0"/>
        <w:ind w:left="0" w:right="0" w:hanging="720"/>
        <w:rPr/>
      </w:pPr>
      <w:r>
        <w:rPr>
          <w:rFonts w:ascii="Times New Roman;sans-serif" w:hAnsi="Times New Roman;sans-serif"/>
          <w:b w:val="false"/>
          <w:color w:val="000000"/>
          <w:sz w:val="18"/>
        </w:rPr>
        <w:t xml:space="preserve">(4)See page </w:t>
      </w:r>
      <w:hyperlink w:anchor="i07f4e42dd82a489397c0ea04b9af2d1d_16">
        <w:r>
          <w:rPr>
            <w:rStyle w:val="InternetLink"/>
            <w:rFonts w:ascii="Times New Roman;sans-serif" w:hAnsi="Times New Roman;sans-serif"/>
            <w:b w:val="false"/>
            <w:strike w:val="false"/>
            <w:dstrike w:val="false"/>
            <w:color w:val="000000"/>
            <w:sz w:val="18"/>
            <w:u w:val="none"/>
            <w:effect w:val="none"/>
          </w:rPr>
          <w:t>9</w:t>
        </w:r>
      </w:hyperlink>
      <w:r>
        <w:rPr>
          <w:rFonts w:ascii="Times New Roman;sans-serif" w:hAnsi="Times New Roman;sans-serif"/>
          <w:b w:val="false"/>
          <w:color w:val="000000"/>
          <w:sz w:val="18"/>
        </w:rPr>
        <w:t xml:space="preserve"> for "Summary of Capital Expenditures" and page </w:t>
      </w:r>
      <w:hyperlink w:anchor="i07f4e42dd82a489397c0ea04b9af2d1d_649">
        <w:r>
          <w:rPr>
            <w:rStyle w:val="InternetLink"/>
            <w:rFonts w:ascii="Times New Roman;sans-serif" w:hAnsi="Times New Roman;sans-serif"/>
            <w:b w:val="false"/>
            <w:strike w:val="false"/>
            <w:dstrike w:val="false"/>
            <w:color w:val="000000"/>
            <w:sz w:val="18"/>
            <w:u w:val="none"/>
            <w:effect w:val="none"/>
          </w:rPr>
          <w:t>25</w:t>
        </w:r>
      </w:hyperlink>
      <w:r>
        <w:rPr>
          <w:rFonts w:ascii="Times New Roman;sans-serif" w:hAnsi="Times New Roman;sans-serif"/>
          <w:b w:val="false"/>
          <w:color w:val="000000"/>
          <w:sz w:val="18"/>
        </w:rPr>
        <w:t xml:space="preserve"> for portfolio occupancy statistics for our entire portfolio.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93"/>
        <w:gridCol w:w="170"/>
        <w:gridCol w:w="170"/>
        <w:gridCol w:w="2052"/>
        <w:gridCol w:w="2025"/>
        <w:gridCol w:w="2048"/>
        <w:gridCol w:w="109"/>
        <w:gridCol w:w="109"/>
        <w:gridCol w:w="109"/>
        <w:gridCol w:w="213"/>
        <w:gridCol w:w="1096"/>
        <w:gridCol w:w="109"/>
        <w:gridCol w:w="109"/>
        <w:gridCol w:w="109"/>
        <w:gridCol w:w="109"/>
        <w:gridCol w:w="213"/>
        <w:gridCol w:w="1096"/>
        <w:gridCol w:w="166"/>
      </w:tblGrid>
      <w:tr>
        <w:trPr/>
        <w:tc>
          <w:tcPr>
            <w:tcW w:w="19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c>
          <w:tcPr>
            <w:tcW w:w="2025"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Market Data and Leverage and Liquidity Ratios</w:t>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66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and downREIT operating partnership units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market capitalization including downREIT operating partnership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9,774,633 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C preferred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equity market 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shares outstanding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1 preferred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equity market 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market 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9,934,633 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4,047,267 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(157,944)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3,889,323 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 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12,568,468 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13,823,956 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and Liquidity Ratios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to market capitalization at market price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61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to market capitalization at a constant common share price of $122.07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61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EBITDAre to combined fixed charges and preferred share dividends (4)(5)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4.0x</w:t>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61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61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61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61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61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(1)Amounts include 637,031 and 656,824 downREIT operating partnership units outstanding at March 31, 2023 and 2022, respectively.</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(2)These shares, issued March 8, 2007, are unregistered.</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(4)EBITDAre is reconciled to net income in the Glossary of Terms.</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(5)Fixed charges consist of interest on borrowed funds and finance leases (including capitalized interest), amortization of debt discount/premium and debt costs, and the portion of rent expense representing an interest factor.</w:t>
      </w:r>
    </w:p>
    <w:p>
      <w:pPr>
        <w:pStyle w:val="TextBody"/>
        <w:spacing w:before="60" w:after="283"/>
        <w:rPr/>
      </w:pPr>
      <w:r>
        <w:rPr/>
      </w:r>
    </w:p>
    <w:p>
      <w:pPr>
        <w:pStyle w:val="TextBody"/>
        <w:spacing w:before="60" w:after="283"/>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64"/>
        <w:gridCol w:w="232"/>
        <w:gridCol w:w="232"/>
        <w:gridCol w:w="686"/>
        <w:gridCol w:w="655"/>
        <w:gridCol w:w="580"/>
        <w:gridCol w:w="447"/>
        <w:gridCol w:w="447"/>
        <w:gridCol w:w="448"/>
        <w:gridCol w:w="109"/>
        <w:gridCol w:w="109"/>
        <w:gridCol w:w="109"/>
        <w:gridCol w:w="407"/>
        <w:gridCol w:w="396"/>
        <w:gridCol w:w="397"/>
        <w:gridCol w:w="109"/>
        <w:gridCol w:w="109"/>
        <w:gridCol w:w="109"/>
        <w:gridCol w:w="196"/>
        <w:gridCol w:w="871"/>
        <w:gridCol w:w="109"/>
        <w:gridCol w:w="109"/>
        <w:gridCol w:w="109"/>
        <w:gridCol w:w="109"/>
        <w:gridCol w:w="164"/>
        <w:gridCol w:w="155"/>
        <w:gridCol w:w="151"/>
        <w:gridCol w:w="109"/>
        <w:gridCol w:w="109"/>
        <w:gridCol w:w="109"/>
        <w:gridCol w:w="328"/>
        <w:gridCol w:w="318"/>
        <w:gridCol w:w="318"/>
        <w:gridCol w:w="318"/>
        <w:gridCol w:w="318"/>
        <w:gridCol w:w="460"/>
      </w:tblGrid>
      <w:tr>
        <w:trPr/>
        <w:tc>
          <w:tcPr>
            <w:tcW w:w="26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Outstanding Debt</w:t>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6" w:type="dxa"/>
            <w:gridSpan w:val="30"/>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maturity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effective rate (8)</w:t>
            </w:r>
          </w:p>
        </w:tc>
      </w:tr>
      <w:tr>
        <w:trPr/>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4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Mortgages Payable (1)</w:t>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12/15/2029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LIBOR + 1.95%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 payable</w:t>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4/16/2024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(4)(5)</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5.89%</w:t>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w:t>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Senior notes and debentures</w:t>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2.75% notes</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3.95% notes</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2/15/2026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8/15/2026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7/15/2027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6/15/2029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12/1/2044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0"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1"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rate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1"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variable rate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5.88%</w:t>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w:t>
            </w:r>
          </w:p>
        </w:tc>
      </w:tr>
      <w:tr>
        <w:trPr/>
        <w:tc>
          <w:tcPr>
            <w:tcW w:w="3991"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w:t>
            </w:r>
          </w:p>
        </w:tc>
      </w:tr>
    </w:tbl>
    <w:p>
      <w:pPr>
        <w:pStyle w:val="TextBody"/>
        <w:spacing w:lineRule="auto" w:line="288" w:before="100" w:after="283"/>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(1)Mortgages payable does not include our share of debt on our unconsolidated real estate partnerships. At March 31, 2023, our share of unconsolidated debt was approximately $61.9 million. At March 31, 2023, our noncontrolling interests' share of mortgages payable was $15.6 million.</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(2)We have two interest rate swap agreements that fix the interest rate on the mortgage loan at 3.67%.</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(3)The interest rates on these mortgages range from 3.91% to 5.00%.</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(4)Our revolving credit facility SOFR loans bear interest at Daily Simple SOFR or Term SOFR and our term loan bears interest at Term SOFR as defined in the respective credit agreements, plus 0.10%, plus a spread, based on our current credit rating.</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(5)The maximum amount drawn under our $1.25 billion revolving credit facility during the three months ended March 31, 2023 was $80.5 million. The weighted average interest rate on borrowings under our credit facility, before amortization of debt fees, for the three months ended March 31, 2023 was 5.4%.</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(6)The interest rates on these notes payable range from 3.00% to 11.31%.</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(7)The weighted average remaining term on our mortgages payable, notes payable, and senior notes and debentures is approximately 7 years.</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(8)The weighted average effective interest rate includes the amortization of any debt issuance costs and discounts and premiums, if applicable, except as described in Note 9.</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(9)The weighted average effective interest rate excludes $0.9 million in quarterly financing fees and quarterly debt fee amortization on our revolving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340"/>
        <w:gridCol w:w="300"/>
        <w:gridCol w:w="306"/>
        <w:gridCol w:w="319"/>
        <w:gridCol w:w="1092"/>
        <w:gridCol w:w="166"/>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59"/>
      </w:tblGrid>
      <w:tr>
        <w:trPr/>
        <w:tc>
          <w:tcPr>
            <w:tcW w:w="34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8255" w:type="dxa"/>
            <w:gridSpan w:val="2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950" w:type="dxa"/>
            <w:gridSpan w:val="6"/>
            <w:tcBorders/>
            <w:shd w:fill="auto" w:val="clear"/>
          </w:tcPr>
          <w:p>
            <w:pPr>
              <w:pStyle w:val="TableContents"/>
              <w:spacing w:before="0" w:after="283"/>
              <w:rPr>
                <w:sz w:val="4"/>
                <w:szCs w:val="4"/>
              </w:rPr>
            </w:pPr>
            <w:r>
              <w:rPr>
                <w:sz w:val="4"/>
                <w:szCs w:val="4"/>
              </w:rPr>
            </w:r>
          </w:p>
        </w:tc>
      </w:tr>
      <w:tr>
        <w:trPr/>
        <w:tc>
          <w:tcPr>
            <w:tcW w:w="8255" w:type="dxa"/>
            <w:gridSpan w:val="2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Debt Maturities</w:t>
            </w:r>
          </w:p>
        </w:tc>
        <w:tc>
          <w:tcPr>
            <w:tcW w:w="1950" w:type="dxa"/>
            <w:gridSpan w:val="6"/>
            <w:tcBorders/>
            <w:shd w:fill="auto" w:val="clear"/>
          </w:tcPr>
          <w:p>
            <w:pPr>
              <w:pStyle w:val="TableContents"/>
              <w:spacing w:before="0" w:after="283"/>
              <w:rPr>
                <w:sz w:val="4"/>
                <w:szCs w:val="4"/>
              </w:rPr>
            </w:pPr>
            <w:r>
              <w:rPr>
                <w:sz w:val="4"/>
                <w:szCs w:val="4"/>
              </w:rPr>
            </w:r>
          </w:p>
        </w:tc>
      </w:tr>
      <w:tr>
        <w:trPr/>
        <w:tc>
          <w:tcPr>
            <w:tcW w:w="8255" w:type="dxa"/>
            <w:gridSpan w:val="2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950" w:type="dxa"/>
            <w:gridSpan w:val="6"/>
            <w:tcBorders/>
            <w:shd w:fill="auto" w:val="clea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1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Scheduled Amortization</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Maturities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of Debt Maturing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 (4)</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2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lineRule="auto" w:line="288" w:before="100" w:after="283"/>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spacing w:lineRule="auto" w:line="288" w:before="40" w:after="100"/>
        <w:rPr>
          <w:rFonts w:ascii="Times New Roman;sans-serif" w:hAnsi="Times New Roman;sans-serif"/>
          <w:b w:val="false"/>
          <w:color w:val="000000"/>
          <w:sz w:val="18"/>
        </w:rPr>
      </w:pPr>
      <w:r>
        <w:rPr>
          <w:rFonts w:ascii="Times New Roman;sans-serif" w:hAnsi="Times New Roman;sans-serif"/>
          <w:b w:val="false"/>
          <w:color w:val="000000"/>
          <w:sz w:val="18"/>
        </w:rPr>
        <w:t>The above table assumes all extension options are exercised.</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 xml:space="preserve">(1)Our $600.0 million term loan matures on April 16, 2024, plus two one-year extensions at our option to April 16, 2026. </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(2)Our $1.25 billion revolving credit facility matures on April 5, 2027, plus two six-month extensions at our option to April 5, 2028. As of March 31, 2023, there was $60.0 million outstanding under this credit facility.</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 xml:space="preserve">(3)The total debt maturities differ from the total reported on the consolidated balance sheet due to the debt issuance costs and unamortized net premium/discount on certain mortgage loans, notes payable, and senior notes as of March 31, 2023. </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 xml:space="preserve">(4)The weighted average rate reflects the weighted average interest rate on debt maturing in the respective year. </w:t>
      </w:r>
    </w:p>
    <w:p>
      <w:pPr>
        <w:pStyle w:val="TextBody"/>
        <w:spacing w:lineRule="auto" w:line="288" w:before="6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(5)The weighted average rate excludes $0.9 million in quarterly financing fees and quarterly debt fee amortization on our $1.25 billion revolving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643"/>
        <w:gridCol w:w="250"/>
        <w:gridCol w:w="250"/>
        <w:gridCol w:w="634"/>
        <w:gridCol w:w="233"/>
        <w:gridCol w:w="238"/>
        <w:gridCol w:w="1338"/>
        <w:gridCol w:w="1155"/>
        <w:gridCol w:w="1168"/>
        <w:gridCol w:w="210"/>
        <w:gridCol w:w="210"/>
        <w:gridCol w:w="468"/>
        <w:gridCol w:w="296"/>
        <w:gridCol w:w="296"/>
        <w:gridCol w:w="297"/>
        <w:gridCol w:w="339"/>
        <w:gridCol w:w="192"/>
        <w:gridCol w:w="175"/>
        <w:gridCol w:w="499"/>
        <w:gridCol w:w="355"/>
        <w:gridCol w:w="356"/>
        <w:gridCol w:w="109"/>
        <w:gridCol w:w="109"/>
        <w:gridCol w:w="109"/>
        <w:gridCol w:w="109"/>
        <w:gridCol w:w="167"/>
      </w:tblGrid>
      <w:tr>
        <w:trPr/>
        <w:tc>
          <w:tcPr>
            <w:tcW w:w="64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24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3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90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Redevelopment and Expansion Opportunities</w:t>
            </w:r>
          </w:p>
        </w:tc>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1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9602"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The following redevelopment opportunities are actively being worked on by the Trust.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661"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661"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tcPr>
          <w:p>
            <w:pPr>
              <w:pStyle w:val="TableContents"/>
              <w:spacing w:before="0" w:after="283"/>
              <w:rPr>
                <w:sz w:val="4"/>
                <w:szCs w:val="4"/>
              </w:rPr>
            </w:pPr>
            <w:r>
              <w:rPr>
                <w:sz w:val="4"/>
                <w:szCs w:val="4"/>
              </w:rPr>
            </w:r>
          </w:p>
        </w:tc>
      </w:tr>
      <w:tr>
        <w:trPr/>
        <w:tc>
          <w:tcPr>
            <w:tcW w:w="1143" w:type="dxa"/>
            <w:gridSpan w:val="3"/>
            <w:tcBorders/>
            <w:shd w:fill="auto" w:val="clear"/>
            <w:vAlign w:val="center"/>
          </w:tcPr>
          <w:p>
            <w:pPr>
              <w:pStyle w:val="TableContents"/>
              <w:spacing w:before="0" w:after="283"/>
              <w:rPr>
                <w:sz w:val="4"/>
                <w:szCs w:val="4"/>
              </w:rPr>
            </w:pPr>
            <w:r>
              <w:rPr>
                <w:sz w:val="4"/>
                <w:szCs w:val="4"/>
              </w:rPr>
            </w:r>
          </w:p>
        </w:tc>
        <w:tc>
          <w:tcPr>
            <w:tcW w:w="9062" w:type="dxa"/>
            <w:gridSpan w:val="23"/>
            <w:tcBorders/>
            <w:shd w:fill="auto" w:val="clear"/>
          </w:tcPr>
          <w:p>
            <w:pPr>
              <w:pStyle w:val="TableContents"/>
              <w:spacing w:before="0" w:after="283"/>
              <w:rPr>
                <w:sz w:val="4"/>
                <w:szCs w:val="4"/>
              </w:rPr>
            </w:pPr>
            <w:r>
              <w:rPr>
                <w:sz w:val="4"/>
                <w:szCs w:val="4"/>
              </w:rPr>
            </w:r>
          </w:p>
        </w:tc>
      </w:tr>
      <w:tr>
        <w:trPr/>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661"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661"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661"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gridSpan w:val="2"/>
            <w:tcBorders/>
            <w:shd w:fill="auto" w:val="clear"/>
          </w:tcPr>
          <w:p>
            <w:pPr>
              <w:pStyle w:val="TableContents"/>
              <w:spacing w:before="0" w:after="283"/>
              <w:rPr>
                <w:sz w:val="4"/>
                <w:szCs w:val="4"/>
              </w:rPr>
            </w:pPr>
            <w:r>
              <w:rPr>
                <w:sz w:val="4"/>
                <w:szCs w:val="4"/>
              </w:rPr>
            </w:r>
          </w:p>
        </w:tc>
      </w:tr>
      <w:tr>
        <w:trPr/>
        <w:tc>
          <w:tcPr>
            <w:tcW w:w="590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Active Mixed-Use Redevelopment/Expansion Projects</w:t>
            </w:r>
          </w:p>
        </w:tc>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(1)</w:t>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(2)</w:t>
            </w:r>
          </w:p>
        </w:tc>
        <w:tc>
          <w:tcPr>
            <w:tcW w:w="8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2023 POI Delivered(2)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West (3)</w:t>
            </w:r>
          </w:p>
        </w:tc>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Jose, CA</w:t>
            </w:r>
          </w:p>
        </w:tc>
        <w:tc>
          <w:tcPr>
            <w:tcW w:w="3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376,000 square foot office building</w:t>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 $330</w:t>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2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- 915 Meeting Street (3)</w:t>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Bethesda, MD</w:t>
            </w:r>
          </w:p>
        </w:tc>
        <w:tc>
          <w:tcPr>
            <w:tcW w:w="3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266,000 square foot office building with 10,000 square feet of retail space. 157,000 square feet of office and 5,000 square feet of retail space pre-leased.</w:t>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 $200</w:t>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2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w:t>
            </w:r>
          </w:p>
        </w:tc>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CT</w:t>
            </w:r>
          </w:p>
        </w:tc>
        <w:tc>
          <w:tcPr>
            <w:tcW w:w="3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a 45,000 square foot anchor space to construct 75,000 square feet of new retail space, 122 rental apartments, and 720 parking spaces</w:t>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 $120</w:t>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2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50 - 60 %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90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Active Mixed-Use Redevelopment/Expansion Projects</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$610 - $650</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w:t>
            </w:r>
          </w:p>
        </w:tc>
        <w:tc>
          <w:tcPr>
            <w:tcW w:w="1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24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Active Redevelopment/Expansion Projects</w:t>
            </w:r>
          </w:p>
        </w:tc>
        <w:tc>
          <w:tcPr>
            <w:tcW w:w="3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(4)</w:t>
            </w:r>
          </w:p>
        </w:tc>
        <w:tc>
          <w:tcPr>
            <w:tcW w:w="8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Anticipated Stabilization (5)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w:t>
            </w:r>
          </w:p>
        </w:tc>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NY</w:t>
            </w:r>
          </w:p>
        </w:tc>
        <w:tc>
          <w:tcPr>
            <w:tcW w:w="3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the main two level building consisting of 161,000 square feet of anchor and small shop space to construct 102,000 square feet of new ground-level anchor and small shop retail space</w:t>
            </w:r>
          </w:p>
        </w:tc>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7 - 8 %</w:t>
            </w:r>
          </w:p>
        </w:tc>
        <w:tc>
          <w:tcPr>
            <w:tcW w:w="8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 $85</w:t>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2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 Park</w:t>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Broomall, PA</w:t>
            </w:r>
          </w:p>
        </w:tc>
        <w:tc>
          <w:tcPr>
            <w:tcW w:w="3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Full shopping center redevelopment to include expansion of Main Line Health into vacant lower level space, creation of 17,800 square feet of small shop space converted from vacated anchor space, a new 2,000 square foot bank pad building, and a façade renovation for the entire center</w:t>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2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w:t>
            </w:r>
          </w:p>
        </w:tc>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 PA</w:t>
            </w:r>
          </w:p>
        </w:tc>
        <w:tc>
          <w:tcPr>
            <w:tcW w:w="3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17,000 square foot multi-tenant pad building</w:t>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7 Plaza</w:t>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Vienna, VA</w:t>
            </w:r>
          </w:p>
        </w:tc>
        <w:tc>
          <w:tcPr>
            <w:tcW w:w="3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3,200 square foot pad building pre-leased to a restaurant tenant</w:t>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w:t>
            </w:r>
          </w:p>
        </w:tc>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 PA</w:t>
            </w:r>
          </w:p>
        </w:tc>
        <w:tc>
          <w:tcPr>
            <w:tcW w:w="3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2,450 square foot bank pad building</w:t>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Stabilized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w:t>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 MA</w:t>
            </w:r>
          </w:p>
        </w:tc>
        <w:tc>
          <w:tcPr>
            <w:tcW w:w="3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4,000 square foot pad building with drive-thru pre-leased to a restaurant tenant</w:t>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661"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661"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661"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90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Active Redevelopment/Expansion Projects</w:t>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7 - 8 %</w:t>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16"/>
              </w:rPr>
              <w:t>$113 - $118</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2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24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Active Property Improvement Projects (6)</w:t>
            </w:r>
          </w:p>
        </w:tc>
        <w:tc>
          <w:tcPr>
            <w:tcW w:w="3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 Properties</w:t>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Ongoing improvements at 15 properties to better position those properties to capture a disproportionate amount of retail demand</w:t>
            </w:r>
          </w:p>
        </w:tc>
        <w:tc>
          <w:tcPr>
            <w:tcW w:w="888"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- 13%</w:t>
            </w:r>
          </w:p>
        </w:tc>
        <w:tc>
          <w:tcPr>
            <w:tcW w:w="889"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706"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p>
      <w:pPr>
        <w:pStyle w:val="TextBody"/>
        <w:spacing w:lineRule="auto" w:line="288" w:before="0" w:after="0"/>
        <w:ind w:left="0" w:right="0" w:hanging="720"/>
        <w:rPr>
          <w:rFonts w:ascii="Times New Roman;sans-serif" w:hAnsi="Times New Roman;sans-serif"/>
          <w:b w:val="false"/>
          <w:color w:val="000000"/>
          <w:sz w:val="15"/>
        </w:rPr>
      </w:pPr>
      <w:r>
        <w:rPr>
          <w:rFonts w:ascii="Times New Roman;sans-serif" w:hAnsi="Times New Roman;sans-serif"/>
          <w:b w:val="false"/>
          <w:color w:val="000000"/>
          <w:sz w:val="15"/>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spacing w:lineRule="auto" w:line="288" w:before="0" w:after="0"/>
        <w:ind w:left="0" w:right="0" w:hanging="720"/>
        <w:rPr>
          <w:rFonts w:ascii="Times New Roman;sans-serif" w:hAnsi="Times New Roman;sans-serif"/>
          <w:b w:val="false"/>
          <w:color w:val="000000"/>
          <w:sz w:val="15"/>
        </w:rPr>
      </w:pPr>
      <w:r>
        <w:rPr>
          <w:rFonts w:ascii="Times New Roman;sans-serif" w:hAnsi="Times New Roman;sans-serif"/>
          <w:b w:val="false"/>
          <w:color w:val="000000"/>
          <w:sz w:val="15"/>
        </w:rPr>
        <w:t>(2)Projected ROI for mixed-use redevelopment/expansion projects reflects the unleveraged Property Operating Income (POI) generated by the project and is calculated as POI divided by cost. Projected POI delivered includes straight line rent.</w:t>
      </w:r>
    </w:p>
    <w:p>
      <w:pPr>
        <w:pStyle w:val="TextBody"/>
        <w:spacing w:lineRule="auto" w:line="288" w:before="0" w:after="0"/>
        <w:ind w:left="0" w:right="0" w:hanging="720"/>
        <w:rPr>
          <w:rFonts w:ascii="Times New Roman;sans-serif" w:hAnsi="Times New Roman;sans-serif"/>
          <w:b w:val="false"/>
          <w:color w:val="000000"/>
          <w:sz w:val="15"/>
        </w:rPr>
      </w:pPr>
      <w:r>
        <w:rPr>
          <w:rFonts w:ascii="Times New Roman;sans-serif" w:hAnsi="Times New Roman;sans-serif"/>
          <w:b w:val="false"/>
          <w:color w:val="000000"/>
          <w:sz w:val="15"/>
        </w:rPr>
        <w:t>(3)Projected costs for Pike &amp; Rose include an allocation of infrastructure costs for the entire project. Santana West includes an allocation of infrastructure for the Santana West site.</w:t>
      </w:r>
    </w:p>
    <w:p>
      <w:pPr>
        <w:pStyle w:val="TextBody"/>
        <w:spacing w:lineRule="auto" w:line="288" w:before="0" w:after="0"/>
        <w:ind w:left="0" w:right="0" w:hanging="720"/>
        <w:rPr>
          <w:rFonts w:ascii="Times New Roman;sans-serif" w:hAnsi="Times New Roman;sans-serif"/>
          <w:b w:val="false"/>
          <w:color w:val="000000"/>
          <w:sz w:val="15"/>
        </w:rPr>
      </w:pPr>
      <w:r>
        <w:rPr>
          <w:rFonts w:ascii="Times New Roman;sans-serif" w:hAnsi="Times New Roman;sans-serif"/>
          <w:b w:val="false"/>
          <w:color w:val="000000"/>
          <w:sz w:val="15"/>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spacing w:lineRule="auto" w:line="288" w:before="0" w:after="0"/>
        <w:ind w:left="0" w:right="0" w:hanging="720"/>
        <w:rPr>
          <w:rFonts w:ascii="Times New Roman;sans-serif" w:hAnsi="Times New Roman;sans-serif"/>
          <w:b w:val="false"/>
          <w:color w:val="000000"/>
          <w:sz w:val="15"/>
        </w:rPr>
      </w:pPr>
      <w:r>
        <w:rPr>
          <w:rFonts w:ascii="Times New Roman;sans-serif" w:hAnsi="Times New Roman;sans-serif"/>
          <w:b w:val="false"/>
          <w:color w:val="000000"/>
          <w:sz w:val="15"/>
        </w:rPr>
        <w:t>(5)Stabilization is generally the year in which 90% physical occupancy of the redeveloped space is achieved. Economic stabilization may occur at a later point in time.</w:t>
      </w:r>
    </w:p>
    <w:p>
      <w:pPr>
        <w:pStyle w:val="TextBody"/>
        <w:spacing w:lineRule="auto" w:line="288" w:before="0" w:after="0"/>
        <w:ind w:left="0" w:right="0" w:hanging="720"/>
        <w:rPr>
          <w:rFonts w:ascii="Times New Roman;sans-serif" w:hAnsi="Times New Roman;sans-serif"/>
          <w:b w:val="false"/>
          <w:color w:val="000000"/>
          <w:sz w:val="15"/>
        </w:rPr>
      </w:pPr>
      <w:r>
        <w:rPr>
          <w:rFonts w:ascii="Times New Roman;sans-serif" w:hAnsi="Times New Roman;sans-serif"/>
          <w:b w:val="false"/>
          <w:color w:val="000000"/>
          <w:sz w:val="15"/>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843"/>
        <w:gridCol w:w="438"/>
        <w:gridCol w:w="438"/>
        <w:gridCol w:w="438"/>
        <w:gridCol w:w="438"/>
        <w:gridCol w:w="438"/>
        <w:gridCol w:w="1341"/>
        <w:gridCol w:w="438"/>
        <w:gridCol w:w="438"/>
        <w:gridCol w:w="1093"/>
        <w:gridCol w:w="438"/>
        <w:gridCol w:w="438"/>
        <w:gridCol w:w="1067"/>
        <w:gridCol w:w="438"/>
        <w:gridCol w:w="438"/>
        <w:gridCol w:w="509"/>
        <w:gridCol w:w="219"/>
        <w:gridCol w:w="315"/>
      </w:tblGrid>
      <w:tr>
        <w:trPr/>
        <w:tc>
          <w:tcPr>
            <w:tcW w:w="84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9162"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Federal Realty Investment Trust</w:t>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2"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Future Redevelopment and Expansion Opportunities</w:t>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2"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March 31, 2023</w:t>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9"/>
              </w:rPr>
            </w:pPr>
            <w:r>
              <w:rPr>
                <w:rFonts w:ascii="Times New Roman;sans-serif" w:hAnsi="Times New Roman;sans-serif"/>
                <w:b/>
                <w:i/>
                <w:color w:val="000000"/>
                <w:sz w:val="19"/>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5"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Redevelopment Opportunities</w:t>
            </w:r>
          </w:p>
        </w:tc>
      </w:tr>
      <w:tr>
        <w:trPr/>
        <w:tc>
          <w:tcPr>
            <w:tcW w:w="3033"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Location</w:t>
            </w:r>
          </w:p>
        </w:tc>
        <w:tc>
          <w:tcPr>
            <w:tcW w:w="19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Expansion/Conversion (4)</w:t>
            </w:r>
          </w:p>
        </w:tc>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Residential (5)</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Mixed Use - Long Term</w:t>
            </w:r>
          </w:p>
        </w:tc>
      </w:tr>
      <w:tr>
        <w:trPr/>
        <w:tc>
          <w:tcPr>
            <w:tcW w:w="3033"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Assembly Row (1)</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Somerville, MA</w:t>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 PA</w:t>
            </w:r>
          </w:p>
        </w:tc>
        <w:tc>
          <w:tcPr>
            <w:tcW w:w="1969" w:type="dxa"/>
            <w:gridSpan w:val="3"/>
            <w:tcBorders/>
            <w:shd w:fill="CCEEFF" w:val="clear"/>
            <w:tcMar>
              <w:top w:w="0" w:type="dxa"/>
              <w:left w:w="0" w:type="dxa"/>
              <w:bottom w:w="0" w:type="dxa"/>
              <w:right w:w="0" w:type="dxa"/>
            </w:tcMar>
            <w:vAlign w:val="center"/>
          </w:tcPr>
          <w:p>
            <w:pPr>
              <w:pStyle w:val="TableContents"/>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Barracks Road</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Charlottesville, VA</w:t>
            </w:r>
          </w:p>
        </w:tc>
        <w:tc>
          <w:tcPr>
            <w:tcW w:w="1969" w:type="dxa"/>
            <w:gridSpan w:val="3"/>
            <w:tcBorders/>
            <w:shd w:fill="FFFFFF" w:val="clear"/>
            <w:tcMar>
              <w:top w:w="0" w:type="dxa"/>
              <w:left w:w="0" w:type="dxa"/>
              <w:bottom w:w="0" w:type="dxa"/>
              <w:right w:w="0" w:type="dxa"/>
            </w:tcMar>
            <w:vAlign w:val="center"/>
          </w:tcPr>
          <w:p>
            <w:pPr>
              <w:pStyle w:val="TableContents"/>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Row</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MD</w:t>
            </w:r>
          </w:p>
        </w:tc>
        <w:tc>
          <w:tcPr>
            <w:tcW w:w="19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Camelback Colonnade</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Phoenix, AZ</w:t>
            </w:r>
          </w:p>
        </w:tc>
        <w:tc>
          <w:tcPr>
            <w:tcW w:w="19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Commons</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MA</w:t>
            </w:r>
          </w:p>
        </w:tc>
        <w:tc>
          <w:tcPr>
            <w:tcW w:w="19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Plaza</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MA</w:t>
            </w:r>
          </w:p>
        </w:tc>
        <w:tc>
          <w:tcPr>
            <w:tcW w:w="19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Promenade</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CA</w:t>
            </w:r>
          </w:p>
        </w:tc>
        <w:tc>
          <w:tcPr>
            <w:tcW w:w="19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Junction</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Federal Plaza</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Rockville, MD</w:t>
            </w:r>
          </w:p>
        </w:tc>
        <w:tc>
          <w:tcPr>
            <w:tcW w:w="1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2217" w:type="dxa"/>
            <w:gridSpan w:val="3"/>
            <w:tcBorders/>
            <w:shd w:fill="auto" w:val="clear"/>
            <w:vAlign w:val="center"/>
          </w:tcPr>
          <w:p>
            <w:pPr>
              <w:pStyle w:val="TableContents"/>
              <w:spacing w:before="0" w:after="283"/>
              <w:rPr>
                <w:sz w:val="4"/>
                <w:szCs w:val="4"/>
              </w:rPr>
            </w:pPr>
            <w:r>
              <w:rPr>
                <w:sz w:val="4"/>
                <w:szCs w:val="4"/>
              </w:rPr>
            </w:r>
          </w:p>
        </w:tc>
        <w:tc>
          <w:tcPr>
            <w:tcW w:w="1969"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Fresh Meadows</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Queens, NY</w:t>
            </w:r>
          </w:p>
        </w:tc>
        <w:tc>
          <w:tcPr>
            <w:tcW w:w="19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Friendship Center</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Washington, DC</w:t>
            </w:r>
          </w:p>
        </w:tc>
        <w:tc>
          <w:tcPr>
            <w:tcW w:w="19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Grossmont Center</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 Mesa, CA</w:t>
            </w:r>
          </w:p>
        </w:tc>
        <w:tc>
          <w:tcPr>
            <w:tcW w:w="19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 NJ</w:t>
            </w:r>
          </w:p>
        </w:tc>
        <w:tc>
          <w:tcPr>
            <w:tcW w:w="1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 NY</w:t>
            </w:r>
          </w:p>
        </w:tc>
        <w:tc>
          <w:tcPr>
            <w:tcW w:w="1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Mercer Mall</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Lawrenceville, NJ</w:t>
            </w:r>
          </w:p>
        </w:tc>
        <w:tc>
          <w:tcPr>
            <w:tcW w:w="19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Pan Am</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&amp; Rose (2)</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North Bethesda, MD</w:t>
            </w:r>
          </w:p>
        </w:tc>
        <w:tc>
          <w:tcPr>
            <w:tcW w:w="1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7 Plaza</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Vienna, VA</w:t>
            </w:r>
          </w:p>
        </w:tc>
        <w:tc>
          <w:tcPr>
            <w:tcW w:w="1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Riverpoint Center</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Chicago, IL</w:t>
            </w:r>
          </w:p>
        </w:tc>
        <w:tc>
          <w:tcPr>
            <w:tcW w:w="19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Santana Row (3)</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 Jose, CA</w:t>
            </w:r>
          </w:p>
        </w:tc>
        <w:tc>
          <w:tcPr>
            <w:tcW w:w="1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Santana Row - Santana West (3)</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 Jose, CA</w:t>
            </w:r>
          </w:p>
        </w:tc>
        <w:tc>
          <w:tcPr>
            <w:tcW w:w="1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AVENUE at White Marsh</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White Marsh, MD</w:t>
            </w:r>
          </w:p>
        </w:tc>
        <w:tc>
          <w:tcPr>
            <w:tcW w:w="1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Village at Shirlington</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Arlington, VA</w:t>
            </w:r>
          </w:p>
        </w:tc>
        <w:tc>
          <w:tcPr>
            <w:tcW w:w="1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2217" w:type="dxa"/>
            <w:gridSpan w:val="3"/>
            <w:tcBorders/>
            <w:shd w:fill="auto" w:val="clear"/>
            <w:vAlign w:val="center"/>
          </w:tcPr>
          <w:p>
            <w:pPr>
              <w:pStyle w:val="TableContents"/>
              <w:spacing w:before="0" w:after="283"/>
              <w:rPr>
                <w:sz w:val="4"/>
                <w:szCs w:val="4"/>
              </w:rPr>
            </w:pPr>
            <w:r>
              <w:rPr>
                <w:sz w:val="4"/>
                <w:szCs w:val="4"/>
              </w:rPr>
            </w:r>
          </w:p>
        </w:tc>
        <w:tc>
          <w:tcPr>
            <w:tcW w:w="1969"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tcPr>
          <w:p>
            <w:pPr>
              <w:pStyle w:val="TableContents"/>
              <w:spacing w:before="0" w:after="283"/>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w:t>
            </w:r>
          </w:p>
        </w:tc>
        <w:tc>
          <w:tcPr>
            <w:tcW w:w="2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 PA</w:t>
            </w:r>
          </w:p>
        </w:tc>
        <w:tc>
          <w:tcPr>
            <w:tcW w:w="19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Lawn</w:t>
            </w:r>
          </w:p>
        </w:tc>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Richmond, VA</w:t>
            </w:r>
          </w:p>
        </w:tc>
        <w:tc>
          <w:tcPr>
            <w:tcW w:w="1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spacing w:lineRule="auto" w:line="288" w:before="120" w:after="283"/>
        <w:ind w:left="0" w:right="0" w:hanging="720"/>
        <w:rPr/>
      </w:pPr>
      <w:r>
        <w:rPr>
          <w:rFonts w:ascii="Times New Roman;sans-serif" w:hAnsi="Times New Roman;sans-serif"/>
          <w:b w:val="false"/>
          <w:color w:val="000000"/>
          <w:sz w:val="19"/>
        </w:rPr>
        <w:t>(1)</w:t>
      </w:r>
      <w:r>
        <w:rPr>
          <w:rFonts w:ascii="Times New Roman;sans-serif" w:hAnsi="Times New Roman;sans-serif"/>
          <w:b w:val="false"/>
          <w:color w:val="000000"/>
          <w:sz w:val="20"/>
        </w:rPr>
        <w:t>Remaining entitlements at Assembly Row include approximately 1.5 million square feet of commercial-use buildings and 326 residential units.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(2)Remaining entitlements at Pike &amp; Rose include approximately 530,000 square feet of commercial-use buildings and 741 residential units.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(3)Remaining entitlements at Santana Row include approximately 321,000 square feet of commercial space and 395 residential units, as well as approximately 604,000 square feet of commercial space across from Santana Row.</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(4)Property expansion/conversion includes opportunities at successful retail properties to convert previously underutilized land into new GLA, to convert other existing uses into more productive uses for the property, and/or to add both single tenant and muti-tenant stand alone pad buildings.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(5)Residential includes opportunities to add residential units to existing retail and mixed-use properties.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tbl>
      <w:tblPr>
        <w:tblW w:w="5144" w:type="dxa"/>
        <w:jc w:val="left"/>
        <w:tblInd w:w="0" w:type="dxa"/>
        <w:tblCellMar>
          <w:top w:w="28" w:type="dxa"/>
          <w:left w:w="28" w:type="dxa"/>
          <w:bottom w:w="28" w:type="dxa"/>
          <w:right w:w="28" w:type="dxa"/>
        </w:tblCellMar>
      </w:tblPr>
      <w:tblGrid>
        <w:gridCol w:w="16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09"/>
        <w:gridCol w:w="109"/>
        <w:gridCol w:w="154"/>
      </w:tblGrid>
      <w:tr>
        <w:trPr/>
        <w:tc>
          <w:tcPr>
            <w:tcW w:w="16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2"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2"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Acquisition, Disposition, &amp; Other Transaction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2"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60"/>
        <w:rPr>
          <w:rFonts w:ascii="Times New Roman;sans-serif" w:hAnsi="Times New Roman;sans-serif"/>
          <w:b/>
          <w:color w:val="000000"/>
          <w:sz w:val="18"/>
          <w:u w:val="single"/>
        </w:rPr>
      </w:pPr>
      <w:r>
        <w:rPr>
          <w:rFonts w:ascii="Times New Roman;sans-serif" w:hAnsi="Times New Roman;sans-serif"/>
          <w:b/>
          <w:color w:val="000000"/>
          <w:sz w:val="18"/>
          <w:u w:val="single"/>
        </w:rPr>
        <w:t>Property Acquisition</w:t>
      </w:r>
    </w:p>
    <w:tbl>
      <w:tblPr>
        <w:tblW w:w="10205" w:type="dxa"/>
        <w:jc w:val="left"/>
        <w:tblInd w:w="0" w:type="dxa"/>
        <w:tblCellMar>
          <w:top w:w="28" w:type="dxa"/>
          <w:left w:w="28" w:type="dxa"/>
          <w:bottom w:w="28" w:type="dxa"/>
          <w:right w:w="28" w:type="dxa"/>
        </w:tblCellMar>
      </w:tblPr>
      <w:tblGrid>
        <w:gridCol w:w="446"/>
        <w:gridCol w:w="393"/>
        <w:gridCol w:w="396"/>
        <w:gridCol w:w="109"/>
        <w:gridCol w:w="109"/>
        <w:gridCol w:w="109"/>
        <w:gridCol w:w="522"/>
        <w:gridCol w:w="522"/>
        <w:gridCol w:w="530"/>
        <w:gridCol w:w="109"/>
        <w:gridCol w:w="109"/>
        <w:gridCol w:w="109"/>
        <w:gridCol w:w="604"/>
        <w:gridCol w:w="604"/>
        <w:gridCol w:w="606"/>
        <w:gridCol w:w="109"/>
        <w:gridCol w:w="109"/>
        <w:gridCol w:w="109"/>
        <w:gridCol w:w="392"/>
        <w:gridCol w:w="382"/>
        <w:gridCol w:w="389"/>
        <w:gridCol w:w="109"/>
        <w:gridCol w:w="109"/>
        <w:gridCol w:w="109"/>
        <w:gridCol w:w="109"/>
        <w:gridCol w:w="109"/>
        <w:gridCol w:w="294"/>
        <w:gridCol w:w="700"/>
        <w:gridCol w:w="164"/>
        <w:gridCol w:w="109"/>
        <w:gridCol w:w="109"/>
        <w:gridCol w:w="109"/>
        <w:gridCol w:w="409"/>
        <w:gridCol w:w="409"/>
        <w:gridCol w:w="590"/>
      </w:tblGrid>
      <w:tr>
        <w:trPr/>
        <w:tc>
          <w:tcPr>
            <w:tcW w:w="4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GLA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Purchase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Principal Tenants</w:t>
            </w:r>
          </w:p>
        </w:tc>
      </w:tr>
      <w:tr>
        <w:trPr/>
        <w:tc>
          <w:tcPr>
            <w:tcW w:w="12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square feet)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Huntington Square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Northport, New York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168,000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 Home / AMC</w:t>
            </w:r>
          </w:p>
        </w:tc>
      </w:tr>
    </w:tbl>
    <w:p>
      <w:pPr>
        <w:pStyle w:val="TextBody"/>
        <w:spacing w:lineRule="auto" w:line="288" w:before="0" w:after="0"/>
        <w:ind w:left="0" w:right="0" w:hanging="72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 xml:space="preserve">(1)The purchase price includes the acquisition of the portions of the property not previously owned, as well as the acquisition of the fee interest in the land underneath the portion of Huntington Square shopping center which we control under a long-term ground lease. </w:t>
      </w:r>
    </w:p>
    <w:p>
      <w:pPr>
        <w:pStyle w:val="TextBody"/>
        <w:spacing w:before="0" w:after="0"/>
        <w:ind w:left="0" w:right="0" w:hanging="270"/>
        <w:rPr/>
      </w:pPr>
      <w:r>
        <w:rPr/>
      </w:r>
    </w:p>
    <w:p>
      <w:pPr>
        <w:pStyle w:val="TextBody"/>
        <w:spacing w:lineRule="auto" w:line="288" w:before="240" w:after="283"/>
        <w:rPr>
          <w:rFonts w:ascii="Times New Roman;sans-serif" w:hAnsi="Times New Roman;sans-serif"/>
          <w:b/>
          <w:color w:val="000000"/>
          <w:sz w:val="18"/>
          <w:u w:val="single"/>
        </w:rPr>
      </w:pPr>
      <w:r>
        <w:rPr>
          <w:rFonts w:ascii="Times New Roman;sans-serif" w:hAnsi="Times New Roman;sans-serif"/>
          <w:b/>
          <w:color w:val="000000"/>
          <w:sz w:val="18"/>
          <w:u w:val="single"/>
        </w:rPr>
        <w:t>Property Disposition</w:t>
      </w:r>
    </w:p>
    <w:tbl>
      <w:tblPr>
        <w:tblW w:w="8185" w:type="dxa"/>
        <w:jc w:val="left"/>
        <w:tblInd w:w="0" w:type="dxa"/>
        <w:tblCellMar>
          <w:top w:w="28" w:type="dxa"/>
          <w:left w:w="28" w:type="dxa"/>
          <w:bottom w:w="28" w:type="dxa"/>
          <w:right w:w="28" w:type="dxa"/>
        </w:tblCellMar>
      </w:tblPr>
      <w:tblGrid>
        <w:gridCol w:w="521"/>
        <w:gridCol w:w="457"/>
        <w:gridCol w:w="462"/>
        <w:gridCol w:w="109"/>
        <w:gridCol w:w="109"/>
        <w:gridCol w:w="109"/>
        <w:gridCol w:w="714"/>
        <w:gridCol w:w="714"/>
        <w:gridCol w:w="717"/>
        <w:gridCol w:w="109"/>
        <w:gridCol w:w="109"/>
        <w:gridCol w:w="109"/>
        <w:gridCol w:w="668"/>
        <w:gridCol w:w="668"/>
        <w:gridCol w:w="673"/>
        <w:gridCol w:w="109"/>
        <w:gridCol w:w="109"/>
        <w:gridCol w:w="109"/>
        <w:gridCol w:w="109"/>
        <w:gridCol w:w="109"/>
        <w:gridCol w:w="259"/>
        <w:gridCol w:w="617"/>
        <w:gridCol w:w="144"/>
        <w:gridCol w:w="109"/>
        <w:gridCol w:w="109"/>
        <w:gridCol w:w="154"/>
      </w:tblGrid>
      <w:tr>
        <w:trPr/>
        <w:tc>
          <w:tcPr>
            <w:tcW w:w="521"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City/State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 Price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Town Center of New Britain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Britain, Pennsylvania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p>
      <w:pPr>
        <w:pStyle w:val="TextBody"/>
        <w:spacing w:lineRule="auto" w:line="288" w:before="240" w:after="283"/>
        <w:rPr>
          <w:rFonts w:ascii="Times New Roman;sans-serif" w:hAnsi="Times New Roman;sans-serif"/>
          <w:b/>
          <w:color w:val="000000"/>
          <w:sz w:val="18"/>
          <w:u w:val="single"/>
        </w:rPr>
      </w:pPr>
      <w:r>
        <w:rPr>
          <w:rFonts w:ascii="Times New Roman;sans-serif" w:hAnsi="Times New Roman;sans-serif"/>
          <w:b/>
          <w:color w:val="000000"/>
          <w:sz w:val="18"/>
          <w:u w:val="single"/>
        </w:rPr>
        <w:t>Other Transaction</w:t>
      </w:r>
    </w:p>
    <w:p>
      <w:pPr>
        <w:pStyle w:val="TextBody"/>
        <w:spacing w:lineRule="auto" w:line="288" w:before="100" w:after="283"/>
        <w:rPr>
          <w:rFonts w:ascii="Times New Roman;sans-serif" w:hAnsi="Times New Roman;sans-serif"/>
          <w:b w:val="false"/>
          <w:color w:val="000000"/>
          <w:sz w:val="18"/>
        </w:rPr>
      </w:pPr>
      <w:r>
        <w:rPr>
          <w:rFonts w:ascii="Times New Roman;sans-serif" w:hAnsi="Times New Roman;sans-serif"/>
          <w:b w:val="false"/>
          <w:color w:val="000000"/>
          <w:sz w:val="18"/>
        </w:rPr>
        <w:t>On April 12, 2023, we issued $350.0 million of fixed rate senior unsecured notes that mature on May 1, 2028 and bear interest at 5.375%. The notes were offered at 99.590% of the principal amount with a yield to maturity of 5.468%.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tbl>
      <w:tblPr>
        <w:tblW w:w="12423" w:type="dxa"/>
        <w:jc w:val="center"/>
        <w:tblInd w:w="0" w:type="dxa"/>
        <w:tblCellMar>
          <w:top w:w="28" w:type="dxa"/>
          <w:left w:w="28" w:type="dxa"/>
          <w:bottom w:w="28" w:type="dxa"/>
          <w:right w:w="28" w:type="dxa"/>
        </w:tblCellMar>
      </w:tblPr>
      <w:tblGrid>
        <w:gridCol w:w="549"/>
        <w:gridCol w:w="205"/>
        <w:gridCol w:w="207"/>
        <w:gridCol w:w="109"/>
        <w:gridCol w:w="109"/>
        <w:gridCol w:w="109"/>
        <w:gridCol w:w="773"/>
        <w:gridCol w:w="773"/>
        <w:gridCol w:w="585"/>
        <w:gridCol w:w="109"/>
        <w:gridCol w:w="181"/>
        <w:gridCol w:w="616"/>
        <w:gridCol w:w="109"/>
        <w:gridCol w:w="181"/>
        <w:gridCol w:w="54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21"/>
        <w:gridCol w:w="220"/>
        <w:gridCol w:w="221"/>
        <w:gridCol w:w="109"/>
        <w:gridCol w:w="109"/>
        <w:gridCol w:w="109"/>
        <w:gridCol w:w="354"/>
        <w:gridCol w:w="211"/>
        <w:gridCol w:w="201"/>
        <w:gridCol w:w="645"/>
        <w:gridCol w:w="195"/>
        <w:gridCol w:w="196"/>
        <w:gridCol w:w="154"/>
      </w:tblGrid>
      <w:tr>
        <w:trPr/>
        <w:tc>
          <w:tcPr>
            <w:tcW w:w="54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378"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62" w:type="dxa"/>
            <w:gridSpan w:val="3"/>
            <w:tcBorders/>
            <w:shd w:fill="auto" w:val="clear"/>
            <w:vAlign w:val="center"/>
          </w:tcPr>
          <w:p>
            <w:pPr>
              <w:pStyle w:val="TableContents"/>
              <w:spacing w:before="0" w:after="283"/>
              <w:rPr>
                <w:sz w:val="4"/>
                <w:szCs w:val="4"/>
              </w:rPr>
            </w:pPr>
            <w:r>
              <w:rPr>
                <w:sz w:val="4"/>
                <w:szCs w:val="4"/>
              </w:rPr>
            </w:r>
          </w:p>
        </w:tc>
        <w:tc>
          <w:tcPr>
            <w:tcW w:w="2283" w:type="dxa"/>
            <w:gridSpan w:val="10"/>
            <w:tcBorders/>
            <w:shd w:fill="auto" w:val="clear"/>
          </w:tcPr>
          <w:p>
            <w:pPr>
              <w:pStyle w:val="TableContents"/>
              <w:spacing w:before="0" w:after="283"/>
              <w:rPr>
                <w:sz w:val="4"/>
                <w:szCs w:val="4"/>
              </w:rPr>
            </w:pPr>
            <w:r>
              <w:rPr>
                <w:sz w:val="4"/>
                <w:szCs w:val="4"/>
              </w:rPr>
            </w:r>
          </w:p>
        </w:tc>
      </w:tr>
      <w:tr>
        <w:trPr/>
        <w:tc>
          <w:tcPr>
            <w:tcW w:w="9378"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62" w:type="dxa"/>
            <w:gridSpan w:val="3"/>
            <w:tcBorders/>
            <w:shd w:fill="auto" w:val="clear"/>
            <w:vAlign w:val="center"/>
          </w:tcPr>
          <w:p>
            <w:pPr>
              <w:pStyle w:val="TableContents"/>
              <w:spacing w:before="0" w:after="283"/>
              <w:rPr>
                <w:sz w:val="4"/>
                <w:szCs w:val="4"/>
              </w:rPr>
            </w:pPr>
            <w:r>
              <w:rPr>
                <w:sz w:val="4"/>
                <w:szCs w:val="4"/>
              </w:rPr>
            </w:r>
          </w:p>
        </w:tc>
        <w:tc>
          <w:tcPr>
            <w:tcW w:w="2283" w:type="dxa"/>
            <w:gridSpan w:val="10"/>
            <w:tcBorders/>
            <w:shd w:fill="auto" w:val="clear"/>
          </w:tcPr>
          <w:p>
            <w:pPr>
              <w:pStyle w:val="TableContents"/>
              <w:spacing w:before="0" w:after="283"/>
              <w:rPr>
                <w:sz w:val="4"/>
                <w:szCs w:val="4"/>
              </w:rPr>
            </w:pPr>
            <w:r>
              <w:rPr>
                <w:sz w:val="4"/>
                <w:szCs w:val="4"/>
              </w:rPr>
            </w:r>
          </w:p>
        </w:tc>
      </w:tr>
      <w:tr>
        <w:trPr/>
        <w:tc>
          <w:tcPr>
            <w:tcW w:w="9378"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762" w:type="dxa"/>
            <w:gridSpan w:val="3"/>
            <w:tcBorders/>
            <w:shd w:fill="auto" w:val="clear"/>
            <w:vAlign w:val="center"/>
          </w:tcPr>
          <w:p>
            <w:pPr>
              <w:pStyle w:val="TableContents"/>
              <w:spacing w:before="0" w:after="283"/>
              <w:rPr>
                <w:sz w:val="4"/>
                <w:szCs w:val="4"/>
              </w:rPr>
            </w:pPr>
            <w:r>
              <w:rPr>
                <w:sz w:val="4"/>
                <w:szCs w:val="4"/>
              </w:rPr>
            </w:r>
          </w:p>
        </w:tc>
        <w:tc>
          <w:tcPr>
            <w:tcW w:w="2283" w:type="dxa"/>
            <w:gridSpan w:val="10"/>
            <w:tcBorders/>
            <w:shd w:fill="auto" w:val="clea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79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w:t>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California</w:t>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Azalea</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Ulta / Michaels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Bell Gardens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67,000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Bob's Discount Furniture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Colorado Blvd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True Food Kitchen</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Crow Canyon Commons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Sprouts</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Wine &amp; More / Rite Aid / Alamo Ace Hardware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East Bay Bridge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59,000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Pak-N-Save</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Target / Nordstrom Rack</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Escondido Promenade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Dick’s Sporting Goods / Ross Dress For Less / Bob's Discount Furniture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Fourth Street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CB2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Freedom Plaza</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Smart &amp; Final</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Blink Fitness / Ross Dress For Less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Grossmont Center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932,000 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Walmart / Macy's / CVS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Hastings Ranch Plaza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HomeGoods / CVS / Sears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Hollywood Blvd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Marshalls / L.A.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 Court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Lunardi's</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Town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Sephora / Teleferic Barcelona</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Olivo at Mission Hills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24 Hour Fitness / Ross Dress For Less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Sol</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El Segundo / The Point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HomeGoods / Dick's Sporting Goods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Antonio Center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Walmart / 24 Hour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Santana Row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1,285,738 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1,206,000 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662</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Crate &amp; Barrel / Container Store / H&amp;M / Best Buy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Sylmar Towne Center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Third Street Promenade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adidas / Patagonia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Westgate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648,000 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Nordstrom Rack / Nike Factory / TJ Maxx</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California</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3,075,394 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6,456,000 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Washington Metropolitan Area</w:t>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Barcroft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Bethesda Row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529,000 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w:t>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Apple / Equinox / Anthropologie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Birch &amp; Broad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Staples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Chesterbrook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Starbucks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Congressional Plaza</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194</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Fresh Market</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Buy Buy Baby / Ulta / Barnes &amp; Noble / Container Store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Courthouse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Fairfax Junction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Planet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Federal Plaza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Micro Center / Ross Dress For Less</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tbl>
      <w:tblPr>
        <w:tblW w:w="12415" w:type="dxa"/>
        <w:jc w:val="center"/>
        <w:tblInd w:w="0" w:type="dxa"/>
        <w:tblCellMar>
          <w:top w:w="28" w:type="dxa"/>
          <w:left w:w="28" w:type="dxa"/>
          <w:bottom w:w="28" w:type="dxa"/>
          <w:right w:w="28" w:type="dxa"/>
        </w:tblCellMar>
      </w:tblPr>
      <w:tblGrid>
        <w:gridCol w:w="418"/>
        <w:gridCol w:w="246"/>
        <w:gridCol w:w="207"/>
        <w:gridCol w:w="109"/>
        <w:gridCol w:w="109"/>
        <w:gridCol w:w="109"/>
        <w:gridCol w:w="709"/>
        <w:gridCol w:w="709"/>
        <w:gridCol w:w="713"/>
        <w:gridCol w:w="109"/>
        <w:gridCol w:w="474"/>
        <w:gridCol w:w="247"/>
        <w:gridCol w:w="161"/>
        <w:gridCol w:w="296"/>
        <w:gridCol w:w="245"/>
        <w:gridCol w:w="246"/>
        <w:gridCol w:w="180"/>
        <w:gridCol w:w="181"/>
        <w:gridCol w:w="109"/>
        <w:gridCol w:w="109"/>
        <w:gridCol w:w="109"/>
        <w:gridCol w:w="109"/>
        <w:gridCol w:w="359"/>
        <w:gridCol w:w="362"/>
        <w:gridCol w:w="131"/>
        <w:gridCol w:w="109"/>
        <w:gridCol w:w="109"/>
        <w:gridCol w:w="109"/>
        <w:gridCol w:w="186"/>
        <w:gridCol w:w="175"/>
        <w:gridCol w:w="341"/>
        <w:gridCol w:w="109"/>
        <w:gridCol w:w="109"/>
        <w:gridCol w:w="109"/>
        <w:gridCol w:w="109"/>
        <w:gridCol w:w="109"/>
        <w:gridCol w:w="109"/>
        <w:gridCol w:w="260"/>
        <w:gridCol w:w="260"/>
        <w:gridCol w:w="261"/>
        <w:gridCol w:w="321"/>
        <w:gridCol w:w="220"/>
        <w:gridCol w:w="221"/>
        <w:gridCol w:w="109"/>
        <w:gridCol w:w="109"/>
        <w:gridCol w:w="109"/>
        <w:gridCol w:w="335"/>
        <w:gridCol w:w="200"/>
        <w:gridCol w:w="201"/>
        <w:gridCol w:w="809"/>
        <w:gridCol w:w="211"/>
        <w:gridCol w:w="196"/>
        <w:gridCol w:w="154"/>
      </w:tblGrid>
      <w:tr>
        <w:trPr/>
        <w:tc>
          <w:tcPr>
            <w:tcW w:w="41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20"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62" w:type="dxa"/>
            <w:gridSpan w:val="3"/>
            <w:tcBorders/>
            <w:shd w:fill="auto" w:val="clear"/>
            <w:vAlign w:val="center"/>
          </w:tcPr>
          <w:p>
            <w:pPr>
              <w:pStyle w:val="TableContents"/>
              <w:spacing w:before="0" w:after="283"/>
              <w:rPr>
                <w:sz w:val="4"/>
                <w:szCs w:val="4"/>
              </w:rPr>
            </w:pPr>
            <w:r>
              <w:rPr>
                <w:sz w:val="4"/>
                <w:szCs w:val="4"/>
              </w:rPr>
            </w:r>
          </w:p>
        </w:tc>
        <w:tc>
          <w:tcPr>
            <w:tcW w:w="2433" w:type="dxa"/>
            <w:gridSpan w:val="10"/>
            <w:tcBorders/>
            <w:shd w:fill="auto" w:val="clear"/>
          </w:tcPr>
          <w:p>
            <w:pPr>
              <w:pStyle w:val="TableContents"/>
              <w:spacing w:before="0" w:after="283"/>
              <w:rPr>
                <w:sz w:val="4"/>
                <w:szCs w:val="4"/>
              </w:rPr>
            </w:pPr>
            <w:r>
              <w:rPr>
                <w:sz w:val="4"/>
                <w:szCs w:val="4"/>
              </w:rPr>
            </w:r>
          </w:p>
        </w:tc>
      </w:tr>
      <w:tr>
        <w:trPr/>
        <w:tc>
          <w:tcPr>
            <w:tcW w:w="9220"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62" w:type="dxa"/>
            <w:gridSpan w:val="3"/>
            <w:tcBorders/>
            <w:shd w:fill="auto" w:val="clear"/>
            <w:vAlign w:val="center"/>
          </w:tcPr>
          <w:p>
            <w:pPr>
              <w:pStyle w:val="TableContents"/>
              <w:spacing w:before="0" w:after="283"/>
              <w:rPr>
                <w:sz w:val="4"/>
                <w:szCs w:val="4"/>
              </w:rPr>
            </w:pPr>
            <w:r>
              <w:rPr>
                <w:sz w:val="4"/>
                <w:szCs w:val="4"/>
              </w:rPr>
            </w:r>
          </w:p>
        </w:tc>
        <w:tc>
          <w:tcPr>
            <w:tcW w:w="2433" w:type="dxa"/>
            <w:gridSpan w:val="10"/>
            <w:tcBorders/>
            <w:shd w:fill="auto" w:val="clear"/>
          </w:tcPr>
          <w:p>
            <w:pPr>
              <w:pStyle w:val="TableContents"/>
              <w:spacing w:before="0" w:after="283"/>
              <w:rPr>
                <w:sz w:val="4"/>
                <w:szCs w:val="4"/>
              </w:rPr>
            </w:pPr>
            <w:r>
              <w:rPr>
                <w:sz w:val="4"/>
                <w:szCs w:val="4"/>
              </w:rPr>
            </w:r>
          </w:p>
        </w:tc>
      </w:tr>
      <w:tr>
        <w:trPr/>
        <w:tc>
          <w:tcPr>
            <w:tcW w:w="9220"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762" w:type="dxa"/>
            <w:gridSpan w:val="3"/>
            <w:tcBorders/>
            <w:shd w:fill="auto" w:val="clear"/>
            <w:vAlign w:val="center"/>
          </w:tcPr>
          <w:p>
            <w:pPr>
              <w:pStyle w:val="TableContents"/>
              <w:spacing w:before="0" w:after="283"/>
              <w:rPr>
                <w:sz w:val="4"/>
                <w:szCs w:val="4"/>
              </w:rPr>
            </w:pPr>
            <w:r>
              <w:rPr>
                <w:sz w:val="4"/>
                <w:szCs w:val="4"/>
              </w:rPr>
            </w:r>
          </w:p>
        </w:tc>
        <w:tc>
          <w:tcPr>
            <w:tcW w:w="2433" w:type="dxa"/>
            <w:gridSpan w:val="10"/>
            <w:tcBorders/>
            <w:shd w:fill="auto" w:val="clear"/>
          </w:tcPr>
          <w:p>
            <w:pPr>
              <w:pStyle w:val="TableContents"/>
              <w:spacing w:before="0" w:after="283"/>
              <w:rPr>
                <w:sz w:val="4"/>
                <w:szCs w:val="4"/>
              </w:rPr>
            </w:pPr>
            <w:r>
              <w:rPr>
                <w:sz w:val="4"/>
                <w:szCs w:val="4"/>
              </w:rPr>
            </w:r>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79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w:t>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Friendship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37,074 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Maggiano's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Gaithersburg Square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39,225 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Ashley Furniture HomeStore / CVS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Graham Park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25,412 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Idylwood Plaza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18,188 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Kingstowne Towne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210,301 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Safeway</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Five Below / Ross Dress For Less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Laurel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61,505 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HomeGoods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Montrose Crossing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172,401 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 Depot Design Center / Old Navy / Burlington</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Mount Vernon/South Valley/7770 Richmond Hwy</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95,069 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Shoppers Food Warehouse</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 Depot / Old Navy / Petsmart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Keene Mill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 / Planet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Pan 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31,907 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Micro Center / CVS / Michaels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&amp; Rose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821,674 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765</w:t>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Porsche / Uniqlo / REI / H&amp;M / L.L Bean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7 Plaza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53,482 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DSW / Ulta</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Mercado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46,882 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Quince Orchard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41,265 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L.A. Fitness / Staples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Shopping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23,158 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Mart</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Talbots / Total Wine &amp; More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Twinbrooke Shopping Centre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35,773 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Tyson's Station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Village at Shirlington</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76,023 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7,000 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AMC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Westpost (formerly Pentagon Row)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114,352 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Harris Teeter </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TJ Maxx / Ulta / Walgreens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Wildwood Shopping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Balducci's</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Washington Metropolitan Area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2,567,863 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6,242,000 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NY Metro/New Jersey</w:t>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Brick Plaza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107,229 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HomeGoods / Ulta / Burlington</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Brook 35</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 (5)</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51,112 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11,500 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Gap / Williams-Sonoma</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Darien Commons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142,816 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Equinox / Walgreens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Fresh Meadows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95,303 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Island of Gold</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Kohl's</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tbl>
      <w:tblPr>
        <w:tblW w:w="12389" w:type="dxa"/>
        <w:jc w:val="center"/>
        <w:tblInd w:w="0" w:type="dxa"/>
        <w:tblCellMar>
          <w:top w:w="28" w:type="dxa"/>
          <w:left w:w="28" w:type="dxa"/>
          <w:bottom w:w="28" w:type="dxa"/>
          <w:right w:w="28" w:type="dxa"/>
        </w:tblCellMar>
      </w:tblPr>
      <w:tblGrid>
        <w:gridCol w:w="364"/>
        <w:gridCol w:w="300"/>
        <w:gridCol w:w="207"/>
        <w:gridCol w:w="109"/>
        <w:gridCol w:w="109"/>
        <w:gridCol w:w="109"/>
        <w:gridCol w:w="817"/>
        <w:gridCol w:w="817"/>
        <w:gridCol w:w="497"/>
        <w:gridCol w:w="109"/>
        <w:gridCol w:w="474"/>
        <w:gridCol w:w="247"/>
        <w:gridCol w:w="161"/>
        <w:gridCol w:w="296"/>
        <w:gridCol w:w="245"/>
        <w:gridCol w:w="246"/>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359"/>
        <w:gridCol w:w="251"/>
        <w:gridCol w:w="201"/>
        <w:gridCol w:w="825"/>
        <w:gridCol w:w="195"/>
        <w:gridCol w:w="196"/>
        <w:gridCol w:w="154"/>
      </w:tblGrid>
      <w:tr>
        <w:trPr/>
        <w:tc>
          <w:tcPr>
            <w:tcW w:w="36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20"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2508" w:type="dxa"/>
            <w:gridSpan w:val="10"/>
            <w:tcBorders/>
            <w:shd w:fill="auto" w:val="clear"/>
          </w:tcPr>
          <w:p>
            <w:pPr>
              <w:pStyle w:val="TableContents"/>
              <w:spacing w:before="0" w:after="283"/>
              <w:rPr>
                <w:sz w:val="4"/>
                <w:szCs w:val="4"/>
              </w:rPr>
            </w:pPr>
            <w:r>
              <w:rPr>
                <w:sz w:val="4"/>
                <w:szCs w:val="4"/>
              </w:rPr>
            </w:r>
          </w:p>
        </w:tc>
      </w:tr>
      <w:tr>
        <w:trPr/>
        <w:tc>
          <w:tcPr>
            <w:tcW w:w="9220"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2508" w:type="dxa"/>
            <w:gridSpan w:val="10"/>
            <w:tcBorders/>
            <w:shd w:fill="auto" w:val="clear"/>
          </w:tcPr>
          <w:p>
            <w:pPr>
              <w:pStyle w:val="TableContents"/>
              <w:spacing w:before="0" w:after="283"/>
              <w:rPr>
                <w:sz w:val="4"/>
                <w:szCs w:val="4"/>
              </w:rPr>
            </w:pPr>
            <w:r>
              <w:rPr>
                <w:sz w:val="4"/>
                <w:szCs w:val="4"/>
              </w:rPr>
            </w:r>
          </w:p>
        </w:tc>
      </w:tr>
      <w:tr>
        <w:trPr/>
        <w:tc>
          <w:tcPr>
            <w:tcW w:w="9220"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2508" w:type="dxa"/>
            <w:gridSpan w:val="10"/>
            <w:tcBorders/>
            <w:shd w:fill="auto" w:val="clear"/>
          </w:tcPr>
          <w:p>
            <w:pPr>
              <w:pStyle w:val="TableContents"/>
              <w:spacing w:before="0" w:after="283"/>
              <w:rPr>
                <w:sz w:val="4"/>
                <w:szCs w:val="4"/>
              </w:rPr>
            </w:pPr>
            <w:r>
              <w:rPr>
                <w:sz w:val="4"/>
                <w:szCs w:val="4"/>
              </w:rPr>
            </w:r>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79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w:t>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Georgetowne Shopping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86,225 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Foodway</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IHOP</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33,824 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Farms</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Greenwich Avenue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23,748 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Saks Fifth Avenue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Hauppauge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35,769 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61,000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Hoboken</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 (8)</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227,581 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85,325 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Live / CVS / New York Sports Club / Sephora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88,745 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Petsmart / Michaels / Ulta</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 Square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49,463 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Barnes &amp; Noble / At Home / AMC</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Melville Mall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105,099 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Uncle Giuseppe's Marketplace</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Dick's Sporting Goods / Macy's Backstage / Public Lands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Mercer Mall</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Trenton, NJ</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132,681 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55,068 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Ross Dress for Less / Nordstrom Rack / REI / Tesla</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Grove at Shrewsbury</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 (5)</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130,443 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43,600 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Lululemon / Anthropologie / Pottery Barn / Williams-Sonoma</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Troy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41,506 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L.A. Fitness / Michaels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NY Metro/New Jersey</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1,351,544 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3,137,000 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u w:val="single"/>
              </w:rPr>
            </w:pPr>
            <w:r>
              <w:rPr>
                <w:rFonts w:ascii="Times New Roman;sans-serif" w:hAnsi="Times New Roman;sans-serif"/>
                <w:b/>
                <w:color w:val="000000"/>
                <w:sz w:val="14"/>
                <w:u w:val="single"/>
              </w:rPr>
              <w:t>New England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Assembly Row / Assembly Square Marketplace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1,122,761 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1,183,000 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947</w:t>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AMC / Nike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Campus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30,969 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Burlington</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Chelsea Commons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4,340 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Planet Fitness / CVS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Dedham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50,587 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 Market</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Linden Square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158,239 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 Dartmouth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Providence-Warwick, RI-MA</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Queen Anne Plaza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19,421 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Big Y Foods</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New England</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1,423,721 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2,189,000 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Philadelphia Metropolitan Area</w:t>
            </w:r>
          </w:p>
        </w:tc>
        <w:tc>
          <w:tcPr>
            <w:tcW w:w="109" w:type="dxa"/>
            <w:tcBorders/>
            <w:shd w:fill="auto" w:val="cle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Andorra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33,551 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24,000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Kohl's / L.A. Fitness / Five Below</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 Cynwyd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73,564 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L.A.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Ellisburg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37,946 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47,000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Buy Buy Baby / RH Outlet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Flourtown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Movie Tavern</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Langhorne Square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24,876 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Redner's Warehouse Markets</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Planet Fitness</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tbl>
      <w:tblPr>
        <w:tblW w:w="13162" w:type="dxa"/>
        <w:jc w:val="center"/>
        <w:tblInd w:w="0" w:type="dxa"/>
        <w:tblCellMar>
          <w:top w:w="28" w:type="dxa"/>
          <w:left w:w="28" w:type="dxa"/>
          <w:bottom w:w="28" w:type="dxa"/>
          <w:right w:w="28" w:type="dxa"/>
        </w:tblCellMar>
      </w:tblPr>
      <w:tblGrid>
        <w:gridCol w:w="364"/>
        <w:gridCol w:w="270"/>
        <w:gridCol w:w="207"/>
        <w:gridCol w:w="109"/>
        <w:gridCol w:w="109"/>
        <w:gridCol w:w="109"/>
        <w:gridCol w:w="709"/>
        <w:gridCol w:w="709"/>
        <w:gridCol w:w="713"/>
        <w:gridCol w:w="616"/>
        <w:gridCol w:w="109"/>
        <w:gridCol w:w="456"/>
        <w:gridCol w:w="160"/>
        <w:gridCol w:w="161"/>
        <w:gridCol w:w="245"/>
        <w:gridCol w:w="245"/>
        <w:gridCol w:w="246"/>
        <w:gridCol w:w="180"/>
        <w:gridCol w:w="181"/>
        <w:gridCol w:w="109"/>
        <w:gridCol w:w="360"/>
        <w:gridCol w:w="361"/>
        <w:gridCol w:w="109"/>
        <w:gridCol w:w="360"/>
        <w:gridCol w:w="361"/>
        <w:gridCol w:w="131"/>
        <w:gridCol w:w="143"/>
        <w:gridCol w:w="143"/>
        <w:gridCol w:w="211"/>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335"/>
        <w:gridCol w:w="200"/>
        <w:gridCol w:w="201"/>
        <w:gridCol w:w="524"/>
        <w:gridCol w:w="241"/>
        <w:gridCol w:w="196"/>
        <w:gridCol w:w="154"/>
      </w:tblGrid>
      <w:tr>
        <w:trPr/>
        <w:tc>
          <w:tcPr>
            <w:tcW w:w="364"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23" w:type="dxa"/>
            <w:gridSpan w:val="4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2178" w:type="dxa"/>
            <w:gridSpan w:val="10"/>
            <w:tcBorders/>
            <w:shd w:fill="auto" w:val="clear"/>
          </w:tcPr>
          <w:p>
            <w:pPr>
              <w:pStyle w:val="TableContents"/>
              <w:spacing w:before="0" w:after="283"/>
              <w:rPr>
                <w:sz w:val="4"/>
                <w:szCs w:val="4"/>
              </w:rPr>
            </w:pPr>
            <w:r>
              <w:rPr>
                <w:sz w:val="4"/>
                <w:szCs w:val="4"/>
              </w:rPr>
            </w:r>
          </w:p>
        </w:tc>
      </w:tr>
      <w:tr>
        <w:trPr/>
        <w:tc>
          <w:tcPr>
            <w:tcW w:w="10323" w:type="dxa"/>
            <w:gridSpan w:val="4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2178" w:type="dxa"/>
            <w:gridSpan w:val="10"/>
            <w:tcBorders/>
            <w:shd w:fill="auto" w:val="clear"/>
          </w:tcPr>
          <w:p>
            <w:pPr>
              <w:pStyle w:val="TableContents"/>
              <w:spacing w:before="0" w:after="283"/>
              <w:rPr>
                <w:sz w:val="4"/>
                <w:szCs w:val="4"/>
              </w:rPr>
            </w:pPr>
            <w:r>
              <w:rPr>
                <w:sz w:val="4"/>
                <w:szCs w:val="4"/>
              </w:rPr>
            </w:r>
          </w:p>
        </w:tc>
      </w:tr>
      <w:tr>
        <w:trPr/>
        <w:tc>
          <w:tcPr>
            <w:tcW w:w="10323" w:type="dxa"/>
            <w:gridSpan w:val="4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2178" w:type="dxa"/>
            <w:gridSpan w:val="10"/>
            <w:tcBorders/>
            <w:shd w:fill="auto" w:val="clea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130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Lawrence Park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62,628 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Barnes &amp; Noble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Northeast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35,502 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Ulta / Skechers / Crunch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Grove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Five Below</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Wynnewood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43,880 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98,000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DSW</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Philadelphia Metropolitan Area</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31" w:type="dxa"/>
            <w:gridSpan w:val="3"/>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470"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497" w:type="dxa"/>
            <w:gridSpan w:val="3"/>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South Florida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CocoWalk</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 (9)</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201,973 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Cinepolis Theaters / Youfit Health Club / Multiple Restaurants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Del Mar Village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75,203 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Winn Dixie</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Shops at Pembroke Gardens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180,976 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Factory / Old Navy / DSW / Barnes &amp; Noble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102,359 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Ross Dress For Less / Best Buy / Ulta</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South Florida</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560,511 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1,285,000 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Baltimore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Governor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34,531 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Dick's Sporting Goods / Ross Dress for Less / Petco</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Perring Plaza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35,470</w:t>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58,000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Shoppers Food Warehouse</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Micro Center</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AVENUE at White Marsh</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128,239 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Ulta / Old Navy / Nike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Shoppes at Nottingham Square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19,513 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27,062 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27,921 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Baltimore</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272,736 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1,125,000 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31" w:type="dxa"/>
            <w:gridSpan w:val="3"/>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470"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497" w:type="dxa"/>
            <w:gridSpan w:val="3"/>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Chicago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Crossroads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36,638 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Fitness / Ulta / Binny's / Ferguson's Bath, Kitchen &amp; Lighting Gallery</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Finley Square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42,329 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Bed, Bath &amp; Beyond / Buy Buy Baby / Michaels / Portillo's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Garden Market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15,611 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Mariano's Fresh Market</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Riverpoint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122,201 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86,000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Jewel Osco</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Old Navy</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Chicago</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216,779 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Barracks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74,532 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99,000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Kroger</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Bed, Bath &amp; Beyond / Old Navy / Ulta</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Bristol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Hartford-West Hartford-East Hartford, CT</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36,368 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85 </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Burlington</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Camelback Colonnade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725" w:type="dxa"/>
            <w:gridSpan w:val="2"/>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180,257 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82,000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Fry's Food &amp; Drug</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Floor &amp; Décor / Marshalls / Nordstrom Last Chance / Best Buy</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tbl>
      <w:tblPr>
        <w:tblW w:w="11639" w:type="dxa"/>
        <w:jc w:val="center"/>
        <w:tblInd w:w="0" w:type="dxa"/>
        <w:tblCellMar>
          <w:top w:w="28" w:type="dxa"/>
          <w:left w:w="28" w:type="dxa"/>
          <w:bottom w:w="28" w:type="dxa"/>
          <w:right w:w="28" w:type="dxa"/>
        </w:tblCellMar>
      </w:tblPr>
      <w:tblGrid>
        <w:gridCol w:w="249"/>
        <w:gridCol w:w="205"/>
        <w:gridCol w:w="207"/>
        <w:gridCol w:w="109"/>
        <w:gridCol w:w="109"/>
        <w:gridCol w:w="109"/>
        <w:gridCol w:w="519"/>
        <w:gridCol w:w="519"/>
        <w:gridCol w:w="523"/>
        <w:gridCol w:w="109"/>
        <w:gridCol w:w="181"/>
        <w:gridCol w:w="826"/>
        <w:gridCol w:w="109"/>
        <w:gridCol w:w="181"/>
        <w:gridCol w:w="646"/>
        <w:gridCol w:w="109"/>
        <w:gridCol w:w="247"/>
        <w:gridCol w:w="249"/>
        <w:gridCol w:w="109"/>
        <w:gridCol w:w="109"/>
        <w:gridCol w:w="109"/>
        <w:gridCol w:w="109"/>
        <w:gridCol w:w="412"/>
        <w:gridCol w:w="414"/>
        <w:gridCol w:w="131"/>
        <w:gridCol w:w="109"/>
        <w:gridCol w:w="109"/>
        <w:gridCol w:w="109"/>
        <w:gridCol w:w="197"/>
        <w:gridCol w:w="164"/>
        <w:gridCol w:w="363"/>
        <w:gridCol w:w="109"/>
        <w:gridCol w:w="109"/>
        <w:gridCol w:w="109"/>
        <w:gridCol w:w="109"/>
        <w:gridCol w:w="109"/>
        <w:gridCol w:w="109"/>
        <w:gridCol w:w="260"/>
        <w:gridCol w:w="260"/>
        <w:gridCol w:w="261"/>
        <w:gridCol w:w="220"/>
        <w:gridCol w:w="220"/>
        <w:gridCol w:w="221"/>
        <w:gridCol w:w="109"/>
        <w:gridCol w:w="109"/>
        <w:gridCol w:w="109"/>
        <w:gridCol w:w="200"/>
        <w:gridCol w:w="200"/>
        <w:gridCol w:w="201"/>
        <w:gridCol w:w="420"/>
        <w:gridCol w:w="195"/>
        <w:gridCol w:w="196"/>
        <w:gridCol w:w="154"/>
      </w:tblGrid>
      <w:tr>
        <w:trPr/>
        <w:tc>
          <w:tcPr>
            <w:tcW w:w="24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085"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893" w:type="dxa"/>
            <w:gridSpan w:val="10"/>
            <w:tcBorders/>
            <w:shd w:fill="auto" w:val="clear"/>
          </w:tcPr>
          <w:p>
            <w:pPr>
              <w:pStyle w:val="TableContents"/>
              <w:spacing w:before="0" w:after="283"/>
              <w:rPr>
                <w:sz w:val="4"/>
                <w:szCs w:val="4"/>
              </w:rPr>
            </w:pPr>
            <w:r>
              <w:rPr>
                <w:sz w:val="4"/>
                <w:szCs w:val="4"/>
              </w:rPr>
            </w:r>
          </w:p>
        </w:tc>
      </w:tr>
      <w:tr>
        <w:trPr/>
        <w:tc>
          <w:tcPr>
            <w:tcW w:w="9085"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893" w:type="dxa"/>
            <w:gridSpan w:val="10"/>
            <w:tcBorders/>
            <w:shd w:fill="auto" w:val="clear"/>
          </w:tcPr>
          <w:p>
            <w:pPr>
              <w:pStyle w:val="TableContents"/>
              <w:spacing w:before="0" w:after="283"/>
              <w:rPr>
                <w:sz w:val="4"/>
                <w:szCs w:val="4"/>
              </w:rPr>
            </w:pPr>
            <w:r>
              <w:rPr>
                <w:sz w:val="4"/>
                <w:szCs w:val="4"/>
              </w:rPr>
            </w:r>
          </w:p>
        </w:tc>
      </w:tr>
      <w:tr>
        <w:trPr/>
        <w:tc>
          <w:tcPr>
            <w:tcW w:w="9085" w:type="dxa"/>
            <w:gridSpan w:val="4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893" w:type="dxa"/>
            <w:gridSpan w:val="10"/>
            <w:tcBorders/>
            <w:shd w:fill="auto" w:val="clea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93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9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6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Gratiot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Detroit-Warren-Dearborn, MI</w:t>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69,000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Bed, Bath &amp; Beyond / Best Buy / DSW</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Hilton Village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Houston's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 PA</w:t>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AutoZone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29th Place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w:t>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DSW / Staples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Lawn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Richmond, VA</w:t>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463,000 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Ross Dress For Less / Gold's Gym / Dick's Sporting Goods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Other</w:t>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558,519 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2,680,000 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Grand 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10,398,970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389,184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2,037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25,918,000</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94</w:t>
            </w:r>
            <w:r>
              <w:rPr>
                <w:color w:val="000000"/>
              </w:rPr>
              <w:t>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3,103</w:t>
            </w:r>
          </w:p>
        </w:tc>
        <w:tc>
          <w:tcPr>
            <w:tcW w:w="661"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93"/>
        <w:gridCol w:w="169"/>
        <w:gridCol w:w="171"/>
        <w:gridCol w:w="2951"/>
        <w:gridCol w:w="2784"/>
        <w:gridCol w:w="3937"/>
      </w:tblGrid>
      <w:tr>
        <w:trPr/>
        <w:tc>
          <w:tcPr>
            <w:tcW w:w="19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951"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3937" w:type="dxa"/>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Includes "Finance lease right of use assets."</w:t>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The mortgage or finance lease liabilities differ from the total reported on the consolidated balance sheet due to the unamortized discount, premium, and/or debt issuance costs on certain mortgages payable.</w:t>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9672"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The Trust has a controlling financial interest in this property.</w:t>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9672"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the property is subject to finance lease liabilities.</w:t>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Amounts represent 100% of the property - we own a 77.7% TIC interest. Real estate at cost represents the fair value of the property at the time of the TIC arrangement, plus subsequent real estate related additions.</w:t>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6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40 buildings primarily along Washington Street and 14th Street in Hoboken, New Jersey.</w:t>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6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CocoWalk and interests in four buildings in Coconut Grove.</w:t>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967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tbl>
      <w:tblPr>
        <w:tblW w:w="14305" w:type="dxa"/>
        <w:jc w:val="center"/>
        <w:tblInd w:w="0" w:type="dxa"/>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109"/>
        <w:gridCol w:w="109"/>
        <w:gridCol w:w="109"/>
        <w:gridCol w:w="109"/>
        <w:gridCol w:w="196"/>
        <w:gridCol w:w="871"/>
        <w:gridCol w:w="109"/>
        <w:gridCol w:w="109"/>
        <w:gridCol w:w="109"/>
        <w:gridCol w:w="109"/>
        <w:gridCol w:w="239"/>
        <w:gridCol w:w="167"/>
        <w:gridCol w:w="372"/>
        <w:gridCol w:w="109"/>
        <w:gridCol w:w="109"/>
        <w:gridCol w:w="109"/>
        <w:gridCol w:w="196"/>
        <w:gridCol w:w="556"/>
        <w:gridCol w:w="241"/>
        <w:gridCol w:w="109"/>
        <w:gridCol w:w="109"/>
        <w:gridCol w:w="109"/>
        <w:gridCol w:w="266"/>
        <w:gridCol w:w="200"/>
        <w:gridCol w:w="201"/>
        <w:gridCol w:w="109"/>
        <w:gridCol w:w="109"/>
        <w:gridCol w:w="109"/>
        <w:gridCol w:w="196"/>
        <w:gridCol w:w="961"/>
        <w:gridCol w:w="109"/>
        <w:gridCol w:w="327"/>
        <w:gridCol w:w="198"/>
        <w:gridCol w:w="562"/>
        <w:gridCol w:w="111"/>
        <w:gridCol w:w="154"/>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4151" w:type="dxa"/>
            <w:gridSpan w:val="6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4151" w:type="dxa"/>
            <w:gridSpan w:val="6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Retail Leasing Summary (1)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4151" w:type="dxa"/>
            <w:gridSpan w:val="6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4151" w:type="dxa"/>
            <w:gridSpan w:val="6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151" w:type="dxa"/>
            <w:gridSpan w:val="6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Per Sq. Ft. (PSF)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2"/>
              </w:rPr>
              <w:t>Annual Increase in 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504,502 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415,519 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12,991,578 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562,859 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14,564,905 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562,111 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20,791,119 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2,044,991 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68,258,949 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151" w:type="dxa"/>
            <w:gridSpan w:val="6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Lease Summary - Comparable (2)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242,022 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19,167,487 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146,428 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10,896,153 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3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215,351 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13,415,915 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218,493 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18,658,319 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822,294 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2,185,796 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62,137,874 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151" w:type="dxa"/>
            <w:gridSpan w:val="6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Renewal Lease Summary - Comparable (2) (7)</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269,091 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3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347,508 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343,618 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2,132,800 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1,222,697 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151" w:type="dxa"/>
            <w:gridSpan w:val="6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and Non-comparable (2) (8)</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1"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8"/>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524,286 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20,974,263 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8"/>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425,159 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13,601,431 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8"/>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584,949 </w:t>
            </w:r>
          </w:p>
        </w:tc>
        <w:tc>
          <w:tcPr>
            <w:tcW w:w="3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16,825,343 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8"/>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577,338 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20,922,719 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8"/>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2,111,732 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72,323,756 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88"/>
        <w:gridCol w:w="165"/>
        <w:gridCol w:w="167"/>
        <w:gridCol w:w="2908"/>
        <w:gridCol w:w="2805"/>
        <w:gridCol w:w="3972"/>
      </w:tblGrid>
      <w:tr>
        <w:trPr/>
        <w:tc>
          <w:tcPr>
            <w:tcW w:w="18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908"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rPr>
                <w:sz w:val="4"/>
                <w:szCs w:val="4"/>
              </w:rPr>
            </w:pPr>
            <w:r>
              <w:rPr>
                <w:sz w:val="4"/>
                <w:szCs w:val="4"/>
              </w:rPr>
            </w:r>
          </w:p>
        </w:tc>
        <w:tc>
          <w:tcPr>
            <w:tcW w:w="3972" w:type="dxa"/>
            <w:tcBorders/>
            <w:shd w:fill="auto" w:val="clear"/>
            <w:vAlign w:val="center"/>
          </w:tcPr>
          <w:p>
            <w:pPr>
              <w:pStyle w:val="TableContents"/>
              <w:spacing w:before="0" w:after="283"/>
              <w:rPr>
                <w:sz w:val="4"/>
                <w:szCs w:val="4"/>
              </w:rPr>
            </w:pPr>
            <w:r>
              <w:rPr>
                <w:sz w:val="4"/>
                <w:szCs w:val="4"/>
              </w:rPr>
            </w:r>
          </w:p>
        </w:tc>
      </w:tr>
      <w:tr>
        <w:trPr/>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reflects activity in retail spaces only for consolidated properties and Escondido Promenade; office and residential spaces are not included. Contractual option exercises are not included. See Glossary of Terms for further discussion of information included above.</w:t>
            </w:r>
          </w:p>
        </w:tc>
      </w:tr>
      <w:tr>
        <w:trPr/>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Comparable leases represent those leases signed on spaces for which there was a former tenant.</w:t>
            </w:r>
          </w:p>
        </w:tc>
      </w:tr>
      <w:tr>
        <w:trPr/>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Contractual rent represents annual rent under the new lease.</w:t>
            </w:r>
          </w:p>
        </w:tc>
      </w:tr>
      <w:tr>
        <w:trPr/>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Prior rent represents contractual rent, including percentage rent, from the prior tenant in the final 12 months of the term.</w:t>
            </w:r>
          </w:p>
        </w:tc>
      </w:tr>
      <w:tr>
        <w:trPr/>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is determined on the basis of contractual rent for the lease.</w:t>
            </w:r>
          </w:p>
        </w:tc>
      </w:tr>
      <w:tr>
        <w:trPr/>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Glossary of Terms.</w:t>
            </w:r>
          </w:p>
        </w:tc>
      </w:tr>
      <w:tr>
        <w:trPr/>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Renewal leases represent expiring leases rolling over with the same tenant in the same location. All other leases are categorized as new.</w:t>
            </w:r>
          </w:p>
        </w:tc>
      </w:tr>
      <w:tr>
        <w:trPr/>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Leases Signed, GLA Signed, Contractual Rent Per Sq. Ft. and Weighted Average Lease Term columns include information for leases signed at Phase 3 of both of our Assembly Row and Pike &amp; Rose projects and Phase 4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tc>
      </w:tr>
      <w:tr>
        <w:trPr/>
        <w:tc>
          <w:tcPr>
            <w:tcW w:w="520" w:type="dxa"/>
            <w:gridSpan w:val="3"/>
            <w:tcBorders/>
            <w:shd w:fill="auto" w:val="clear"/>
            <w:vAlign w:val="center"/>
          </w:tcPr>
          <w:p>
            <w:pPr>
              <w:pStyle w:val="TableContents"/>
              <w:spacing w:before="0" w:after="283"/>
              <w:rPr>
                <w:sz w:val="4"/>
                <w:szCs w:val="4"/>
              </w:rPr>
            </w:pPr>
            <w:r>
              <w:rPr>
                <w:sz w:val="4"/>
                <w:szCs w:val="4"/>
              </w:rPr>
            </w:r>
          </w:p>
        </w:tc>
        <w:tc>
          <w:tcPr>
            <w:tcW w:w="9685" w:type="dxa"/>
            <w:gridSpan w:val="3"/>
            <w:tcBorders/>
            <w:shd w:fill="auto" w:val="clear"/>
            <w:vAlign w:val="center"/>
          </w:tcPr>
          <w:p>
            <w:pPr>
              <w:pStyle w:val="TableContents"/>
              <w:spacing w:before="0" w:after="283"/>
              <w:rPr>
                <w:sz w:val="4"/>
                <w:szCs w:val="4"/>
              </w:rPr>
            </w:pPr>
            <w:r>
              <w:rPr>
                <w:sz w:val="4"/>
                <w:szCs w:val="4"/>
              </w:rPr>
            </w:r>
          </w:p>
        </w:tc>
      </w:tr>
      <w:tr>
        <w:trPr/>
        <w:tc>
          <w:tcPr>
            <w:tcW w:w="520" w:type="dxa"/>
            <w:gridSpan w:val="3"/>
            <w:tcBorders/>
            <w:shd w:fill="auto" w:val="clear"/>
            <w:vAlign w:val="center"/>
          </w:tcPr>
          <w:p>
            <w:pPr>
              <w:pStyle w:val="TableContents"/>
              <w:spacing w:before="0" w:after="283"/>
              <w:rPr>
                <w:sz w:val="4"/>
                <w:szCs w:val="4"/>
              </w:rPr>
            </w:pPr>
            <w:r>
              <w:rPr>
                <w:sz w:val="4"/>
                <w:szCs w:val="4"/>
              </w:rPr>
            </w:r>
          </w:p>
        </w:tc>
        <w:tc>
          <w:tcPr>
            <w:tcW w:w="96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346"/>
        <w:gridCol w:w="303"/>
        <w:gridCol w:w="282"/>
        <w:gridCol w:w="479"/>
        <w:gridCol w:w="482"/>
        <w:gridCol w:w="269"/>
        <w:gridCol w:w="266"/>
        <w:gridCol w:w="163"/>
        <w:gridCol w:w="349"/>
        <w:gridCol w:w="205"/>
        <w:gridCol w:w="584"/>
        <w:gridCol w:w="114"/>
        <w:gridCol w:w="109"/>
        <w:gridCol w:w="109"/>
        <w:gridCol w:w="109"/>
        <w:gridCol w:w="435"/>
        <w:gridCol w:w="436"/>
        <w:gridCol w:w="269"/>
        <w:gridCol w:w="304"/>
        <w:gridCol w:w="131"/>
        <w:gridCol w:w="312"/>
        <w:gridCol w:w="205"/>
        <w:gridCol w:w="584"/>
        <w:gridCol w:w="114"/>
        <w:gridCol w:w="109"/>
        <w:gridCol w:w="109"/>
        <w:gridCol w:w="109"/>
        <w:gridCol w:w="479"/>
        <w:gridCol w:w="482"/>
        <w:gridCol w:w="273"/>
        <w:gridCol w:w="273"/>
        <w:gridCol w:w="153"/>
        <w:gridCol w:w="302"/>
        <w:gridCol w:w="205"/>
        <w:gridCol w:w="582"/>
        <w:gridCol w:w="170"/>
      </w:tblGrid>
      <w:tr>
        <w:trPr/>
        <w:tc>
          <w:tcPr>
            <w:tcW w:w="3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Expirations</w:t>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0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2" w:type="dxa"/>
            <w:gridSpan w:val="1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no exercise of lease options</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7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489,000 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1,022,000 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16,079,000 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7,870,000 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23,949,000 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78"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03"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42" w:type="dxa"/>
            <w:gridSpan w:val="1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all lease options are exercised</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7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876,000 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32.89 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10,867,000 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2,786,000 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13,653,000 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16,079,000 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7,870,000 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23,949,000 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08"/>
        <w:gridCol w:w="183"/>
        <w:gridCol w:w="184"/>
        <w:gridCol w:w="2819"/>
        <w:gridCol w:w="2813"/>
        <w:gridCol w:w="3998"/>
      </w:tblGrid>
      <w:tr>
        <w:trPr/>
        <w:tc>
          <w:tcPr>
            <w:tcW w:w="20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819" w:type="dxa"/>
            <w:tcBorders/>
            <w:shd w:fill="auto" w:val="clear"/>
            <w:vAlign w:val="center"/>
          </w:tcPr>
          <w:p>
            <w:pPr>
              <w:pStyle w:val="TableContents"/>
              <w:spacing w:before="0" w:after="283"/>
              <w:rPr>
                <w:sz w:val="4"/>
                <w:szCs w:val="4"/>
              </w:rPr>
            </w:pPr>
            <w:r>
              <w:rPr>
                <w:sz w:val="4"/>
                <w:szCs w:val="4"/>
              </w:rPr>
            </w:r>
          </w:p>
        </w:tc>
        <w:tc>
          <w:tcPr>
            <w:tcW w:w="2813" w:type="dxa"/>
            <w:tcBorders/>
            <w:shd w:fill="auto" w:val="clear"/>
            <w:vAlign w:val="center"/>
          </w:tcPr>
          <w:p>
            <w:pPr>
              <w:pStyle w:val="TableContents"/>
              <w:spacing w:before="0" w:after="283"/>
              <w:rPr>
                <w:sz w:val="4"/>
                <w:szCs w:val="4"/>
              </w:rPr>
            </w:pPr>
            <w:r>
              <w:rPr>
                <w:sz w:val="4"/>
                <w:szCs w:val="4"/>
              </w:rPr>
            </w:r>
          </w:p>
        </w:tc>
        <w:tc>
          <w:tcPr>
            <w:tcW w:w="3998" w:type="dxa"/>
            <w:tcBorders/>
            <w:shd w:fill="auto" w:val="clear"/>
            <w:vAlign w:val="center"/>
          </w:tcPr>
          <w:p>
            <w:pPr>
              <w:pStyle w:val="TableContents"/>
              <w:spacing w:before="0" w:after="283"/>
              <w:rPr>
                <w:sz w:val="4"/>
                <w:szCs w:val="4"/>
              </w:rPr>
            </w:pPr>
            <w:r>
              <w:rPr>
                <w:sz w:val="4"/>
                <w:szCs w:val="4"/>
              </w:rPr>
            </w:r>
          </w:p>
        </w:tc>
      </w:tr>
      <w:tr>
        <w:trPr/>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Anchor is defined as a commercial tenant leasing 10,000 square feet or more.</w:t>
            </w:r>
          </w:p>
        </w:tc>
      </w:tr>
      <w:tr>
        <w:trPr/>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Rent reflects in-place contractual (defined as rents on a cash-basis without taking the impacts of rent abatements into account) rent as of March 31, 2023.</w:t>
            </w:r>
          </w:p>
        </w:tc>
      </w:tr>
      <w:tr>
        <w:trPr/>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occupied square footage of the commercial portion of our portfolio as of March 31, 2023 and includes our 77.7% pro-rata share of Escondido Promenade.</w:t>
            </w:r>
          </w:p>
        </w:tc>
      </w:tr>
      <w:tr>
        <w:trPr/>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tbl>
      <w:tblPr>
        <w:tblW w:w="7685" w:type="dxa"/>
        <w:jc w:val="left"/>
        <w:tblInd w:w="0" w:type="dxa"/>
        <w:tblCellMar>
          <w:top w:w="28" w:type="dxa"/>
          <w:left w:w="28" w:type="dxa"/>
          <w:bottom w:w="28" w:type="dxa"/>
          <w:right w:w="28" w:type="dxa"/>
        </w:tblCellMar>
      </w:tblPr>
      <w:tblGrid>
        <w:gridCol w:w="1038"/>
        <w:gridCol w:w="910"/>
        <w:gridCol w:w="916"/>
        <w:gridCol w:w="295"/>
        <w:gridCol w:w="295"/>
        <w:gridCol w:w="699"/>
        <w:gridCol w:w="109"/>
        <w:gridCol w:w="109"/>
        <w:gridCol w:w="109"/>
        <w:gridCol w:w="354"/>
        <w:gridCol w:w="354"/>
        <w:gridCol w:w="836"/>
        <w:gridCol w:w="109"/>
        <w:gridCol w:w="109"/>
        <w:gridCol w:w="109"/>
        <w:gridCol w:w="278"/>
        <w:gridCol w:w="278"/>
        <w:gridCol w:w="778"/>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Leased Statistics</w:t>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Properties</w:t>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(1)(2)(3)</w:t>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Leasable Area (GLA)</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25,852,000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24,936,000</w:t>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8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6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8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7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anchor tenants</w:t>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8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small shop tenants</w:t>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6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8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7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GLA </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23,330,000</w:t>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8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6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8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7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Properties</w:t>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(1)(3)(4)</w:t>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w:t>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8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8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01"/>
        <w:gridCol w:w="176"/>
        <w:gridCol w:w="177"/>
        <w:gridCol w:w="3002"/>
        <w:gridCol w:w="2749"/>
        <w:gridCol w:w="3900"/>
      </w:tblGrid>
      <w:tr>
        <w:trPr/>
        <w:tc>
          <w:tcPr>
            <w:tcW w:w="2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002" w:type="dxa"/>
            <w:tcBorders/>
            <w:shd w:fill="auto" w:val="clear"/>
            <w:vAlign w:val="center"/>
          </w:tcPr>
          <w:p>
            <w:pPr>
              <w:pStyle w:val="TableContents"/>
              <w:spacing w:before="0" w:after="283"/>
              <w:rPr>
                <w:sz w:val="4"/>
                <w:szCs w:val="4"/>
              </w:rPr>
            </w:pPr>
            <w:r>
              <w:rPr>
                <w:sz w:val="4"/>
                <w:szCs w:val="4"/>
              </w:rPr>
            </w:r>
          </w:p>
        </w:tc>
        <w:tc>
          <w:tcPr>
            <w:tcW w:w="2749" w:type="dxa"/>
            <w:tcBorders/>
            <w:shd w:fill="auto" w:val="clear"/>
            <w:vAlign w:val="center"/>
          </w:tcPr>
          <w:p>
            <w:pPr>
              <w:pStyle w:val="TableContents"/>
              <w:spacing w:before="0" w:after="283"/>
              <w:rPr>
                <w:sz w:val="4"/>
                <w:szCs w:val="4"/>
              </w:rPr>
            </w:pPr>
            <w:r>
              <w:rPr>
                <w:sz w:val="4"/>
                <w:szCs w:val="4"/>
              </w:rPr>
            </w:r>
          </w:p>
        </w:tc>
        <w:tc>
          <w:tcPr>
            <w:tcW w:w="3900" w:type="dxa"/>
            <w:tcBorders/>
            <w:shd w:fill="auto" w:val="clear"/>
            <w:vAlign w:val="center"/>
          </w:tcPr>
          <w:p>
            <w:pPr>
              <w:pStyle w:val="TableContents"/>
              <w:spacing w:before="0" w:after="283"/>
              <w:rPr>
                <w:sz w:val="4"/>
                <w:szCs w:val="4"/>
              </w:rPr>
            </w:pPr>
            <w:r>
              <w:rPr>
                <w:sz w:val="4"/>
                <w:szCs w:val="4"/>
              </w:rPr>
            </w:r>
          </w:p>
        </w:tc>
      </w:tr>
      <w:tr>
        <w:trPr/>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our 77.7% pro-rata share of Escondido Promenade.</w:t>
            </w:r>
          </w:p>
        </w:tc>
      </w:tr>
      <w:tr>
        <w:trPr/>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6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and residential units not yet placed in service.</w:t>
            </w:r>
          </w:p>
        </w:tc>
      </w:tr>
      <w:tr>
        <w:trPr/>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6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our new residential building at Darien Commons that opened in 4Q22 and is currently in the process of being leased-up for the first time. If these units were included, our total residential units would be 3,103 and 3,039, respectively, and our percentage leased would be 95.0% and 95.7%, respectively, at March 31, 2023 and December 31, 2022.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85"/>
        <w:gridCol w:w="162"/>
        <w:gridCol w:w="164"/>
        <w:gridCol w:w="109"/>
        <w:gridCol w:w="109"/>
        <w:gridCol w:w="109"/>
        <w:gridCol w:w="663"/>
        <w:gridCol w:w="554"/>
        <w:gridCol w:w="449"/>
        <w:gridCol w:w="397"/>
        <w:gridCol w:w="397"/>
        <w:gridCol w:w="398"/>
        <w:gridCol w:w="204"/>
        <w:gridCol w:w="1099"/>
        <w:gridCol w:w="113"/>
        <w:gridCol w:w="429"/>
        <w:gridCol w:w="319"/>
        <w:gridCol w:w="755"/>
        <w:gridCol w:w="479"/>
        <w:gridCol w:w="482"/>
        <w:gridCol w:w="231"/>
        <w:gridCol w:w="376"/>
        <w:gridCol w:w="266"/>
        <w:gridCol w:w="629"/>
        <w:gridCol w:w="326"/>
        <w:gridCol w:w="326"/>
        <w:gridCol w:w="475"/>
      </w:tblGrid>
      <w:tr>
        <w:trPr/>
        <w:tc>
          <w:tcPr>
            <w:tcW w:w="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Top 25 Tenants (1)</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Rank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Tenant Name</w:t>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Credit Ratings (S&amp;P/Moody's/Fitch) (2)</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Annualized Base Rent</w:t>
            </w:r>
          </w:p>
        </w:tc>
        <w:tc>
          <w:tcPr>
            <w:tcW w:w="15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Annualized Base Rent (4)</w:t>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Tenant GLA</w:t>
            </w:r>
          </w:p>
        </w:tc>
        <w:tc>
          <w:tcPr>
            <w:tcW w:w="12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GLA (4)</w:t>
            </w:r>
          </w:p>
        </w:tc>
        <w:tc>
          <w:tcPr>
            <w:tcW w:w="11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Number of Locations Leased</w:t>
            </w:r>
          </w:p>
        </w:tc>
      </w:tr>
      <w:tr>
        <w:trPr/>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TJX Companies, The</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22,761,000 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Ahold Delhaize</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14,885,000 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NetApp, Inc.</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14,339,000 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Splunk, Inc.</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 Corporation</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11,016,000 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Gap, Inc., The</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Ba3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11,001,000 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 Fitness International LLC</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B3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10,807,000 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Albertsons Companies Inc. (Acme, Balducci's, Safeway)</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Ba2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Ross Stores, Inc.</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A2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7,452,000 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Depot, Inc.</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 / A</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7,386,000 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Kroger Co., The</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Entertainment Inc.</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CCC+ / Caa2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7,105,000 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of America, N.A.</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 / AA-</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PUMA North America, Inc.</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6,807,000 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Target Corporation</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 / A</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6,310,000 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Dick's Sporting Goods, Inc.</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Baa3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6,190,000 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0.97 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Ulta Beauty, Inc.</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Michaels Stores, Inc.</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B2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5,733,000 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Bed, Bath &amp; Beyond, Inc.</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CCC- / Ca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5,225,000 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Wells Fargo Bank, N.A.</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A1 / A+</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Hudson's Bay Company (Saks)</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 Foods Market, Inc.</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 / A1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Starbucks Corporation</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DSW, Inc</w:t>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Best Buy Co., Inc.</w:t>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A3 / NR</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4,837,000 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 Top 25 Tenants</w:t>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207,548,000 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24.82 </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8,586,000 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29.87 </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(6):</w:t>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836,249,000 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28,741,000 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1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7"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leased locations is based on the gross number of locations. All other top tenant data is reported including our 77.7% share of Escondido Promenade.</w:t>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7"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Ratings are as of March 31, 2023. Subsequent rating changes have not been reflected.</w:t>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7"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See Glossary of Terms. </w:t>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7"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7"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not yet placed in service.</w:t>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7"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reflect both the commercial and residential portions of our properties.</w:t>
            </w:r>
          </w:p>
        </w:tc>
      </w:tr>
      <w:tr>
        <w:trPr/>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6" w:type="dxa"/>
            <w:gridSpan w:val="3"/>
            <w:tcBorders/>
            <w:shd w:fill="auto" w:val="clear"/>
            <w:vAlign w:val="center"/>
          </w:tcPr>
          <w:p>
            <w:pPr>
              <w:pStyle w:val="TableContents"/>
              <w:spacing w:before="0" w:after="283"/>
              <w:rPr>
                <w:sz w:val="4"/>
                <w:szCs w:val="4"/>
              </w:rPr>
            </w:pPr>
            <w:r>
              <w:rPr>
                <w:sz w:val="4"/>
                <w:szCs w:val="4"/>
              </w:rPr>
            </w:r>
          </w:p>
        </w:tc>
        <w:tc>
          <w:tcPr>
            <w:tcW w:w="7701" w:type="dxa"/>
            <w:gridSpan w:val="18"/>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tbl>
      <w:tblPr>
        <w:tblW w:w="3657"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7"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3657"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FFO Guidance</w:t>
            </w:r>
          </w:p>
        </w:tc>
      </w:tr>
      <w:tr>
        <w:trPr/>
        <w:tc>
          <w:tcPr>
            <w:tcW w:w="3657"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range of estimated earnings per diluted share to estimated FFO per diluted share for the full year 2023. Estimates do not include the impact from potential acquisitions or dispositions which have not closed as of April 30, 2023.</w:t>
      </w:r>
    </w:p>
    <w:p>
      <w:pPr>
        <w:pStyle w:val="TextBody"/>
        <w:spacing w:before="0" w:after="0"/>
        <w:rPr/>
      </w:pPr>
      <w:r>
        <w:rPr/>
      </w:r>
    </w:p>
    <w:p>
      <w:pPr>
        <w:pStyle w:val="TextBody"/>
        <w:spacing w:before="0" w:after="0"/>
        <w:rPr/>
      </w:pPr>
      <w:r>
        <w:rPr/>
      </w:r>
    </w:p>
    <w:tbl>
      <w:tblPr>
        <w:tblW w:w="8996" w:type="dxa"/>
        <w:jc w:val="left"/>
        <w:tblInd w:w="0" w:type="dxa"/>
        <w:tblCellMar>
          <w:top w:w="28" w:type="dxa"/>
          <w:left w:w="28" w:type="dxa"/>
          <w:bottom w:w="28" w:type="dxa"/>
          <w:right w:w="28" w:type="dxa"/>
        </w:tblCellMar>
      </w:tblPr>
      <w:tblGrid>
        <w:gridCol w:w="2224"/>
        <w:gridCol w:w="1950"/>
        <w:gridCol w:w="1960"/>
        <w:gridCol w:w="297"/>
        <w:gridCol w:w="720"/>
        <w:gridCol w:w="153"/>
        <w:gridCol w:w="153"/>
        <w:gridCol w:w="153"/>
        <w:gridCol w:w="153"/>
        <w:gridCol w:w="297"/>
        <w:gridCol w:w="720"/>
        <w:gridCol w:w="216"/>
      </w:tblGrid>
      <w:tr>
        <w:trPr/>
        <w:tc>
          <w:tcPr>
            <w:tcW w:w="2224"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c>
          <w:tcPr>
            <w:tcW w:w="196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2023 Guidance Range</w:t>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w:t>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net income available to common shareholders, per diluted share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gain on sale of real estate, net</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depreciation and amortization</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FFO per diluted share</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Glossary of Terms. Individual items may not add up to total due to rounding.</w:t>
      </w:r>
    </w:p>
    <w:p>
      <w:pPr>
        <w:pStyle w:val="TextBody"/>
        <w:spacing w:before="0" w:after="0"/>
        <w:rPr/>
      </w:pPr>
      <w:r>
        <w:rPr/>
      </w:r>
    </w:p>
    <w:p>
      <w:pPr>
        <w:pStyle w:val="TextBody"/>
        <w:spacing w:before="0" w:after="0"/>
        <w:rPr/>
      </w:pPr>
      <w:r>
        <w:rPr/>
      </w:r>
    </w:p>
    <w:tbl>
      <w:tblPr>
        <w:tblW w:w="8504" w:type="dxa"/>
        <w:jc w:val="left"/>
        <w:tblInd w:w="0" w:type="dxa"/>
        <w:tblCellMar>
          <w:top w:w="28" w:type="dxa"/>
          <w:left w:w="28" w:type="dxa"/>
          <w:bottom w:w="28" w:type="dxa"/>
          <w:right w:w="28" w:type="dxa"/>
        </w:tblCellMar>
      </w:tblPr>
      <w:tblGrid>
        <w:gridCol w:w="2175"/>
        <w:gridCol w:w="1908"/>
        <w:gridCol w:w="1917"/>
        <w:gridCol w:w="731"/>
        <w:gridCol w:w="731"/>
        <w:gridCol w:w="1042"/>
      </w:tblGrid>
      <w:tr>
        <w:trPr/>
        <w:tc>
          <w:tcPr>
            <w:tcW w:w="2175"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Guidance Assumptions (1):</w:t>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w:t>
            </w:r>
          </w:p>
        </w:tc>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- 4%</w:t>
            </w:r>
          </w:p>
        </w:tc>
      </w:tr>
      <w:tr>
        <w:trPr/>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 excluding prior period rents and term fees</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- 5%</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redevelopment/expansion POI (2)</w:t>
            </w:r>
          </w:p>
        </w:tc>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 $18 million</w:t>
            </w:r>
          </w:p>
        </w:tc>
      </w:tr>
      <w:tr>
        <w:trPr/>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$52 - $56 million (annual)</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Dispositions POI</w:t>
            </w:r>
          </w:p>
        </w:tc>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million</w:t>
            </w:r>
          </w:p>
        </w:tc>
      </w:tr>
      <w:tr>
        <w:trPr/>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Development/redevelopment capital</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$175 - $200 million (annual)</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to be issued</w:t>
            </w:r>
          </w:p>
        </w:tc>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$150 - $200 million (annual)</w:t>
            </w:r>
          </w:p>
        </w:tc>
      </w:tr>
      <w:tr>
        <w:trPr/>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 $22 million (annual)</w:t>
            </w:r>
          </w:p>
        </w:tc>
      </w:tr>
    </w:tbl>
    <w:p>
      <w:pPr>
        <w:pStyle w:val="TextBody"/>
        <w:spacing w:lineRule="auto" w:line="288" w:before="1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(1)Does not assume any material changes of tenants moving to or from a cash basis of accounting.</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(2)Includes the expected additional POI to be recognized in 2023 compared to the amount recognized in 2022 from all of the redevelopments listed on pages 16 and 17 of our supplemental information document filed on Form 8-K on February 8, 2023. Does not include any additional POI from "Active Property Improvement Projects."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spacing w:lineRule="auto" w:line="288" w:before="0" w:after="0"/>
        <w:rPr/>
      </w:pPr>
      <w:r>
        <w:rPr>
          <w:rFonts w:ascii="Times New Roman;sans-serif" w:hAnsi="Times New Roman;sans-serif"/>
          <w:b/>
          <w:color w:val="000000"/>
          <w:sz w:val="18"/>
        </w:rPr>
        <w:t>EBITDA for Real Estate ("EBITDAre"):</w:t>
      </w:r>
      <w:r>
        <w:rPr>
          <w:color w:val="000000"/>
        </w:rPr>
        <w:t xml:space="preserve"> </w:t>
      </w:r>
      <w:r>
        <w:rPr>
          <w:rFonts w:ascii="Times New Roman;sans-serif" w:hAnsi="Times New Roman;sans-serif"/>
          <w:b w:val="false"/>
          <w:color w:val="000000"/>
          <w:sz w:val="18"/>
        </w:rPr>
        <w:t>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ended March 31, 2023 and 2022 is as follows:</w:t>
      </w:r>
    </w:p>
    <w:tbl>
      <w:tblPr>
        <w:tblW w:w="7113" w:type="dxa"/>
        <w:jc w:val="center"/>
        <w:tblInd w:w="0" w:type="dxa"/>
        <w:tblCellMar>
          <w:top w:w="28" w:type="dxa"/>
          <w:left w:w="28" w:type="dxa"/>
          <w:bottom w:w="28" w:type="dxa"/>
          <w:right w:w="28" w:type="dxa"/>
        </w:tblCellMar>
      </w:tblPr>
      <w:tblGrid>
        <w:gridCol w:w="1448"/>
        <w:gridCol w:w="1276"/>
        <w:gridCol w:w="1281"/>
        <w:gridCol w:w="196"/>
        <w:gridCol w:w="736"/>
        <w:gridCol w:w="109"/>
        <w:gridCol w:w="109"/>
        <w:gridCol w:w="109"/>
        <w:gridCol w:w="109"/>
        <w:gridCol w:w="196"/>
        <w:gridCol w:w="736"/>
        <w:gridCol w:w="109"/>
        <w:gridCol w:w="109"/>
        <w:gridCol w:w="109"/>
        <w:gridCol w:w="109"/>
        <w:gridCol w:w="109"/>
        <w:gridCol w:w="109"/>
        <w:gridCol w:w="154"/>
      </w:tblGrid>
      <w:tr>
        <w:trPr/>
        <w:tc>
          <w:tcPr>
            <w:tcW w:w="144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Gain on sale of real estate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of EBITDAre of unconsolidated affiliates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100" w:after="283"/>
        <w:rPr/>
      </w:pPr>
      <w:r>
        <w:rPr>
          <w:rFonts w:ascii="Times New Roman;sans-serif" w:hAnsi="Times New Roman;sans-serif"/>
          <w:b/>
          <w:color w:val="000000"/>
          <w:sz w:val="18"/>
        </w:rPr>
        <w:t>Funds From Operations (FFO):</w:t>
      </w:r>
      <w:r>
        <w:rPr>
          <w:color w:val="000000"/>
        </w:rPr>
        <w:t xml:space="preserve"> </w:t>
      </w:r>
      <w:r>
        <w:rPr>
          <w:rFonts w:ascii="Times New Roman;sans-serif" w:hAnsi="Times New Roman;sans-serif"/>
          <w:b w:val="false"/>
          <w:color w:val="000000"/>
          <w:sz w:val="18"/>
        </w:rPr>
        <w:t xml:space="preserve">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w:t>
      </w:r>
    </w:p>
    <w:p>
      <w:pPr>
        <w:pStyle w:val="TextBody"/>
        <w:spacing w:lineRule="auto" w:line="288" w:before="140" w:after="283"/>
        <w:rPr/>
      </w:pPr>
      <w:r>
        <w:rPr>
          <w:rFonts w:ascii="Times New Roman;sans-serif" w:hAnsi="Times New Roman;sans-serif"/>
          <w:b/>
          <w:color w:val="000000"/>
          <w:sz w:val="18"/>
        </w:rPr>
        <w:t xml:space="preserve">Property Operating Income: </w:t>
      </w:r>
      <w:r>
        <w:rPr>
          <w:rFonts w:ascii="Times New Roman;sans-serif" w:hAnsi="Times New Roman;sans-serif"/>
          <w:b w:val="false"/>
          <w:color w:val="000000"/>
          <w:sz w:val="18"/>
        </w:rPr>
        <w:t>Rental income and mortgage interest income, less rental expenses and real estate taxes.</w:t>
      </w:r>
    </w:p>
    <w:p>
      <w:pPr>
        <w:pStyle w:val="TextBody"/>
        <w:spacing w:lineRule="auto" w:line="288" w:before="140" w:after="283"/>
        <w:rPr/>
      </w:pPr>
      <w:r>
        <w:rPr>
          <w:rFonts w:ascii="Times New Roman;sans-serif" w:hAnsi="Times New Roman;sans-serif"/>
          <w:b/>
          <w:color w:val="000000"/>
          <w:sz w:val="18"/>
        </w:rPr>
        <w:t>Overall Portfolio:</w:t>
      </w:r>
      <w:r>
        <w:rPr>
          <w:color w:val="000000"/>
        </w:rPr>
        <w:t xml:space="preserve"> </w:t>
      </w:r>
      <w:r>
        <w:rPr>
          <w:rFonts w:ascii="Times New Roman;sans-serif" w:hAnsi="Times New Roman;sans-serif"/>
          <w:b w:val="false"/>
          <w:color w:val="000000"/>
          <w:sz w:val="18"/>
        </w:rPr>
        <w:t>Includes all operating properties owned in reporting period.</w:t>
      </w:r>
    </w:p>
    <w:p>
      <w:pPr>
        <w:pStyle w:val="TextBody"/>
        <w:spacing w:lineRule="auto" w:line="288" w:before="140" w:after="283"/>
        <w:rPr/>
      </w:pPr>
      <w:r>
        <w:rPr>
          <w:rFonts w:ascii="Times New Roman;sans-serif" w:hAnsi="Times New Roman;sans-serif"/>
          <w:b/>
          <w:color w:val="000000"/>
          <w:sz w:val="18"/>
        </w:rPr>
        <w:t xml:space="preserve">Comparable Properties: </w:t>
      </w:r>
      <w:r>
        <w:rPr>
          <w:rFonts w:ascii="Times New Roman;sans-serif" w:hAnsi="Times New Roman;sans-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spacing w:lineRule="auto" w:line="288" w:before="140" w:after="283"/>
        <w:rPr/>
      </w:pPr>
      <w:r>
        <w:rPr>
          <w:rFonts w:ascii="Times New Roman;sans-serif" w:hAnsi="Times New Roman;sans-serif"/>
          <w:b/>
          <w:color w:val="000000"/>
          <w:sz w:val="18"/>
        </w:rPr>
        <w:t xml:space="preserve">Annualized Base Rent (ABR): </w:t>
      </w:r>
      <w:r>
        <w:rPr>
          <w:rFonts w:ascii="Times New Roman;sans-serif" w:hAnsi="Times New Roman;sans-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spacing w:lineRule="auto" w:line="288" w:before="140" w:after="283"/>
        <w:rPr/>
      </w:pPr>
      <w:r>
        <w:rPr>
          <w:rFonts w:ascii="Times New Roman;sans-serif" w:hAnsi="Times New Roman;sans-serif"/>
          <w:b/>
          <w:color w:val="000000"/>
          <w:sz w:val="18"/>
        </w:rPr>
        <w:t xml:space="preserve">Retail Leasing Summary - Lease Rollover Calculation: </w:t>
      </w:r>
      <w:r>
        <w:rPr>
          <w:rFonts w:ascii="Times New Roman;sans-serif" w:hAnsi="Times New Roman;sans-serif"/>
          <w:b w:val="false"/>
          <w:color w:val="000000"/>
          <w:sz w:val="18"/>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spacing w:lineRule="auto" w:line="288" w:before="140" w:after="283"/>
        <w:rPr/>
      </w:pPr>
      <w:r>
        <w:rPr>
          <w:rFonts w:ascii="Times New Roman;sans-serif" w:hAnsi="Times New Roman;sans-serif"/>
          <w:b/>
          <w:color w:val="000000"/>
          <w:sz w:val="18"/>
        </w:rPr>
        <w:t xml:space="preserve">Tenant Improvements and Incentives: </w:t>
      </w:r>
      <w:r>
        <w:rPr>
          <w:rFonts w:ascii="Times New Roman;sans-serif" w:hAnsi="Times New Roman;sans-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spacing w:lineRule="auto" w:line="288" w:before="140" w:after="283"/>
        <w:rPr/>
      </w:pPr>
      <w:r>
        <w:rPr>
          <w:rFonts w:ascii="Times New Roman;sans-serif" w:hAnsi="Times New Roman;sans-serif"/>
          <w:b/>
          <w:color w:val="000000"/>
          <w:sz w:val="18"/>
        </w:rPr>
        <w:t>General:</w:t>
      </w:r>
      <w:r>
        <w:rPr>
          <w:color w:val="000000"/>
        </w:rPr>
        <w:t xml:space="preserve"> </w:t>
      </w:r>
      <w:r>
        <w:rPr>
          <w:rFonts w:ascii="Times New Roman;sans-serif" w:hAnsi="Times New Roman;sans-serif"/>
          <w:b w:val="false"/>
          <w:color w:val="000000"/>
          <w:sz w:val="18"/>
        </w:rPr>
        <w:t xml:space="preserve">Property related statistics are the for the consolidated property portfolio except where noted. </w:t>
      </w:r>
      <w:r>
        <w:br w:type="page"/>
      </w:r>
    </w:p>
    <w:p>
      <w:pPr>
        <w:pStyle w:val="TextBody"/>
        <w:spacing w:before="0" w:after="283"/>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29</Pages>
  <Words>12590</Words>
  <CharactersWithSpaces>77622</CharactersWithSpaces>
  <Paragraphs>3841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