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80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3"/>
              </w:rPr>
              <w:t>Proposed</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Proposed</w:t>
            </w:r>
          </w:p>
        </w:tc>
        <w:tc>
          <w:tcPr>
            <w:tcW w:w="1660" w:type="dxa"/>
            <w:vAlign w:val="bottom"/>
            <w:tcBorders>
              <w:top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16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86"/>
              </w:rPr>
              <w:t>Amount</w:t>
            </w:r>
          </w:p>
        </w:tc>
        <w:tc>
          <w:tcPr>
            <w:tcW w:w="18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Maximum</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3800" w:type="dxa"/>
            <w:vAlign w:val="bottom"/>
          </w:tcPr>
          <w:p>
            <w:pPr>
              <w:jc w:val="center"/>
              <w:ind w:left="226"/>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216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83"/>
              </w:rPr>
              <w:t>to be</w:t>
            </w:r>
          </w:p>
        </w:tc>
        <w:tc>
          <w:tcPr>
            <w:tcW w:w="18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Offering</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75"/>
        </w:trPr>
        <w:tc>
          <w:tcPr>
            <w:tcW w:w="20" w:type="dxa"/>
            <w:vAlign w:val="bottom"/>
          </w:tcPr>
          <w:p>
            <w:pPr>
              <w:spacing w:after="0"/>
              <w:rPr>
                <w:sz w:val="15"/>
                <w:szCs w:val="15"/>
                <w:color w:val="auto"/>
              </w:rPr>
            </w:pPr>
          </w:p>
        </w:tc>
        <w:tc>
          <w:tcPr>
            <w:tcW w:w="3800" w:type="dxa"/>
            <w:vAlign w:val="bottom"/>
            <w:tcBorders>
              <w:bottom w:val="single" w:sz="8" w:color="auto"/>
            </w:tcBorders>
          </w:tcPr>
          <w:p>
            <w:pPr>
              <w:jc w:val="center"/>
              <w:ind w:left="206"/>
              <w:spacing w:after="0"/>
              <w:rPr>
                <w:sz w:val="20"/>
                <w:szCs w:val="20"/>
                <w:color w:val="auto"/>
              </w:rPr>
            </w:pPr>
            <w:r>
              <w:rPr>
                <w:rFonts w:ascii="Arial" w:cs="Arial" w:eastAsia="Arial" w:hAnsi="Arial"/>
                <w:sz w:val="14"/>
                <w:szCs w:val="14"/>
                <w:b w:val="1"/>
                <w:bCs w:val="1"/>
                <w:color w:val="auto"/>
                <w:w w:val="84"/>
              </w:rPr>
              <w:t>Securities to be Registered</w:t>
            </w:r>
          </w:p>
        </w:tc>
        <w:tc>
          <w:tcPr>
            <w:tcW w:w="2160" w:type="dxa"/>
            <w:vAlign w:val="bottom"/>
            <w:tcBorders>
              <w:bottom w:val="single" w:sz="8" w:color="auto"/>
            </w:tcBorders>
          </w:tcPr>
          <w:p>
            <w:pPr>
              <w:jc w:val="center"/>
              <w:ind w:left="347"/>
              <w:spacing w:after="0"/>
              <w:rPr>
                <w:sz w:val="20"/>
                <w:szCs w:val="20"/>
                <w:color w:val="auto"/>
              </w:rPr>
            </w:pPr>
            <w:r>
              <w:rPr>
                <w:rFonts w:ascii="Arial" w:cs="Arial" w:eastAsia="Arial" w:hAnsi="Arial"/>
                <w:sz w:val="14"/>
                <w:szCs w:val="14"/>
                <w:b w:val="1"/>
                <w:bCs w:val="1"/>
                <w:color w:val="auto"/>
                <w:w w:val="85"/>
              </w:rPr>
              <w:t>Registered</w:t>
            </w:r>
          </w:p>
        </w:tc>
        <w:tc>
          <w:tcPr>
            <w:tcW w:w="18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9"/>
              </w:rPr>
              <w:t>Price Per Unit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Fee(1)</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4.50% Notes due 2044</w:t>
            </w:r>
          </w:p>
        </w:tc>
        <w:tc>
          <w:tcPr>
            <w:tcW w:w="2160" w:type="dxa"/>
            <w:vAlign w:val="bottom"/>
          </w:tcPr>
          <w:p>
            <w:pPr>
              <w:jc w:val="center"/>
              <w:ind w:left="347"/>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68"/>
              <w:spacing w:after="0"/>
              <w:rPr>
                <w:sz w:val="20"/>
                <w:szCs w:val="20"/>
                <w:color w:val="auto"/>
              </w:rPr>
            </w:pPr>
            <w:r>
              <w:rPr>
                <w:rFonts w:ascii="Arial" w:cs="Arial" w:eastAsia="Arial" w:hAnsi="Arial"/>
                <w:sz w:val="18"/>
                <w:szCs w:val="18"/>
                <w:color w:val="auto"/>
                <w:w w:val="99"/>
              </w:rPr>
              <w:t>—</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$200,000,000</w:t>
            </w:r>
          </w:p>
        </w:tc>
        <w:tc>
          <w:tcPr>
            <w:tcW w:w="1660" w:type="dxa"/>
            <w:vAlign w:val="bottom"/>
          </w:tcPr>
          <w:p>
            <w:pPr>
              <w:jc w:val="right"/>
              <w:ind w:right="487"/>
              <w:spacing w:after="0"/>
              <w:rPr>
                <w:sz w:val="20"/>
                <w:szCs w:val="20"/>
                <w:color w:val="auto"/>
              </w:rPr>
            </w:pPr>
            <w:r>
              <w:rPr>
                <w:rFonts w:ascii="Arial" w:cs="Arial" w:eastAsia="Arial" w:hAnsi="Arial"/>
                <w:sz w:val="18"/>
                <w:szCs w:val="18"/>
                <w:color w:val="auto"/>
              </w:rPr>
              <w:t>$23,240</w:t>
            </w:r>
          </w:p>
        </w:tc>
      </w:tr>
    </w:tbl>
    <w:p>
      <w:pPr>
        <w:spacing w:after="0" w:line="66" w:lineRule="exact"/>
        <w:rPr>
          <w:sz w:val="24"/>
          <w:szCs w:val="24"/>
          <w:color w:val="auto"/>
        </w:rPr>
      </w:pPr>
    </w:p>
    <w:p>
      <w:pPr>
        <w:ind w:left="460" w:right="26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filing fee is calculated in accordance with Rule 457(r) under the Securities Act of 1933, as amended (the “Securities Act”), and relates to the Registration Statement on Form S-3 (No. 333-181236) filed on May 8, 2012 (the “Registration Statement”). In accordance with Rules 456(b) and 457(r) under the Securities Act, the registrant deferred payment of the registration fee for the Registration Statement.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139700</wp:posOffset>
            </wp:positionV>
            <wp:extent cx="225552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4.50% Notes due 2044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7" w:lineRule="exact"/>
        <w:rPr>
          <w:sz w:val="24"/>
          <w:szCs w:val="24"/>
          <w:color w:val="auto"/>
        </w:rPr>
      </w:pPr>
    </w:p>
    <w:p>
      <w:pPr>
        <w:jc w:val="both"/>
        <w:ind w:right="100"/>
        <w:spacing w:after="0" w:line="335" w:lineRule="auto"/>
        <w:rPr>
          <w:sz w:val="20"/>
          <w:szCs w:val="20"/>
          <w:color w:val="auto"/>
        </w:rPr>
      </w:pPr>
      <w:r>
        <w:rPr>
          <w:rFonts w:ascii="Arial" w:cs="Arial" w:eastAsia="Arial" w:hAnsi="Arial"/>
          <w:sz w:val="15"/>
          <w:szCs w:val="15"/>
          <w:color w:val="auto"/>
        </w:rPr>
        <w:t>We are offering $200,000,000 aggregate principal amount of our 4.50% Notes due 2044. The notes offered hereby consist of an additional issuance of our 4.50% Notes due 2044, $250 million aggregate principal amount of which were previously issued and are outstanding. The notes offered hereby will become part of the same series as the outstanding 4.50% Notes due 2044 for all purposes and are referred to herein, together with such outstanding notes, as the notes.</w:t>
      </w:r>
    </w:p>
    <w:p>
      <w:pPr>
        <w:spacing w:after="0" w:line="88"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notes bear interest at the rate of 4.50% per year. Interest on the notes is payable on June 1 and December 1 of each year, beginning on June 1, 2015. The notes will mature on December 1, 2044. We may redeem some or all of the notes at any time before maturity at the applicable redemption price discussed under the caption “Description of Notes — Optional Redemption.”</w:t>
      </w:r>
    </w:p>
    <w:p>
      <w:pPr>
        <w:spacing w:after="0" w:line="140" w:lineRule="exact"/>
        <w:rPr>
          <w:sz w:val="24"/>
          <w:szCs w:val="24"/>
          <w:color w:val="auto"/>
        </w:rPr>
      </w:pPr>
    </w:p>
    <w:p>
      <w:pPr>
        <w:ind w:right="520"/>
        <w:spacing w:after="0" w:line="259" w:lineRule="auto"/>
        <w:rPr>
          <w:sz w:val="20"/>
          <w:szCs w:val="20"/>
          <w:color w:val="auto"/>
        </w:rPr>
      </w:pPr>
      <w:r>
        <w:rPr>
          <w:rFonts w:ascii="Arial" w:cs="Arial" w:eastAsia="Arial" w:hAnsi="Arial"/>
          <w:sz w:val="18"/>
          <w:szCs w:val="18"/>
          <w:color w:val="auto"/>
        </w:rPr>
        <w:t>The notes are our senior unsecured obligations and rank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We do not intend to apply to list the notes on any securities exchange. An active trading market for the notes may not be maintained.</w:t>
      </w:r>
    </w:p>
    <w:p>
      <w:pPr>
        <w:spacing w:after="0" w:line="152" w:lineRule="exact"/>
        <w:rPr>
          <w:sz w:val="24"/>
          <w:szCs w:val="24"/>
          <w:color w:val="auto"/>
        </w:rPr>
      </w:pPr>
    </w:p>
    <w:p>
      <w:pPr>
        <w:jc w:val="center"/>
        <w:ind w:left="26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See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 on page 3 of the accompanying prospectus and in our Annual Report on Form 10-K for the year ended December 31, 2014, filed with the Securities and Exchange Commission, or the SEC, on February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840" w:type="dxa"/>
            <w:vAlign w:val="bottom"/>
          </w:tcPr>
          <w:p>
            <w:pPr>
              <w:spacing w:after="0"/>
              <w:rPr>
                <w:sz w:val="19"/>
                <w:szCs w:val="19"/>
                <w:color w:val="auto"/>
              </w:rPr>
            </w:pPr>
          </w:p>
        </w:tc>
        <w:tc>
          <w:tcPr>
            <w:tcW w:w="16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w w:val="86"/>
              </w:rPr>
              <w:t>Per Note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2"/>
        </w:trPr>
        <w:tc>
          <w:tcPr>
            <w:tcW w:w="78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105.379%</w:t>
            </w:r>
          </w:p>
        </w:tc>
        <w:tc>
          <w:tcPr>
            <w:tcW w:w="1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0.875%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1,750,000</w:t>
            </w: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r>
              <w:rPr>
                <w:rFonts w:ascii="Arial" w:cs="Arial" w:eastAsia="Arial" w:hAnsi="Arial"/>
                <w:sz w:val="11"/>
                <w:szCs w:val="11"/>
                <w:color w:val="auto"/>
              </w:rPr>
              <w:t>(1)</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6"/>
              </w:rPr>
              <w:t>104.504%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209,008,000</w:t>
            </w:r>
          </w:p>
        </w:tc>
        <w:tc>
          <w:tcPr>
            <w:tcW w:w="100" w:type="dxa"/>
            <w:vAlign w:val="bottom"/>
            <w:shd w:val="clear" w:color="auto" w:fill="CCEEFF"/>
          </w:tcPr>
          <w:p>
            <w:pPr>
              <w:spacing w:after="0"/>
              <w:rPr>
                <w:sz w:val="18"/>
                <w:szCs w:val="18"/>
                <w:color w:val="auto"/>
              </w:rPr>
            </w:pPr>
          </w:p>
        </w:tc>
      </w:tr>
    </w:tbl>
    <w:p>
      <w:pPr>
        <w:ind w:right="820" w:firstLine="8"/>
        <w:spacing w:after="0" w:line="258" w:lineRule="auto"/>
        <w:tabs>
          <w:tab w:leader="none" w:pos="175" w:val="left"/>
        </w:tabs>
        <w:numPr>
          <w:ilvl w:val="0"/>
          <w:numId w:val="2"/>
        </w:numPr>
        <w:rPr>
          <w:rFonts w:ascii="Arial" w:cs="Arial" w:eastAsia="Arial" w:hAnsi="Arial"/>
          <w:sz w:val="11"/>
          <w:szCs w:val="11"/>
          <w:color w:val="auto"/>
        </w:rPr>
      </w:pPr>
      <w:r>
        <w:rPr>
          <w:rFonts w:ascii="Arial" w:cs="Arial" w:eastAsia="Arial" w:hAnsi="Arial"/>
          <w:sz w:val="18"/>
          <w:szCs w:val="18"/>
          <w:color w:val="auto"/>
        </w:rPr>
        <w:t>Plus accrued interest from and including November 14, 2014 (the date of issuance of the $250 million aggregate principal amount of notes currently outstanding) to, but not including, the issuance date of the notes offered hereby in the amount of $3,050,000.00.</w:t>
      </w:r>
    </w:p>
    <w:p>
      <w:pPr>
        <w:spacing w:after="0" w:line="141"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The underwriters expect to deliver the notes offered hereby to purchasers in book-entry only form through the facilities of The Depository Trust Company on or about March 16, 2015.</w:t>
      </w:r>
    </w:p>
    <w:p>
      <w:pPr>
        <w:spacing w:after="0" w:line="126" w:lineRule="exact"/>
        <w:rPr>
          <w:sz w:val="24"/>
          <w:szCs w:val="24"/>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Joint Book-Running Managers</w:t>
      </w:r>
    </w:p>
    <w:p>
      <w:pPr>
        <w:sectPr>
          <w:pgSz w:w="11900" w:h="16838" w:orient="portrait"/>
          <w:cols w:equalWidth="0" w:num="1">
            <w:col w:w="11420"/>
          </w:cols>
          <w:pgMar w:left="240" w:top="230" w:right="239" w:bottom="998" w:gutter="0" w:footer="0" w:header="0"/>
        </w:sectPr>
      </w:pPr>
    </w:p>
    <w:p>
      <w:pPr>
        <w:spacing w:after="0" w:line="5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Wells Fargo Securities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760"/>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Deutsche Bank Securities</w:t>
      </w:r>
    </w:p>
    <w:p>
      <w:pPr>
        <w:spacing w:after="0" w:line="119" w:lineRule="exact"/>
        <w:rPr>
          <w:sz w:val="24"/>
          <w:szCs w:val="24"/>
          <w:color w:val="auto"/>
        </w:rPr>
      </w:pPr>
    </w:p>
    <w:p>
      <w:pPr>
        <w:sectPr>
          <w:pgSz w:w="11900" w:h="16838" w:orient="portrait"/>
          <w:cols w:equalWidth="0" w:num="3">
            <w:col w:w="4040" w:space="720"/>
            <w:col w:w="3600" w:space="720"/>
            <w:col w:w="2340"/>
          </w:cols>
          <w:pgMar w:left="240" w:top="230" w:right="239" w:bottom="998"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Co-Managers</w:t>
      </w:r>
    </w:p>
    <w:p>
      <w:pPr>
        <w:sectPr>
          <w:pgSz w:w="11900" w:h="16838" w:orient="portrait"/>
          <w:cols w:equalWidth="0" w:num="1">
            <w:col w:w="11420"/>
          </w:cols>
          <w:pgMar w:left="240" w:top="230" w:right="239" w:bottom="998" w:gutter="0" w:footer="0" w:header="0"/>
          <w:type w:val="continuous"/>
        </w:sectPr>
      </w:pPr>
    </w:p>
    <w:p>
      <w:pPr>
        <w:spacing w:after="0" w:line="119" w:lineRule="exact"/>
        <w:rPr>
          <w:sz w:val="24"/>
          <w:szCs w:val="24"/>
          <w:color w:val="auto"/>
        </w:rPr>
      </w:pPr>
    </w:p>
    <w:p>
      <w:pPr>
        <w:ind w:left="1100"/>
        <w:spacing w:after="0"/>
        <w:rPr>
          <w:sz w:val="20"/>
          <w:szCs w:val="20"/>
          <w:color w:val="auto"/>
        </w:rPr>
      </w:pPr>
      <w:r>
        <w:rPr>
          <w:rFonts w:ascii="Arial" w:cs="Arial" w:eastAsia="Arial" w:hAnsi="Arial"/>
          <w:sz w:val="16"/>
          <w:szCs w:val="16"/>
          <w:color w:val="auto"/>
        </w:rPr>
        <w:t>Regions Securities LLC</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SunTrust Robinson Humphrey</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Capital One Securities</w:t>
      </w:r>
    </w:p>
    <w:p>
      <w:pPr>
        <w:spacing w:after="0" w:line="151" w:lineRule="exact"/>
        <w:rPr>
          <w:sz w:val="24"/>
          <w:szCs w:val="24"/>
          <w:color w:val="auto"/>
        </w:rPr>
      </w:pPr>
    </w:p>
    <w:p>
      <w:pPr>
        <w:sectPr>
          <w:pgSz w:w="11900" w:h="16838" w:orient="portrait"/>
          <w:cols w:equalWidth="0" w:num="3">
            <w:col w:w="4040" w:space="720"/>
            <w:col w:w="3320" w:space="720"/>
            <w:col w:w="2620"/>
          </w:cols>
          <w:pgMar w:left="240" w:top="230" w:right="239" w:bottom="998" w:gutter="0" w:footer="0" w:header="0"/>
          <w:type w:val="continuous"/>
        </w:sectPr>
      </w:pPr>
    </w:p>
    <w:p>
      <w:pPr>
        <w:ind w:left="2140"/>
        <w:spacing w:after="0"/>
        <w:rPr>
          <w:sz w:val="20"/>
          <w:szCs w:val="20"/>
          <w:color w:val="auto"/>
        </w:rPr>
      </w:pPr>
      <w:r>
        <w:rPr>
          <w:rFonts w:ascii="Arial" w:cs="Arial" w:eastAsia="Arial" w:hAnsi="Arial"/>
          <w:sz w:val="16"/>
          <w:szCs w:val="16"/>
          <w:color w:val="auto"/>
        </w:rPr>
        <w:t>PNC Capital Markets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TD Securities</w:t>
      </w:r>
    </w:p>
    <w:p>
      <w:pPr>
        <w:spacing w:after="0" w:line="118" w:lineRule="exact"/>
        <w:rPr>
          <w:sz w:val="24"/>
          <w:szCs w:val="24"/>
          <w:color w:val="auto"/>
        </w:rPr>
      </w:pPr>
    </w:p>
    <w:p>
      <w:pPr>
        <w:sectPr>
          <w:pgSz w:w="11900" w:h="16838" w:orient="portrait"/>
          <w:cols w:equalWidth="0" w:num="2">
            <w:col w:w="7220" w:space="720"/>
            <w:col w:w="3480"/>
          </w:cols>
          <w:pgMar w:left="240" w:top="230" w:right="239" w:bottom="998"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The date of this prospectus supplement is March 11, 2015.</w:t>
      </w:r>
    </w:p>
    <w:p>
      <w:pPr>
        <w:sectPr>
          <w:pgSz w:w="11900" w:h="16838" w:orient="portrait"/>
          <w:cols w:equalWidth="0" w:num="1">
            <w:col w:w="11420"/>
          </w:cols>
          <w:pgMar w:left="240" w:top="230" w:right="239" w:bottom="998"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7"/>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2460" w:type="dxa"/>
            <w:vAlign w:val="bottom"/>
            <w:gridSpan w:val="4"/>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7"/>
            <w:vMerge w:val="continue"/>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1"/>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4"/>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4000" w:type="dxa"/>
            <w:vAlign w:val="bottom"/>
            <w:gridSpan w:val="9"/>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Notes</w:t>
              </w:r>
            </w:hyperlink>
          </w:p>
        </w:tc>
        <w:tc>
          <w:tcPr>
            <w:tcW w:w="3420" w:type="dxa"/>
            <w:vAlign w:val="bottom"/>
            <w:gridSpan w:val="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S-20</w:t>
            </w:r>
          </w:p>
        </w:tc>
        <w:tc>
          <w:tcPr>
            <w:tcW w:w="0" w:type="dxa"/>
            <w:vAlign w:val="bottom"/>
          </w:tcPr>
          <w:p>
            <w:pPr>
              <w:spacing w:after="0"/>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1"/>
            <w:vMerge w:val="restart"/>
          </w:tcPr>
          <w:p>
            <w:pPr>
              <w:spacing w:after="0"/>
              <w:rPr>
                <w:sz w:val="20"/>
                <w:szCs w:val="20"/>
                <w:color w:val="auto"/>
              </w:rPr>
            </w:pPr>
            <w:r>
              <w:rPr>
                <w:rFonts w:ascii="Arial" w:cs="Arial" w:eastAsia="Arial" w:hAnsi="Arial"/>
                <w:sz w:val="18"/>
                <w:szCs w:val="18"/>
                <w:color w:val="auto"/>
              </w:rPr>
              <w:t>About this Prospectus</w:t>
            </w: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02"/>
        </w:trPr>
        <w:tc>
          <w:tcPr>
            <w:tcW w:w="4900" w:type="dxa"/>
            <w:vAlign w:val="bottom"/>
            <w:gridSpan w:val="11"/>
            <w:vMerge w:val="continue"/>
          </w:tcPr>
          <w:p>
            <w:pPr>
              <w:spacing w:after="0"/>
              <w:rPr>
                <w:sz w:val="17"/>
                <w:szCs w:val="17"/>
                <w:color w:val="auto"/>
              </w:rPr>
            </w:pPr>
          </w:p>
        </w:tc>
        <w:tc>
          <w:tcPr>
            <w:tcW w:w="6060" w:type="dxa"/>
            <w:vAlign w:val="bottom"/>
            <w:gridSpan w:val="2"/>
          </w:tcPr>
          <w:p>
            <w:pPr>
              <w:spacing w:after="0"/>
              <w:rPr>
                <w:sz w:val="17"/>
                <w:szCs w:val="17"/>
                <w:color w:val="auto"/>
              </w:rPr>
            </w:pPr>
          </w:p>
        </w:tc>
        <w:tc>
          <w:tcPr>
            <w:tcW w:w="3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Forward-Looking Statements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Prospectus Summary</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Risk Factors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Use of Proceeds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Description of Debt Securities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Description of Shares of Beneficial Interest</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Material Federal Income Tax Considerations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Plan of Distribution</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Legal Matters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11"/>
          </w:tcPr>
          <w:p>
            <w:pPr>
              <w:spacing w:after="0"/>
              <w:rPr>
                <w:sz w:val="20"/>
                <w:szCs w:val="20"/>
                <w:color w:val="auto"/>
              </w:rPr>
            </w:pPr>
            <w:r>
              <w:rPr>
                <w:rFonts w:ascii="Arial" w:cs="Arial" w:eastAsia="Arial" w:hAnsi="Arial"/>
                <w:sz w:val="18"/>
                <w:szCs w:val="18"/>
                <w:color w:val="auto"/>
              </w:rPr>
              <w:t>Experts</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11"/>
          </w:tcPr>
          <w:p>
            <w:pPr>
              <w:spacing w:after="0"/>
              <w:rPr>
                <w:sz w:val="20"/>
                <w:szCs w:val="20"/>
                <w:color w:val="auto"/>
              </w:rPr>
            </w:pPr>
            <w:r>
              <w:rPr>
                <w:rFonts w:ascii="Arial" w:cs="Arial" w:eastAsia="Arial" w:hAnsi="Arial"/>
                <w:sz w:val="18"/>
                <w:szCs w:val="18"/>
                <w:color w:val="auto"/>
              </w:rPr>
              <w:t>Where You Can Find More Information</w:t>
            </w: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2014, filed with the SEC on February 10, 2015,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right="4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62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29629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firstLine="443"/>
        <w:spacing w:after="0" w:line="310" w:lineRule="auto"/>
        <w:rPr>
          <w:sz w:val="20"/>
          <w:szCs w:val="20"/>
          <w:color w:val="auto"/>
        </w:rPr>
      </w:pPr>
      <w:r>
        <w:rPr>
          <w:rFonts w:ascii="Arial" w:cs="Arial" w:eastAsia="Arial" w:hAnsi="Arial"/>
          <w:sz w:val="15"/>
          <w:szCs w:val="15"/>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2014, we owned or had a controlling interest in community and neighborhood shopping centers and mixed-use properties which are operated as 89 predominantly retail real estate projects comprising approximately 20.2 million square feet (excludes unconsolidated joint venture properties). In total, the real estate projects were 95.6% leased and 94.7% occupied at December 31, 2014. A joint venture in which we own a 30% interest owned six retail real estate projects totaling approximately 0.8 million square feet as of December 31, 2014. In total, the joint venture properties in which we own a 30% interest were 86.1% leased and 82.8% occupied at December 31, 2014. We have paid quarterly dividends to our shareholders continuously since our founding in 1962 and have increased our dividends per common share for 47 consecutive years.</w:t>
      </w:r>
    </w:p>
    <w:p>
      <w:pPr>
        <w:spacing w:after="0" w:line="27"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93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1993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for the periods indicated:</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40" w:type="dxa"/>
            <w:vAlign w:val="bottom"/>
            <w:gridSpan w:val="7"/>
          </w:tcPr>
          <w:p>
            <w:pPr>
              <w:ind w:left="160"/>
              <w:spacing w:after="0"/>
              <w:rPr>
                <w:sz w:val="20"/>
                <w:szCs w:val="20"/>
                <w:color w:val="auto"/>
              </w:rPr>
            </w:pPr>
            <w:r>
              <w:rPr>
                <w:rFonts w:ascii="Arial" w:cs="Arial" w:eastAsia="Arial" w:hAnsi="Arial"/>
                <w:sz w:val="18"/>
                <w:szCs w:val="18"/>
                <w:b w:val="1"/>
                <w:bCs w:val="1"/>
                <w:color w:val="auto"/>
              </w:rPr>
              <w:t>For the Years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7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8"/>
              </w:rPr>
              <w:t>December 31,</w:t>
            </w: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64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4"/>
              </w:rPr>
              <w:t>2014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2013</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2011</w:t>
            </w: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79"/>
              </w:rPr>
              <w:t>2010</w:t>
            </w:r>
          </w:p>
        </w:tc>
        <w:tc>
          <w:tcPr>
            <w:tcW w:w="100" w:type="dxa"/>
            <w:vAlign w:val="bottom"/>
          </w:tcPr>
          <w:p>
            <w:pPr>
              <w:spacing w:after="0"/>
              <w:rPr>
                <w:sz w:val="18"/>
                <w:szCs w:val="18"/>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27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1271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500" w:firstLine="443"/>
        <w:spacing w:after="0" w:line="259"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ind w:left="200"/>
              <w:spacing w:after="0"/>
              <w:rPr>
                <w:sz w:val="20"/>
                <w:szCs w:val="20"/>
                <w:color w:val="auto"/>
              </w:rPr>
            </w:pPr>
            <w:r>
              <w:rPr>
                <w:rFonts w:ascii="Arial" w:cs="Arial" w:eastAsia="Arial" w:hAnsi="Arial"/>
                <w:sz w:val="18"/>
                <w:szCs w:val="18"/>
                <w:color w:val="auto"/>
              </w:rPr>
              <w:t>Issuer</w:t>
            </w:r>
          </w:p>
        </w:tc>
        <w:tc>
          <w:tcPr>
            <w:tcW w:w="7940" w:type="dxa"/>
            <w:vAlign w:val="bottom"/>
          </w:tcPr>
          <w:p>
            <w:pPr>
              <w:ind w:left="980"/>
              <w:spacing w:after="0"/>
              <w:rPr>
                <w:sz w:val="20"/>
                <w:szCs w:val="20"/>
                <w:color w:val="auto"/>
              </w:rPr>
            </w:pPr>
            <w:r>
              <w:rPr>
                <w:rFonts w:ascii="Arial" w:cs="Arial" w:eastAsia="Arial" w:hAnsi="Arial"/>
                <w:sz w:val="18"/>
                <w:szCs w:val="18"/>
                <w:color w:val="auto"/>
              </w:rPr>
              <w:t>Federal Realty Investment Trust.</w:t>
            </w:r>
          </w:p>
        </w:tc>
      </w:tr>
      <w:tr>
        <w:trPr>
          <w:trHeight w:val="311"/>
        </w:trPr>
        <w:tc>
          <w:tcPr>
            <w:tcW w:w="35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980"/>
              <w:spacing w:after="0"/>
              <w:rPr>
                <w:sz w:val="20"/>
                <w:szCs w:val="20"/>
                <w:color w:val="auto"/>
              </w:rPr>
            </w:pPr>
            <w:r>
              <w:rPr>
                <w:rFonts w:ascii="Arial" w:cs="Arial" w:eastAsia="Arial" w:hAnsi="Arial"/>
                <w:sz w:val="18"/>
                <w:szCs w:val="18"/>
                <w:color w:val="auto"/>
              </w:rPr>
              <w:t>$200 million aggregate principal amount of 4.50% Notes due 2044.</w:t>
            </w:r>
          </w:p>
        </w:tc>
      </w:tr>
      <w:tr>
        <w:trPr>
          <w:trHeight w:val="304"/>
        </w:trPr>
        <w:tc>
          <w:tcPr>
            <w:tcW w:w="35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Unless redeemed prior to maturity as described below, the notes will mature on December 1,</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2044.</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980"/>
              <w:spacing w:after="0"/>
              <w:rPr>
                <w:sz w:val="20"/>
                <w:szCs w:val="20"/>
                <w:color w:val="auto"/>
              </w:rPr>
            </w:pPr>
            <w:r>
              <w:rPr>
                <w:rFonts w:ascii="Arial" w:cs="Arial" w:eastAsia="Arial" w:hAnsi="Arial"/>
                <w:sz w:val="18"/>
                <w:szCs w:val="18"/>
                <w:color w:val="auto"/>
                <w:w w:val="94"/>
              </w:rPr>
              <w:t>Interest on the notes is payable semi-annually in arrears on June 1 and December 1 of each</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year, beginning on June 1, 2015, and at maturity.</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Ranking</w:t>
            </w: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 xml:space="preserve">The notes are our senior unsecured obligations and rank </w:t>
            </w:r>
            <w:r>
              <w:rPr>
                <w:rFonts w:ascii="Arial" w:cs="Arial" w:eastAsia="Arial" w:hAnsi="Arial"/>
                <w:sz w:val="18"/>
                <w:szCs w:val="18"/>
                <w:i w:val="1"/>
                <w:iCs w:val="1"/>
                <w:color w:val="auto"/>
                <w:w w:val="93"/>
              </w:rPr>
              <w:t>pari passu</w:t>
            </w:r>
            <w:r>
              <w:rPr>
                <w:rFonts w:ascii="Arial" w:cs="Arial" w:eastAsia="Arial" w:hAnsi="Arial"/>
                <w:sz w:val="18"/>
                <w:szCs w:val="18"/>
                <w:color w:val="auto"/>
                <w:w w:val="93"/>
              </w:rPr>
              <w:t>, or equally, with all of our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89"/>
              </w:rPr>
              <w:t>other unsecured and unsubordinated indebtedness. The notes are effectively subordinated to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0"/>
              </w:rPr>
              <w:t>prior claims of each secured mortgage lender to any specific property that secures such lender’s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mortgage and to all of the unsecured indebtedness of our subsidiaries. At December 31, 2014,</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9"/>
              </w:rPr>
              <w:t>we had outstanding approximately $555 million (excluding net unamortized premium) of</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secured indebtedness, collateralized by all or parts of 14 properties, which ranks senior to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notes to the extent of the securing collateral (approximately $405 million of this amount, which</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7"/>
              </w:rPr>
              <w:t>was issued by our subsidiaries, is also structurally senior to the notes), approximately $16</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million of unsecured indebtedness issued by our subsidiaries, which is structurally senior to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notes, and approximately $1,769 million of unsecured indebtedness (excluding net unamortized</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discount), which ranks equally with the notes.</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980"/>
              <w:spacing w:after="0"/>
              <w:rPr>
                <w:sz w:val="20"/>
                <w:szCs w:val="20"/>
                <w:color w:val="auto"/>
              </w:rPr>
            </w:pPr>
            <w:r>
              <w:rPr>
                <w:rFonts w:ascii="Arial" w:cs="Arial" w:eastAsia="Arial" w:hAnsi="Arial"/>
                <w:sz w:val="18"/>
                <w:szCs w:val="18"/>
                <w:color w:val="auto"/>
                <w:w w:val="95"/>
              </w:rPr>
              <w:t>We intend to use the net proceeds from this offering to redeem all of our outstanding 6.20%</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Notes due 2017 and for general corporate purposes or may use the net proceeds to temporarily</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repay amounts outstanding under our revolving credit facility. See “Use of Proceeds” on page</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S-8 for more information.</w:t>
            </w:r>
          </w:p>
        </w:tc>
      </w:tr>
      <w:tr>
        <w:trPr>
          <w:trHeight w:val="297"/>
        </w:trPr>
        <w:tc>
          <w:tcPr>
            <w:tcW w:w="3520" w:type="dxa"/>
            <w:vAlign w:val="bottom"/>
          </w:tcPr>
          <w:p>
            <w:pPr>
              <w:ind w:left="200"/>
              <w:spacing w:after="0"/>
              <w:rPr>
                <w:sz w:val="20"/>
                <w:szCs w:val="20"/>
                <w:color w:val="auto"/>
              </w:rPr>
            </w:pPr>
            <w:r>
              <w:rPr>
                <w:rFonts w:ascii="Arial" w:cs="Arial" w:eastAsia="Arial" w:hAnsi="Arial"/>
                <w:sz w:val="18"/>
                <w:szCs w:val="18"/>
                <w:color w:val="auto"/>
              </w:rPr>
              <w:t>Limitations on incurrence of debt</w:t>
            </w:r>
          </w:p>
        </w:tc>
        <w:tc>
          <w:tcPr>
            <w:tcW w:w="7940" w:type="dxa"/>
            <w:vAlign w:val="bottom"/>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04"/>
        </w:trPr>
        <w:tc>
          <w:tcPr>
            <w:tcW w:w="3520" w:type="dxa"/>
            <w:vAlign w:val="bottom"/>
          </w:tcPr>
          <w:p>
            <w:pPr>
              <w:spacing w:after="0"/>
              <w:rPr>
                <w:sz w:val="24"/>
                <w:szCs w:val="24"/>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(1) we will not, and will not permit any subsidiary to, incur any Debt if, immediately after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6"/>
              </w:rPr>
              <w:t>giving effect to the incurrence of such Debt and the application of the proceeds thereof,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consolidated basis determined in accordance with generally accepted accounting principles is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8"/>
              </w:rPr>
              <w:t>greater than 60% of the sum of (without duplication) (a) Total Assets as of the end of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calendar quarter covered in our Annual Report on Form 10-K or Quarterly Report on Form 10-</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Q, as the case may be, most recently filed with the SEC (or, if such filing is not permitted under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the Exchange Act, with U.S. Bank National Association, the trustee) prior to the incurrence of</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89"/>
              </w:rPr>
              <w:t>such additional Debt and (b) the purchase price of any real estate assets or mortgages receivable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7"/>
              </w:rPr>
              <w:t>acquired, and the amount of any securities offering proceeds received (to the extent such</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0"/>
              </w:rPr>
              <w:t>proceeds were not used to acquire real estate assets or mortgages receivable or used to reduce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Debt), by us or any subsidiary since the end of such calendar quarter, including those proceeds</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obtained in connection with the incurrence of such additional Debt;</w:t>
            </w:r>
          </w:p>
        </w:tc>
      </w:tr>
      <w:tr>
        <w:trPr>
          <w:trHeight w:val="161"/>
        </w:trPr>
        <w:tc>
          <w:tcPr>
            <w:tcW w:w="352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59"/>
        </w:trPr>
        <w:tc>
          <w:tcPr>
            <w:tcW w:w="3520" w:type="dxa"/>
            <w:vAlign w:val="bottom"/>
          </w:tcPr>
          <w:p>
            <w:pPr>
              <w:spacing w:after="0"/>
              <w:rPr>
                <w:sz w:val="24"/>
                <w:szCs w:val="24"/>
                <w:color w:val="auto"/>
              </w:rPr>
            </w:pPr>
          </w:p>
        </w:tc>
        <w:tc>
          <w:tcPr>
            <w:tcW w:w="7940" w:type="dxa"/>
            <w:vAlign w:val="bottom"/>
          </w:tcPr>
          <w:p>
            <w:pPr>
              <w:ind w:left="20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80" w:type="dxa"/>
            <w:vAlign w:val="bottom"/>
            <w:tcBorders>
              <w:top w:val="single" w:sz="8" w:color="auto"/>
              <w:left w:val="single" w:sz="8" w:color="auto"/>
            </w:tcBorders>
          </w:tcPr>
          <w:p>
            <w:pPr>
              <w:spacing w:after="0"/>
              <w:rPr>
                <w:sz w:val="24"/>
                <w:szCs w:val="24"/>
                <w:color w:val="auto"/>
              </w:rPr>
            </w:pPr>
          </w:p>
        </w:tc>
        <w:tc>
          <w:tcPr>
            <w:tcW w:w="838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92"/>
              </w:rPr>
              <w:t>(2) we will not, and will not permit any subsidiary to, incur any Debt secured by any mortgage,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lien, charge, pledge, encumbrance or security interest of any kind upon any of our or any of our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subsidiaries’ property if, immediately after giving effect to the incurrence of such Debt and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9"/>
              </w:rPr>
              <w:t>application of the proceeds thereof, the aggregate principal amount of all of our and our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subsidiaries’ outstanding Debt on a consolidated basis which is secured by any mortgage, lien,</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charge, pledge, encumbrance or security interest on our or our subsidiaries’ property is greater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than 40% of the sum of (without duplication) (a) Total Assets as of the end of the calendar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quarter covered in our Annual Report on Form 10-K or Quarterly Report on Form 10-Q, as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case may be, most recently filed with the SEC (or, if such filing is not permitted under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Exchange Act, with the trustee) prior to the incurrence of such additional Debt and (b)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88"/>
              </w:rPr>
              <w:t>purchase price of any real estate assets or mortgages receivable acquired, and the amount of any</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0"/>
              </w:rPr>
              <w:t>securities offering proceeds received (to the extent such proceeds were not used to acquire real</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89"/>
              </w:rPr>
              <w:t>estate assets or mortgages receivable or used to reduce Debt), by us or any subsidiary since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end of such calendar quarter, including those proceeds obtained in connection with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 xml:space="preserve">incurrence of such additional Debt; </w:t>
            </w:r>
            <w:r>
              <w:rPr>
                <w:rFonts w:ascii="Arial" w:cs="Arial" w:eastAsia="Arial" w:hAnsi="Arial"/>
                <w:sz w:val="18"/>
                <w:szCs w:val="18"/>
                <w:i w:val="1"/>
                <w:iCs w:val="1"/>
                <w:color w:val="auto"/>
                <w:w w:val="93"/>
              </w:rPr>
              <w:t>provided that</w:t>
            </w:r>
            <w:r>
              <w:rPr>
                <w:rFonts w:ascii="Arial" w:cs="Arial" w:eastAsia="Arial" w:hAnsi="Arial"/>
                <w:sz w:val="18"/>
                <w:szCs w:val="18"/>
                <w:color w:val="auto"/>
                <w:w w:val="93"/>
              </w:rPr>
              <w:t xml:space="preserve"> for purposes of this limitation, the amount of</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obligations under capital leases shown as a liability on our consolidated balance sheet shall be</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deducted from Debt and from Total Assets;</w:t>
            </w:r>
          </w:p>
        </w:tc>
      </w:tr>
      <w:tr>
        <w:trPr>
          <w:trHeight w:val="291"/>
        </w:trPr>
        <w:tc>
          <w:tcPr>
            <w:tcW w:w="308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(3) we will not, and will not permit any subsidiary to, incur any Debt if the ratio of</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Consolidated Income Available for Debt Service to the Annual Debt Service Charge for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four consecutive fiscal quarters most recently ended prior to the date on which such additional</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Debt is to be incurred shall have been less than 1.5 to 1, on an unaudited pro forma basis after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giving effect thereto and to the application of the proceeds therefrom and calculated on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assumption that (a) such Debt and any other Debt incurred by us and our subsidiaries since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first day of such four-quarter period and the application of the proceeds therefrom, including to</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8"/>
              </w:rPr>
              <w:t>refinance other Debt, had occurred at the beginning of such period; (b) the repayment or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retirement of any other Debt by us and our subsidiaries since the first day of such four-quarter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period had been repaid or retired at the beginning of such period (except that, in making such</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computation, the amount of Debt under any revolving credit facility shall be computed based</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upon the average daily balance of such Debt during such period); (c) in the case of Acquired</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Debt or Debt incurred in connection with any acquisition since the first day of such four-quarter</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period, the related acquisition had occurred as of the first day of such period, with the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appropriate adjustments with respect to such acquisition being included in such unaudited pro</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forma calculation; and (d) in the case of any acquisition or disposition by us or our subsidiaries</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of any asset or group of assets since the first day of such four-quarter period, whether by</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0"/>
              </w:rPr>
              <w:t>merger, stock purchase or sale, or asset purchase or sale, such acquisition or disposition or any</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related repayment of Debt had occurred as of the first day of such period, with the appropriate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adjustments with respect to such acquisition or disposition being included in such unaudited pro</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forma calculation; and</w:t>
            </w:r>
          </w:p>
        </w:tc>
      </w:tr>
      <w:tr>
        <w:trPr>
          <w:trHeight w:val="291"/>
        </w:trPr>
        <w:tc>
          <w:tcPr>
            <w:tcW w:w="3080" w:type="dxa"/>
            <w:vAlign w:val="bottom"/>
            <w:tcBorders>
              <w:left w:val="single" w:sz="8" w:color="auto"/>
            </w:tcBorders>
          </w:tcPr>
          <w:p>
            <w:pPr>
              <w:spacing w:after="0"/>
              <w:rPr>
                <w:sz w:val="24"/>
                <w:szCs w:val="24"/>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(4) we, together with our subsidiaries, will maintain an Unencumbered Total Asset Value in an</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amount not less than 150% of the aggregate outstanding principal amount of all of our and our</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subsidiaries’ unsecured Debt, taken as a whole.</w:t>
            </w:r>
          </w:p>
        </w:tc>
      </w:tr>
      <w:tr>
        <w:trPr>
          <w:trHeight w:val="291"/>
        </w:trPr>
        <w:tc>
          <w:tcPr>
            <w:tcW w:w="30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The notes are redeemable at any time at our option, in whole or in part. If the notes are</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1"/>
              </w:rPr>
              <w:t>redeemed before June 1, 2044, the redemption price will be equal to the greater of (1) 100% of</w:t>
            </w:r>
          </w:p>
        </w:tc>
      </w:tr>
      <w:tr>
        <w:trPr>
          <w:trHeight w:val="216"/>
        </w:trPr>
        <w:tc>
          <w:tcPr>
            <w:tcW w:w="3080" w:type="dxa"/>
            <w:vAlign w:val="bottom"/>
            <w:tcBorders>
              <w:left w:val="single" w:sz="8" w:color="auto"/>
            </w:tcBorders>
          </w:tcPr>
          <w:p>
            <w:pPr>
              <w:spacing w:after="0"/>
              <w:rPr>
                <w:sz w:val="18"/>
                <w:szCs w:val="18"/>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the principal amount of the notes being redeemed, or (2) the sum of the present values of the</w:t>
            </w:r>
          </w:p>
        </w:tc>
      </w:tr>
      <w:tr>
        <w:trPr>
          <w:trHeight w:val="222"/>
        </w:trPr>
        <w:tc>
          <w:tcPr>
            <w:tcW w:w="3080" w:type="dxa"/>
            <w:vAlign w:val="bottom"/>
            <w:tcBorders>
              <w:left w:val="single" w:sz="8" w:color="auto"/>
            </w:tcBorders>
          </w:tcPr>
          <w:p>
            <w:pPr>
              <w:spacing w:after="0"/>
              <w:rPr>
                <w:sz w:val="19"/>
                <w:szCs w:val="19"/>
                <w:color w:val="auto"/>
              </w:rPr>
            </w:pPr>
          </w:p>
        </w:tc>
        <w:tc>
          <w:tcPr>
            <w:tcW w:w="838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remaining scheduled payments of</w:t>
            </w:r>
          </w:p>
        </w:tc>
      </w:tr>
      <w:tr>
        <w:trPr>
          <w:trHeight w:val="161"/>
        </w:trPr>
        <w:tc>
          <w:tcPr>
            <w:tcW w:w="3080" w:type="dxa"/>
            <w:vAlign w:val="bottom"/>
            <w:tcBorders>
              <w:left w:val="single" w:sz="8" w:color="auto"/>
              <w:bottom w:val="single" w:sz="8" w:color="auto"/>
            </w:tcBorders>
          </w:tcPr>
          <w:p>
            <w:pPr>
              <w:spacing w:after="0"/>
              <w:rPr>
                <w:sz w:val="13"/>
                <w:szCs w:val="13"/>
                <w:color w:val="auto"/>
              </w:rPr>
            </w:pPr>
          </w:p>
        </w:tc>
        <w:tc>
          <w:tcPr>
            <w:tcW w:w="8380" w:type="dxa"/>
            <w:vAlign w:val="bottom"/>
            <w:tcBorders>
              <w:bottom w:val="single" w:sz="8" w:color="auto"/>
              <w:right w:val="single" w:sz="8" w:color="auto"/>
            </w:tcBorders>
          </w:tcPr>
          <w:p>
            <w:pPr>
              <w:spacing w:after="0"/>
              <w:rPr>
                <w:sz w:val="13"/>
                <w:szCs w:val="13"/>
                <w:color w:val="auto"/>
              </w:rPr>
            </w:pPr>
          </w:p>
        </w:tc>
      </w:tr>
      <w:tr>
        <w:trPr>
          <w:trHeight w:val="359"/>
        </w:trPr>
        <w:tc>
          <w:tcPr>
            <w:tcW w:w="3080" w:type="dxa"/>
            <w:vAlign w:val="bottom"/>
          </w:tcPr>
          <w:p>
            <w:pPr>
              <w:spacing w:after="0"/>
              <w:rPr>
                <w:sz w:val="24"/>
                <w:szCs w:val="24"/>
                <w:color w:val="auto"/>
              </w:rPr>
            </w:pPr>
          </w:p>
        </w:tc>
        <w:tc>
          <w:tcPr>
            <w:tcW w:w="8380" w:type="dxa"/>
            <w:vAlign w:val="bottom"/>
          </w:tcPr>
          <w:p>
            <w:pPr>
              <w:ind w:left="25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860" w:type="dxa"/>
            <w:vAlign w:val="bottom"/>
            <w:tcBorders>
              <w:top w:val="single" w:sz="8" w:color="auto"/>
              <w:left w:val="single" w:sz="8" w:color="auto"/>
            </w:tcBorders>
          </w:tcPr>
          <w:p>
            <w:pPr>
              <w:spacing w:after="0"/>
              <w:rPr>
                <w:sz w:val="24"/>
                <w:szCs w:val="24"/>
                <w:color w:val="auto"/>
              </w:rPr>
            </w:pPr>
          </w:p>
        </w:tc>
        <w:tc>
          <w:tcPr>
            <w:tcW w:w="76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w w:val="91"/>
              </w:rPr>
              <w:t>principal and interest thereon, discounted to the redemption date on a semi-annual basis at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Adjusted Treasury Rate plus 25 basis points (0.25%), plus, in each case, accrued and unpaid</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interest thereon to, but excluding, the redemption date. If the notes are redeemed on or after</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June 1, 2044, the redemption price will be equal to 100% of the principal amount of the notes</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89"/>
              </w:rPr>
              <w:t>being redeemed plus accrued and unpaid interest thereon to, but excluding, the redemption date.</w:t>
            </w:r>
          </w:p>
        </w:tc>
      </w:tr>
      <w:tr>
        <w:trPr>
          <w:trHeight w:val="311"/>
        </w:trPr>
        <w:tc>
          <w:tcPr>
            <w:tcW w:w="3860" w:type="dxa"/>
            <w:vAlign w:val="bottom"/>
            <w:tcBorders>
              <w:left w:val="single" w:sz="8" w:color="auto"/>
            </w:tcBorders>
          </w:tcPr>
          <w:p>
            <w:pPr>
              <w:spacing w:after="0"/>
              <w:rPr>
                <w:sz w:val="24"/>
                <w:szCs w:val="24"/>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291"/>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Material federal income tax considerations</w:t>
            </w: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For a description of the material U.S. federal income tax considerations of an investment in the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notes, please review the disclosure in this prospectus supplement under “Additional Material</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6"/>
              </w:rPr>
              <w:t>Federal Income Tax Considerations” and in the accompanying prospectus under “Material</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Federal Income Tax Considerations.”</w:t>
            </w:r>
          </w:p>
        </w:tc>
      </w:tr>
      <w:tr>
        <w:trPr>
          <w:trHeight w:val="291"/>
        </w:trPr>
        <w:tc>
          <w:tcPr>
            <w:tcW w:w="3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0"/>
              </w:rPr>
              <w:t>Investing in the notes involves risks. Please review the risk factors discussed beginning on page</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7"/>
              </w:rPr>
              <w:t>S-6 of this prospectus supplement, on page 3 of the accompanying prospectus and in our</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5"/>
              </w:rPr>
              <w:t>Annual Report on Form 10-K for the year ended December 31, 2014, filed with the SEC on</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5"/>
              </w:rPr>
              <w:t>February 10, 2015, and the other information contained or incorporated by reference in this</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0"/>
              </w:rPr>
              <w:t>prospectus supplement and the accompanying prospectus for a discussion of factors you should</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1"/>
              </w:rPr>
              <w:t>consider before deciding to invest in the notes. You may obtain a copy of our Annual Report on</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3"/>
              </w:rPr>
              <w:t>Form 10-K and the other documents incorporated by reference in this prospectus supplement</w:t>
            </w:r>
          </w:p>
        </w:tc>
      </w:tr>
      <w:tr>
        <w:trPr>
          <w:trHeight w:val="216"/>
        </w:trPr>
        <w:tc>
          <w:tcPr>
            <w:tcW w:w="3860" w:type="dxa"/>
            <w:vAlign w:val="bottom"/>
            <w:tcBorders>
              <w:left w:val="single" w:sz="8" w:color="auto"/>
            </w:tcBorders>
          </w:tcPr>
          <w:p>
            <w:pPr>
              <w:spacing w:after="0"/>
              <w:rPr>
                <w:sz w:val="18"/>
                <w:szCs w:val="18"/>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4"/>
              </w:rPr>
              <w:t>and the accompanying prospectus by following the procedures described under “Where You</w:t>
            </w:r>
          </w:p>
        </w:tc>
      </w:tr>
      <w:tr>
        <w:trPr>
          <w:trHeight w:val="222"/>
        </w:trPr>
        <w:tc>
          <w:tcPr>
            <w:tcW w:w="3860" w:type="dxa"/>
            <w:vAlign w:val="bottom"/>
            <w:tcBorders>
              <w:left w:val="single" w:sz="8" w:color="auto"/>
            </w:tcBorders>
          </w:tcPr>
          <w:p>
            <w:pPr>
              <w:spacing w:after="0"/>
              <w:rPr>
                <w:sz w:val="19"/>
                <w:szCs w:val="19"/>
                <w:color w:val="auto"/>
              </w:rPr>
            </w:pPr>
          </w:p>
        </w:tc>
        <w:tc>
          <w:tcPr>
            <w:tcW w:w="76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Can Find More Information” on page 53 of the accompanying prospectus.</w:t>
            </w:r>
          </w:p>
        </w:tc>
      </w:tr>
      <w:tr>
        <w:trPr>
          <w:trHeight w:val="161"/>
        </w:trPr>
        <w:tc>
          <w:tcPr>
            <w:tcW w:w="3860" w:type="dxa"/>
            <w:vAlign w:val="bottom"/>
            <w:tcBorders>
              <w:left w:val="single" w:sz="8" w:color="auto"/>
              <w:bottom w:val="single" w:sz="8" w:color="auto"/>
            </w:tcBorders>
          </w:tcPr>
          <w:p>
            <w:pPr>
              <w:spacing w:after="0"/>
              <w:rPr>
                <w:sz w:val="13"/>
                <w:szCs w:val="13"/>
                <w:color w:val="auto"/>
              </w:rPr>
            </w:pPr>
          </w:p>
        </w:tc>
        <w:tc>
          <w:tcPr>
            <w:tcW w:w="7600" w:type="dxa"/>
            <w:vAlign w:val="bottom"/>
            <w:tcBorders>
              <w:bottom w:val="single" w:sz="8" w:color="auto"/>
              <w:right w:val="single" w:sz="8" w:color="auto"/>
            </w:tcBorders>
          </w:tcPr>
          <w:p>
            <w:pPr>
              <w:spacing w:after="0"/>
              <w:rPr>
                <w:sz w:val="13"/>
                <w:szCs w:val="13"/>
                <w:color w:val="auto"/>
              </w:rPr>
            </w:pPr>
          </w:p>
        </w:tc>
      </w:tr>
      <w:tr>
        <w:trPr>
          <w:trHeight w:val="359"/>
        </w:trPr>
        <w:tc>
          <w:tcPr>
            <w:tcW w:w="3860" w:type="dxa"/>
            <w:vAlign w:val="bottom"/>
          </w:tcPr>
          <w:p>
            <w:pPr>
              <w:spacing w:after="0"/>
              <w:rPr>
                <w:sz w:val="24"/>
                <w:szCs w:val="24"/>
                <w:color w:val="auto"/>
              </w:rPr>
            </w:pPr>
          </w:p>
        </w:tc>
        <w:tc>
          <w:tcPr>
            <w:tcW w:w="7600" w:type="dxa"/>
            <w:vAlign w:val="bottom"/>
          </w:tcPr>
          <w:p>
            <w:pPr>
              <w:ind w:left="17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2014 filed with the SEC on February 10, 2015 before you decide to purchase the notes. The risks and uncertainties described below and in the incorporated Form 10-K for the year ended December 31, 2014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intercompany cash flows to satisfy our obligations under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structurally subordinated to the claims of our subsidiaries’ creditors and our subsidiaries’ preferred equity holders.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are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December 31, 2014, our subsidiaries had approximately $420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unsecured and are effectively subordinated to our secured indebtedness.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Because the notes are unsecured, they are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December 31, 2014, we had approximately $555 million (excluding net unamortized premium) of secured debt outstanding, all of which was effectively senior to the notes to the extent of the value of the securing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the notes may not be maintained.</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Although we do not intend to apply for listing of the notes on any securities exchange or on any automated dealer quotation system, a trading market currently exists for the $250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an active public market for the notes will be maintained. If an active public trading market for the notes is not maintained, the market price and liquidity of the notes may be adversely affected.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notes are traded after their initial issuance, they may trade at a discount from their initial offering price, depending upon prevailing interest rates and other factors, including those listed above.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$208.6 million after deducting the underwriting discount and other estimated expenses of this offering payable by us (but excluding accrued interest of approximately $3.1 million). We intend to use these net proceeds to redeem all of our outstanding 6.20% Notes due 2017 and for general corporate purposes. Pending application of the net proceeds, we may invest the net proceeds in short-term income-producing investments or may use the net proceeds to temporarily repay amounts outstanding under our revolving credit facility.</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December 31, 2014, 6.20% Notes due 2017 with an aggregate principal amount of $200 million were outstanding. In addition to the payment of outstanding principal amount and accrued but unpaid interest, redemption of the 6.20% Notes due 2017 will be subject to a make-whole premium in the aggregate amount of approximately $19 million. The 6.20% Notes due 2017 are scheduled to mature on January 15, 2017.</w:t>
      </w:r>
    </w:p>
    <w:p>
      <w:pPr>
        <w:spacing w:after="0" w:line="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December 31, 2014, we had no amount outstanding under our revolving credit facility (which has increased to $57.5 million as of March 10, 2015).</w:t>
      </w:r>
    </w:p>
    <w:p>
      <w:pPr>
        <w:spacing w:after="0" w:line="6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Affiliates of certain of the underwriters may be beneficial owners of some of our 6.20% Notes due 2017. Any such affiliates will receive pro rata portions of the net proceeds from this offering used to redeem our 6.20% Notes due 2017.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are offering $200 million of our 4.50% notes maturing on December 1, 2044, which may be redeemed prior to that date in accordance with their terms. The notes offered hereby consist of an additional issuance of our 4.50% Notes due 2044, $250 million aggregate principal amount of which were previously issued and are outstanding. The notes offered hereby will become part of the same series as the outstanding 4.50% Notes due 2044 for all purposes.</w:t>
      </w:r>
    </w:p>
    <w:p>
      <w:pPr>
        <w:spacing w:after="0" w:line="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will pay interest on the notes semi-annually in arrears on June 1 and December 1 of each year, beginning June 1, 2015, to the registered holders of the notes on the preceding May 15 and November 15.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notes offered hereby will be issued only in registered form in denominations of $2,000 and integral multiples of $1,000 in excess thereof.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are not entitled to the benefit of any sinking fund.</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offering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notes are our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or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 At December 31, 2014, we had outstanding approximately $555 million (excluding net unamortized premium) of secured indebtedness collateralized by all or parts of 14 properties, which ranks senior to the notes to the extent of securing collateral (approximately $405 million of this amount, which was issued by our subsidiaries, is also structurally senior to the notes), approximately $16 million of unsecured indebtedness issued by our subsidiaries, which is structurally senior to the notes, and approximately $1,769 million of unsecured indebtedness (excluding net unamortized discount), which ranks equally.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June 1, 2044,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(0.25%), plus, in each case, accrued and unpaid interest thereon to, but excluding, the redemption date. If the notes are redeemed on or after June 1, 2044, the redemption price will be equal to 100% of the principal amount of the notes being redeemed plus accrued and unpaid interest thereon to, but excluding, the redemption date.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each of (1) a Primary Treasury Dealer (as defined below) selected by Wells Fargo Securities, LLC, (2) Merrill Lynch, Pierce, Fenner &amp; Smith Incorporated and Deutsche Bank Securities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(3) any two other Primary Treasury Dealers selected by us.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Notice of any redemption will be mailed at least 20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not, and will not permit any subsidiary to, incur any Debt if, immediately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w:t>
      </w:r>
    </w:p>
    <w:p>
      <w:pPr>
        <w:spacing w:after="0" w:line="1" w:lineRule="exact"/>
        <w:rPr>
          <w:sz w:val="20"/>
          <w:szCs w:val="20"/>
          <w:color w:val="auto"/>
        </w:rPr>
      </w:pPr>
    </w:p>
    <w:p>
      <w:pPr>
        <w:ind w:right="40" w:firstLine="8"/>
        <w:spacing w:after="0" w:line="292"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to the foregoing limitation on the incurrence of Debt, the notes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for purposes of this limitation, the amount of obligations under capital leases shown as a liability on our consolidated balance sheet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deducted from Debt and from Total Assets.</w:t>
      </w:r>
    </w:p>
    <w:p>
      <w:pPr>
        <w:spacing w:after="0" w:line="4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Furthermore, the notes also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3"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and will cause each of our subsidiaries to, maintain insurance with financially sound and reputable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b w:val="1"/>
          <w:bCs w:val="1"/>
          <w:i w:val="1"/>
          <w:iCs w:val="1"/>
          <w:color w:val="auto"/>
        </w:rPr>
        <w:t>Events of Default.</w:t>
      </w:r>
      <w:r>
        <w:rPr>
          <w:sz w:val="20"/>
          <w:szCs w:val="20"/>
          <w:color w:val="auto"/>
        </w:rPr>
        <w:tab/>
      </w:r>
      <w:r>
        <w:rPr>
          <w:rFonts w:ascii="Arial" w:cs="Arial" w:eastAsia="Arial" w:hAnsi="Arial"/>
          <w:sz w:val="16"/>
          <w:szCs w:val="16"/>
          <w:color w:val="auto"/>
        </w:rPr>
        <w:t>The notes are subject to the following events of default:</w:t>
      </w:r>
    </w:p>
    <w:p>
      <w:pPr>
        <w:spacing w:after="0" w:line="90" w:lineRule="exact"/>
        <w:rPr>
          <w:sz w:val="20"/>
          <w:szCs w:val="20"/>
          <w:color w:val="auto"/>
        </w:rPr>
      </w:pPr>
    </w:p>
    <w:p>
      <w:pPr>
        <w:ind w:left="460" w:right="40" w:firstLine="443"/>
        <w:spacing w:after="0" w:line="268" w:lineRule="auto"/>
        <w:tabs>
          <w:tab w:leader="none" w:pos="1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720" w:hanging="379"/>
        <w:spacing w:after="0"/>
        <w:tabs>
          <w:tab w:leader="none" w:pos="1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90 days.</w:t>
      </w:r>
    </w:p>
    <w:p>
      <w:pPr>
        <w:spacing w:after="0" w:line="83" w:lineRule="exact"/>
        <w:rPr>
          <w:rFonts w:ascii="Arial" w:cs="Arial" w:eastAsia="Arial" w:hAnsi="Arial"/>
          <w:sz w:val="16"/>
          <w:szCs w:val="16"/>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700" w:firstLine="421"/>
        <w:spacing w:after="0" w:line="268"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71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offered hereby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Global Security representing the notes offered hereby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acts as securities depository for the notes. The notes offered hereby will be issued as fully registered securities registered in the name of Cede &amp; Co. (the Depositary’s partnership nominee). One fully registered Global Security will be issued for the notes offered hereby, in the aggregate principal amount of such issue, and will be deposited with the Depositary.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4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offered hereby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3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offered pursuant to this prospectus supplement. This discussion applies only to initial beneficial owners of the notes who purchase notes in this offering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84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60" w:hanging="206"/>
        <w:spacing w:after="0" w:line="357"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32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or a disregarded entity for U.S. federal income tax purposes.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Qualified Reopening</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For U.S. federal income tax purposes, we currently intend to treat the notes offered hereby as being issued in a “qualified reopening” of the currently outstanding 4.50% notes due 2044 (the “existing notes”). For U.S. federal income tax purposes, debt instruments issued in a qualified reopening are deemed to be part of the same issue as the original debt instruments. Under the treatment described in this paragraph, the notes offered hereby will have the same issue date and the same issue price as the existing notes for U.S. federal income tax purposes. The issue price of the existing notes was $988.60 per $1,000 face amount and the issue date of the existing notes was November 14, 2014. The remainder of this discussion assumes the correctness of the treatment described in this paragraph.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Revised Guidance on Treatment of Distressed Mortgage Loans. </w:t>
      </w:r>
      <w:r>
        <w:rPr>
          <w:rFonts w:ascii="Arial" w:cs="Arial" w:eastAsia="Arial" w:hAnsi="Arial"/>
          <w:sz w:val="16"/>
          <w:szCs w:val="16"/>
          <w:color w:val="auto"/>
        </w:rPr>
        <w:t>As described in the accompanying prospectus, in the case of the acquisition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loan secured by both real property and other property, the IRS had previously issued favorable guidance concerning the portion of such loan that could be treated as a real estate asset where the value of the real estate securing the acquired loan had declined since the loan was originally made. However, in response to concerns as to the potentially adverse effect of that guidance if the real estate value subsequently increased, the IRS recently revised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prior guidance. Under the revised guidance, the IRS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fair market value of the loan.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Pre-Acquisition Accrued Interest on the Notes. </w:t>
      </w:r>
      <w:r>
        <w:rPr>
          <w:rFonts w:ascii="Arial" w:cs="Arial" w:eastAsia="Arial" w:hAnsi="Arial"/>
          <w:sz w:val="16"/>
          <w:szCs w:val="16"/>
          <w:color w:val="auto"/>
        </w:rPr>
        <w:t>A portion of the price paid for the notes is attributable to the amount of interest accrued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14, 2014 (the “pre-acquisition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note by a corresponding amount. You are urged to consult your own tax advisors regarding the tax treatment of pre-acquisition accrued interest.</w:t>
      </w:r>
    </w:p>
    <w:p>
      <w:pPr>
        <w:spacing w:after="0" w:line="3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(other than pre-acquisition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as ordinary income when 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OID and Issue Price of the Notes. </w:t>
      </w:r>
      <w:r>
        <w:rPr>
          <w:rFonts w:ascii="Arial" w:cs="Arial" w:eastAsia="Arial" w:hAnsi="Arial"/>
          <w:sz w:val="16"/>
          <w:szCs w:val="16"/>
          <w:color w:val="auto"/>
        </w:rPr>
        <w:t>A debt instrument generally has original issue discount, or OID, if its “stated redemption price at maturity” exceeds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“issue price” by an amount that is equal to or greater than a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 debt instrument’s stated redemption price at maturity includes all principal and interest payable over the term of the debt instrument, other than qualified stated interest. The issue price of the notes is the first price at which a substantial amount of the notes were sold to the public (excluding bond houses, brokers, or similar persons or organizations acting in the capacity of underwriters, placement agents, or wholesalers). The stated redemption price of the existing notes did not exceed the issue price by more than the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Accordingly, the existing notes did not have OID.</w:t>
      </w:r>
    </w:p>
    <w:p>
      <w:pPr>
        <w:spacing w:after="0" w:line="3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As discussed above, under the qualified reopening rules the issue price of the notes offered hereby will be deemed to be the same as the issue price of the existing notes. As a result, the notes will, like the existing notes, not be subject to the OID rules, so that holders will generally be taxed on the stated interest on the notes in the manner as described above under “— Stated Interest on the Notes” (except that any pre-acquisition accrued interest will be excluded from gross income).</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Amortizable Bond Premium. </w:t>
      </w:r>
      <w:r>
        <w:rPr>
          <w:rFonts w:ascii="Arial" w:cs="Arial" w:eastAsia="Arial" w:hAnsi="Arial"/>
          <w:sz w:val="16"/>
          <w:szCs w:val="16"/>
          <w:color w:val="auto"/>
        </w:rPr>
        <w:t>If a note is purchased at a price in excess of such note’s stated principal amount (excluding any amounts that are treated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pre-acquisition accrued interest as described above under “Pre-Acquisition Accrued Interest on the Notes”), a U.S. Holder will have bond premium with respect to that new note in an amount equal to such excess. A U.S. Holder generally may elect to amortize bond premium using the constant yield method over the remaining term of the note and may offset stated interest income otherwise required to be included in respect of the note during any taxable year by the amortized amount of bond premium for the taxable year. However, because we may call the notes under certain circumstances at a price in excess of their stated principal amount, such amortization may be reduced and/or deferred. A U.S. Holder’s election to amortize bond premium on a constant yield method, once made, will also apply to all other debt obligations with bond premium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note. You are urged to consult your own tax advisors with respect to the rules relating to amortizable bond premium and the application to their particular circumstances.</w:t>
      </w:r>
    </w:p>
    <w:p>
      <w:pPr>
        <w:spacing w:after="0" w:line="4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b w:val="1"/>
          <w:bCs w:val="1"/>
          <w:i w:val="1"/>
          <w:iCs w:val="1"/>
          <w:color w:val="auto"/>
        </w:rPr>
        <w:t xml:space="preserve">Sale, Exchange, Redemption, or Other Taxable Disposition of the Notes. </w:t>
      </w:r>
      <w:r>
        <w:rPr>
          <w:rFonts w:ascii="Arial" w:cs="Arial" w:eastAsia="Arial" w:hAnsi="Arial"/>
          <w:sz w:val="15"/>
          <w:szCs w:val="15"/>
          <w:color w:val="auto"/>
        </w:rPr>
        <w:t>Unless a non-recognition provision applies, upon the sale, exchange,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8"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left="460"/>
        <w:spacing w:after="0"/>
        <w:tabs>
          <w:tab w:leader="none" w:pos="2180" w:val="left"/>
        </w:tabs>
        <w:rPr>
          <w:sz w:val="20"/>
          <w:szCs w:val="20"/>
          <w:color w:val="auto"/>
        </w:rPr>
      </w:pPr>
      <w:r>
        <w:rPr>
          <w:rFonts w:ascii="Arial" w:cs="Arial" w:eastAsia="Arial" w:hAnsi="Arial"/>
          <w:sz w:val="18"/>
          <w:szCs w:val="18"/>
          <w:b w:val="1"/>
          <w:bCs w:val="1"/>
          <w:i w:val="1"/>
          <w:iCs w:val="1"/>
          <w:color w:val="auto"/>
        </w:rPr>
        <w:t>Interest on the Notes.</w:t>
      </w:r>
      <w:r>
        <w:rPr>
          <w:sz w:val="20"/>
          <w:szCs w:val="20"/>
          <w:color w:val="auto"/>
        </w:rPr>
        <w:tab/>
      </w:r>
      <w:r>
        <w:rPr>
          <w:rFonts w:ascii="Arial" w:cs="Arial" w:eastAsia="Arial" w:hAnsi="Arial"/>
          <w:sz w:val="16"/>
          <w:szCs w:val="16"/>
          <w:color w:val="auto"/>
        </w:rPr>
        <w:t>Subject to the rules described below under “— Information Reporting and Backup Withholding” and “— FATCA Regime,” a Non-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 Holder generally will not be subject to U.S. federal income or withholding tax on payments of interest on a note, provided that:</w:t>
      </w:r>
    </w:p>
    <w:p>
      <w:pPr>
        <w:spacing w:after="0" w:line="84"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right="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generally will be required to be periodically updated.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59" w:lineRule="exact"/>
        <w:rPr>
          <w:sz w:val="20"/>
          <w:szCs w:val="20"/>
          <w:color w:val="auto"/>
        </w:rPr>
      </w:pPr>
    </w:p>
    <w:p>
      <w:pPr>
        <w:ind w:left="660" w:right="56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if such gain is treated as U.S. source)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imposes a U.S. federal withholding tax of 30% on certain payments to foreign financial institutions (which term generally includes investment funds) and non-financial foreign entities that fail to comply with certain certification and information reporting requirements (unless alternative procedures apply pursuant to an applicable intergovernmental agreement between the United States and the relevant foreign government). In certain cases, the relevant foreign financial institution or non-financial foreign entity may qualify for an exemption from, or be deemed to be in compliance with, these rules. The obligation to withhold under FATCA applies to payments of U.S.-source interest and OID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obligations made on or after July 1, 2014 and payments of gross proceeds from the sale or other disposition of such obligations made on or after January 1, 2017 (or such other date as may be specified in guidance issued by the U.S. Treasury Department). We will not pay any additional amounts in respect of any amounts withheld under FATCA.</w:t>
      </w:r>
    </w:p>
    <w:p>
      <w:pPr>
        <w:spacing w:after="0" w:line="59" w:lineRule="exact"/>
        <w:rPr>
          <w:sz w:val="20"/>
          <w:szCs w:val="20"/>
          <w:color w:val="auto"/>
        </w:rPr>
      </w:pPr>
    </w:p>
    <w:p>
      <w:pPr>
        <w:jc w:val="center"/>
        <w:ind w:left="460" w:right="240"/>
        <w:spacing w:after="0" w:line="391"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Current Tax Rates for U.S. Individuals, Estates and Trusts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extended most of the reduced rates for U.S. individuals, estates and trusts with respect to ordinary income, qualified dividend income and long-term capital gains that had expired on December 31, 2012. The 2012 Relief Act, however, did not extend all of the reduced rates for high-income taxpayers. For 2014, in the case of married couples filing joint returns with taxable income in excess of $457,600, heads of households with taxable income in excess of $432,200 and other individuals with taxable income in excess of $406,750, the maximum tax rate on ordinary income is 39.6% and the maximum tax rate on long-term capital gains and qualified dividend income is 20%. Estates and trusts have more compressed rate schedules. The income thresholds for each rate schedule are indexed for inflation. Prospective investors are urged to consult their tax advisors regarding the effect of the tax rates and other tax provisions in the 2012 Relief Act on an investment in the notes.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intend to offer the notes offered hereby through the underwriters named below, for whom Wells Fargo Securities, LLC, Deutsche Bank Securities Inc.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54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5440" w:type="dxa"/>
            <w:vAlign w:val="bottom"/>
            <w:vMerge w:val="continue"/>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3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3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Capital One Securities, Inc.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5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Although we do not intend to apply for listing of the notes on any securities exchange or on any automated dealer quotation system, a trading market currently exists for the $250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an active public market for the notes will be maintained. If an active public trading market for the notes is not maintained, the market price and liquidity of the notes may be adversely affected.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$400,000.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0.50% of the principal amount of the notes. The underwriters may allow, and the dealers may reallow, a discount not in excess of 0.30% of the principal amount of the notes on sales to other dealers. After the initial offering, the public offering price and concession to dealers may be changed.</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Paid by 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400" w:type="dxa"/>
            <w:vAlign w:val="bottom"/>
            <w:vMerge w:val="continue"/>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rPr>
              <w:t>0.875%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Affiliates of certain of the underwriters may be beneficial owners of some of our 6.20% Notes due 2017. Any such affiliates will receive pro rata portions of the net proceeds from this offering used to redeem our 6.20% Notes due 2017.</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audited consolidated financial statements, schedules and management’s assessment of the effectiveness of internal control over financial reporting included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300" w:firstLine="443"/>
        <w:spacing w:after="0" w:line="28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84"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w:t>
      </w:r>
    </w:p>
    <w:p>
      <w:pPr>
        <w:spacing w:after="0" w:line="1"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7"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614680</wp:posOffset>
            </wp:positionV>
            <wp:extent cx="2255520" cy="875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555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auto"/>
        </w:rPr>
        <w:t>4.50% Notes due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142875</wp:posOffset>
            </wp:positionV>
            <wp:extent cx="158623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39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194945</wp:posOffset>
            </wp:positionV>
            <wp:extent cx="15862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Deutsche Bank Securities</w:t>
      </w:r>
    </w:p>
    <w:p>
      <w:pPr>
        <w:spacing w:after="0" w:line="21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Regions Securities LLC</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SunTrust Robinson Humphrey</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Capital One Securities</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PNC Capital Markets LLC</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TD Securities</w:t>
      </w:r>
    </w:p>
    <w:p>
      <w:pPr>
        <w:spacing w:after="0" w:line="16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
      <w:numFmt w:val="bullet"/>
      <w:start w:val="1"/>
    </w:lvl>
    <w:lvl w:ilvl="1">
      <w:lvlJc w:val="left"/>
      <w:lvlText w:val="•"/>
      <w:numFmt w:val="bullet"/>
      <w:start w:val="1"/>
    </w:lvl>
  </w:abstractNum>
  <w:abstractNum w:abstractNumId="3">
    <w:nsid w:val="7644A45C"/>
    <w:multiLevelType w:val="hybridMultilevel"/>
    <w:lvl w:ilvl="0">
      <w:lvlJc w:val="left"/>
      <w:lvlText w:val="(%1)"/>
      <w:numFmt w:val="lowerLetter"/>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1."/>
      <w:numFmt w:val="decimal"/>
      <w:start w:val="1"/>
    </w:lvl>
    <w:lvl w:ilvl="1">
      <w:lvlJc w:val="left"/>
      <w:lvlText w:val="(%2)"/>
      <w:numFmt w:val="lowerLetter"/>
      <w:start w:val="1"/>
    </w:lvl>
  </w:abstractNum>
  <w:abstractNum w:abstractNumId="8">
    <w:nsid w:val="3DC240FB"/>
    <w:multiLevelType w:val="hybridMultilevel"/>
    <w:lvl w:ilvl="0">
      <w:lvlJc w:val="left"/>
      <w:lvlText w:val="%1."/>
      <w:numFmt w:val="decimal"/>
      <w:start w:val="6"/>
    </w:lvl>
    <w:lvl w:ilvl="1">
      <w:lvlJc w:val="left"/>
      <w:lvlText w:val="(%2)"/>
      <w:numFmt w:val="lowerLetter"/>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lvl w:ilvl="1">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lowerLetter"/>
      <w:start w:val="1"/>
    </w:lvl>
  </w:abstractNum>
  <w:abstractNum w:abstractNumId="17">
    <w:nsid w:val="23F9C13C"/>
    <w:multiLevelType w:val="hybridMultilevel"/>
    <w:lvl w:ilvl="0">
      <w:lvlJc w:val="left"/>
      <w:lvlText w:val="(%1)"/>
      <w:numFmt w:val="lowerLetter"/>
      <w:start w:val="3"/>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lvl w:ilvl="1">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lvl w:ilvl="1">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1"/>
    </w:lvl>
    <w:lvl w:ilvl="1">
      <w:lvlJc w:val="left"/>
      <w:lvlText w:val="(%2)"/>
      <w:numFmt w:val="lowerLetter"/>
      <w:start w:val="1"/>
    </w:lvl>
  </w:abstractNum>
  <w:abstractNum w:abstractNumId="41">
    <w:nsid w:val="1F48EAA1"/>
    <w:multiLevelType w:val="hybridMultilevel"/>
    <w:lvl w:ilvl="0">
      <w:lvlJc w:val="left"/>
      <w:lvlText w:val="%1."/>
      <w:numFmt w:val="decimal"/>
      <w:start w:val="7"/>
    </w:lvl>
    <w:lvl w:ilvl="1">
      <w:lvlJc w:val="left"/>
      <w:lvlText w:val="(%2)"/>
      <w:numFmt w:val="lowerLetter"/>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lvl w:ilvl="1">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1)"/>
      <w:numFmt w:val="upperLetter"/>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lvl w:ilvl="1">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lvl w:ilvl="1">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1)"/>
      <w:numFmt w:val="lowerRoman"/>
      <w:start w:val="3"/>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lvl w:ilvl="1">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1)"/>
      <w:numFmt w:val="lowerRoman"/>
      <w:start w:val="2"/>
    </w:lvl>
  </w:abstractNum>
  <w:abstractNum w:abstractNumId="84">
    <w:nsid w:val="14E17E33"/>
    <w:multiLevelType w:val="hybridMultilevel"/>
    <w:lvl w:ilvl="0">
      <w:lvlJc w:val="left"/>
      <w:lvlText w:val="\emdash "/>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1)"/>
      <w:numFmt w:val="decimal"/>
      <w:start w:val="4"/>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2019-12-05T09:52:44Z</dcterms:created>
  <dcterms:modified xsi:type="dcterms:W3CDTF">2019-12-05T09:52:44Z</dcterms:modified>
</cp:coreProperties>
</file>