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620" w:right="3859" w:hanging="257"/>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March 31, 2000</w:t>
      </w:r>
    </w:p>
    <w:p>
      <w:pPr>
        <w:spacing w:after="0" w:line="200" w:lineRule="exact"/>
        <w:rPr>
          <w:sz w:val="24"/>
          <w:szCs w:val="24"/>
          <w:color w:val="auto"/>
        </w:rPr>
      </w:pPr>
    </w:p>
    <w:p>
      <w:pPr>
        <w:spacing w:after="0" w:line="291"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760" w:space="520"/>
            <w:col w:w="1120" w:space="700"/>
            <w:col w:w="5139"/>
          </w:cols>
          <w:pgMar w:left="220" w:top="561" w:right="1440" w:bottom="1440" w:gutter="0" w:footer="0" w:header="0"/>
          <w:type w:val="continuous"/>
        </w:sectPr>
      </w:pPr>
    </w:p>
    <w:p>
      <w:pPr>
        <w:spacing w:after="0" w:line="138" w:lineRule="exact"/>
        <w:rPr>
          <w:sz w:val="24"/>
          <w:szCs w:val="24"/>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ectPr>
          <w:pgSz w:w="11900" w:h="16838" w:orient="portrait"/>
          <w:cols w:equalWidth="0" w:num="1">
            <w:col w:w="10239"/>
          </w:cols>
          <w:pgMar w:left="220" w:top="561"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4"/>
          <w:szCs w:val="24"/>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301/998-8100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920" w:space="180"/>
            <w:col w:w="5139"/>
          </w:cols>
          <w:pgMar w:left="220" w:top="561" w:right="1440" w:bottom="144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1999.</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507"/>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2000</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5,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&amp; Treasurer</w:t>
      </w:r>
    </w:p>
    <w:p>
      <w:pPr>
        <w:spacing w:after="0" w:line="173" w:lineRule="exact"/>
        <w:rPr>
          <w:sz w:val="20"/>
          <w:szCs w:val="20"/>
          <w:color w:val="auto"/>
        </w:rPr>
      </w:pPr>
    </w:p>
    <w:p>
      <w:pPr>
        <w:sectPr>
          <w:pgSz w:w="11900" w:h="16838" w:orient="portrait"/>
          <w:cols w:equalWidth="0" w:num="3">
            <w:col w:w="440" w:space="180"/>
            <w:col w:w="1260" w:space="720"/>
            <w:col w:w="763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200" w:space="720"/>
            <w:col w:w="4459"/>
          </w:cols>
          <w:pgMar w:left="220" w:top="616" w:right="1440" w:bottom="1440" w:gutter="0" w:footer="0" w:header="0"/>
          <w:type w:val="continuous"/>
        </w:sect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March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5660" w:space="720"/>
            <w:col w:w="385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96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FEDERAL REALTY INVESTMENT TRUST</w:t>
            </w:r>
          </w:p>
        </w:tc>
        <w:tc>
          <w:tcPr>
            <w:tcW w:w="380" w:type="dxa"/>
            <w:vAlign w:val="bottom"/>
          </w:tcPr>
          <w:p>
            <w:pPr>
              <w:spacing w:after="0"/>
              <w:rPr>
                <w:sz w:val="14"/>
                <w:szCs w:val="14"/>
                <w:color w:val="auto"/>
              </w:rPr>
            </w:pPr>
          </w:p>
        </w:tc>
      </w:tr>
      <w:tr>
        <w:trPr>
          <w:trHeight w:val="497"/>
        </w:trPr>
        <w:tc>
          <w:tcPr>
            <w:tcW w:w="300" w:type="dxa"/>
            <w:vAlign w:val="bottom"/>
          </w:tcPr>
          <w:p>
            <w:pPr>
              <w:spacing w:after="0"/>
              <w:rPr>
                <w:sz w:val="24"/>
                <w:szCs w:val="24"/>
                <w:color w:val="auto"/>
              </w:rPr>
            </w:pPr>
          </w:p>
        </w:tc>
        <w:tc>
          <w:tcPr>
            <w:tcW w:w="596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Supplemental Information</w:t>
            </w:r>
          </w:p>
        </w:tc>
        <w:tc>
          <w:tcPr>
            <w:tcW w:w="3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596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March 31, 2000</w:t>
            </w:r>
          </w:p>
        </w:tc>
        <w:tc>
          <w:tcPr>
            <w:tcW w:w="38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5960" w:type="dxa"/>
            <w:vAlign w:val="bottom"/>
          </w:tcPr>
          <w:p>
            <w:pPr>
              <w:jc w:val="right"/>
              <w:ind w:right="2048"/>
              <w:spacing w:after="0"/>
              <w:rPr>
                <w:sz w:val="20"/>
                <w:szCs w:val="20"/>
                <w:color w:val="auto"/>
              </w:rPr>
            </w:pPr>
            <w:r>
              <w:rPr>
                <w:rFonts w:ascii="Courier New" w:cs="Courier New" w:eastAsia="Courier New" w:hAnsi="Courier New"/>
                <w:sz w:val="14"/>
                <w:szCs w:val="14"/>
                <w:color w:val="auto"/>
              </w:rPr>
              <w:t>TABLE OF CONTENTS</w:t>
            </w:r>
          </w:p>
        </w:tc>
        <w:tc>
          <w:tcPr>
            <w:tcW w:w="380" w:type="dxa"/>
            <w:vAlign w:val="bottom"/>
          </w:tcPr>
          <w:p>
            <w:pPr>
              <w:spacing w:after="0"/>
              <w:rPr>
                <w:sz w:val="24"/>
                <w:szCs w:val="24"/>
                <w:color w:val="auto"/>
              </w:rPr>
            </w:pPr>
          </w:p>
        </w:tc>
      </w:tr>
      <w:tr>
        <w:trPr>
          <w:trHeight w:val="828"/>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5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Debt Summary......................................................</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5960" w:type="dxa"/>
            <w:vAlign w:val="bottom"/>
          </w:tcPr>
          <w:p>
            <w:pPr>
              <w:jc w:val="right"/>
              <w:ind w:right="4968"/>
              <w:spacing w:after="0"/>
              <w:rPr>
                <w:sz w:val="20"/>
                <w:szCs w:val="20"/>
                <w:color w:val="auto"/>
              </w:rPr>
            </w:pPr>
            <w:r>
              <w:rPr>
                <w:rFonts w:ascii="Courier New" w:cs="Courier New" w:eastAsia="Courier New" w:hAnsi="Courier New"/>
                <w:sz w:val="14"/>
                <w:szCs w:val="14"/>
                <w:color w:val="auto"/>
              </w:rPr>
              <w:t>Occupancy</w:t>
            </w:r>
          </w:p>
        </w:tc>
        <w:tc>
          <w:tcPr>
            <w:tcW w:w="38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5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Percentage Leased...........................................</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00" w:type="dxa"/>
            <w:vAlign w:val="bottom"/>
          </w:tcPr>
          <w:p>
            <w:pPr>
              <w:spacing w:after="0"/>
              <w:rPr>
                <w:sz w:val="14"/>
                <w:szCs w:val="14"/>
                <w:color w:val="auto"/>
              </w:rPr>
            </w:pPr>
          </w:p>
        </w:tc>
        <w:tc>
          <w:tcPr>
            <w:tcW w:w="5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Regional Breakdown..........................................</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E-4</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3.</w:t>
            </w:r>
          </w:p>
        </w:tc>
        <w:tc>
          <w:tcPr>
            <w:tcW w:w="5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Sales/Occupancy Cost..............................................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Comparable and Non-Comparable...............................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5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Street Retail Operating &amp; Development Overview....................</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Development</w:t>
            </w:r>
          </w:p>
        </w:tc>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Pipeline..............................................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E-8</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5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First Quarter Earnings Press Release, May 4, 2000.................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E-9</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8.</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Glossary of</w:t>
            </w:r>
          </w:p>
        </w:tc>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E-12</w:t>
            </w:r>
          </w:p>
        </w:tc>
      </w:tr>
    </w:tbl>
    <w:p>
      <w:pPr>
        <w:spacing w:after="0" w:line="200" w:lineRule="exact"/>
        <w:rPr>
          <w:sz w:val="20"/>
          <w:szCs w:val="20"/>
          <w:color w:val="auto"/>
        </w:rPr>
      </w:pPr>
    </w:p>
    <w:p>
      <w:pPr>
        <w:spacing w:after="0" w:line="30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970"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14"/>
                <w:szCs w:val="14"/>
                <w:color w:val="auto"/>
              </w:rPr>
            </w:pPr>
          </w:p>
        </w:tc>
      </w:tr>
      <w:tr>
        <w:trPr>
          <w:trHeight w:val="166"/>
        </w:trPr>
        <w:tc>
          <w:tcPr>
            <w:tcW w:w="7020" w:type="dxa"/>
            <w:vAlign w:val="bottom"/>
            <w:gridSpan w:val="2"/>
          </w:tcPr>
          <w:p>
            <w:pPr>
              <w:ind w:left="5700"/>
              <w:spacing w:after="0"/>
              <w:rPr>
                <w:sz w:val="20"/>
                <w:szCs w:val="20"/>
                <w:color w:val="auto"/>
              </w:rPr>
            </w:pPr>
            <w:r>
              <w:rPr>
                <w:rFonts w:ascii="Courier New" w:cs="Courier New" w:eastAsia="Courier New" w:hAnsi="Courier New"/>
                <w:sz w:val="14"/>
                <w:szCs w:val="14"/>
                <w:color w:val="auto"/>
              </w:rPr>
              <w:t>Maturity</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Rate</w:t>
            </w: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 thousands)</w:t>
            </w:r>
          </w:p>
        </w:tc>
        <w:tc>
          <w:tcPr>
            <w:tcW w:w="900" w:type="dxa"/>
            <w:vAlign w:val="bottom"/>
          </w:tcPr>
          <w:p>
            <w:pPr>
              <w:spacing w:after="0"/>
              <w:rPr>
                <w:sz w:val="14"/>
                <w:szCs w:val="14"/>
                <w:color w:val="auto"/>
              </w:rPr>
            </w:pPr>
          </w:p>
        </w:tc>
      </w:tr>
      <w:tr>
        <w:trPr>
          <w:trHeight w:val="166"/>
        </w:trPr>
        <w:tc>
          <w:tcPr>
            <w:tcW w:w="7020" w:type="dxa"/>
            <w:vAlign w:val="bottom"/>
            <w:gridSpan w:val="2"/>
          </w:tcPr>
          <w:p>
            <w:pPr>
              <w:ind w:left="5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Leesburg Plaza</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10/01/08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6.10%</w:t>
            </w:r>
          </w:p>
        </w:tc>
        <w:tc>
          <w:tcPr>
            <w:tcW w:w="82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Federal Plaza</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03/10/01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8.95%</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27,057</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Tysons Station</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09/01/01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9.875%</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4,049</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Escondido (Municipal bonds)</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10/01/16</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Variable (a)</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9,400</w:t>
            </w:r>
          </w:p>
        </w:tc>
        <w:tc>
          <w:tcPr>
            <w:tcW w:w="900" w:type="dxa"/>
            <w:vAlign w:val="bottom"/>
          </w:tcPr>
          <w:p>
            <w:pPr>
              <w:spacing w:after="0"/>
              <w:rPr>
                <w:sz w:val="14"/>
                <w:szCs w:val="14"/>
                <w:color w:val="auto"/>
              </w:rPr>
            </w:pP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$ 50,406</w:t>
            </w:r>
          </w:p>
        </w:tc>
        <w:tc>
          <w:tcPr>
            <w:tcW w:w="900" w:type="dxa"/>
            <w:vAlign w:val="bottom"/>
          </w:tcPr>
          <w:p>
            <w:pPr>
              <w:spacing w:after="0"/>
              <w:rPr>
                <w:sz w:val="24"/>
                <w:szCs w:val="24"/>
                <w:color w:val="auto"/>
              </w:rPr>
            </w:pP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59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Revolving credit facilities</w:t>
            </w:r>
          </w:p>
        </w:tc>
        <w:tc>
          <w:tcPr>
            <w:tcW w:w="106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libor +.65%</w:t>
            </w: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$184,100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Term note with banks</w:t>
            </w:r>
          </w:p>
        </w:tc>
        <w:tc>
          <w:tcPr>
            <w:tcW w:w="106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libor +.75%</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125,000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Note issued in connection with</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tcPr>
          <w:p>
            <w:pPr>
              <w:ind w:left="1820"/>
              <w:spacing w:after="0"/>
              <w:rPr>
                <w:sz w:val="20"/>
                <w:szCs w:val="20"/>
                <w:color w:val="auto"/>
              </w:rPr>
            </w:pPr>
            <w:r>
              <w:rPr>
                <w:rFonts w:ascii="Courier New" w:cs="Courier New" w:eastAsia="Courier New" w:hAnsi="Courier New"/>
                <w:sz w:val="14"/>
                <w:szCs w:val="14"/>
                <w:color w:val="auto"/>
              </w:rPr>
              <w:t>tenant buyout at Queen Anne Plaza</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01/15/06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8.875%</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901</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Note issued in connection with</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tcPr>
          <w:p>
            <w:pPr>
              <w:ind w:left="1820"/>
              <w:spacing w:after="0"/>
              <w:rPr>
                <w:sz w:val="20"/>
                <w:szCs w:val="20"/>
                <w:color w:val="auto"/>
              </w:rPr>
            </w:pPr>
            <w:r>
              <w:rPr>
                <w:rFonts w:ascii="Courier New" w:cs="Courier New" w:eastAsia="Courier New" w:hAnsi="Courier New"/>
                <w:sz w:val="14"/>
                <w:szCs w:val="14"/>
                <w:color w:val="auto"/>
              </w:rPr>
              <w:t>renovation of Perring Plaza</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01/31/13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2,579</w:t>
            </w:r>
          </w:p>
        </w:tc>
        <w:tc>
          <w:tcPr>
            <w:tcW w:w="900" w:type="dxa"/>
            <w:vAlign w:val="bottom"/>
          </w:tcPr>
          <w:p>
            <w:pPr>
              <w:spacing w:after="0"/>
              <w:rPr>
                <w:sz w:val="14"/>
                <w:szCs w:val="14"/>
                <w:color w:val="auto"/>
              </w:rPr>
            </w:pPr>
          </w:p>
        </w:tc>
      </w:tr>
      <w:tr>
        <w:trPr>
          <w:trHeight w:val="166"/>
        </w:trPr>
        <w:tc>
          <w:tcPr>
            <w:tcW w:w="5960" w:type="dxa"/>
            <w:vAlign w:val="bottom"/>
          </w:tcPr>
          <w:p>
            <w:pPr>
              <w:ind w:left="148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08/14/00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libor + 1.5%</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various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various</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w:t>
            </w:r>
          </w:p>
        </w:tc>
        <w:tc>
          <w:tcPr>
            <w:tcW w:w="900" w:type="dxa"/>
            <w:vAlign w:val="bottom"/>
          </w:tcPr>
          <w:p>
            <w:pPr>
              <w:spacing w:after="0"/>
              <w:rPr>
                <w:sz w:val="14"/>
                <w:szCs w:val="14"/>
                <w:color w:val="auto"/>
              </w:rPr>
            </w:pP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$316,121</w:t>
            </w:r>
          </w:p>
        </w:tc>
        <w:tc>
          <w:tcPr>
            <w:tcW w:w="900" w:type="dxa"/>
            <w:vAlign w:val="bottom"/>
          </w:tcPr>
          <w:p>
            <w:pPr>
              <w:spacing w:after="0"/>
              <w:rPr>
                <w:sz w:val="24"/>
                <w:szCs w:val="24"/>
                <w:color w:val="auto"/>
              </w:rPr>
            </w:pP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497"/>
        </w:trPr>
        <w:tc>
          <w:tcPr>
            <w:tcW w:w="596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5 1/4% Convertible subordinated</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04/30/02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w:t>
            </w:r>
          </w:p>
        </w:tc>
        <w:tc>
          <w:tcPr>
            <w:tcW w:w="820" w:type="dxa"/>
            <w:vAlign w:val="bottom"/>
          </w:tcPr>
          <w:p>
            <w:pPr>
              <w:jc w:val="center"/>
              <w:ind w:left="668"/>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w:t>
            </w:r>
          </w:p>
        </w:tc>
        <w:tc>
          <w:tcPr>
            <w:tcW w:w="900" w:type="dxa"/>
            <w:vAlign w:val="bottom"/>
          </w:tcPr>
          <w:p>
            <w:pPr>
              <w:spacing w:after="0"/>
              <w:rPr>
                <w:sz w:val="14"/>
                <w:szCs w:val="14"/>
                <w:color w:val="auto"/>
              </w:rPr>
            </w:pPr>
          </w:p>
        </w:tc>
      </w:tr>
      <w:tr>
        <w:trPr>
          <w:trHeight w:val="166"/>
        </w:trPr>
        <w:tc>
          <w:tcPr>
            <w:tcW w:w="5960" w:type="dxa"/>
            <w:vAlign w:val="bottom"/>
          </w:tcPr>
          <w:p>
            <w:pPr>
              <w:ind w:left="1820"/>
              <w:spacing w:after="0"/>
              <w:rPr>
                <w:sz w:val="20"/>
                <w:szCs w:val="20"/>
                <w:color w:val="auto"/>
              </w:rPr>
            </w:pPr>
            <w:r>
              <w:rPr>
                <w:rFonts w:ascii="Courier New" w:cs="Courier New" w:eastAsia="Courier New" w:hAnsi="Courier New"/>
                <w:sz w:val="14"/>
                <w:szCs w:val="14"/>
                <w:color w:val="auto"/>
              </w:rPr>
              <w:t>debentures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5 1/4% Convertible subordinated</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10/28/03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75,000</w:t>
            </w:r>
          </w:p>
        </w:tc>
        <w:tc>
          <w:tcPr>
            <w:tcW w:w="900" w:type="dxa"/>
            <w:vAlign w:val="bottom"/>
          </w:tcPr>
          <w:p>
            <w:pPr>
              <w:spacing w:after="0"/>
              <w:rPr>
                <w:sz w:val="14"/>
                <w:szCs w:val="14"/>
                <w:color w:val="auto"/>
              </w:rPr>
            </w:pPr>
          </w:p>
        </w:tc>
      </w:tr>
      <w:tr>
        <w:trPr>
          <w:trHeight w:val="166"/>
        </w:trPr>
        <w:tc>
          <w:tcPr>
            <w:tcW w:w="5960" w:type="dxa"/>
            <w:vAlign w:val="bottom"/>
          </w:tcPr>
          <w:p>
            <w:pPr>
              <w:ind w:left="1820"/>
              <w:spacing w:after="0"/>
              <w:rPr>
                <w:sz w:val="20"/>
                <w:szCs w:val="20"/>
                <w:color w:val="auto"/>
              </w:rPr>
            </w:pPr>
            <w:r>
              <w:rPr>
                <w:rFonts w:ascii="Courier New" w:cs="Courier New" w:eastAsia="Courier New" w:hAnsi="Courier New"/>
                <w:sz w:val="14"/>
                <w:szCs w:val="14"/>
                <w:color w:val="auto"/>
              </w:rPr>
              <w:t>debentures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8% Notes (fixed)</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04/21/02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6 5/8% Notes (fixed)</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12/01/05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6.625%</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7.48% Debentures</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08/15/26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7.480%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6.82% Medium Term Notes</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08/01/27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6.820%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6.74% Medium Term Notes (b)</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03/10/04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6.370%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39,500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6.99% Medium Term Notes (b)</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03/10/06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6.894%</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40,500</w:t>
            </w:r>
          </w:p>
        </w:tc>
        <w:tc>
          <w:tcPr>
            <w:tcW w:w="900" w:type="dxa"/>
            <w:vAlign w:val="bottom"/>
          </w:tcPr>
          <w:p>
            <w:pPr>
              <w:spacing w:after="0"/>
              <w:rPr>
                <w:sz w:val="14"/>
                <w:szCs w:val="14"/>
                <w:color w:val="auto"/>
              </w:rPr>
            </w:pPr>
          </w:p>
        </w:tc>
      </w:tr>
      <w:tr>
        <w:trPr>
          <w:trHeight w:val="166"/>
        </w:trPr>
        <w:tc>
          <w:tcPr>
            <w:tcW w:w="5960" w:type="dxa"/>
            <w:vAlign w:val="bottom"/>
          </w:tcPr>
          <w:p>
            <w:pPr>
              <w:ind w:left="1560"/>
              <w:spacing w:after="0"/>
              <w:rPr>
                <w:sz w:val="20"/>
                <w:szCs w:val="20"/>
                <w:color w:val="auto"/>
              </w:rPr>
            </w:pPr>
            <w:r>
              <w:rPr>
                <w:rFonts w:ascii="Courier New" w:cs="Courier New" w:eastAsia="Courier New" w:hAnsi="Courier New"/>
                <w:sz w:val="14"/>
                <w:szCs w:val="14"/>
                <w:color w:val="auto"/>
              </w:rPr>
              <w:t>8.75% Notes</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12/01/09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8.750%</w:t>
            </w:r>
          </w:p>
        </w:tc>
        <w:tc>
          <w:tcPr>
            <w:tcW w:w="8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175,000</w:t>
            </w:r>
          </w:p>
        </w:tc>
        <w:tc>
          <w:tcPr>
            <w:tcW w:w="900" w:type="dxa"/>
            <w:vAlign w:val="bottom"/>
          </w:tcPr>
          <w:p>
            <w:pPr>
              <w:spacing w:after="0"/>
              <w:rPr>
                <w:sz w:val="14"/>
                <w:szCs w:val="14"/>
                <w:color w:val="auto"/>
              </w:rPr>
            </w:pP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$485,289</w:t>
            </w:r>
          </w:p>
        </w:tc>
        <w:tc>
          <w:tcPr>
            <w:tcW w:w="900" w:type="dxa"/>
            <w:vAlign w:val="bottom"/>
          </w:tcPr>
          <w:p>
            <w:pPr>
              <w:spacing w:after="0"/>
              <w:rPr>
                <w:sz w:val="24"/>
                <w:szCs w:val="24"/>
                <w:color w:val="auto"/>
              </w:rPr>
            </w:pP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960" w:type="dxa"/>
            <w:vAlign w:val="bottom"/>
          </w:tcPr>
          <w:p>
            <w:pPr>
              <w:ind w:left="4920"/>
              <w:spacing w:after="0"/>
              <w:rPr>
                <w:sz w:val="20"/>
                <w:szCs w:val="20"/>
                <w:color w:val="auto"/>
              </w:rPr>
            </w:pPr>
            <w:r>
              <w:rPr>
                <w:rFonts w:ascii="Courier New" w:cs="Courier New" w:eastAsia="Courier New" w:hAnsi="Courier New"/>
                <w:sz w:val="14"/>
                <w:szCs w:val="14"/>
                <w:color w:val="auto"/>
              </w:rPr>
              <w:t>Total fixed</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rate debt</w:t>
            </w:r>
          </w:p>
        </w:tc>
        <w:tc>
          <w:tcPr>
            <w:tcW w:w="1380" w:type="dxa"/>
            <w:vAlign w:val="bottom"/>
          </w:tcPr>
          <w:p>
            <w:pPr>
              <w:spacing w:after="0"/>
              <w:rPr>
                <w:sz w:val="24"/>
                <w:szCs w:val="2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$529,916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62.21%</w:t>
            </w:r>
          </w:p>
        </w:tc>
      </w:tr>
      <w:tr>
        <w:trPr>
          <w:trHeight w:val="331"/>
        </w:trPr>
        <w:tc>
          <w:tcPr>
            <w:tcW w:w="702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Total variable rate debt</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321,900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ind w:left="4920"/>
              <w:spacing w:after="0"/>
              <w:rPr>
                <w:sz w:val="20"/>
                <w:szCs w:val="20"/>
                <w:color w:val="auto"/>
              </w:rPr>
            </w:pPr>
            <w:r>
              <w:rPr>
                <w:rFonts w:ascii="Courier New" w:cs="Courier New" w:eastAsia="Courier New" w:hAnsi="Courier New"/>
                <w:sz w:val="14"/>
                <w:szCs w:val="14"/>
                <w:color w:val="auto"/>
              </w:rPr>
              <w:t>Total debt</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$851,816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400" w:type="dxa"/>
            <w:vAlign w:val="bottom"/>
            <w:gridSpan w:val="3"/>
          </w:tcPr>
          <w:p>
            <w:pPr>
              <w:ind w:left="4920"/>
              <w:spacing w:after="0"/>
              <w:rPr>
                <w:sz w:val="20"/>
                <w:szCs w:val="20"/>
                <w:color w:val="auto"/>
              </w:rPr>
            </w:pPr>
            <w:r>
              <w:rPr>
                <w:rFonts w:ascii="Courier New" w:cs="Courier New" w:eastAsia="Courier New" w:hAnsi="Courier New"/>
                <w:sz w:val="14"/>
                <w:szCs w:val="14"/>
                <w:color w:val="auto"/>
              </w:rPr>
              <w:t>Weighted average interest rate:</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8400" w:type="dxa"/>
            <w:vAlign w:val="bottom"/>
            <w:gridSpan w:val="3"/>
          </w:tcPr>
          <w:p>
            <w:pPr>
              <w:ind w:left="49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tcPr>
          <w:p>
            <w:pPr>
              <w:ind w:left="5000"/>
              <w:spacing w:after="0"/>
              <w:rPr>
                <w:sz w:val="20"/>
                <w:szCs w:val="20"/>
                <w:color w:val="auto"/>
              </w:rPr>
            </w:pPr>
            <w:r>
              <w:rPr>
                <w:rFonts w:ascii="Courier New" w:cs="Courier New" w:eastAsia="Courier New" w:hAnsi="Courier New"/>
                <w:sz w:val="14"/>
                <w:szCs w:val="14"/>
                <w:color w:val="auto"/>
              </w:rPr>
              <w:t>Fixed rate</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w:t>
            </w:r>
          </w:p>
        </w:tc>
        <w:tc>
          <w:tcPr>
            <w:tcW w:w="900" w:type="dxa"/>
            <w:vAlign w:val="bottom"/>
          </w:tcPr>
          <w:p>
            <w:pPr>
              <w:spacing w:after="0"/>
              <w:rPr>
                <w:sz w:val="14"/>
                <w:szCs w:val="14"/>
                <w:color w:val="auto"/>
              </w:rPr>
            </w:pPr>
          </w:p>
        </w:tc>
      </w:tr>
      <w:tr>
        <w:trPr>
          <w:trHeight w:val="166"/>
        </w:trPr>
        <w:tc>
          <w:tcPr>
            <w:tcW w:w="840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Variable on revolving facilities</w:t>
            </w: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6.68% (c)</w:t>
            </w:r>
          </w:p>
        </w:tc>
        <w:tc>
          <w:tcPr>
            <w:tcW w:w="900" w:type="dxa"/>
            <w:vAlign w:val="bottom"/>
          </w:tcPr>
          <w:p>
            <w:pPr>
              <w:spacing w:after="0"/>
              <w:rPr>
                <w:sz w:val="14"/>
                <w:szCs w:val="14"/>
                <w:color w:val="auto"/>
              </w:rPr>
            </w:pPr>
          </w:p>
        </w:tc>
      </w:tr>
      <w:tr>
        <w:trPr>
          <w:trHeight w:val="166"/>
        </w:trPr>
        <w:tc>
          <w:tcPr>
            <w:tcW w:w="8400" w:type="dxa"/>
            <w:vAlign w:val="bottom"/>
            <w:gridSpan w:val="3"/>
          </w:tcPr>
          <w:p>
            <w:pPr>
              <w:ind w:left="5000"/>
              <w:spacing w:after="0"/>
              <w:rPr>
                <w:sz w:val="20"/>
                <w:szCs w:val="20"/>
                <w:color w:val="auto"/>
              </w:rPr>
            </w:pPr>
            <w:r>
              <w:rPr>
                <w:rFonts w:ascii="Courier New" w:cs="Courier New" w:eastAsia="Courier New" w:hAnsi="Courier New"/>
                <w:sz w:val="14"/>
                <w:szCs w:val="14"/>
                <w:color w:val="auto"/>
              </w:rPr>
              <w:t>Variable on muncipal bonds</w:t>
            </w:r>
          </w:p>
        </w:tc>
        <w:tc>
          <w:tcPr>
            <w:tcW w:w="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w:t>
            </w:r>
          </w:p>
        </w:tc>
        <w:tc>
          <w:tcPr>
            <w:tcW w:w="900" w:type="dxa"/>
            <w:vAlign w:val="bottom"/>
          </w:tcPr>
          <w:p>
            <w:pPr>
              <w:spacing w:after="0"/>
              <w:rPr>
                <w:sz w:val="14"/>
                <w:szCs w:val="14"/>
                <w:color w:val="auto"/>
              </w:rPr>
            </w:pPr>
          </w:p>
        </w:tc>
      </w:tr>
    </w:tbl>
    <w:p>
      <w:pPr>
        <w:spacing w:after="0" w:line="335" w:lineRule="exact"/>
        <w:rPr>
          <w:sz w:val="20"/>
          <w:szCs w:val="20"/>
          <w:color w:val="auto"/>
        </w:rPr>
      </w:pPr>
    </w:p>
    <w:p>
      <w:pPr>
        <w:jc w:val="both"/>
        <w:ind w:left="440" w:right="4740" w:hanging="432"/>
        <w:spacing w:after="0" w:line="252"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62" w:lineRule="exact"/>
        <w:rPr>
          <w:rFonts w:ascii="Courier New" w:cs="Courier New" w:eastAsia="Courier New" w:hAnsi="Courier New"/>
          <w:sz w:val="14"/>
          <w:szCs w:val="14"/>
          <w:color w:val="auto"/>
        </w:rPr>
      </w:pPr>
    </w:p>
    <w:p>
      <w:pPr>
        <w:ind w:left="440" w:right="4480" w:hanging="432"/>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 decreasing the effective interest.</w:t>
      </w:r>
    </w:p>
    <w:p>
      <w:pPr>
        <w:spacing w:after="0" w:line="159" w:lineRule="exact"/>
        <w:rPr>
          <w:rFonts w:ascii="Courier New" w:cs="Courier New" w:eastAsia="Courier New" w:hAnsi="Courier New"/>
          <w:sz w:val="14"/>
          <w:szCs w:val="14"/>
          <w:color w:val="auto"/>
        </w:rPr>
      </w:pPr>
    </w:p>
    <w:p>
      <w:pPr>
        <w:ind w:left="440" w:right="4640" w:hanging="432"/>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three months ended March 31, 2000.</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1200"/>
          </w:cols>
          <w:pgMar w:left="220" w:top="616"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540"/>
          </w:cols>
          <w:pgMar w:left="220" w:top="616" w:right="139" w:bottom="1440" w:gutter="0" w:footer="0" w:header="0"/>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(Quarter to Quarter Analysis)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At March 31, 2000</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At March 31, 1999</w:t>
      </w:r>
    </w:p>
    <w:p>
      <w:pPr>
        <w:spacing w:after="0" w:line="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160" w:space="720"/>
            <w:col w:w="3360" w:space="340"/>
            <w:col w:w="3960"/>
          </w:cols>
          <w:pgMar w:left="220" w:top="616" w:right="139"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4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800" w:space="260"/>
            <w:col w:w="1040" w:space="160"/>
            <w:col w:w="860" w:space="180"/>
            <w:col w:w="1120" w:space="340"/>
            <w:col w:w="1040" w:space="80"/>
            <w:col w:w="940" w:space="260"/>
            <w:col w:w="146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14,171,079</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13,506,203</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14,563,620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13,839,142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60" w:space="520"/>
            <w:col w:w="860" w:space="260"/>
            <w:col w:w="860" w:space="500"/>
            <w:col w:w="500" w:space="720"/>
            <w:col w:w="860" w:space="260"/>
            <w:col w:w="860" w:space="600"/>
            <w:col w:w="1280"/>
          </w:cols>
          <w:pgMar w:left="220" w:top="616" w:right="1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March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At December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00" w:space="720"/>
            <w:col w:w="3360" w:space="160"/>
            <w:col w:w="4300"/>
          </w:cols>
          <w:pgMar w:left="220" w:top="616" w:right="139"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68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620" w:space="260"/>
            <w:col w:w="1040" w:space="180"/>
            <w:col w:w="860" w:space="160"/>
            <w:col w:w="1120" w:space="180"/>
            <w:col w:w="1020" w:space="100"/>
            <w:col w:w="940" w:space="26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14,171,079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13,506,203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14,037,093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13,494,066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7">
            <w:col w:w="3460" w:space="340"/>
            <w:col w:w="860" w:space="260"/>
            <w:col w:w="860" w:space="520"/>
            <w:col w:w="340" w:space="680"/>
            <w:col w:w="880" w:space="240"/>
            <w:col w:w="880" w:space="680"/>
            <w:col w:w="1540"/>
          </w:cols>
          <w:pgMar w:left="220" w:top="616" w:right="139" w:bottom="1440" w:gutter="0" w:footer="0" w:header="0"/>
          <w:type w:val="continuous"/>
        </w:sectPr>
      </w:pPr>
    </w:p>
    <w:p>
      <w:pPr>
        <w:spacing w:after="0" w:line="1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September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June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00" w:space="720"/>
            <w:col w:w="3360" w:space="160"/>
            <w:col w:w="4300"/>
          </w:cols>
          <w:pgMar w:left="220" w:top="616" w:right="139"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68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620" w:space="260"/>
            <w:col w:w="1040" w:space="180"/>
            <w:col w:w="860" w:space="160"/>
            <w:col w:w="1120" w:space="180"/>
            <w:col w:w="1020" w:space="100"/>
            <w:col w:w="940" w:space="26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14,348,626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13,658,207</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14,541,750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13,797,209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60" w:space="340"/>
            <w:col w:w="860" w:space="340"/>
            <w:col w:w="860" w:space="520"/>
            <w:col w:w="340" w:space="600"/>
            <w:col w:w="880" w:space="240"/>
            <w:col w:w="880" w:space="680"/>
            <w:col w:w="1540"/>
          </w:cols>
          <w:pgMar w:left="220" w:top="616" w:right="1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(Quarter to Quarter Comparison)</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At March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Courier New" w:cs="Courier New" w:eastAsia="Courier New" w:hAnsi="Courier New"/>
          <w:sz w:val="14"/>
          <w:szCs w:val="14"/>
          <w:color w:val="auto"/>
        </w:rPr>
        <w:t>At March 31, 1999</w:t>
      </w:r>
    </w:p>
    <w:p>
      <w:pPr>
        <w:spacing w:after="0" w:line="7"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20" w:space="700"/>
            <w:col w:w="3360" w:space="160"/>
            <w:col w:w="4300"/>
          </w:cols>
          <w:pgMar w:left="220" w:top="616" w:right="139"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68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620" w:space="260"/>
            <w:col w:w="1040" w:space="180"/>
            <w:col w:w="860" w:space="160"/>
            <w:col w:w="1120" w:space="180"/>
            <w:col w:w="1020" w:space="100"/>
            <w:col w:w="940" w:space="26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14,066,413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13,418,914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13,844,380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13,233,178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60" w:space="340"/>
            <w:col w:w="860" w:space="260"/>
            <w:col w:w="860" w:space="520"/>
            <w:col w:w="340" w:space="680"/>
            <w:col w:w="880" w:space="240"/>
            <w:col w:w="880" w:space="680"/>
            <w:col w:w="1540"/>
          </w:cols>
          <w:pgMar w:left="220" w:top="616" w:right="1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At March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At December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00" w:space="720"/>
            <w:col w:w="3360" w:space="160"/>
            <w:col w:w="4300"/>
          </w:cols>
          <w:pgMar w:left="220" w:top="616" w:right="139" w:bottom="144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68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620" w:space="260"/>
            <w:col w:w="1040" w:space="180"/>
            <w:col w:w="860" w:space="160"/>
            <w:col w:w="1120" w:space="180"/>
            <w:col w:w="1020" w:space="100"/>
            <w:col w:w="940" w:space="26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14,066,413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13,418,914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13,865,499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13,345,911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7">
            <w:col w:w="3460" w:space="340"/>
            <w:col w:w="860" w:space="260"/>
            <w:col w:w="860" w:space="520"/>
            <w:col w:w="340" w:space="680"/>
            <w:col w:w="880" w:space="240"/>
            <w:col w:w="880" w:space="680"/>
            <w:col w:w="1540"/>
          </w:cols>
          <w:pgMar w:left="220" w:top="616" w:right="139" w:bottom="1440" w:gutter="0" w:footer="0" w:header="0"/>
          <w:type w:val="continuous"/>
        </w:sectPr>
      </w:pP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At September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At June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820" w:space="720"/>
            <w:col w:w="3360" w:space="180"/>
            <w:col w:w="4460"/>
          </w:cols>
          <w:pgMar w:left="220" w:top="616" w:right="139" w:bottom="1440" w:gutter="0" w:footer="0" w:header="0"/>
          <w:type w:val="continuous"/>
        </w:sectPr>
      </w:pPr>
    </w:p>
    <w:p>
      <w:pPr>
        <w:ind w:left="1120"/>
        <w:spacing w:after="0"/>
        <w:tabs>
          <w:tab w:leader="none" w:pos="3860" w:val="left"/>
        </w:tabs>
        <w:rPr>
          <w:sz w:val="20"/>
          <w:szCs w:val="20"/>
          <w:color w:val="auto"/>
        </w:rPr>
      </w:pP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94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6">
            <w:col w:w="4740" w:space="180"/>
            <w:col w:w="860" w:space="180"/>
            <w:col w:w="1120" w:space="160"/>
            <w:col w:w="1040" w:space="80"/>
            <w:col w:w="960" w:space="160"/>
            <w:col w:w="206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14,304,720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13,613,931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3"/>
          <w:szCs w:val="13"/>
          <w:color w:val="auto"/>
        </w:rPr>
        <w:t>95%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13,622,710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12,891,283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60" w:space="160"/>
            <w:col w:w="860" w:space="260"/>
            <w:col w:w="860" w:space="520"/>
            <w:col w:w="340" w:space="700"/>
            <w:col w:w="860" w:space="260"/>
            <w:col w:w="860" w:space="600"/>
            <w:col w:w="1800"/>
          </w:cols>
          <w:pgMar w:left="220" w:top="616" w:right="139"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1540"/>
          </w:cols>
          <w:pgMar w:left="220" w:top="616" w:right="139"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tabs>
          <w:tab w:leader="none" w:pos="4820" w:val="left"/>
        </w:tabs>
        <w:rPr>
          <w:sz w:val="20"/>
          <w:szCs w:val="20"/>
          <w:color w:val="auto"/>
        </w:rPr>
      </w:pPr>
      <w:r>
        <w:rPr>
          <w:rFonts w:ascii="Courier New" w:cs="Courier New" w:eastAsia="Courier New" w:hAnsi="Courier New"/>
          <w:sz w:val="14"/>
          <w:szCs w:val="14"/>
          <w:color w:val="auto"/>
        </w:rPr>
        <w:t>Total Square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780"/>
        <w:spacing w:after="0"/>
        <w:tabs>
          <w:tab w:leader="none" w:pos="2740" w:val="left"/>
          <w:tab w:leader="none" w:pos="4820" w:val="left"/>
        </w:tabs>
        <w:rPr>
          <w:sz w:val="20"/>
          <w:szCs w:val="20"/>
          <w:color w:val="auto"/>
        </w:rPr>
      </w:pPr>
      <w:r>
        <w:rPr>
          <w:rFonts w:ascii="Courier New" w:cs="Courier New" w:eastAsia="Courier New" w:hAnsi="Courier New"/>
          <w:sz w:val="14"/>
          <w:szCs w:val="14"/>
          <w:color w:val="auto"/>
        </w:rPr>
        <w:t>Region</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03/31/00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7,041,792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5,922,127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1,207,160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2600"/>
        <w:spacing w:after="0"/>
        <w:tabs>
          <w:tab w:leader="none" w:pos="4820" w:val="left"/>
        </w:tabs>
        <w:rPr>
          <w:sz w:val="20"/>
          <w:szCs w:val="20"/>
          <w:color w:val="auto"/>
        </w:rPr>
      </w:pPr>
      <w:r>
        <w:rPr>
          <w:rFonts w:ascii="Courier New" w:cs="Courier New" w:eastAsia="Courier New" w:hAnsi="Courier New"/>
          <w:sz w:val="14"/>
          <w:szCs w:val="14"/>
          <w:color w:val="auto"/>
        </w:rPr>
        <w:t>Total Square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780"/>
        <w:spacing w:after="0"/>
        <w:tabs>
          <w:tab w:leader="none" w:pos="2740" w:val="left"/>
          <w:tab w:leader="none" w:pos="4820" w:val="left"/>
        </w:tabs>
        <w:rPr>
          <w:sz w:val="20"/>
          <w:szCs w:val="20"/>
          <w:color w:val="auto"/>
        </w:rPr>
      </w:pPr>
      <w:r>
        <w:rPr>
          <w:rFonts w:ascii="Courier New" w:cs="Courier New" w:eastAsia="Courier New" w:hAnsi="Courier New"/>
          <w:sz w:val="14"/>
          <w:szCs w:val="14"/>
          <w:color w:val="auto"/>
        </w:rPr>
        <w:t>Region</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03/31/00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4,317,789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2,724,003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2,731,889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3,190,238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274,915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932,245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497"/>
        </w:trPr>
        <w:tc>
          <w:tcPr>
            <w:tcW w:w="2160" w:type="dxa"/>
            <w:vAlign w:val="bottom"/>
          </w:tcPr>
          <w:p>
            <w:pPr>
              <w:spacing w:after="0"/>
              <w:rPr>
                <w:sz w:val="24"/>
                <w:szCs w:val="24"/>
                <w:color w:val="auto"/>
              </w:rPr>
            </w:pP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E-4</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Sales/Occupancy Costs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860" w:type="dxa"/>
            <w:vAlign w:val="bottom"/>
          </w:tcPr>
          <w:p>
            <w:pPr>
              <w:spacing w:after="0"/>
              <w:rPr>
                <w:sz w:val="14"/>
                <w:szCs w:val="14"/>
                <w:color w:val="auto"/>
              </w:rPr>
            </w:pPr>
          </w:p>
        </w:tc>
        <w:tc>
          <w:tcPr>
            <w:tcW w:w="15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860" w:type="dxa"/>
            <w:vAlign w:val="bottom"/>
          </w:tcPr>
          <w:p>
            <w:pPr>
              <w:spacing w:after="0"/>
              <w:rPr>
                <w:sz w:val="14"/>
                <w:szCs w:val="14"/>
                <w:color w:val="auto"/>
              </w:rPr>
            </w:pPr>
          </w:p>
        </w:tc>
        <w:tc>
          <w:tcPr>
            <w:tcW w:w="15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Sales Per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 per</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860" w:type="dxa"/>
            <w:vAlign w:val="bottom"/>
          </w:tcPr>
          <w:p>
            <w:pPr>
              <w:spacing w:after="0"/>
              <w:rPr>
                <w:sz w:val="14"/>
                <w:szCs w:val="14"/>
                <w:color w:val="auto"/>
              </w:rPr>
            </w:pPr>
          </w:p>
        </w:tc>
        <w:tc>
          <w:tcPr>
            <w:tcW w:w="15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Square Foot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Foot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860" w:type="dxa"/>
            <w:vAlign w:val="bottom"/>
          </w:tcPr>
          <w:p>
            <w:pPr>
              <w:spacing w:after="0"/>
              <w:rPr>
                <w:sz w:val="14"/>
                <w:szCs w:val="14"/>
                <w:color w:val="auto"/>
              </w:rPr>
            </w:pPr>
          </w:p>
        </w:tc>
        <w:tc>
          <w:tcPr>
            <w:tcW w:w="15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15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$308.35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15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$323.73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15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$282.48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w:t>
            </w:r>
          </w:p>
        </w:tc>
      </w:tr>
      <w:tr>
        <w:trPr>
          <w:trHeight w:val="663"/>
        </w:trPr>
        <w:tc>
          <w:tcPr>
            <w:tcW w:w="2860" w:type="dxa"/>
            <w:vAlign w:val="bottom"/>
          </w:tcPr>
          <w:p>
            <w:pPr>
              <w:spacing w:after="0"/>
              <w:rPr>
                <w:sz w:val="24"/>
                <w:szCs w:val="24"/>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4"/>
                <w:szCs w:val="14"/>
                <w:color w:val="auto"/>
              </w:rPr>
              <w:t>E-5</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3160" w:type="dxa"/>
            <w:vAlign w:val="bottom"/>
            <w:gridSpan w:val="5"/>
          </w:tcPr>
          <w:p>
            <w:pPr>
              <w:jc w:val="right"/>
              <w:ind w:right="548"/>
              <w:spacing w:after="0"/>
              <w:rPr>
                <w:sz w:val="20"/>
                <w:szCs w:val="20"/>
                <w:color w:val="auto"/>
              </w:rPr>
            </w:pPr>
            <w:r>
              <w:rPr>
                <w:rFonts w:ascii="Courier New" w:cs="Courier New" w:eastAsia="Courier New" w:hAnsi="Courier New"/>
                <w:sz w:val="14"/>
                <w:szCs w:val="14"/>
                <w:color w:val="auto"/>
              </w:rPr>
              <w:t>Average Prior Average Current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Percentage</w:t>
            </w:r>
          </w:p>
        </w:tc>
        <w:tc>
          <w:tcPr>
            <w:tcW w:w="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2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Square  Average Lease</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Rent Per</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Rent Per</w:t>
            </w:r>
          </w:p>
        </w:tc>
        <w:tc>
          <w:tcPr>
            <w:tcW w:w="180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Annualized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over</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760" w:type="dxa"/>
            <w:vAlign w:val="bottom"/>
            <w:gridSpan w:val="3"/>
          </w:tcPr>
          <w:p>
            <w:pPr>
              <w:spacing w:after="0"/>
              <w:rPr>
                <w:sz w:val="20"/>
                <w:szCs w:val="20"/>
                <w:color w:val="auto"/>
              </w:rPr>
            </w:pPr>
            <w:r>
              <w:rPr>
                <w:rFonts w:ascii="Courier New" w:cs="Courier New" w:eastAsia="Courier New" w:hAnsi="Courier New"/>
                <w:sz w:val="14"/>
                <w:szCs w:val="14"/>
                <w:color w:val="auto"/>
              </w:rPr>
              <w:t>Rolling 12 Months Leases Signed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Feet</w:t>
            </w:r>
          </w:p>
        </w:tc>
        <w:tc>
          <w:tcPr>
            <w:tcW w:w="2680" w:type="dxa"/>
            <w:vAlign w:val="bottom"/>
            <w:gridSpan w:val="4"/>
          </w:tcPr>
          <w:p>
            <w:pPr>
              <w:jc w:val="center"/>
              <w:ind w:left="28"/>
              <w:spacing w:after="0"/>
              <w:rPr>
                <w:sz w:val="20"/>
                <w:szCs w:val="20"/>
                <w:color w:val="auto"/>
              </w:rPr>
            </w:pPr>
            <w:r>
              <w:rPr>
                <w:rFonts w:ascii="Courier New" w:cs="Courier New" w:eastAsia="Courier New" w:hAnsi="Courier New"/>
                <w:sz w:val="14"/>
                <w:szCs w:val="14"/>
                <w:color w:val="auto"/>
              </w:rPr>
              <w:t>Term (Years) Square Foot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Square Foot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Increase</w:t>
            </w:r>
          </w:p>
        </w:tc>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 Rent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Prior Rent</w:t>
            </w:r>
          </w:p>
        </w:tc>
        <w:tc>
          <w:tcPr>
            <w:tcW w:w="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14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7"/>
              </w:rPr>
              <w:t>------------- --------- -------------</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93"/>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spacing w:after="0"/>
              <w:rPr>
                <w:sz w:val="20"/>
                <w:szCs w:val="20"/>
                <w:color w:val="auto"/>
              </w:rPr>
            </w:pPr>
            <w:r>
              <w:rPr>
                <w:rFonts w:ascii="Courier New" w:cs="Courier New" w:eastAsia="Courier New" w:hAnsi="Courier New"/>
                <w:sz w:val="14"/>
                <w:szCs w:val="14"/>
                <w:color w:val="auto"/>
              </w:rPr>
              <w:t>1st Quarter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w:t>
            </w:r>
          </w:p>
        </w:tc>
        <w:tc>
          <w:tcPr>
            <w:tcW w:w="1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297,054</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9.1</w:t>
            </w:r>
          </w:p>
        </w:tc>
        <w:tc>
          <w:tcPr>
            <w:tcW w:w="66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$16.38</w:t>
            </w:r>
          </w:p>
        </w:tc>
        <w:tc>
          <w:tcPr>
            <w:tcW w:w="780" w:type="dxa"/>
            <w:vAlign w:val="bottom"/>
          </w:tcPr>
          <w:p>
            <w:pPr>
              <w:spacing w:after="0"/>
              <w:rPr>
                <w:sz w:val="24"/>
                <w:szCs w:val="24"/>
                <w:color w:val="auto"/>
              </w:rPr>
            </w:pPr>
          </w:p>
        </w:tc>
        <w:tc>
          <w:tcPr>
            <w:tcW w:w="11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5"/>
              </w:rPr>
              <w:t>$18.89</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746,945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5,128,000</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c>
          <w:tcPr>
            <w:tcW w:w="1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270,278</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8.7</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$20.14</w:t>
            </w:r>
          </w:p>
        </w:tc>
        <w:tc>
          <w:tcPr>
            <w:tcW w:w="780" w:type="dxa"/>
            <w:vAlign w:val="bottom"/>
          </w:tcPr>
          <w:p>
            <w:pPr>
              <w:spacing w:after="0"/>
              <w:rPr>
                <w:sz w:val="14"/>
                <w:szCs w:val="14"/>
                <w:color w:val="auto"/>
              </w:rPr>
            </w:pPr>
          </w:p>
        </w:tc>
        <w:tc>
          <w:tcPr>
            <w:tcW w:w="11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5"/>
              </w:rPr>
              <w:t>$24.32</w:t>
            </w:r>
          </w:p>
        </w:tc>
        <w:tc>
          <w:tcPr>
            <w:tcW w:w="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9"/>
              </w:rPr>
              <w:t>$1,129,625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2,710,000</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w:t>
            </w:r>
          </w:p>
        </w:tc>
        <w:tc>
          <w:tcPr>
            <w:tcW w:w="1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324,332</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7.3</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$16.02</w:t>
            </w:r>
          </w:p>
        </w:tc>
        <w:tc>
          <w:tcPr>
            <w:tcW w:w="780" w:type="dxa"/>
            <w:vAlign w:val="bottom"/>
          </w:tcPr>
          <w:p>
            <w:pPr>
              <w:spacing w:after="0"/>
              <w:rPr>
                <w:sz w:val="14"/>
                <w:szCs w:val="14"/>
                <w:color w:val="auto"/>
              </w:rPr>
            </w:pPr>
          </w:p>
        </w:tc>
        <w:tc>
          <w:tcPr>
            <w:tcW w:w="11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5"/>
              </w:rPr>
              <w:t>$20.34</w:t>
            </w:r>
          </w:p>
        </w:tc>
        <w:tc>
          <w:tcPr>
            <w:tcW w:w="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9"/>
              </w:rPr>
              <w:t>$1,401,643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3,799,000</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2nd Quarter</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1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237,065</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5.9</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$18.03</w:t>
            </w:r>
          </w:p>
        </w:tc>
        <w:tc>
          <w:tcPr>
            <w:tcW w:w="780" w:type="dxa"/>
            <w:vAlign w:val="bottom"/>
          </w:tcPr>
          <w:p>
            <w:pPr>
              <w:spacing w:after="0"/>
              <w:rPr>
                <w:sz w:val="14"/>
                <w:szCs w:val="14"/>
                <w:color w:val="auto"/>
              </w:rPr>
            </w:pPr>
          </w:p>
        </w:tc>
        <w:tc>
          <w:tcPr>
            <w:tcW w:w="11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5"/>
              </w:rPr>
              <w:t>$21.70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871,258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1,799,000</w:t>
            </w:r>
          </w:p>
        </w:tc>
      </w:tr>
      <w:tr>
        <w:trPr>
          <w:trHeight w:val="166"/>
        </w:trPr>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6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304</w:t>
            </w:r>
          </w:p>
        </w:tc>
        <w:tc>
          <w:tcPr>
            <w:tcW w:w="13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1,128,729</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8.4</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$17.52</w:t>
            </w:r>
          </w:p>
        </w:tc>
        <w:tc>
          <w:tcPr>
            <w:tcW w:w="780" w:type="dxa"/>
            <w:vAlign w:val="bottom"/>
          </w:tcPr>
          <w:p>
            <w:pPr>
              <w:spacing w:after="0"/>
              <w:rPr>
                <w:sz w:val="14"/>
                <w:szCs w:val="14"/>
                <w:color w:val="auto"/>
              </w:rPr>
            </w:pPr>
          </w:p>
        </w:tc>
        <w:tc>
          <w:tcPr>
            <w:tcW w:w="11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5"/>
              </w:rPr>
              <w:t>$21.20</w:t>
            </w:r>
          </w:p>
        </w:tc>
        <w:tc>
          <w:tcPr>
            <w:tcW w:w="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9"/>
              </w:rPr>
              <w:t>$4,149,471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13,436,000</w:t>
            </w:r>
          </w:p>
        </w:tc>
      </w:tr>
      <w:tr>
        <w:trPr>
          <w:trHeight w:val="828"/>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Non-Comparable</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Weighted</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Estimated</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Annualized</w:t>
            </w:r>
          </w:p>
        </w:tc>
        <w:tc>
          <w:tcPr>
            <w:tcW w:w="1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Tenant</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Square</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Lease</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Average Rent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Current</w:t>
            </w:r>
          </w:p>
        </w:tc>
        <w:tc>
          <w:tcPr>
            <w:tcW w:w="16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Improvement</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Rolling 12</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72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Leases Signed</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Feet</w:t>
            </w:r>
          </w:p>
        </w:tc>
        <w:tc>
          <w:tcPr>
            <w:tcW w:w="130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Term (Years)</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Square Foot</w:t>
            </w:r>
          </w:p>
        </w:tc>
        <w:tc>
          <w:tcPr>
            <w:tcW w:w="26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Rent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Costs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w w:val="91"/>
              </w:rPr>
              <w:t>- -------------------</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29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1st Quarter 2000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50,126</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12.8</w:t>
            </w: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$24.07</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$1,206,432</w:t>
            </w:r>
          </w:p>
        </w:tc>
        <w:tc>
          <w:tcPr>
            <w:tcW w:w="16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1,026,000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4th Quarter 1999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39,545</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8.7</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717,011</w:t>
            </w:r>
          </w:p>
        </w:tc>
        <w:tc>
          <w:tcPr>
            <w:tcW w:w="1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389,000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3rd Quarter 1999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105,948</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$20.32</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$2,153,331</w:t>
            </w:r>
          </w:p>
        </w:tc>
        <w:tc>
          <w:tcPr>
            <w:tcW w:w="1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521,000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2nd Quarter 1999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11,592</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7.9</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501,908</w:t>
            </w:r>
          </w:p>
        </w:tc>
        <w:tc>
          <w:tcPr>
            <w:tcW w:w="1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91,000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6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207,211</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9.6</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$22.10</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$4,578,682</w:t>
            </w:r>
          </w:p>
        </w:tc>
        <w:tc>
          <w:tcPr>
            <w:tcW w:w="1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2,027,000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E-6</w:t>
      </w:r>
    </w:p>
    <w:p>
      <w:pPr>
        <w:sectPr>
          <w:pgSz w:w="11900" w:h="16838" w:orient="portrait"/>
          <w:cols w:equalWidth="0" w:num="1">
            <w:col w:w="11300"/>
          </w:cols>
          <w:pgMar w:left="220" w:top="616" w:right="37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Retail Operating &amp; Development Overview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gridSpan w:val="5"/>
          </w:tcPr>
          <w:p>
            <w:pPr>
              <w:jc w:val="right"/>
              <w:ind w:right="588"/>
              <w:spacing w:after="0"/>
              <w:rPr>
                <w:sz w:val="20"/>
                <w:szCs w:val="20"/>
                <w:color w:val="auto"/>
              </w:rPr>
            </w:pPr>
            <w:r>
              <w:rPr>
                <w:rFonts w:ascii="Courier New" w:cs="Courier New" w:eastAsia="Courier New" w:hAnsi="Courier New"/>
                <w:sz w:val="14"/>
                <w:szCs w:val="14"/>
                <w:color w:val="auto"/>
              </w:rPr>
              <w:t>For the year ended December 31,</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March 31,</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5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860" w:type="dxa"/>
            <w:vAlign w:val="bottom"/>
          </w:tcPr>
          <w:p>
            <w:pPr>
              <w:spacing w:after="0"/>
              <w:rPr>
                <w:sz w:val="14"/>
                <w:szCs w:val="14"/>
                <w:color w:val="auto"/>
              </w:rPr>
            </w:pPr>
          </w:p>
        </w:tc>
        <w:tc>
          <w:tcPr>
            <w:tcW w:w="68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Real Estate Assets (1)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288,020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365,874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449,182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475,000</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31,998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42,643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13,924</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12,538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20,345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10,134</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5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1,122,737</w:t>
            </w:r>
          </w:p>
        </w:tc>
        <w:tc>
          <w:tcPr>
            <w:tcW w:w="34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1,502,807</w:t>
            </w:r>
          </w:p>
        </w:tc>
        <w:tc>
          <w:tcPr>
            <w:tcW w:w="34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1,601,849</w:t>
            </w:r>
          </w:p>
        </w:tc>
        <w:tc>
          <w:tcPr>
            <w:tcW w:w="34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1,691,593</w:t>
            </w:r>
          </w:p>
        </w:tc>
        <w:tc>
          <w:tcPr>
            <w:tcW w:w="3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1,715,244</w:t>
            </w:r>
          </w:p>
        </w:tc>
      </w:tr>
    </w:tbl>
    <w:p>
      <w:pPr>
        <w:spacing w:after="0" w:line="335" w:lineRule="exact"/>
        <w:rPr>
          <w:sz w:val="20"/>
          <w:szCs w:val="20"/>
          <w:color w:val="auto"/>
        </w:rPr>
      </w:pPr>
    </w:p>
    <w:p>
      <w:pPr>
        <w:jc w:val="both"/>
        <w:ind w:left="440" w:right="3779"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March 31, 2000, includes $111 million related to new development in process. The balance is comprised of both stabilized assets and assets which are in various stages of redevelopment.</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Square Feet</w:t>
            </w:r>
          </w:p>
        </w:tc>
        <w:tc>
          <w:tcPr>
            <w:tcW w:w="740" w:type="dxa"/>
            <w:vAlign w:val="bottom"/>
          </w:tcPr>
          <w:p>
            <w:pPr>
              <w:spacing w:after="0"/>
              <w:rPr>
                <w:sz w:val="14"/>
                <w:szCs w:val="1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MID-ATLANTIC</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Square Feet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Virginia</w:t>
            </w:r>
          </w:p>
        </w:tc>
        <w:tc>
          <w:tcPr>
            <w:tcW w:w="1720" w:type="dxa"/>
            <w:vAlign w:val="bottom"/>
          </w:tcPr>
          <w:p>
            <w:pPr>
              <w:spacing w:after="0"/>
              <w:rPr>
                <w:sz w:val="24"/>
                <w:szCs w:val="2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Greenwich Avenue/4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80,791</w:t>
            </w: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Pentagon Row</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West Hartford/7</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125,347</w:t>
            </w: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Village at Shirlington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203,359</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Westport/2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26,408</w:t>
            </w:r>
          </w:p>
        </w:tc>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WESTERN</w:t>
            </w:r>
          </w:p>
        </w:tc>
        <w:tc>
          <w:tcPr>
            <w:tcW w:w="172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Arizona</w:t>
            </w:r>
          </w:p>
        </w:tc>
        <w:tc>
          <w:tcPr>
            <w:tcW w:w="1720" w:type="dxa"/>
            <w:vAlign w:val="bottom"/>
          </w:tcPr>
          <w:p>
            <w:pPr>
              <w:spacing w:after="0"/>
              <w:rPr>
                <w:sz w:val="24"/>
                <w:szCs w:val="24"/>
                <w:color w:val="auto"/>
              </w:rPr>
            </w:pP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Coolidge Corner/1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13,101</w:t>
            </w: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Mill Avenue/2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39,532</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California</w:t>
            </w:r>
          </w:p>
        </w:tc>
        <w:tc>
          <w:tcPr>
            <w:tcW w:w="1720" w:type="dxa"/>
            <w:vAlign w:val="bottom"/>
          </w:tcPr>
          <w:p>
            <w:pPr>
              <w:spacing w:after="0"/>
              <w:rPr>
                <w:sz w:val="24"/>
                <w:szCs w:val="24"/>
                <w:color w:val="auto"/>
              </w:rPr>
            </w:pP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Central Avenue/1</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11,208</w:t>
            </w: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Colorado Boulevard/2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67,382</w:t>
            </w:r>
          </w:p>
        </w:tc>
      </w:tr>
      <w:tr>
        <w:trPr>
          <w:trHeight w:val="166"/>
        </w:trPr>
        <w:tc>
          <w:tcPr>
            <w:tcW w:w="2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Fifth Avenue/5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66,962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Hermosa Beach/1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5,930</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Forest Hills/4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91,593</w:t>
            </w: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Post Street/1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98,670</w:t>
            </w:r>
          </w:p>
        </w:tc>
      </w:tr>
      <w:tr>
        <w:trPr>
          <w:trHeight w:val="166"/>
        </w:trPr>
        <w:tc>
          <w:tcPr>
            <w:tcW w:w="2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Old Town Center</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101,000</w:t>
            </w:r>
          </w:p>
        </w:tc>
      </w:tr>
      <w:tr>
        <w:trPr>
          <w:trHeight w:val="166"/>
        </w:trPr>
        <w:tc>
          <w:tcPr>
            <w:tcW w:w="2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Santana Row</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Third Street Promenade/8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152,597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Hollywood Blvd./3</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198,464</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Sam's Park N Shop</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49,706</w:t>
            </w:r>
          </w:p>
        </w:tc>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172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Evanston/2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18,813</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Winter Park/2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28,446</w:t>
            </w:r>
          </w:p>
        </w:tc>
        <w:tc>
          <w:tcPr>
            <w:tcW w:w="740" w:type="dxa"/>
            <w:vAlign w:val="bottom"/>
          </w:tcPr>
          <w:p>
            <w:pPr>
              <w:spacing w:after="0"/>
              <w:rPr>
                <w:sz w:val="14"/>
                <w:szCs w:val="14"/>
                <w:color w:val="auto"/>
              </w:rPr>
            </w:pP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Oak Street/1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20" w:type="dxa"/>
            <w:vAlign w:val="bottom"/>
          </w:tcPr>
          <w:p>
            <w:pPr>
              <w:ind w:left="480"/>
              <w:spacing w:after="0"/>
              <w:rPr>
                <w:sz w:val="20"/>
                <w:szCs w:val="20"/>
                <w:color w:val="auto"/>
              </w:rPr>
            </w:pPr>
            <w:r>
              <w:rPr>
                <w:rFonts w:ascii="Courier New" w:cs="Courier New" w:eastAsia="Courier New" w:hAnsi="Courier New"/>
                <w:sz w:val="14"/>
                <w:szCs w:val="14"/>
                <w:color w:val="auto"/>
              </w:rPr>
              <w:t>Texas</w:t>
            </w:r>
          </w:p>
        </w:tc>
        <w:tc>
          <w:tcPr>
            <w:tcW w:w="1720" w:type="dxa"/>
            <w:vAlign w:val="bottom"/>
          </w:tcPr>
          <w:p>
            <w:pPr>
              <w:spacing w:after="0"/>
              <w:rPr>
                <w:sz w:val="24"/>
                <w:szCs w:val="2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Bethesda Row</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330,935</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w:t>
            </w:r>
          </w:p>
        </w:tc>
        <w:tc>
          <w:tcPr>
            <w:tcW w:w="3220" w:type="dxa"/>
            <w:vAlign w:val="bottom"/>
          </w:tcPr>
          <w:p>
            <w:pPr>
              <w:ind w:left="900"/>
              <w:spacing w:after="0"/>
              <w:rPr>
                <w:sz w:val="20"/>
                <w:szCs w:val="20"/>
                <w:color w:val="auto"/>
              </w:rPr>
            </w:pPr>
            <w:r>
              <w:rPr>
                <w:rFonts w:ascii="Courier New" w:cs="Courier New" w:eastAsia="Courier New" w:hAnsi="Courier New"/>
                <w:sz w:val="14"/>
                <w:szCs w:val="14"/>
                <w:color w:val="auto"/>
              </w:rPr>
              <w:t>Houston Street/10</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663"/>
        </w:trPr>
        <w:tc>
          <w:tcPr>
            <w:tcW w:w="242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E-7</w:t>
            </w:r>
          </w:p>
        </w:tc>
        <w:tc>
          <w:tcPr>
            <w:tcW w:w="7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2000</w:t>
      </w:r>
    </w:p>
    <w:p>
      <w:pPr>
        <w:spacing w:after="0" w:line="200" w:lineRule="exact"/>
        <w:rPr>
          <w:sz w:val="20"/>
          <w:szCs w:val="20"/>
          <w:color w:val="auto"/>
        </w:rPr>
      </w:pPr>
    </w:p>
    <w:p>
      <w:pPr>
        <w:spacing w:after="0" w:line="304" w:lineRule="exact"/>
        <w:rPr>
          <w:sz w:val="20"/>
          <w:szCs w:val="20"/>
          <w:color w:val="auto"/>
        </w:rPr>
      </w:pPr>
    </w:p>
    <w:p>
      <w:pPr>
        <w:ind w:left="8020"/>
        <w:spacing w:after="0"/>
        <w:tabs>
          <w:tab w:leader="none" w:pos="87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Expected</w:t>
      </w:r>
    </w:p>
    <w:p>
      <w:pPr>
        <w:spacing w:after="0" w:line="7" w:lineRule="exact"/>
        <w:rPr>
          <w:sz w:val="20"/>
          <w:szCs w:val="20"/>
          <w:color w:val="auto"/>
        </w:rPr>
      </w:pPr>
    </w:p>
    <w:p>
      <w:pPr>
        <w:ind w:left="5180"/>
        <w:spacing w:after="0"/>
        <w:tabs>
          <w:tab w:leader="none" w:pos="5940" w:val="left"/>
          <w:tab w:leader="none" w:pos="7820" w:val="left"/>
          <w:tab w:leader="none" w:pos="980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Estimate To Complete</w:t>
        <w:tab/>
        <w:t>Completed Stabilized</w:t>
      </w:r>
      <w:r>
        <w:rPr>
          <w:sz w:val="20"/>
          <w:szCs w:val="20"/>
          <w:color w:val="auto"/>
        </w:rPr>
        <w:tab/>
      </w:r>
      <w:r>
        <w:rPr>
          <w:rFonts w:ascii="Courier New" w:cs="Courier New" w:eastAsia="Courier New" w:hAnsi="Courier New"/>
          <w:sz w:val="14"/>
          <w:szCs w:val="14"/>
          <w:color w:val="auto"/>
        </w:rPr>
        <w:t>Principal</w:t>
      </w:r>
    </w:p>
    <w:p>
      <w:pPr>
        <w:spacing w:after="0" w:line="7" w:lineRule="exact"/>
        <w:rPr>
          <w:sz w:val="20"/>
          <w:szCs w:val="20"/>
          <w:color w:val="auto"/>
        </w:rPr>
      </w:pPr>
    </w:p>
    <w:p>
      <w:pPr>
        <w:ind w:left="620"/>
        <w:spacing w:after="0"/>
        <w:tabs>
          <w:tab w:leader="none" w:pos="2660" w:val="left"/>
          <w:tab w:leader="none" w:pos="4980" w:val="left"/>
          <w:tab w:leader="none" w:pos="5940" w:val="left"/>
          <w:tab w:leader="none" w:pos="6800" w:val="left"/>
          <w:tab w:leader="none" w:pos="7400" w:val="left"/>
          <w:tab w:leader="none" w:pos="8080" w:val="left"/>
          <w:tab w:leader="none" w:pos="8860" w:val="left"/>
          <w:tab w:leader="none" w:pos="9900" w:val="left"/>
        </w:tabs>
        <w:rPr>
          <w:sz w:val="20"/>
          <w:szCs w:val="20"/>
          <w:color w:val="auto"/>
        </w:rPr>
      </w:pPr>
      <w:r>
        <w:rPr>
          <w:rFonts w:ascii="Courier New" w:cs="Courier New" w:eastAsia="Courier New" w:hAnsi="Courier New"/>
          <w:sz w:val="14"/>
          <w:szCs w:val="14"/>
          <w:color w:val="auto"/>
        </w:rPr>
        <w:t>Project</w:t>
      </w:r>
      <w:r>
        <w:rPr>
          <w:sz w:val="20"/>
          <w:szCs w:val="20"/>
          <w:color w:val="auto"/>
        </w:rPr>
        <w:tab/>
      </w:r>
      <w:r>
        <w:rPr>
          <w:rFonts w:ascii="Courier New" w:cs="Courier New" w:eastAsia="Courier New" w:hAnsi="Courier New"/>
          <w:sz w:val="14"/>
          <w:szCs w:val="14"/>
          <w:color w:val="auto"/>
        </w:rPr>
        <w:t>Specifications</w:t>
      </w:r>
      <w:r>
        <w:rPr>
          <w:sz w:val="20"/>
          <w:szCs w:val="20"/>
          <w:color w:val="auto"/>
        </w:rPr>
        <w:tab/>
      </w:r>
      <w:r>
        <w:rPr>
          <w:rFonts w:ascii="Courier New" w:cs="Courier New" w:eastAsia="Courier New" w:hAnsi="Courier New"/>
          <w:sz w:val="14"/>
          <w:szCs w:val="14"/>
          <w:color w:val="auto"/>
        </w:rPr>
        <w:t>To Date</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Return</w:t>
      </w:r>
      <w:r>
        <w:rPr>
          <w:sz w:val="20"/>
          <w:szCs w:val="20"/>
          <w:color w:val="auto"/>
        </w:rPr>
        <w:tab/>
      </w:r>
      <w:r>
        <w:rPr>
          <w:rFonts w:ascii="Courier New" w:cs="Courier New" w:eastAsia="Courier New" w:hAnsi="Courier New"/>
          <w:sz w:val="14"/>
          <w:szCs w:val="14"/>
          <w:color w:val="auto"/>
        </w:rPr>
        <w:t>Tenants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COMPLETED DEVELOPMENTS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Row - Elm Street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sf retail</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9</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Cafe Deluxe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sf office</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Vitamin Superstore</w:t>
            </w:r>
          </w:p>
        </w:tc>
      </w:tr>
      <w:tr>
        <w:trPr>
          <w:trHeight w:val="166"/>
        </w:trPr>
        <w:tc>
          <w:tcPr>
            <w:tcW w:w="2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Three Dog Bakery</w:t>
            </w:r>
          </w:p>
        </w:tc>
      </w:tr>
      <w:tr>
        <w:trPr>
          <w:trHeight w:val="166"/>
        </w:trPr>
        <w:tc>
          <w:tcPr>
            <w:tcW w:w="2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Prudential</w:t>
            </w:r>
          </w:p>
        </w:tc>
      </w:tr>
      <w:tr>
        <w:trPr>
          <w:trHeight w:val="166"/>
        </w:trPr>
        <w:tc>
          <w:tcPr>
            <w:tcW w:w="2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Long &amp; Foster</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IN PROGRESS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sf retail</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spacing w:after="0"/>
              <w:rPr>
                <w:sz w:val="14"/>
                <w:szCs w:val="14"/>
                <w:color w:val="auto"/>
              </w:rPr>
            </w:pP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Landmark Theatres</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sf office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sf retail  (1)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640" w:type="dxa"/>
            <w:vAlign w:val="bottom"/>
          </w:tcPr>
          <w:p>
            <w:pPr>
              <w:spacing w:after="0"/>
              <w:rPr>
                <w:sz w:val="24"/>
                <w:szCs w:val="24"/>
                <w:color w:val="auto"/>
              </w:rPr>
            </w:pP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Harris Teeter</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2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500 apartment units</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Bed, Bath &amp; Beyond</w:t>
            </w:r>
          </w:p>
        </w:tc>
      </w:tr>
      <w:tr>
        <w:trPr>
          <w:trHeight w:val="166"/>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Bally's Fitness</w:t>
            </w:r>
          </w:p>
        </w:tc>
      </w:tr>
      <w:tr>
        <w:trPr>
          <w:trHeight w:val="166"/>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Hudson Trail</w:t>
            </w:r>
          </w:p>
        </w:tc>
      </w:tr>
      <w:tr>
        <w:trPr>
          <w:trHeight w:val="166"/>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w:t>
            </w:r>
          </w:p>
        </w:tc>
        <w:tc>
          <w:tcPr>
            <w:tcW w:w="8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$ 100</w:t>
            </w:r>
          </w:p>
        </w:tc>
        <w:tc>
          <w:tcPr>
            <w:tcW w:w="76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Outfitters</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DEVELOP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Houston Street</w:t>
            </w:r>
          </w:p>
        </w:tc>
        <w:tc>
          <w:tcPr>
            <w:tcW w:w="25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165,000 sf retail</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San Antonio, Texas</w:t>
            </w:r>
          </w:p>
        </w:tc>
        <w:tc>
          <w:tcPr>
            <w:tcW w:w="11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80,000 sf</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500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hotel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rooms (2)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25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680,000 sf retail</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25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1,200 residential units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200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hotel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rooms (2)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25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300,000 sf retail</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11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12,000 sf</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Lindbergh Center</w:t>
            </w:r>
          </w:p>
        </w:tc>
        <w:tc>
          <w:tcPr>
            <w:tcW w:w="25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300,000 sf retail  (1)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Atlanta, Georgia</w:t>
            </w: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320</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apartments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120</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hotel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rooms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290</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condominiums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1.3</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million sf office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440" w:hanging="264"/>
        <w:spacing w:after="0"/>
        <w:tabs>
          <w:tab w:leader="none" w:pos="544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98</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460"/>
          </w:cols>
          <w:pgMar w:left="220" w:top="616" w:right="219"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$ 131</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60" w:space="720"/>
            <w:col w:w="6280"/>
          </w:cols>
          <w:pgMar w:left="220" w:top="616" w:right="219" w:bottom="1440" w:gutter="0" w:footer="0" w:header="0"/>
          <w:type w:val="continuous"/>
        </w:sectPr>
      </w:pPr>
    </w:p>
    <w:p>
      <w:pPr>
        <w:spacing w:after="0" w:line="138" w:lineRule="exact"/>
        <w:rPr>
          <w:sz w:val="20"/>
          <w:szCs w:val="20"/>
          <w:color w:val="auto"/>
        </w:rPr>
      </w:pPr>
    </w:p>
    <w:p>
      <w:pPr>
        <w:ind w:left="360" w:hanging="352"/>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develop only the retail component of this project.</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not develop the hotel component of this project.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1460"/>
          </w:cols>
          <w:pgMar w:left="220" w:top="616" w:right="219" w:bottom="1440" w:gutter="0" w:footer="0" w:header="0"/>
          <w:type w:val="continuous"/>
        </w:sectPr>
      </w:pPr>
    </w:p>
    <w:bookmarkStart w:id="11" w:name="page12"/>
    <w:bookmarkEnd w:id="11"/>
    <w:p>
      <w:pPr>
        <w:jc w:val="center"/>
        <w:ind w:right="351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[LETTERHEAD OF FEDERAL REALTY INVESTMENT TRUST]</w:t>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FIRST QUARTER 2000 OPERATING RESULTS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4,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first quarter of 2000 increased 5.9% to $25.1 million from $23.7 million in the first quarter of 1999. On a per share basis, funds from operations rose 6.9% to $.62 in the first quarter of 2000 from $.58 in the comparable quarter of 1999.</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first quarter of 2000 versus the first quarter of 1999 shows the following:</w:t>
      </w:r>
    </w:p>
    <w:p>
      <w:pPr>
        <w:spacing w:after="0" w:line="160" w:lineRule="exact"/>
        <w:rPr>
          <w:sz w:val="20"/>
          <w:szCs w:val="20"/>
          <w:color w:val="auto"/>
        </w:rPr>
      </w:pPr>
    </w:p>
    <w:p>
      <w:pPr>
        <w:ind w:left="860" w:right="3599" w:hanging="421"/>
        <w:spacing w:after="0" w:line="252"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8.1% to $64.2 million in 2000 from $59.4 million in 1999. When adjusted to exclude properties acquired, sold and developed during 1999 and 2000, rental income increased 7.2% to $62.6 million in 2000 from $58.4 million in 1999.</w:t>
      </w:r>
    </w:p>
    <w:p>
      <w:pPr>
        <w:spacing w:after="0" w:line="162" w:lineRule="exact"/>
        <w:rPr>
          <w:sz w:val="20"/>
          <w:szCs w:val="20"/>
          <w:color w:val="auto"/>
        </w:rPr>
      </w:pPr>
    </w:p>
    <w:p>
      <w:pPr>
        <w:ind w:left="860" w:right="3519" w:hanging="421"/>
        <w:spacing w:after="0" w:line="251"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9.2% to $45.9 million in the first quarter of 2000 from $42.0 million in 1999. When adjusted to exclude properties acquired, sold and developed during 1999 and 2000, net operating income increased 8.1% to $44.7 million in 2000 from $41.4 million in 1999.</w:t>
      </w:r>
    </w:p>
    <w:p>
      <w:pPr>
        <w:spacing w:after="0" w:line="165" w:lineRule="exact"/>
        <w:rPr>
          <w:sz w:val="20"/>
          <w:szCs w:val="20"/>
          <w:color w:val="auto"/>
        </w:rPr>
      </w:pPr>
    </w:p>
    <w:p>
      <w:pPr>
        <w:ind w:left="860" w:right="3419" w:hanging="421"/>
        <w:spacing w:after="0" w:line="251"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2000, the Trust signed leases for a total 347,000 square feet of retail space. On a same space basis, the Trust re-leased 297,000 square feet of retail space at an average increase in rent per square foot of 15%. The weighted average rent on these leases was $18.89 per square foot compared to the previous average rent of $16.38 per square foot.</w:t>
      </w:r>
    </w:p>
    <w:p>
      <w:pPr>
        <w:spacing w:after="0" w:line="164" w:lineRule="exact"/>
        <w:rPr>
          <w:sz w:val="20"/>
          <w:szCs w:val="20"/>
          <w:color w:val="auto"/>
        </w:rPr>
      </w:pPr>
    </w:p>
    <w:p>
      <w:pPr>
        <w:ind w:left="860" w:right="3339" w:hanging="421"/>
        <w:spacing w:after="0" w:line="252"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March 31, 2000, the Trust's overall portfolio was 95.3% leased compared to 95.0% a year ago. Same property occupancy was 95.4% leased at March 31, 2000 compared to 95.6% a year ago.</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12" w:name="page13"/>
    <w:bookmarkEnd w:id="12"/>
    <w:p>
      <w:pPr>
        <w:ind w:right="341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"We are pleased with our first quarter results. While rising interest rates will likely put pressure on our funds from operation growth over the next 12 to 18 months, our high quality core portfolio should continue to generate above average internal growth as the Trust continues to execute its mixed-use development strategy. Construction is proceeding apace on Phase IV of our Bethesda Row master plan development in Bethesda, Maryland and we are on target for a spring 2001 opening. Likewise, we are making excellent progress on our Pentagon Row project in Arlington, Virginia. The project is presently 85% pre-leased with a targeted opening in the second half of 2001."</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124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32 consecutive years. Shares of the Trust are traded on the New York Stock Exchange under the symbol:FRT.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239"/>
          </w:cols>
          <w:pgMar w:left="220" w:top="616" w:right="1440" w:bottom="1440" w:gutter="0" w:footer="0" w:header="0"/>
        </w:sectPr>
      </w:pPr>
    </w:p>
    <w:bookmarkStart w:id="13" w:name="page14"/>
    <w:bookmarkEnd w:id="13"/>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ind w:left="1820"/>
              <w:spacing w:after="0"/>
              <w:rPr>
                <w:sz w:val="20"/>
                <w:szCs w:val="20"/>
                <w:color w:val="auto"/>
              </w:rPr>
            </w:pPr>
            <w:r>
              <w:rPr>
                <w:rFonts w:ascii="Courier New" w:cs="Courier New" w:eastAsia="Courier New" w:hAnsi="Courier New"/>
                <w:sz w:val="14"/>
                <w:szCs w:val="14"/>
                <w:color w:val="auto"/>
              </w:rPr>
              <w:t>(in thousands, except per share data)</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97"/>
        </w:trPr>
        <w:tc>
          <w:tcPr>
            <w:tcW w:w="6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March 31,</w:t>
            </w:r>
          </w:p>
        </w:tc>
        <w:tc>
          <w:tcPr>
            <w:tcW w:w="960" w:type="dxa"/>
            <w:vAlign w:val="bottom"/>
          </w:tcPr>
          <w:p>
            <w:pPr>
              <w:spacing w:after="0"/>
              <w:rPr>
                <w:sz w:val="14"/>
                <w:szCs w:val="14"/>
                <w:color w:val="auto"/>
              </w:rPr>
            </w:pPr>
          </w:p>
        </w:tc>
      </w:tr>
      <w:tr>
        <w:trPr>
          <w:trHeight w:val="166"/>
        </w:trPr>
        <w:tc>
          <w:tcPr>
            <w:tcW w:w="6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w:t>
            </w:r>
          </w:p>
        </w:tc>
        <w:tc>
          <w:tcPr>
            <w:tcW w:w="96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96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7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Revenues</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Rental income</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64,232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59,433</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Other property income</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2,765</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2,272</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Interest income</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2,107</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1,878</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69,104</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63,583</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Rental</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14,620</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13,648</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Real estate taxes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6,457</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6,012</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16,493</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15,133</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Administrative</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2,922</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2,254</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12,655</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12,281</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53,147</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49,328</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9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15,957</w:t>
            </w:r>
          </w:p>
        </w:tc>
        <w:tc>
          <w:tcPr>
            <w:tcW w:w="7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14,255</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Investor's share of operations</w:t>
            </w:r>
          </w:p>
        </w:tc>
        <w:tc>
          <w:tcPr>
            <w:tcW w:w="9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(1,818)</w:t>
            </w:r>
          </w:p>
        </w:tc>
        <w:tc>
          <w:tcPr>
            <w:tcW w:w="7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(701)</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14,139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13,554</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Dividends on preferred stock</w:t>
            </w:r>
          </w:p>
        </w:tc>
        <w:tc>
          <w:tcPr>
            <w:tcW w:w="9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c>
          <w:tcPr>
            <w:tcW w:w="7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 a vailable for common shareholders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$12,151</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$11,566</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Earnings per common share, basic</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Earnings per common share, diluted</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39,444</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39,435</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40,595</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40,545</w:t>
            </w:r>
          </w:p>
        </w:tc>
      </w:tr>
      <w:tr>
        <w:trPr>
          <w:trHeight w:val="331"/>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Funds from Operations</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12,151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11,566</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11,487</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11,128</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830</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613</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Funds from operations, diluted</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25,081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23,676</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Funds from operations per share, diluted</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$0.62</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6120" w:type="dxa"/>
            <w:vAlign w:val="bottom"/>
          </w:tcPr>
          <w:p>
            <w:pPr>
              <w:spacing w:after="0"/>
              <w:rPr>
                <w:sz w:val="24"/>
                <w:szCs w:val="24"/>
                <w:color w:val="auto"/>
              </w:rPr>
            </w:pPr>
          </w:p>
        </w:tc>
        <w:tc>
          <w:tcPr>
            <w:tcW w:w="1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March 31,</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9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7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Assets</w:t>
            </w:r>
          </w:p>
        </w:tc>
        <w:tc>
          <w:tcPr>
            <w:tcW w:w="1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(Unaudited)</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Real estate, at cost</w:t>
            </w: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$1,760,541</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$1,721,459</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9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(327,847)</w:t>
            </w:r>
          </w:p>
        </w:tc>
        <w:tc>
          <w:tcPr>
            <w:tcW w:w="7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(317,921)</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1,432,694</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1,403,538</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receivable</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56,943</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53,495</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Cash and investments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13,711</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11,738</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19,961</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23,130</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38,793</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42,147</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Total assets</w:t>
            </w: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$1,562,102</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Liabilities and Shareholders' Equity</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960" w:type="dxa"/>
            <w:vAlign w:val="bottom"/>
          </w:tcPr>
          <w:p>
            <w:pPr>
              <w:ind w:left="8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172,333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172,573</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316,121</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162,768</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410,000</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510,000</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9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110,362</w:t>
            </w: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111,591</w:t>
            </w:r>
          </w:p>
        </w:tc>
      </w:tr>
      <w:tr>
        <w:trPr>
          <w:trHeight w:val="331"/>
        </w:trPr>
        <w:tc>
          <w:tcPr>
            <w:tcW w:w="612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9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477,997</w:t>
            </w:r>
          </w:p>
        </w:tc>
        <w:tc>
          <w:tcPr>
            <w:tcW w:w="7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501,827</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$1,562,102</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6120" w:type="dxa"/>
            <w:vAlign w:val="bottom"/>
          </w:tcPr>
          <w:p>
            <w:pPr>
              <w:spacing w:after="0"/>
              <w:rPr>
                <w:sz w:val="14"/>
                <w:szCs w:val="14"/>
                <w:color w:val="auto"/>
              </w:rPr>
            </w:pPr>
          </w:p>
        </w:tc>
        <w:tc>
          <w:tcPr>
            <w:tcW w:w="1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6120" w:type="dxa"/>
            <w:vAlign w:val="bottom"/>
          </w:tcPr>
          <w:p>
            <w:pPr>
              <w:ind w:left="3200"/>
              <w:spacing w:after="0"/>
              <w:rPr>
                <w:sz w:val="20"/>
                <w:szCs w:val="20"/>
                <w:color w:val="auto"/>
              </w:rPr>
            </w:pPr>
            <w:r>
              <w:rPr>
                <w:rFonts w:ascii="Courier New" w:cs="Courier New" w:eastAsia="Courier New" w:hAnsi="Courier New"/>
                <w:sz w:val="14"/>
                <w:szCs w:val="14"/>
                <w:color w:val="auto"/>
              </w:rPr>
              <w:t>E-11</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451" w:right="1440" w:bottom="1085" w:gutter="0" w:footer="0" w:header="0"/>
        </w:sectPr>
      </w:pPr>
    </w:p>
    <w:bookmarkStart w:id="14" w:name="page15"/>
    <w:bookmarkEnd w:id="14"/>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E-12</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3"/>
    </w:lvl>
  </w:abstractNum>
  <w:abstractNum w:abstractNumId="1">
    <w:nsid w:val="79E2A9E3"/>
    <w:multiLevelType w:val="hybridMultilevel"/>
    <w:lvl w:ilvl="0">
      <w:lvlJc w:val="left"/>
      <w:lvlText w:val="%1."/>
      <w:numFmt w:val="decimal"/>
      <w:start w:val="4"/>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2019-12-12T08:58:02Z</dcterms:created>
  <dcterms:modified xsi:type="dcterms:W3CDTF">2019-12-12T08:58:02Z</dcterms:modified>
</cp:coreProperties>
</file>