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333-160009</w:t>
      </w:r>
    </w:p>
    <w:p>
      <w:pPr>
        <w:spacing w:after="0" w:line="213" w:lineRule="exact"/>
        <w:rPr>
          <w:sz w:val="24"/>
          <w:szCs w:val="24"/>
          <w:color w:val="auto"/>
        </w:rPr>
      </w:pPr>
    </w:p>
    <w:p>
      <w:pPr>
        <w:ind w:right="500"/>
        <w:spacing w:after="0" w:line="258" w:lineRule="auto"/>
        <w:rPr>
          <w:sz w:val="20"/>
          <w:szCs w:val="20"/>
          <w:color w:val="auto"/>
        </w:rPr>
      </w:pPr>
      <w:r>
        <w:rPr>
          <w:rFonts w:ascii="Arial" w:cs="Arial" w:eastAsia="Arial" w:hAnsi="Arial"/>
          <w:sz w:val="18"/>
          <w:szCs w:val="18"/>
          <w:b w:val="1"/>
          <w:bCs w:val="1"/>
          <w:color w:val="DE1A1E"/>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23"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DE1A1E"/>
        </w:rPr>
        <w:t>SUBJECT TO COMPLETION, DATED AUGUST 10, 2009</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(TO PROSPECTUS DATED JUNE 16, 2009)</w:t>
      </w:r>
    </w:p>
    <w:p>
      <w:pPr>
        <w:spacing w:after="0" w:line="131" w:lineRule="exact"/>
        <w:rPr>
          <w:sz w:val="24"/>
          <w:szCs w:val="24"/>
          <w:color w:val="auto"/>
        </w:rPr>
      </w:pPr>
    </w:p>
    <w:p>
      <w:pPr>
        <w:ind w:left="5040"/>
        <w:spacing w:after="0"/>
        <w:rPr>
          <w:sz w:val="20"/>
          <w:szCs w:val="20"/>
          <w:color w:val="auto"/>
        </w:rPr>
      </w:pPr>
      <w:r>
        <w:rPr>
          <w:rFonts w:ascii="Arial" w:cs="Arial" w:eastAsia="Arial" w:hAnsi="Arial"/>
          <w:sz w:val="24"/>
          <w:szCs w:val="24"/>
          <w:b w:val="1"/>
          <w:bCs w:val="1"/>
          <w:color w:val="32406B"/>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117475</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 Notes due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178435</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120" w:firstLine="685"/>
        <w:spacing w:after="0" w:line="306" w:lineRule="auto"/>
        <w:rPr>
          <w:sz w:val="20"/>
          <w:szCs w:val="20"/>
          <w:color w:val="auto"/>
        </w:rPr>
      </w:pPr>
      <w:r>
        <w:rPr>
          <w:rFonts w:ascii="Arial" w:cs="Arial" w:eastAsia="Arial" w:hAnsi="Arial"/>
          <w:sz w:val="16"/>
          <w:szCs w:val="16"/>
          <w:color w:val="32406B"/>
        </w:rPr>
        <w:t>The notes offered by this prospectus supplement will bear interest at the rate of % per year. Interest on the notes will be payable on February 15 and August 15 of each year, beginning on February 15, 2010. The notes will mature on August 15, 2014. We may redeem some or all of the notes at any time before maturity. The redemption price is discussed under the caption “Description of Notes — Optional Redemption.”</w:t>
      </w:r>
    </w:p>
    <w:p>
      <w:pPr>
        <w:spacing w:after="0" w:line="93" w:lineRule="exact"/>
        <w:rPr>
          <w:sz w:val="24"/>
          <w:szCs w:val="24"/>
          <w:color w:val="auto"/>
        </w:rPr>
      </w:pPr>
    </w:p>
    <w:p>
      <w:pPr>
        <w:ind w:right="60" w:firstLine="685"/>
        <w:spacing w:after="0" w:line="259" w:lineRule="auto"/>
        <w:rPr>
          <w:sz w:val="20"/>
          <w:szCs w:val="20"/>
          <w:color w:val="auto"/>
        </w:rPr>
      </w:pPr>
      <w:r>
        <w:rPr>
          <w:rFonts w:ascii="Arial" w:cs="Arial" w:eastAsia="Arial" w:hAnsi="Arial"/>
          <w:sz w:val="18"/>
          <w:szCs w:val="18"/>
          <w:color w:val="32406B"/>
        </w:rPr>
        <w:t>The notes will be unsecured senior obligations of our company and will rank equally with all of our other unsecured senior indebtedness. The notes will be effectively subordinated to the prior claims of each secured mortgage lender to any specified property that secures such lender’s mortgage and to all of the unsecured indebtedness of our subsidiaries.</w:t>
      </w:r>
    </w:p>
    <w:p>
      <w:pPr>
        <w:spacing w:after="0" w:line="127" w:lineRule="exact"/>
        <w:rPr>
          <w:sz w:val="24"/>
          <w:szCs w:val="24"/>
          <w:color w:val="auto"/>
        </w:rPr>
      </w:pPr>
    </w:p>
    <w:p>
      <w:pPr>
        <w:ind w:left="700"/>
        <w:spacing w:after="0"/>
        <w:rPr>
          <w:sz w:val="20"/>
          <w:szCs w:val="20"/>
          <w:color w:val="auto"/>
        </w:rPr>
      </w:pPr>
      <w:r>
        <w:rPr>
          <w:rFonts w:ascii="Arial" w:cs="Arial" w:eastAsia="Arial" w:hAnsi="Arial"/>
          <w:sz w:val="18"/>
          <w:szCs w:val="18"/>
          <w:color w:val="32406B"/>
        </w:rPr>
        <w:t>The notes will not be listed on any securities exchange. Currently there is no public market for the notes.</w:t>
      </w:r>
    </w:p>
    <w:p>
      <w:pPr>
        <w:spacing w:after="0" w:line="138" w:lineRule="exact"/>
        <w:rPr>
          <w:sz w:val="24"/>
          <w:szCs w:val="24"/>
          <w:color w:val="auto"/>
        </w:rPr>
      </w:pPr>
    </w:p>
    <w:p>
      <w:pPr>
        <w:ind w:right="140" w:firstLine="685"/>
        <w:spacing w:after="0" w:line="258" w:lineRule="auto"/>
        <w:rPr>
          <w:rFonts w:ascii="Arial" w:cs="Arial" w:eastAsia="Arial" w:hAnsi="Arial"/>
          <w:sz w:val="24"/>
          <w:szCs w:val="24"/>
          <w:b w:val="1"/>
          <w:bCs w:val="1"/>
          <w:color w:val="32406B"/>
        </w:rPr>
      </w:pPr>
      <w:r>
        <w:rPr>
          <w:rFonts w:ascii="Arial" w:cs="Arial" w:eastAsia="Arial" w:hAnsi="Arial"/>
          <w:sz w:val="24"/>
          <w:szCs w:val="24"/>
          <w:b w:val="1"/>
          <w:bCs w:val="1"/>
          <w:color w:val="32406B"/>
        </w:rPr>
        <w:t>Investing in the notes involves risks. See “</w:t>
      </w:r>
      <w:hyperlink w:anchor="page9">
        <w:r>
          <w:rPr>
            <w:rFonts w:ascii="Arial" w:cs="Arial" w:eastAsia="Arial" w:hAnsi="Arial"/>
            <w:sz w:val="24"/>
            <w:szCs w:val="24"/>
            <w:b w:val="1"/>
            <w:bCs w:val="1"/>
            <w:u w:val="single" w:color="auto"/>
            <w:color w:val="0000EE"/>
          </w:rPr>
          <w:t>Risk Factors</w:t>
        </w:r>
      </w:hyperlink>
      <w:r>
        <w:rPr>
          <w:rFonts w:ascii="Arial" w:cs="Arial" w:eastAsia="Arial" w:hAnsi="Arial"/>
          <w:sz w:val="24"/>
          <w:szCs w:val="24"/>
          <w:b w:val="1"/>
          <w:bCs w:val="1"/>
          <w:color w:val="32406B"/>
        </w:rPr>
        <w:t>” beginning on page S-5 of this prospectus supplement, on page 2 of the accompanying prospectus and in our Annual Report on Form 10-K for the year ended December 31, 2008, filed with the Securities and Exchange Commission, or the SEC, on February 26, 2009, as amended on June 25,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130810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61"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32406B"/>
                <w:w w:val="89"/>
              </w:rPr>
              <w:t>Per</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32406B"/>
                <w:w w:val="84"/>
              </w:rPr>
              <w:t>Note</w:t>
            </w:r>
          </w:p>
        </w:tc>
        <w:tc>
          <w:tcPr>
            <w:tcW w:w="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32406B"/>
              </w:rPr>
              <w:t>Total</w:t>
            </w:r>
          </w:p>
        </w:tc>
      </w:tr>
      <w:tr>
        <w:trPr>
          <w:trHeight w:val="211"/>
        </w:trPr>
        <w:tc>
          <w:tcPr>
            <w:tcW w:w="2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 xml:space="preserve">Public offering price </w:t>
            </w:r>
            <w:r>
              <w:rPr>
                <w:rFonts w:ascii="Arial" w:cs="Arial" w:eastAsia="Arial" w:hAnsi="Arial"/>
                <w:sz w:val="11"/>
                <w:szCs w:val="11"/>
                <w:color w:val="32406B"/>
              </w:rPr>
              <w:t>(1)</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620" w:type="dxa"/>
            <w:vAlign w:val="bottom"/>
            <w:shd w:val="clear" w:color="auto" w:fill="CCEEFF"/>
          </w:tcPr>
          <w:p>
            <w:pPr>
              <w:jc w:val="right"/>
              <w:ind w:right="460"/>
              <w:spacing w:after="0"/>
              <w:rPr>
                <w:sz w:val="20"/>
                <w:szCs w:val="20"/>
                <w:color w:val="auto"/>
              </w:rPr>
            </w:pPr>
            <w:r>
              <w:rPr>
                <w:rFonts w:ascii="Arial" w:cs="Arial" w:eastAsia="Arial" w:hAnsi="Arial"/>
                <w:sz w:val="15"/>
                <w:szCs w:val="15"/>
                <w:color w:val="32406B"/>
                <w:w w:val="71"/>
              </w:rPr>
              <w:t>$</w:t>
            </w:r>
          </w:p>
        </w:tc>
      </w:tr>
      <w:tr>
        <w:trPr>
          <w:trHeight w:val="216"/>
        </w:trPr>
        <w:tc>
          <w:tcPr>
            <w:tcW w:w="2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32406B"/>
              </w:rPr>
              <w:t>Underwriting discount</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620" w:type="dxa"/>
            <w:vAlign w:val="bottom"/>
          </w:tcPr>
          <w:p>
            <w:pPr>
              <w:jc w:val="right"/>
              <w:ind w:right="460"/>
              <w:spacing w:after="0"/>
              <w:rPr>
                <w:sz w:val="20"/>
                <w:szCs w:val="20"/>
                <w:color w:val="auto"/>
              </w:rPr>
            </w:pPr>
            <w:r>
              <w:rPr>
                <w:rFonts w:ascii="Arial" w:cs="Arial" w:eastAsia="Arial" w:hAnsi="Arial"/>
                <w:sz w:val="15"/>
                <w:szCs w:val="15"/>
                <w:color w:val="32406B"/>
                <w:w w:val="71"/>
              </w:rPr>
              <w:t>$</w:t>
            </w:r>
          </w:p>
        </w:tc>
      </w:tr>
      <w:tr>
        <w:trPr>
          <w:trHeight w:val="216"/>
        </w:trPr>
        <w:tc>
          <w:tcPr>
            <w:tcW w:w="2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 xml:space="preserve">Proceeds, before expenses, to us </w:t>
            </w:r>
            <w:r>
              <w:rPr>
                <w:rFonts w:ascii="Arial" w:cs="Arial" w:eastAsia="Arial" w:hAnsi="Arial"/>
                <w:sz w:val="11"/>
                <w:szCs w:val="11"/>
                <w:color w:val="32406B"/>
              </w:rPr>
              <w:t>(1)</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620" w:type="dxa"/>
            <w:vAlign w:val="bottom"/>
            <w:shd w:val="clear" w:color="auto" w:fill="CCEEFF"/>
          </w:tcPr>
          <w:p>
            <w:pPr>
              <w:jc w:val="right"/>
              <w:ind w:right="460"/>
              <w:spacing w:after="0"/>
              <w:rPr>
                <w:sz w:val="20"/>
                <w:szCs w:val="20"/>
                <w:color w:val="auto"/>
              </w:rPr>
            </w:pPr>
            <w:r>
              <w:rPr>
                <w:rFonts w:ascii="Arial" w:cs="Arial" w:eastAsia="Arial" w:hAnsi="Arial"/>
                <w:sz w:val="15"/>
                <w:szCs w:val="15"/>
                <w:color w:val="32406B"/>
                <w:w w:val="71"/>
              </w:rPr>
              <w:t>$</w:t>
            </w:r>
          </w:p>
        </w:tc>
      </w:tr>
      <w:tr>
        <w:trPr>
          <w:trHeight w:val="363"/>
        </w:trPr>
        <w:tc>
          <w:tcPr>
            <w:tcW w:w="8600" w:type="dxa"/>
            <w:vAlign w:val="bottom"/>
            <w:gridSpan w:val="3"/>
          </w:tcPr>
          <w:p>
            <w:pPr>
              <w:spacing w:after="0"/>
              <w:rPr>
                <w:sz w:val="20"/>
                <w:szCs w:val="20"/>
                <w:color w:val="auto"/>
              </w:rPr>
            </w:pPr>
            <w:r>
              <w:rPr>
                <w:rFonts w:ascii="Arial" w:cs="Arial" w:eastAsia="Arial" w:hAnsi="Arial"/>
                <w:sz w:val="11"/>
                <w:szCs w:val="11"/>
                <w:color w:val="32406B"/>
                <w:w w:val="88"/>
              </w:rPr>
              <w:t xml:space="preserve">(1) </w:t>
            </w:r>
            <w:r>
              <w:rPr>
                <w:rFonts w:ascii="Arial" w:cs="Arial" w:eastAsia="Arial" w:hAnsi="Arial"/>
                <w:sz w:val="17"/>
                <w:szCs w:val="17"/>
                <w:color w:val="32406B"/>
                <w:w w:val="88"/>
              </w:rPr>
              <w:t>Plus accrued interest from August</w:t>
            </w:r>
            <w:r>
              <w:rPr>
                <w:rFonts w:ascii="Arial" w:cs="Arial" w:eastAsia="Arial" w:hAnsi="Arial"/>
                <w:sz w:val="18"/>
                <w:szCs w:val="18"/>
                <w:color w:val="32406B"/>
                <w:w w:val="88"/>
              </w:rPr>
              <w:t>, 2009, if settlement occurs after that date.</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83" w:lineRule="exact"/>
        <w:rPr>
          <w:sz w:val="24"/>
          <w:szCs w:val="24"/>
          <w:color w:val="auto"/>
        </w:rPr>
      </w:pPr>
    </w:p>
    <w:p>
      <w:pPr>
        <w:ind w:right="120" w:firstLine="685"/>
        <w:spacing w:after="0" w:line="268" w:lineRule="auto"/>
        <w:rPr>
          <w:sz w:val="20"/>
          <w:szCs w:val="20"/>
          <w:color w:val="auto"/>
        </w:rPr>
      </w:pPr>
      <w:r>
        <w:rPr>
          <w:rFonts w:ascii="Arial" w:cs="Arial" w:eastAsia="Arial" w:hAnsi="Arial"/>
          <w:sz w:val="18"/>
          <w:szCs w:val="18"/>
          <w:color w:val="32406B"/>
        </w:rPr>
        <w:t>The underwriters expect to deliver the notes to purchasers in book-entry only form through the facilities of The Depository Trust Company on or about August , 2009.</w:t>
      </w:r>
    </w:p>
    <w:p>
      <w:pPr>
        <w:spacing w:after="0" w:line="112" w:lineRule="exact"/>
        <w:rPr>
          <w:sz w:val="24"/>
          <w:szCs w:val="24"/>
          <w:color w:val="auto"/>
        </w:rPr>
      </w:pPr>
    </w:p>
    <w:p>
      <w:pPr>
        <w:ind w:right="800" w:firstLine="685"/>
        <w:spacing w:after="0" w:line="339" w:lineRule="auto"/>
        <w:rPr>
          <w:sz w:val="20"/>
          <w:szCs w:val="20"/>
          <w:color w:val="auto"/>
        </w:rPr>
      </w:pPr>
      <w:r>
        <w:rPr>
          <w:rFonts w:ascii="Arial" w:cs="Arial" w:eastAsia="Arial" w:hAnsi="Arial"/>
          <w:sz w:val="16"/>
          <w:szCs w:val="16"/>
          <w:b w:val="1"/>
          <w:bCs w:val="1"/>
          <w:color w:val="32406B"/>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99060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32406B"/>
        </w:rPr>
        <w:t>Joint Book-Running Managers</w:t>
      </w:r>
    </w:p>
    <w:p>
      <w:pPr>
        <w:spacing w:after="0" w:line="381" w:lineRule="exact"/>
        <w:rPr>
          <w:sz w:val="24"/>
          <w:szCs w:val="24"/>
          <w:color w:val="auto"/>
        </w:rPr>
      </w:pPr>
    </w:p>
    <w:p>
      <w:pPr>
        <w:spacing w:after="0"/>
        <w:tabs>
          <w:tab w:leader="none" w:pos="8300" w:val="left"/>
        </w:tabs>
        <w:rPr>
          <w:sz w:val="20"/>
          <w:szCs w:val="20"/>
          <w:color w:val="auto"/>
        </w:rPr>
      </w:pPr>
      <w:r>
        <w:rPr>
          <w:rFonts w:ascii="Arial" w:cs="Arial" w:eastAsia="Arial" w:hAnsi="Arial"/>
          <w:sz w:val="32"/>
          <w:szCs w:val="32"/>
          <w:b w:val="1"/>
          <w:bCs w:val="1"/>
          <w:color w:val="32406B"/>
        </w:rPr>
        <w:t>J.P. Morgan</w:t>
      </w:r>
      <w:r>
        <w:rPr>
          <w:sz w:val="20"/>
          <w:szCs w:val="20"/>
          <w:color w:val="auto"/>
        </w:rPr>
        <w:tab/>
      </w:r>
      <w:r>
        <w:rPr>
          <w:rFonts w:ascii="Arial" w:cs="Arial" w:eastAsia="Arial" w:hAnsi="Arial"/>
          <w:sz w:val="28"/>
          <w:szCs w:val="28"/>
          <w:b w:val="1"/>
          <w:bCs w:val="1"/>
          <w:color w:val="32406B"/>
        </w:rPr>
        <w:t>Wells Fargo Securities</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32406B"/>
        </w:rPr>
        <w:t>The date of this prospectus supplement is August</w:t>
      </w:r>
      <w:r>
        <w:rPr>
          <w:sz w:val="20"/>
          <w:szCs w:val="20"/>
          <w:color w:val="auto"/>
        </w:rPr>
        <w:tab/>
      </w:r>
      <w:r>
        <w:rPr>
          <w:rFonts w:ascii="Arial" w:cs="Arial" w:eastAsia="Arial" w:hAnsi="Arial"/>
          <w:sz w:val="15"/>
          <w:szCs w:val="15"/>
          <w:b w:val="1"/>
          <w:bCs w:val="1"/>
          <w:color w:val="32406B"/>
        </w:rPr>
        <w:t>, 2009.</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85"/>
              </w:rPr>
              <w:t>Prospectus Supplement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2440" w:type="dxa"/>
            <w:vAlign w:val="bottom"/>
            <w:tcBorders>
              <w:bottom w:val="single" w:sz="8" w:color="0000EE"/>
            </w:tcBorders>
            <w:gridSpan w:val="12"/>
          </w:tcPr>
          <w:p>
            <w:pPr>
              <w:spacing w:after="0" w:line="171"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8620" w:type="dxa"/>
            <w:vAlign w:val="bottom"/>
            <w:gridSpan w:val="8"/>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Concerning 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r>
      <w:tr>
        <w:trPr>
          <w:trHeight w:val="196"/>
        </w:trPr>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65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016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25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Ratios of Earnings to Fixed Charges</w:t>
              </w:r>
            </w:hyperlink>
          </w:p>
        </w:tc>
        <w:tc>
          <w:tcPr>
            <w:tcW w:w="850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r>
      <w:tr>
        <w:trPr>
          <w:trHeight w:val="196"/>
        </w:trPr>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Description of Notes</w:t>
              </w:r>
            </w:hyperlink>
          </w:p>
        </w:tc>
        <w:tc>
          <w:tcPr>
            <w:tcW w:w="9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r>
      <w:tr>
        <w:trPr>
          <w:trHeight w:val="196"/>
        </w:trPr>
        <w:tc>
          <w:tcPr>
            <w:tcW w:w="43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Additional Material U.S. Federal Income Tax Considerations</w:t>
              </w:r>
            </w:hyperlink>
          </w:p>
        </w:tc>
        <w:tc>
          <w:tcPr>
            <w:tcW w:w="676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S-14</w:t>
            </w: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Underwriting</w:t>
              </w:r>
            </w:hyperlink>
          </w:p>
        </w:tc>
        <w:tc>
          <w:tcPr>
            <w:tcW w:w="1010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S-18</w:t>
            </w: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S-19</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6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3"/>
              </w:rPr>
              <w:t>Prospectus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11060" w:type="dxa"/>
            <w:vAlign w:val="bottom"/>
            <w:gridSpan w:val="20"/>
          </w:tcPr>
          <w:p>
            <w:pPr>
              <w:spacing w:after="0" w:line="171" w:lineRule="exact"/>
              <w:rPr>
                <w:rFonts w:ascii="Arial" w:cs="Arial" w:eastAsia="Arial" w:hAnsi="Arial"/>
                <w:sz w:val="18"/>
                <w:szCs w:val="18"/>
                <w:color w:val="0000EE"/>
              </w:rPr>
            </w:pPr>
            <w:hyperlink w:anchor="page26">
              <w:r>
                <w:rPr>
                  <w:rFonts w:ascii="Arial" w:cs="Arial" w:eastAsia="Arial" w:hAnsi="Arial"/>
                  <w:sz w:val="18"/>
                  <w:szCs w:val="18"/>
                  <w:color w:val="0000EE"/>
                </w:rPr>
                <w:t>About this Prospectus</w:t>
              </w:r>
            </w:hyperlink>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640" w:type="dxa"/>
            <w:vAlign w:val="bottom"/>
            <w:tcBorders>
              <w:top w:val="single" w:sz="8" w:color="0000EE"/>
            </w:tcBorders>
            <w:gridSpan w:val="7"/>
          </w:tcPr>
          <w:p>
            <w:pPr>
              <w:spacing w:after="0"/>
              <w:rPr>
                <w:sz w:val="17"/>
                <w:szCs w:val="17"/>
                <w:color w:val="auto"/>
              </w:rPr>
            </w:pPr>
          </w:p>
        </w:tc>
        <w:tc>
          <w:tcPr>
            <w:tcW w:w="95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Forward-Looking Information</w:t>
              </w:r>
            </w:hyperlink>
          </w:p>
        </w:tc>
        <w:tc>
          <w:tcPr>
            <w:tcW w:w="89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The Company</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Ratios of Earnings to Combined Fixed Charges and Preferred Share Dividends</w:t>
              </w:r>
            </w:hyperlink>
          </w:p>
        </w:tc>
        <w:tc>
          <w:tcPr>
            <w:tcW w:w="55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Description of Debt Securities</w:t>
              </w:r>
            </w:hyperlink>
          </w:p>
        </w:tc>
        <w:tc>
          <w:tcPr>
            <w:tcW w:w="89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30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Shares of Beneficial Interest</w:t>
              </w:r>
            </w:hyperlink>
          </w:p>
        </w:tc>
        <w:tc>
          <w:tcPr>
            <w:tcW w:w="800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Material Federal Income Tax Considerations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r>
      <w:tr>
        <w:trPr>
          <w:trHeight w:val="196"/>
        </w:trPr>
        <w:tc>
          <w:tcPr>
            <w:tcW w:w="3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Plan of Distribution</w:t>
              </w:r>
            </w:hyperlink>
          </w:p>
        </w:tc>
        <w:tc>
          <w:tcPr>
            <w:tcW w:w="7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96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1008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3"/>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You should read this prospectus supplement along with the accompanying prospectus, as well as the information contained or incorporated by reference herein and therein, carefully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05" w:lineRule="exact"/>
        <w:rPr>
          <w:sz w:val="20"/>
          <w:szCs w:val="20"/>
          <w:color w:val="auto"/>
        </w:rPr>
      </w:pPr>
    </w:p>
    <w:p>
      <w:pPr>
        <w:ind w:right="140" w:firstLine="571"/>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93"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12"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or incorporated by reference in this prospectus supplement and the accompanying prospectus describe forward-looking information. The risk factors, including those contained on page S-5 of this prospectus supplement, on page 2 of the accompanying prospectus and in our Annual Report on Form 10-K for the year ended December 31, 2008, filed with the SEC on February 26, 2009, as amended on June 25, 2009,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4" w:lineRule="exact"/>
        <w:rPr>
          <w:sz w:val="20"/>
          <w:szCs w:val="20"/>
          <w:color w:val="auto"/>
        </w:rPr>
      </w:pPr>
    </w:p>
    <w:p>
      <w:pPr>
        <w:ind w:left="900" w:right="48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37"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60" w:right="40" w:hanging="447"/>
        <w:spacing w:after="0" w:line="268" w:lineRule="auto"/>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that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U.S.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firstLine="571"/>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and redevelopment of high-quality retail and mixed-use properties located primarily in densely populated and affluent communities in strategically selected metropolitan markets in the Northeast, Mid-Atlantic and California. As of June 30, 2009, we owned or had a majority interest in community and neighborhood shopping centers and mixed-use properties which are operated as 84 predominantly retail real estate projects comprising approximately 18.2 million square feet. In total, the real estate properties were 94.0% leased and 93.2% occupied at June 30, 2009. A joint venture in which we own a 30% interest owned seven retail real estate projects totaling approximately 1.0 million square feet as of June 30, 2009. In total, the joint venture properties in which we own an interest were 96.2% leased and occupied at June 30, 2009.</w:t>
      </w:r>
    </w:p>
    <w:p>
      <w:pPr>
        <w:spacing w:after="0" w:line="134"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 xml:space="preserve">We operate in a manner intended to qualify as a REIT for tax purposes pursuant to provisions of the Internal Revenue Code of 1986, as amended, or the Code. Our offices are located at 1626 East Jefferson Street, Rockville, Maryland 20852. Our telephone numbers are (301) 998-8100 and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Securities offered</w:t>
            </w:r>
          </w:p>
        </w:tc>
        <w:tc>
          <w:tcPr>
            <w:tcW w:w="1360" w:type="dxa"/>
            <w:vAlign w:val="bottom"/>
          </w:tcPr>
          <w:p>
            <w:pPr>
              <w:ind w:left="980"/>
              <w:spacing w:after="0"/>
              <w:rPr>
                <w:sz w:val="20"/>
                <w:szCs w:val="20"/>
                <w:color w:val="auto"/>
              </w:rPr>
            </w:pPr>
            <w:r>
              <w:rPr>
                <w:rFonts w:ascii="Arial" w:cs="Arial" w:eastAsia="Arial" w:hAnsi="Arial"/>
                <w:sz w:val="18"/>
                <w:szCs w:val="18"/>
                <w:color w:val="auto"/>
              </w:rPr>
              <w:t>$</w:t>
            </w:r>
          </w:p>
        </w:tc>
        <w:tc>
          <w:tcPr>
            <w:tcW w:w="3200" w:type="dxa"/>
            <w:vAlign w:val="bottom"/>
          </w:tcPr>
          <w:p>
            <w:pPr>
              <w:ind w:left="280"/>
              <w:spacing w:after="0"/>
              <w:rPr>
                <w:sz w:val="20"/>
                <w:szCs w:val="20"/>
                <w:color w:val="auto"/>
              </w:rPr>
            </w:pPr>
            <w:r>
              <w:rPr>
                <w:rFonts w:ascii="Arial" w:cs="Arial" w:eastAsia="Arial" w:hAnsi="Arial"/>
                <w:sz w:val="18"/>
                <w:szCs w:val="18"/>
                <w:color w:val="auto"/>
                <w:w w:val="98"/>
              </w:rPr>
              <w:t>million aggregate principal amount of</w:t>
            </w:r>
          </w:p>
        </w:tc>
        <w:tc>
          <w:tcPr>
            <w:tcW w:w="3460" w:type="dxa"/>
            <w:vAlign w:val="bottom"/>
          </w:tcPr>
          <w:p>
            <w:pPr>
              <w:ind w:left="140"/>
              <w:spacing w:after="0"/>
              <w:rPr>
                <w:sz w:val="20"/>
                <w:szCs w:val="20"/>
                <w:color w:val="auto"/>
              </w:rPr>
            </w:pPr>
            <w:r>
              <w:rPr>
                <w:rFonts w:ascii="Arial" w:cs="Arial" w:eastAsia="Arial" w:hAnsi="Arial"/>
                <w:sz w:val="18"/>
                <w:szCs w:val="18"/>
                <w:color w:val="auto"/>
              </w:rPr>
              <w:t>% notes due 2014.</w:t>
            </w:r>
          </w:p>
        </w:tc>
      </w:tr>
      <w:tr>
        <w:trPr>
          <w:trHeight w:val="378"/>
        </w:trPr>
        <w:tc>
          <w:tcPr>
            <w:tcW w:w="3360" w:type="dxa"/>
            <w:vAlign w:val="bottom"/>
          </w:tcPr>
          <w:p>
            <w:pPr>
              <w:spacing w:after="0"/>
              <w:rPr>
                <w:sz w:val="20"/>
                <w:szCs w:val="20"/>
                <w:color w:val="auto"/>
              </w:rPr>
            </w:pPr>
            <w:r>
              <w:rPr>
                <w:rFonts w:ascii="Arial" w:cs="Arial" w:eastAsia="Arial" w:hAnsi="Arial"/>
                <w:sz w:val="18"/>
                <w:szCs w:val="18"/>
                <w:color w:val="auto"/>
              </w:rPr>
              <w:t>Maturity</w:t>
            </w: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1"/>
              </w:rPr>
              <w:t>Unless redeemed prior to maturity as described below, the notes will mature on August 15, 2014.</w:t>
            </w:r>
          </w:p>
        </w:tc>
      </w:tr>
      <w:tr>
        <w:trPr>
          <w:trHeight w:val="372"/>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5"/>
              </w:rPr>
              <w:t>Interest on the notes will be payable semi-annually in arrears on February 15 and August 15,</w:t>
            </w:r>
          </w:p>
        </w:tc>
      </w:tr>
      <w:tr>
        <w:trPr>
          <w:trHeight w:val="222"/>
        </w:trPr>
        <w:tc>
          <w:tcPr>
            <w:tcW w:w="3360" w:type="dxa"/>
            <w:vAlign w:val="bottom"/>
          </w:tcPr>
          <w:p>
            <w:pPr>
              <w:spacing w:after="0"/>
              <w:rPr>
                <w:sz w:val="19"/>
                <w:szCs w:val="19"/>
                <w:color w:val="auto"/>
              </w:rPr>
            </w:pPr>
          </w:p>
        </w:tc>
        <w:tc>
          <w:tcPr>
            <w:tcW w:w="4560" w:type="dxa"/>
            <w:vAlign w:val="bottom"/>
            <w:gridSpan w:val="2"/>
          </w:tcPr>
          <w:p>
            <w:pPr>
              <w:ind w:left="980"/>
              <w:spacing w:after="0"/>
              <w:rPr>
                <w:sz w:val="20"/>
                <w:szCs w:val="20"/>
                <w:color w:val="auto"/>
              </w:rPr>
            </w:pPr>
            <w:r>
              <w:rPr>
                <w:rFonts w:ascii="Arial" w:cs="Arial" w:eastAsia="Arial" w:hAnsi="Arial"/>
                <w:sz w:val="18"/>
                <w:szCs w:val="18"/>
                <w:color w:val="auto"/>
                <w:w w:val="91"/>
              </w:rPr>
              <w:t>beginning on February 15, 2010, and at maturity.</w:t>
            </w:r>
          </w:p>
        </w:tc>
        <w:tc>
          <w:tcPr>
            <w:tcW w:w="3460" w:type="dxa"/>
            <w:vAlign w:val="bottom"/>
          </w:tcPr>
          <w:p>
            <w:pPr>
              <w:spacing w:after="0"/>
              <w:rPr>
                <w:sz w:val="19"/>
                <w:szCs w:val="19"/>
                <w:color w:val="auto"/>
              </w:rPr>
            </w:pPr>
          </w:p>
        </w:tc>
      </w:tr>
      <w:tr>
        <w:trPr>
          <w:trHeight w:val="358"/>
        </w:trPr>
        <w:tc>
          <w:tcPr>
            <w:tcW w:w="3360" w:type="dxa"/>
            <w:vAlign w:val="bottom"/>
          </w:tcPr>
          <w:p>
            <w:pPr>
              <w:spacing w:after="0"/>
              <w:rPr>
                <w:sz w:val="20"/>
                <w:szCs w:val="20"/>
                <w:color w:val="auto"/>
              </w:rPr>
            </w:pPr>
            <w:r>
              <w:rPr>
                <w:rFonts w:ascii="Arial" w:cs="Arial" w:eastAsia="Arial" w:hAnsi="Arial"/>
                <w:sz w:val="18"/>
                <w:szCs w:val="18"/>
                <w:color w:val="auto"/>
              </w:rPr>
              <w:t>Ranking</w:t>
            </w: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4"/>
              </w:rPr>
              <w:t xml:space="preserve">The notes will rank </w:t>
            </w:r>
            <w:r>
              <w:rPr>
                <w:rFonts w:ascii="Arial" w:cs="Arial" w:eastAsia="Arial" w:hAnsi="Arial"/>
                <w:sz w:val="18"/>
                <w:szCs w:val="18"/>
                <w:i w:val="1"/>
                <w:iCs w:val="1"/>
                <w:color w:val="auto"/>
                <w:w w:val="94"/>
              </w:rPr>
              <w:t>pari passu</w:t>
            </w:r>
            <w:r>
              <w:rPr>
                <w:rFonts w:ascii="Arial" w:cs="Arial" w:eastAsia="Arial" w:hAnsi="Arial"/>
                <w:sz w:val="18"/>
                <w:szCs w:val="18"/>
                <w:color w:val="auto"/>
                <w:w w:val="94"/>
              </w:rPr>
              <w:t>, or equally, with all of our other unsecured and unsubordinated</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2"/>
              </w:rPr>
              <w:t>indebtedness, and the notes will be effectively subordinated to the prior claims of each secured</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4"/>
              </w:rPr>
              <w:t>mortgage lender to any specific property that secures such lender’s mortgage and to all of the</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3"/>
              </w:rPr>
              <w:t>unsecured indebtedness of our subsidiaries. After giving effect to this offering and to the use of</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3"/>
              </w:rPr>
              <w:t>proceeds from this offering, we will have outstanding approximately $545 million (excluding net</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2"/>
              </w:rPr>
              <w:t>unamortized discount) of secured indebtedness collateralized by all or parts of 22 properties (of</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3"/>
              </w:rPr>
              <w:t>which approximately $289 million was issued by our subsidiaries), approximately $12 million of</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8"/>
              </w:rPr>
              <w:t>unsecured indebtedness issued by our subsidiaries (which will be senior to the notes) and</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7"/>
              </w:rPr>
              <w:t>approximately $1,425 million of other unsecured indebtedness (excluding net unamortized</w:t>
            </w:r>
          </w:p>
        </w:tc>
      </w:tr>
      <w:tr>
        <w:trPr>
          <w:trHeight w:val="222"/>
        </w:trPr>
        <w:tc>
          <w:tcPr>
            <w:tcW w:w="3360" w:type="dxa"/>
            <w:vAlign w:val="bottom"/>
          </w:tcPr>
          <w:p>
            <w:pPr>
              <w:spacing w:after="0"/>
              <w:rPr>
                <w:sz w:val="19"/>
                <w:szCs w:val="19"/>
                <w:color w:val="auto"/>
              </w:rPr>
            </w:pPr>
          </w:p>
        </w:tc>
        <w:tc>
          <w:tcPr>
            <w:tcW w:w="4560" w:type="dxa"/>
            <w:vAlign w:val="bottom"/>
            <w:gridSpan w:val="2"/>
          </w:tcPr>
          <w:p>
            <w:pPr>
              <w:ind w:left="980"/>
              <w:spacing w:after="0"/>
              <w:rPr>
                <w:sz w:val="20"/>
                <w:szCs w:val="20"/>
                <w:color w:val="auto"/>
              </w:rPr>
            </w:pPr>
            <w:r>
              <w:rPr>
                <w:rFonts w:ascii="Arial" w:cs="Arial" w:eastAsia="Arial" w:hAnsi="Arial"/>
                <w:sz w:val="18"/>
                <w:szCs w:val="18"/>
                <w:color w:val="auto"/>
              </w:rPr>
              <w:t>premium) ranking equally with the notes.</w:t>
            </w:r>
          </w:p>
        </w:tc>
        <w:tc>
          <w:tcPr>
            <w:tcW w:w="3460" w:type="dxa"/>
            <w:vAlign w:val="bottom"/>
          </w:tcPr>
          <w:p>
            <w:pPr>
              <w:spacing w:after="0"/>
              <w:rPr>
                <w:sz w:val="19"/>
                <w:szCs w:val="19"/>
                <w:color w:val="auto"/>
              </w:rPr>
            </w:pPr>
          </w:p>
        </w:tc>
      </w:tr>
      <w:tr>
        <w:trPr>
          <w:trHeight w:val="358"/>
        </w:trPr>
        <w:tc>
          <w:tcPr>
            <w:tcW w:w="3360" w:type="dxa"/>
            <w:vAlign w:val="bottom"/>
          </w:tcPr>
          <w:p>
            <w:pPr>
              <w:spacing w:after="0"/>
              <w:rPr>
                <w:sz w:val="20"/>
                <w:szCs w:val="20"/>
                <w:color w:val="auto"/>
              </w:rPr>
            </w:pPr>
            <w:r>
              <w:rPr>
                <w:rFonts w:ascii="Arial" w:cs="Arial" w:eastAsia="Arial" w:hAnsi="Arial"/>
                <w:sz w:val="18"/>
                <w:szCs w:val="18"/>
                <w:color w:val="auto"/>
              </w:rPr>
              <w:t>Use of proceeds</w:t>
            </w: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88"/>
              </w:rPr>
              <w:t>We intend to use the net proceeds from this offering to fund potential acquisition opportunities, fund</w:t>
            </w:r>
          </w:p>
        </w:tc>
      </w:tr>
      <w:tr>
        <w:trPr>
          <w:trHeight w:val="216"/>
        </w:trPr>
        <w:tc>
          <w:tcPr>
            <w:tcW w:w="3360" w:type="dxa"/>
            <w:vAlign w:val="bottom"/>
          </w:tcPr>
          <w:p>
            <w:pPr>
              <w:spacing w:after="0"/>
              <w:rPr>
                <w:sz w:val="18"/>
                <w:szCs w:val="18"/>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0"/>
              </w:rPr>
              <w:t>our redevelopment pipeline, reduce amounts outstanding under our $372 million term loan, and/or</w:t>
            </w:r>
          </w:p>
        </w:tc>
      </w:tr>
      <w:tr>
        <w:trPr>
          <w:trHeight w:val="222"/>
        </w:trPr>
        <w:tc>
          <w:tcPr>
            <w:tcW w:w="3360" w:type="dxa"/>
            <w:vAlign w:val="bottom"/>
          </w:tcPr>
          <w:p>
            <w:pPr>
              <w:spacing w:after="0"/>
              <w:rPr>
                <w:sz w:val="19"/>
                <w:szCs w:val="19"/>
                <w:color w:val="auto"/>
              </w:rPr>
            </w:pP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w w:val="98"/>
              </w:rPr>
              <w:t>for general corporate purposes. See “Use of Proceeds” on page S-6 for more information.</w:t>
            </w:r>
          </w:p>
        </w:tc>
      </w:tr>
      <w:tr>
        <w:trPr>
          <w:trHeight w:val="365"/>
        </w:trPr>
        <w:tc>
          <w:tcPr>
            <w:tcW w:w="336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8020" w:type="dxa"/>
            <w:vAlign w:val="bottom"/>
            <w:gridSpan w:val="3"/>
          </w:tcPr>
          <w:p>
            <w:pPr>
              <w:ind w:left="980"/>
              <w:spacing w:after="0"/>
              <w:rPr>
                <w:sz w:val="20"/>
                <w:szCs w:val="20"/>
                <w:color w:val="auto"/>
              </w:rPr>
            </w:pPr>
            <w:r>
              <w:rPr>
                <w:rFonts w:ascii="Arial" w:cs="Arial" w:eastAsia="Arial" w:hAnsi="Arial"/>
                <w:sz w:val="18"/>
                <w:szCs w:val="18"/>
                <w:color w:val="auto"/>
              </w:rPr>
              <w:t>The notes contain various covenants, including the following:</w:t>
            </w:r>
          </w:p>
        </w:tc>
      </w:tr>
    </w:tbl>
    <w:p>
      <w:pPr>
        <w:spacing w:after="0" w:line="75" w:lineRule="exact"/>
        <w:rPr>
          <w:sz w:val="20"/>
          <w:szCs w:val="20"/>
          <w:color w:val="auto"/>
        </w:rPr>
      </w:pPr>
    </w:p>
    <w:p>
      <w:pPr>
        <w:ind w:left="4340" w:firstLine="4"/>
        <w:spacing w:after="0" w:line="289" w:lineRule="auto"/>
        <w:tabs>
          <w:tab w:leader="none" w:pos="4589"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Wachovia Bank National Association, as successor to First Union National Bank,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0"/>
        <w:spacing w:after="0" w:line="294" w:lineRule="auto"/>
        <w:rPr>
          <w:sz w:val="20"/>
          <w:szCs w:val="20"/>
          <w:color w:val="auto"/>
        </w:rPr>
      </w:pPr>
      <w:r>
        <w:rPr>
          <w:rFonts w:ascii="Arial" w:cs="Arial" w:eastAsia="Arial" w:hAnsi="Arial"/>
          <w:sz w:val="16"/>
          <w:szCs w:val="16"/>
          <w:color w:val="auto"/>
        </w:rPr>
        <w:t>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35" w:lineRule="exact"/>
        <w:rPr>
          <w:sz w:val="20"/>
          <w:szCs w:val="20"/>
          <w:color w:val="auto"/>
        </w:rPr>
      </w:pPr>
    </w:p>
    <w:p>
      <w:pPr>
        <w:ind w:left="4340" w:firstLine="4"/>
        <w:spacing w:after="0" w:line="285" w:lineRule="auto"/>
        <w:tabs>
          <w:tab w:leader="none" w:pos="458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29" w:lineRule="exact"/>
        <w:rPr>
          <w:rFonts w:ascii="Arial" w:cs="Arial" w:eastAsia="Arial" w:hAnsi="Arial"/>
          <w:sz w:val="16"/>
          <w:szCs w:val="16"/>
          <w:color w:val="auto"/>
        </w:rPr>
      </w:pPr>
    </w:p>
    <w:p>
      <w:pPr>
        <w:ind w:left="4340" w:firstLine="4"/>
        <w:spacing w:after="0" w:line="286" w:lineRule="auto"/>
        <w:tabs>
          <w:tab w:leader="none" w:pos="458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40"/>
        <w:spacing w:after="0" w:line="252" w:lineRule="auto"/>
        <w:rPr>
          <w:sz w:val="20"/>
          <w:szCs w:val="20"/>
          <w:color w:val="auto"/>
        </w:rPr>
      </w:pPr>
      <w:r>
        <w:rPr>
          <w:rFonts w:ascii="Arial" w:cs="Arial" w:eastAsia="Arial" w:hAnsi="Arial"/>
          <w:sz w:val="18"/>
          <w:szCs w:val="18"/>
          <w:color w:val="auto"/>
        </w:rPr>
        <w:t>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70" w:lineRule="exact"/>
        <w:rPr>
          <w:sz w:val="20"/>
          <w:szCs w:val="20"/>
          <w:color w:val="auto"/>
        </w:rPr>
      </w:pPr>
    </w:p>
    <w:p>
      <w:pPr>
        <w:jc w:val="both"/>
        <w:ind w:left="4340" w:right="440"/>
        <w:spacing w:after="0" w:line="259" w:lineRule="auto"/>
        <w:rPr>
          <w:sz w:val="20"/>
          <w:szCs w:val="20"/>
          <w:color w:val="auto"/>
        </w:rPr>
      </w:pPr>
      <w:r>
        <w:rPr>
          <w:rFonts w:ascii="Arial" w:cs="Arial" w:eastAsia="Arial" w:hAnsi="Arial"/>
          <w:sz w:val="18"/>
          <w:szCs w:val="18"/>
          <w:color w:val="auto"/>
        </w:rPr>
        <w:t>(4) we, together with our subsidiaries, will maintain an Unencumbered Total Asset Value in an amount not less than 150% of the aggregate outstanding principal amount of all of our and our subsidiaries’ unsecured Debt.</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notes are redeemable at any time at our option, in whole or in part, at a redemption price equal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to the greater of (1) 100% of the principal amount of the notes being redeemed, or (2) the sum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present values of the remaining scheduled payments of principal and interest thereon, discounted to</w:t>
      </w:r>
    </w:p>
    <w:p>
      <w:pPr>
        <w:spacing w:after="0" w:line="3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the redemption date on a semi-annual basis at the Adjusted Treasury Rate plus</w:t>
      </w:r>
      <w:r>
        <w:rPr>
          <w:sz w:val="20"/>
          <w:szCs w:val="20"/>
          <w:color w:val="auto"/>
        </w:rPr>
        <w:tab/>
      </w:r>
      <w:r>
        <w:rPr>
          <w:rFonts w:ascii="Arial" w:cs="Arial" w:eastAsia="Arial" w:hAnsi="Arial"/>
          <w:sz w:val="15"/>
          <w:szCs w:val="15"/>
          <w:color w:val="auto"/>
        </w:rPr>
        <w:t>basis points</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5"/>
          <w:szCs w:val="15"/>
          <w:color w:val="auto"/>
        </w:rPr>
        <w:t>%), plus, in each case, accrued interest thereon to the redemption date. A detailed description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“Description of Notes — Optional Redemption.”</w:t>
      </w:r>
    </w:p>
    <w:p>
      <w:pPr>
        <w:spacing w:after="0" w:line="15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Material U.S. federal income tax considerations</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U.S. Federal Income Tax Considerations” and in the accompanying prospectus under “Material Federal Income Tax Considerations.”</w:t>
      </w:r>
    </w:p>
    <w:p>
      <w:pPr>
        <w:spacing w:after="0" w:line="13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309" w:lineRule="auto"/>
        <w:rPr>
          <w:sz w:val="20"/>
          <w:szCs w:val="20"/>
          <w:color w:val="auto"/>
        </w:rPr>
      </w:pPr>
      <w:r>
        <w:rPr>
          <w:rFonts w:ascii="Arial" w:cs="Arial" w:eastAsia="Arial" w:hAnsi="Arial"/>
          <w:sz w:val="15"/>
          <w:szCs w:val="15"/>
          <w:color w:val="auto"/>
        </w:rPr>
        <w:t>Investing in the notes involves risks. Please review the risk factors discussed beginning on page S-5 of this prospectus supplement, on page 2 of the accompanying prospectus and in our Annual Report on Form 10-K for the year ended December 31, 2008, filed with the SEC on February 26, 2009, as amended June 25, 2009, and the other information contained or incorporated by reference in this prospectus supplement and the accompanying prospectus for a discussion of factors you should consider before deciding to invest in the notes. You may obtain a copy of our Annual Report on Form 10-K, as amended, and the other documents incorporated by reference in this prospectus supplement and the accompanying prospectus by following the procedures described under “Where You Can Find More Information” on page 55 of the accompanying prospectus.</w:t>
      </w:r>
    </w:p>
    <w:p>
      <w:pPr>
        <w:spacing w:after="0" w:line="9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571"/>
        <w:spacing w:after="0" w:line="314" w:lineRule="auto"/>
        <w:rPr>
          <w:sz w:val="20"/>
          <w:szCs w:val="20"/>
          <w:color w:val="auto"/>
        </w:rPr>
      </w:pPr>
      <w:r>
        <w:rPr>
          <w:rFonts w:ascii="Arial" w:cs="Arial" w:eastAsia="Arial" w:hAnsi="Arial"/>
          <w:sz w:val="15"/>
          <w:szCs w:val="15"/>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2 of the accompanying prospectus and the risk factors included in our Annual Report on Form 10-K filed with the SEC on February 26, 2009, and amended on June 25, 2009, before you decide to purchase the notes. The risks and uncertainties described below and in the referenced Form 10-K, as amended,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83"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83"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June 30, 2009, after giving effect to this offering, and to the issuance of the notes and the application of the net proceeds of this offering, our subsidiaries had approximately $301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8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2009, after giving effect to this offering and the application of the net proceeds of this offering, we had approximately $545 million (excluding net unamortized discount) of secured debt outstanding, all of which was effectively senior to the notes to the extent of the value of the securing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8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7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85"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580"/>
        <w:spacing w:after="0"/>
        <w:tabs>
          <w:tab w:leader="none" w:pos="9800" w:val="left"/>
        </w:tabs>
        <w:rPr>
          <w:sz w:val="20"/>
          <w:szCs w:val="20"/>
          <w:color w:val="auto"/>
        </w:rPr>
      </w:pPr>
      <w:r>
        <w:rPr>
          <w:rFonts w:ascii="Arial" w:cs="Arial" w:eastAsia="Arial" w:hAnsi="Arial"/>
          <w:sz w:val="18"/>
          <w:szCs w:val="18"/>
          <w:color w:val="auto"/>
        </w:rPr>
        <w:t>The net proceeds to us from the sale of the notes offered by this prospectus supplement are estimated to be approximately $</w:t>
      </w:r>
      <w:r>
        <w:rPr>
          <w:sz w:val="20"/>
          <w:szCs w:val="20"/>
          <w:color w:val="auto"/>
        </w:rPr>
        <w:tab/>
      </w:r>
      <w:r>
        <w:rPr>
          <w:rFonts w:ascii="Arial" w:cs="Arial" w:eastAsia="Arial" w:hAnsi="Arial"/>
          <w:sz w:val="16"/>
          <w:szCs w:val="16"/>
          <w:color w:val="auto"/>
        </w:rPr>
        <w:t>million after</w:t>
      </w:r>
    </w:p>
    <w:p>
      <w:pPr>
        <w:spacing w:after="0" w:line="1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deducting the underwriting discount and other estimated expenses of this offering payable by us. We intend to use these net proceeds to fund potential acquisition opportunities, fund our redevelopment pipeline, reduce amounts outstanding under our $372 million term loan, and/or for general corporate purposes. Our $372 million term loan bears interest at LIBOR, subject to a 1.50% floor, plus 300 basis points and matures on July 27, 2011. Affiliates of certain of the underwriters are lenders under our term loan and will receive a pro rata portion of any proceeds used to reduce amounts outstanding under the term loan.</w:t>
      </w:r>
    </w:p>
    <w:p>
      <w:pPr>
        <w:spacing w:after="0" w:line="9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Six Months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40" w:type="dxa"/>
            <w:vAlign w:val="bottom"/>
          </w:tcPr>
          <w:p>
            <w:pPr>
              <w:spacing w:after="0"/>
              <w:rPr>
                <w:sz w:val="14"/>
                <w:szCs w:val="14"/>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Ended June 30,</w:t>
            </w:r>
          </w:p>
        </w:tc>
        <w:tc>
          <w:tcPr>
            <w:tcW w:w="380" w:type="dxa"/>
            <w:vAlign w:val="bottom"/>
          </w:tcPr>
          <w:p>
            <w:pPr>
              <w:spacing w:after="0"/>
              <w:rPr>
                <w:sz w:val="14"/>
                <w:szCs w:val="14"/>
                <w:color w:val="auto"/>
              </w:rPr>
            </w:pPr>
          </w:p>
        </w:tc>
        <w:tc>
          <w:tcPr>
            <w:tcW w:w="2100" w:type="dxa"/>
            <w:vAlign w:val="bottom"/>
            <w:gridSpan w:val="7"/>
          </w:tcPr>
          <w:p>
            <w:pPr>
              <w:jc w:val="center"/>
              <w:ind w:left="12"/>
              <w:spacing w:after="0"/>
              <w:rPr>
                <w:sz w:val="20"/>
                <w:szCs w:val="20"/>
                <w:color w:val="auto"/>
              </w:rPr>
            </w:pPr>
            <w:r>
              <w:rPr>
                <w:rFonts w:ascii="Arial" w:cs="Arial" w:eastAsia="Arial" w:hAnsi="Arial"/>
                <w:sz w:val="14"/>
                <w:szCs w:val="14"/>
                <w:b w:val="1"/>
                <w:bCs w:val="1"/>
                <w:color w:val="auto"/>
                <w:w w:val="87"/>
              </w:rPr>
              <w:t>For the Years Ended December 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vMerge w:val="continue"/>
          </w:tcPr>
          <w:p>
            <w:pPr>
              <w:spacing w:after="0"/>
              <w:rPr>
                <w:sz w:val="18"/>
                <w:szCs w:val="18"/>
                <w:color w:val="auto"/>
              </w:rPr>
            </w:pPr>
          </w:p>
        </w:tc>
        <w:tc>
          <w:tcPr>
            <w:tcW w:w="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8"/>
              </w:rPr>
              <w:t>1.7x</w:t>
            </w:r>
          </w:p>
        </w:tc>
        <w:tc>
          <w:tcPr>
            <w:tcW w:w="2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2.0x</w:t>
            </w:r>
          </w:p>
        </w:tc>
        <w:tc>
          <w:tcPr>
            <w:tcW w:w="2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2.1x</w:t>
            </w:r>
          </w:p>
        </w:tc>
        <w:tc>
          <w:tcPr>
            <w:tcW w:w="2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1.7x</w:t>
            </w:r>
          </w:p>
        </w:tc>
        <w:tc>
          <w:tcPr>
            <w:tcW w:w="220" w:type="dxa"/>
            <w:vAlign w:val="bottom"/>
          </w:tcPr>
          <w:p>
            <w:pPr>
              <w:spacing w:after="0"/>
              <w:rPr>
                <w:sz w:val="18"/>
                <w:szCs w:val="18"/>
                <w:color w:val="auto"/>
              </w:rPr>
            </w:pPr>
          </w:p>
        </w:tc>
        <w:tc>
          <w:tcPr>
            <w:tcW w:w="400" w:type="dxa"/>
            <w:vAlign w:val="bottom"/>
            <w:tcBorders>
              <w:top w:val="single" w:sz="8" w:color="auto"/>
            </w:tcBorders>
          </w:tcPr>
          <w:p>
            <w:pPr>
              <w:jc w:val="center"/>
              <w:ind w:left="22"/>
              <w:spacing w:after="0"/>
              <w:rPr>
                <w:sz w:val="20"/>
                <w:szCs w:val="20"/>
                <w:color w:val="auto"/>
              </w:rPr>
            </w:pPr>
            <w:r>
              <w:rPr>
                <w:rFonts w:ascii="Arial" w:cs="Arial" w:eastAsia="Arial" w:hAnsi="Arial"/>
                <w:sz w:val="18"/>
                <w:szCs w:val="18"/>
                <w:color w:val="auto"/>
                <w:w w:val="88"/>
              </w:rPr>
              <w:t>1.9x</w:t>
            </w:r>
          </w:p>
        </w:tc>
        <w:tc>
          <w:tcPr>
            <w:tcW w:w="2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1.9x</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580"/>
        <w:spacing w:after="0"/>
        <w:tabs>
          <w:tab w:leader="none" w:pos="2180" w:val="left"/>
          <w:tab w:leader="none" w:pos="354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million of our</w:t>
      </w:r>
      <w:r>
        <w:rPr>
          <w:sz w:val="20"/>
          <w:szCs w:val="20"/>
          <w:color w:val="auto"/>
        </w:rPr>
        <w:tab/>
      </w:r>
      <w:r>
        <w:rPr>
          <w:rFonts w:ascii="Arial" w:cs="Arial" w:eastAsia="Arial" w:hAnsi="Arial"/>
          <w:sz w:val="15"/>
          <w:szCs w:val="15"/>
          <w:color w:val="auto"/>
        </w:rPr>
        <w:t>% notes maturing on August 15, 2014, which may be redeemed prior to that date in accordance with their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151"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We will pay interest on the notes semi-annually in arrears on February 15 and August 15 of each year, beginning February 15, 2010, to the registered holders of the notes on the preceding February 1 and August 1.</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81"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that secures such lender’s mortgage and to all of the unsecured indebtedness of our subsidiaries. After giving effect to this offering and to the use of proceeds from this offering, we will have outstanding approximately $545 million (excluding net unamortized discount) of secured indebtedness collateralized by all or parts of 22 properties (of which approximately $289 million was issued by our subsidiaries), approximately $12 million of unsecured indebtedness issued by our subsidiaries (which will be senior to the notes) and approximately $1,425 million of other unsecured indebtedness (excluding net unamortized premium) ranking equally with the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jc w:val="both"/>
        <w:ind w:right="20" w:firstLine="571"/>
        <w:spacing w:after="0" w:line="303" w:lineRule="auto"/>
        <w:rPr>
          <w:sz w:val="20"/>
          <w:szCs w:val="20"/>
          <w:color w:val="auto"/>
        </w:rPr>
      </w:pPr>
      <w:r>
        <w:rPr>
          <w:rFonts w:ascii="Arial" w:cs="Arial" w:eastAsia="Arial" w:hAnsi="Arial"/>
          <w:sz w:val="15"/>
          <w:szCs w:val="15"/>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semi-annual basis (assuming a 360-day year consisting of twelve 30-day months) at the Adjusted Treasury Rate (as defined below) plus basis points (0. %), plus, in each case, accrued interest thereon to the redemption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xml:space="preserve"> means, with respect to any redemption date, the rate per year equal to the semi-annual equivalent yield to maturity of the Comparable Treasury Issue, assuming a price for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Comparable Treasury Issue (expressed as a percentage of its principal amount) equal to the Comparable Treasury Price for such redemption date.</w:t>
      </w:r>
    </w:p>
    <w:p>
      <w:pPr>
        <w:spacing w:after="0" w:line="181" w:lineRule="exact"/>
        <w:rPr>
          <w:sz w:val="20"/>
          <w:szCs w:val="20"/>
          <w:color w:val="auto"/>
        </w:rPr>
      </w:pPr>
    </w:p>
    <w:p>
      <w:pPr>
        <w:ind w:right="30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xml:space="preserv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jc w:val="both"/>
        <w:ind w:right="6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xml:space="preserve"> means, with respect to any redemption date, (1) the average of the Reference Treasury Dealer Quotations for such redemption date, after excluding the highest and lowest of such Reference Treasury Dealer Quotations, or (2) if the trustee obtains fewer than three such Reference Treasury Dealer Quotations, the average of all such Quotations.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xml:space="preserve"> means the Reference Treasury Dealer appointed by us.</w:t>
      </w:r>
    </w:p>
    <w:p>
      <w:pPr>
        <w:spacing w:after="0" w:line="158" w:lineRule="exact"/>
        <w:rPr>
          <w:sz w:val="20"/>
          <w:szCs w:val="20"/>
          <w:color w:val="auto"/>
        </w:rPr>
      </w:pPr>
    </w:p>
    <w:p>
      <w:pPr>
        <w:ind w:right="60" w:firstLine="57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Reference Treasury Dealer”</w:t>
      </w:r>
      <w:r>
        <w:rPr>
          <w:rFonts w:ascii="Arial" w:cs="Arial" w:eastAsia="Arial" w:hAnsi="Arial"/>
          <w:sz w:val="15"/>
          <w:szCs w:val="15"/>
          <w:color w:val="auto"/>
        </w:rPr>
        <w:t xml:space="preserve"> means (1) J.P. Morgan Securities Inc. and a Primary Treasury Dealer (as defined below) selected by Wells Fargo Securities, LLC, and their respective successors;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either of the Reference Treasury Dealers ceases to be a primary U.S. Government securities dealer, or a Primary Treasury Dealer, we will substitute therefor another Primary Treasury Dealer; and (2) any other Primary Treasury Dealer selected by us.</w:t>
      </w:r>
    </w:p>
    <w:p>
      <w:pPr>
        <w:spacing w:after="0" w:line="75"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xml:space="preserve">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9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i w:val="1"/>
          <w:iCs w:val="1"/>
          <w:color w:val="auto"/>
        </w:rPr>
        <w:t xml:space="preserve">Limitations on Incurrence of Debt.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 xml:space="preserve">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for purposes of this limitation, the amount of obligations under capital leases shown as a liability on our consolidated balance sheet shall be deducted from Debt and from Total Assets.</w:t>
      </w:r>
    </w:p>
    <w:p>
      <w:pPr>
        <w:spacing w:after="0" w:line="92"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i w:val="1"/>
          <w:iCs w:val="1"/>
          <w:color w:val="auto"/>
        </w:rPr>
        <w:t xml:space="preserve">Maintenance of Unencumbered Total Asset Value. </w:t>
      </w:r>
      <w:r>
        <w:rPr>
          <w:rFonts w:ascii="Arial" w:cs="Arial" w:eastAsia="Arial" w:hAnsi="Arial"/>
          <w:sz w:val="15"/>
          <w:szCs w:val="15"/>
          <w:color w:val="auto"/>
        </w:rPr>
        <w:t>The notes will provide that we, together with our subsidiaries, will at all times maintain an</w:t>
      </w:r>
      <w:r>
        <w:rPr>
          <w:rFonts w:ascii="Arial" w:cs="Arial" w:eastAsia="Arial" w:hAnsi="Arial"/>
          <w:sz w:val="15"/>
          <w:szCs w:val="15"/>
          <w:i w:val="1"/>
          <w:iCs w:val="1"/>
          <w:color w:val="auto"/>
        </w:rPr>
        <w:t xml:space="preserve"> </w:t>
      </w:r>
      <w:r>
        <w:rPr>
          <w:rFonts w:ascii="Arial" w:cs="Arial" w:eastAsia="Arial" w:hAnsi="Arial"/>
          <w:sz w:val="15"/>
          <w:szCs w:val="15"/>
          <w:color w:val="auto"/>
        </w:rPr>
        <w:t>Unencumbered Total Asset Value in an amount not less than 150% of the aggregate outstanding principal amount of all our and our subsidiaries’ unsecured Debt.</w:t>
      </w:r>
    </w:p>
    <w:p>
      <w:pPr>
        <w:spacing w:after="0" w:line="49"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dated as of July 28, 2006)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xml:space="preserve">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xml:space="preserve">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xml:space="preserve"> for any period means our and our subsidiaries’ Funds from Operations plus amounts which have been deducted for interest on our and our subsidiaries’ Debt.</w:t>
      </w:r>
    </w:p>
    <w:p>
      <w:pPr>
        <w:spacing w:after="0" w:line="118"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15"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99"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xml:space="preserve"> for any period means income available to common shareholders before depreciation and amortization of real estate assets and before extraordinary items less gain on sale of real estate.</w:t>
      </w:r>
    </w:p>
    <w:p>
      <w:pPr>
        <w:spacing w:after="0" w:line="118"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xml:space="preserve"> as of any date means the sum of (1) our and all of our subsidiaries’ Undepreciated Real Estate Assets and (2) all of our other assets determined in accordance with generally accepted accounting principles (but excluding goodwill).</w:t>
      </w:r>
    </w:p>
    <w:p>
      <w:pPr>
        <w:spacing w:after="0" w:line="118"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xml:space="preserve">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0" w:lineRule="exact"/>
        <w:rPr>
          <w:sz w:val="20"/>
          <w:szCs w:val="20"/>
          <w:color w:val="auto"/>
        </w:rPr>
      </w:pPr>
    </w:p>
    <w:p>
      <w:pPr>
        <w:ind w:right="300" w:firstLine="571"/>
        <w:spacing w:after="0" w:line="375" w:lineRule="auto"/>
        <w:rPr>
          <w:sz w:val="20"/>
          <w:szCs w:val="20"/>
          <w:color w:val="auto"/>
        </w:rPr>
      </w:pPr>
      <w:r>
        <w:rPr>
          <w:rFonts w:ascii="Arial" w:cs="Arial" w:eastAsia="Arial" w:hAnsi="Arial"/>
          <w:sz w:val="18"/>
          <w:szCs w:val="18"/>
          <w:color w:val="auto"/>
        </w:rPr>
        <w:t xml:space="preserve">See “Description of Debt Securities — Certain Covenants” in the accompanying prospectus for a description of additional covenants applicable to us. </w:t>
      </w:r>
      <w:r>
        <w:rPr>
          <w:rFonts w:ascii="Arial" w:cs="Arial" w:eastAsia="Arial" w:hAnsi="Arial"/>
          <w:sz w:val="18"/>
          <w:szCs w:val="18"/>
          <w:b w:val="1"/>
          <w:bCs w:val="1"/>
          <w:color w:val="auto"/>
        </w:rPr>
        <w:t>Book-Entry Form</w:t>
      </w:r>
    </w:p>
    <w:p>
      <w:pPr>
        <w:spacing w:after="0" w:line="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29"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05"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0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owned by a number of its Direct Participants and by the New York Stock Exchange, Inc. and the Financial Industry Regulatory Authority.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09"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05"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02"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27" w:lineRule="exact"/>
        <w:rPr>
          <w:sz w:val="20"/>
          <w:szCs w:val="20"/>
          <w:color w:val="auto"/>
        </w:rPr>
      </w:pPr>
    </w:p>
    <w:p>
      <w:pPr>
        <w:ind w:right="220" w:firstLine="571"/>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5"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99"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18" w:lineRule="exact"/>
        <w:rPr>
          <w:sz w:val="20"/>
          <w:szCs w:val="20"/>
          <w:color w:val="auto"/>
        </w:rPr>
      </w:pPr>
    </w:p>
    <w:p>
      <w:pPr>
        <w:ind w:right="300" w:firstLine="571"/>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MATERIAL U.S. FEDERAL INCOME TAX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571"/>
        <w:spacing w:after="0" w:line="284"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36 of the accompanying prospectus. The following is a summary of the additional material U.S. federal income tax considerations pertaining to the acquisition, ownership and disposition of the notes and should be read in conjunction with the referenced sections in the accompanying prospectus. This discussion applies only to initial holders of notes that acquire their notes pursuant to this offering and hold the notes as capital assets (generally property held for investment) within the meaning of Section 1221 of the Code. This discussion is based on the Code, income tax regulations promulgated thereunder, judicial positions, published positions of the Internal Revenue Service, or the IRS, and other applicable authorities, all as in effect as of the date hereof and all of which are subject to change, possibly with retroactive effect. This discussion of additional considerations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of additional considerations is based on current law and does not purport to deal with all aspects of U.S. federal income taxation that may be relevant to a prospective holder of the notes in light of its particular circumstances or to certain types of holders subject to special treatment under the U.S. federal income tax laws,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that acquire their notes in connection with employment or other performance of personal services, persons subject to the alternative minimum tax, persons that are, or that hold their notes through, partnerships or other pass-through entities, U.S. holders whose functional currency is not the U.S. dollar, or persons that hold notes as part of a straddle, hedge, conversion, synthetic security or constructive sale transaction for U.S. federal income tax purposes. We have not requested and will not request a ruling from the IRS with respect to any of the U.S. federal income tax issues discussed below or in the accompanying prospectus. Prospective investors are urged to consult their own tax advisors regarding the U.S. federal, state, local, foreign and other tax consequences of the acquisition, ownership and disposition of the notes.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used herein, the term “U.S. Holder” means a beneficial owner of a note that for U.S. federal income tax purposes is</w:t>
      </w:r>
    </w:p>
    <w:p>
      <w:pPr>
        <w:spacing w:after="0" w:line="7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of its states or the District of Columbia;</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the trust has a valid election in effect to be treated as a U.S. person.</w:t>
      </w:r>
    </w:p>
    <w:p>
      <w:pPr>
        <w:spacing w:after="0" w:line="72"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color w:val="auto"/>
        </w:rPr>
        <w:t>A “Non-U.S. Holder” means a beneficial owner of a note that is not a U.S. Holder and that is not a partnership or an entity or arrangement treated as a partnership for U.S. federal income tax purposes.</w:t>
      </w:r>
    </w:p>
    <w:p>
      <w:pPr>
        <w:spacing w:after="0" w:line="118"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a note, the treatment of a partner in the partnership will generally depend on the status of the partner and the activities of the partnership. Holders that are partnerships holding notes (and partners in such partnerships) are encouraged to consult their tax advisors.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 Holder generally will be required to include stated interest on the notes as ordinary income when received or accrued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accordance with the U.S. Holder’s regular method of tax accounting to the extent such stated interest is “qualified stated interest.” Stated interest is qualified stated interest if it is unconditionally payable in cash at least annually. The stated interest on the notes is qualified stated interest.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OID and Issue Price of the Notes.</w:t>
      </w:r>
    </w:p>
    <w:p>
      <w:pPr>
        <w:spacing w:after="0" w:line="77"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 xml:space="preserve">A debt instrument generally has original issue discount, or OID, if its “stated redemption price at maturity” exceeds its “issue price” by an amount that is equal to or greater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99"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05" w:lineRule="exact"/>
        <w:rPr>
          <w:sz w:val="20"/>
          <w:szCs w:val="20"/>
          <w:color w:val="auto"/>
        </w:rPr>
      </w:pPr>
    </w:p>
    <w:p>
      <w:pPr>
        <w:jc w:val="both"/>
        <w:ind w:right="100" w:firstLine="571"/>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are encouraged to consult their own tax advisors regarding the determination of the issue price of the notes and the possible application of the OID rules.</w:t>
      </w:r>
    </w:p>
    <w:p>
      <w:pPr>
        <w:spacing w:after="0" w:line="127"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b w:val="1"/>
          <w:bCs w:val="1"/>
          <w:i w:val="1"/>
          <w:iCs w:val="1"/>
          <w:color w:val="auto"/>
        </w:rPr>
        <w:t xml:space="preserve">Sale, Exchange, Redemption or Retirement of the Notes. </w:t>
      </w:r>
      <w:r>
        <w:rPr>
          <w:rFonts w:ascii="Arial" w:cs="Arial" w:eastAsia="Arial" w:hAnsi="Arial"/>
          <w:sz w:val="15"/>
          <w:szCs w:val="15"/>
          <w:color w:val="auto"/>
        </w:rPr>
        <w:t>Unless a non-recognition provision applies, upon the sale, exchange, redemption, retirement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taxable disposition of a note, a U.S. Holder will generally recognize capital gain or loss equal to the difference (if any) between the amount realized (other than amounts attributable to accrued but unpaid stated interest, which amounts will be treated as interest , taxable to the U.S. Holder in accordance with its regular method of accounting, as described above) and such U.S. Holder’s adjusted tax basis in the note. The U.S. Holder’s adjusted tax basis in a note generally will be the purchase price for the note, reduced by the amount of any payments previously received by the U.S. Holder (other than qualified stated interest). Such gain or loss shall be treated as long-term capital gain or loss if the notes are held for more than one year at the time of disposition. Long-term capital gain of a non-corporate U.S. Holder is generally subject to preferential rates of taxation. The ability of U.S. Holders to deduct capital losses is subject to limitations.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are encouraged to consult with their tax advisors to determine the impact of U.S. federal, state, local and non-U.S. tax laws with regard to the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tax on payments of interest (including OID) on a note, provided that:</w:t>
      </w:r>
    </w:p>
    <w:p>
      <w:pPr>
        <w:spacing w:after="0" w:line="37" w:lineRule="exact"/>
        <w:rPr>
          <w:sz w:val="20"/>
          <w:szCs w:val="20"/>
          <w:color w:val="auto"/>
        </w:rPr>
      </w:pPr>
    </w:p>
    <w:p>
      <w:pPr>
        <w:jc w:val="both"/>
        <w:ind w:left="900" w:right="4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26" w:lineRule="exact"/>
        <w:rPr>
          <w:rFonts w:ascii="Arial" w:cs="Arial" w:eastAsia="Arial" w:hAnsi="Arial"/>
          <w:sz w:val="16"/>
          <w:szCs w:val="16"/>
          <w:color w:val="auto"/>
        </w:rPr>
      </w:pPr>
    </w:p>
    <w:p>
      <w:pPr>
        <w:ind w:left="900" w:right="24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0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or</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85"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appropriate IRS form (generally, IRS Form W-8ECI). To claim the benefit of an income tax treaty, the Non-U.S. Holder must timely provide the appropriate, properly executed IRS forms (generally, IRS Form W-8BEN). These forms may be required to be periodically updated.</w:t>
      </w:r>
    </w:p>
    <w:p>
      <w:pPr>
        <w:spacing w:after="0" w:line="105" w:lineRule="exact"/>
        <w:rPr>
          <w:sz w:val="20"/>
          <w:szCs w:val="20"/>
          <w:color w:val="auto"/>
        </w:rPr>
      </w:pPr>
    </w:p>
    <w:p>
      <w:pPr>
        <w:ind w:right="120" w:firstLine="571"/>
        <w:spacing w:after="0" w:line="325" w:lineRule="auto"/>
        <w:rPr>
          <w:sz w:val="20"/>
          <w:szCs w:val="20"/>
          <w:color w:val="auto"/>
        </w:rPr>
      </w:pPr>
      <w:r>
        <w:rPr>
          <w:rFonts w:ascii="Arial" w:cs="Arial" w:eastAsia="Arial" w:hAnsi="Arial"/>
          <w:sz w:val="16"/>
          <w:szCs w:val="16"/>
          <w:b w:val="1"/>
          <w:bCs w:val="1"/>
          <w:i w:val="1"/>
          <w:iCs w:val="1"/>
          <w:color w:val="auto"/>
        </w:rPr>
        <w:t xml:space="preserve">Sale, Exchange, Redemption or Retirement of the Notes. </w:t>
      </w:r>
      <w:r>
        <w:rPr>
          <w:rFonts w:ascii="Arial" w:cs="Arial" w:eastAsia="Arial" w:hAnsi="Arial"/>
          <w:sz w:val="16"/>
          <w:szCs w:val="16"/>
          <w:color w:val="auto"/>
        </w:rPr>
        <w:t>Subject to the discussion on backup withholding below, a Non-U.S. Holder generally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subject to U.S. federal income or withholding tax on gain from the sale, exchange, redemption, retirement or other disposition of a note unless:</w:t>
      </w:r>
    </w:p>
    <w:p>
      <w:pPr>
        <w:spacing w:after="0" w:line="1" w:lineRule="exact"/>
        <w:rPr>
          <w:sz w:val="20"/>
          <w:szCs w:val="20"/>
          <w:color w:val="auto"/>
        </w:rPr>
      </w:pPr>
    </w:p>
    <w:p>
      <w:pPr>
        <w:ind w:left="900" w:right="300" w:hanging="325"/>
        <w:spacing w:after="0" w:line="325"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w:t>
      </w:r>
    </w:p>
    <w:p>
      <w:pPr>
        <w:spacing w:after="0" w:line="1"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37"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or exemption under an applicable tax treaty) on the amount by which capital gains from U.S. sources (including gains from the sale or other disposition of the notes) exceed certain capital losses allocable to U.S. sources. Any amount attributable to accrued but unpaid interest on the notes will be treated in the same manner as payments of interest made to such Non-U.S. Holder, as described above under “—Interest on the Notes.” Non-U.S. Holders are encouraged to consult their own tax advisors on the treatment of any accrued but unpaid interest on the notes.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60" w:firstLine="571"/>
        <w:spacing w:after="0" w:line="294" w:lineRule="auto"/>
        <w:rPr>
          <w:sz w:val="20"/>
          <w:szCs w:val="20"/>
          <w:color w:val="auto"/>
        </w:rPr>
      </w:pPr>
      <w:r>
        <w:rPr>
          <w:rFonts w:ascii="Arial" w:cs="Arial" w:eastAsia="Arial" w:hAnsi="Arial"/>
          <w:sz w:val="16"/>
          <w:szCs w:val="16"/>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(currently at 28%) may apply.</w:t>
      </w:r>
    </w:p>
    <w:p>
      <w:pPr>
        <w:spacing w:after="0" w:line="102"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general, information reporting on IRS Form 1099 and backup withholding will not apply to payments of principal, interest and any premium made by us or a paying agent to a Non-U.S. Holder on the notes if the certification described above under “—Interest on the Notes” is received, provided that the payor does not have actual knowledge or reason to know that the Non-U.S. Holder is a U.S. person. However, interest generally will be reported annually to the IRS and the Non-U.S. Holder on IRS Form 1042-S. Copies of these information returns may also be made available under the provisions of a specific treaty or agreement to the tax authorities of the country in which the payee resides.</w:t>
      </w:r>
    </w:p>
    <w:p>
      <w:pPr>
        <w:spacing w:after="0" w:line="129"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Payments of the proceeds from a sale by a Non-U.S. Holder made to or through a foreign office of a broker generally will not be subject to information reporting or backup withholding. Information reporting may apply to such payments, however, if the broker is a U.S. person, a controlled foreign corporation for U.S. tax purposes, the U.S. branch of a foreign bank or a foreign insurance company, a foreign partnership controlled by U.S. persons or engaged in a U.S. trade or business, or a foreign person 50% or more of whose gross income is effectively connected with a U.S. trade or business for a specified three-year period. Payments of the proceeds from the sale of notes through the U.S. office of a broker is subject to information reporting and backup withholding unless the Non-U.S. Holder certifies as to its non-U.S. status or otherwise establishes an exemption from information reporting and backup withholding.</w:t>
      </w:r>
    </w:p>
    <w:p>
      <w:pPr>
        <w:spacing w:after="0" w:line="107"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Backup withholding tax does not represent an additional income tax, and any amounts deducted and withheld pursuant to the backup withholding rules should generally be allowed as a credit against the recipient’s U.S. federal income tax liability or as a refund, provided the required information is timely furnished to the IRS. Certain penalties may be imposed by the IRS on a recipient of payments that is required to supply information but that does not do so in the proper manner.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We intend to offer the notes through the underwriters. J.P. Morgan Securities Inc. and Wells Fargo Securities, LLC are acting as representatives of the underwriters named below.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w w:val="86"/>
              </w:rPr>
              <w:t>Amount of</w:t>
            </w:r>
          </w:p>
        </w:tc>
        <w:tc>
          <w:tcPr>
            <w:tcW w:w="0" w:type="dxa"/>
            <w:vAlign w:val="bottom"/>
          </w:tcPr>
          <w:p>
            <w:pPr>
              <w:spacing w:after="0"/>
              <w:rPr>
                <w:sz w:val="1"/>
                <w:szCs w:val="1"/>
                <w:color w:val="auto"/>
              </w:rPr>
            </w:pPr>
          </w:p>
        </w:tc>
      </w:tr>
      <w:tr>
        <w:trPr>
          <w:trHeight w:val="229"/>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02"/>
        </w:trPr>
        <w:tc>
          <w:tcPr>
            <w:tcW w:w="9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6"/>
              </w:rPr>
              <w:t>J.P. Morgan</w:t>
            </w:r>
          </w:p>
        </w:tc>
        <w:tc>
          <w:tcPr>
            <w:tcW w:w="9640" w:type="dxa"/>
            <w:vAlign w:val="bottom"/>
          </w:tcPr>
          <w:p>
            <w:pPr>
              <w:spacing w:after="0" w:line="202" w:lineRule="exact"/>
              <w:rPr>
                <w:sz w:val="20"/>
                <w:szCs w:val="20"/>
                <w:color w:val="auto"/>
              </w:rPr>
            </w:pPr>
            <w:r>
              <w:rPr>
                <w:rFonts w:ascii="Arial" w:cs="Arial" w:eastAsia="Arial" w:hAnsi="Arial"/>
                <w:sz w:val="18"/>
                <w:szCs w:val="18"/>
                <w:color w:val="auto"/>
              </w:rPr>
              <w:t>Securities Inc.</w:t>
            </w:r>
          </w:p>
        </w:tc>
        <w:tc>
          <w:tcPr>
            <w:tcW w:w="20" w:type="dxa"/>
            <w:vAlign w:val="bottom"/>
          </w:tcPr>
          <w:p>
            <w:pPr>
              <w:spacing w:after="0"/>
              <w:rPr>
                <w:sz w:val="17"/>
                <w:szCs w:val="17"/>
                <w:color w:val="auto"/>
              </w:rPr>
            </w:pPr>
          </w:p>
        </w:tc>
        <w:tc>
          <w:tcPr>
            <w:tcW w:w="8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6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06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600" w:type="dxa"/>
            <w:vAlign w:val="bottom"/>
            <w:gridSpan w:val="2"/>
            <w:vMerge w:val="continue"/>
          </w:tcPr>
          <w:p>
            <w:pPr>
              <w:spacing w:after="0"/>
              <w:rPr>
                <w:sz w:val="19"/>
                <w:szCs w:val="19"/>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jc w:val="both"/>
        <w:ind w:right="280" w:firstLine="571"/>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underwriters have advised us that they propose to offer the notes to the public at the initial public offering price on the cover page of this prospectus</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31"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261"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Paid by 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2"/>
        </w:trPr>
        <w:tc>
          <w:tcPr>
            <w:tcW w:w="10400" w:type="dxa"/>
            <w:vAlign w:val="bottom"/>
          </w:tcPr>
          <w:p>
            <w:pPr>
              <w:spacing w:after="0" w:line="202" w:lineRule="exact"/>
              <w:rPr>
                <w:sz w:val="20"/>
                <w:szCs w:val="20"/>
                <w:color w:val="auto"/>
              </w:rPr>
            </w:pPr>
            <w:r>
              <w:rPr>
                <w:rFonts w:ascii="Arial" w:cs="Arial" w:eastAsia="Arial" w:hAnsi="Arial"/>
                <w:sz w:val="18"/>
                <w:szCs w:val="18"/>
                <w:color w:val="auto"/>
              </w:rPr>
              <w:t>Per note</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7"/>
              </w:rPr>
              <w:t>0.%</w:t>
            </w:r>
          </w:p>
        </w:tc>
      </w:tr>
    </w:tbl>
    <w:p>
      <w:pPr>
        <w:spacing w:after="0" w:line="129"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72"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$150,000.</w:t>
      </w:r>
    </w:p>
    <w:p>
      <w:pPr>
        <w:spacing w:after="0" w:line="158"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underwriters have performed investment banking, and other commercial services for us from time to time for which they have received customary fees and expenses. The underwriters may, from time to time, engage in transactions with and perform services for us in the ordinary course of their business. Affiliates of certain of the underwriters are lenders under our $372 million term loan maturing on July 27, 2011 and will receive a pro rata portion of any proceeds used to reduce amounts outstanding under the term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83"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right="200" w:firstLine="571"/>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118110</wp:posOffset>
            </wp:positionV>
            <wp:extent cx="2143760" cy="814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or REIT,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2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16, 2009.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2"/>
            <w:vMerge w:val="restart"/>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6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Shares of Beneficial Interest</w:t>
              </w:r>
            </w:hyperlink>
          </w:p>
        </w:tc>
        <w:tc>
          <w:tcPr>
            <w:tcW w:w="8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Material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Plan of Distribution</w:t>
              </w:r>
            </w:hyperlink>
          </w:p>
        </w:tc>
        <w:tc>
          <w:tcPr>
            <w:tcW w:w="80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60" w:firstLine="8"/>
        <w:spacing w:after="0" w:line="323"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7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240" w:type="dxa"/>
            <w:vAlign w:val="bottom"/>
            <w:gridSpan w:val="13"/>
          </w:tcPr>
          <w:p>
            <w:pPr>
              <w:ind w:left="10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noncontrolling interests plus distributed income of equity investees and fixed charges (excluding capitalized interest) less noncontrolling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21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21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14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172"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211"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17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offered debt securities may elect to receive payments in respect of the offered debt securities in a currency or currency unit other than that in which the offered debt securities are stated to be payable.</w:t>
      </w:r>
    </w:p>
    <w:p>
      <w:pPr>
        <w:spacing w:after="0" w:line="186" w:lineRule="exact"/>
        <w:rPr>
          <w:sz w:val="20"/>
          <w:szCs w:val="20"/>
          <w:color w:val="auto"/>
        </w:rPr>
      </w:pPr>
    </w:p>
    <w:p>
      <w:pPr>
        <w:ind w:left="900" w:right="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211"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211"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certain certificates or other documents or satisfaction of other conditions in addition to those specified in the applicable indenture, the form of those certificates, documents or conditions.</w:t>
      </w:r>
    </w:p>
    <w:p>
      <w:pPr>
        <w:spacing w:after="0" w:line="18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the manner in which, or the person to whom, any interest on any bearer securities of the series will be payable.</w:t>
      </w:r>
    </w:p>
    <w:p>
      <w:pPr>
        <w:spacing w:after="0" w:line="125"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17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211"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77"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212" w:lineRule="exact"/>
        <w:rPr>
          <w:sz w:val="20"/>
          <w:szCs w:val="20"/>
          <w:color w:val="auto"/>
        </w:rPr>
      </w:pPr>
    </w:p>
    <w:p>
      <w:pPr>
        <w:ind w:left="900" w:right="6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7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23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21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188"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21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21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26" w:lineRule="exact"/>
        <w:rPr>
          <w:sz w:val="20"/>
          <w:szCs w:val="20"/>
          <w:color w:val="auto"/>
        </w:rPr>
      </w:pPr>
    </w:p>
    <w:p>
      <w:pPr>
        <w:ind w:left="900" w:right="1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8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12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either</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211" w:lineRule="exact"/>
        <w:rPr>
          <w:rFonts w:ascii="Arial" w:cs="Arial" w:eastAsia="Arial" w:hAnsi="Arial"/>
          <w:sz w:val="18"/>
          <w:szCs w:val="18"/>
          <w:color w:val="auto"/>
        </w:rPr>
      </w:pPr>
    </w:p>
    <w:p>
      <w:pPr>
        <w:ind w:left="1460" w:right="320" w:hanging="547"/>
        <w:spacing w:after="0" w:line="259"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8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17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103"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obligations as lessee under leases of property whether made as part of any sale and leaseback transaction to which we are a party or otherwise;</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25"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172" w:lineRule="exact"/>
        <w:rPr>
          <w:rFonts w:ascii="Arial" w:cs="Arial" w:eastAsia="Arial" w:hAnsi="Arial"/>
          <w:sz w:val="18"/>
          <w:szCs w:val="18"/>
          <w:color w:val="auto"/>
        </w:rPr>
      </w:pPr>
    </w:p>
    <w:p>
      <w:pPr>
        <w:jc w:val="both"/>
        <w:ind w:left="1460" w:right="40" w:hanging="547"/>
        <w:spacing w:after="0" w:line="306" w:lineRule="auto"/>
        <w:tabs>
          <w:tab w:leader="none" w:pos="14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47" w:lineRule="exact"/>
        <w:rPr>
          <w:rFonts w:ascii="Arial" w:cs="Arial" w:eastAsia="Arial" w:hAnsi="Arial"/>
          <w:sz w:val="16"/>
          <w:szCs w:val="16"/>
          <w:color w:val="auto"/>
        </w:rPr>
      </w:pPr>
    </w:p>
    <w:p>
      <w:pPr>
        <w:ind w:left="1460" w:right="300" w:hanging="547"/>
        <w:spacing w:after="0" w:line="268" w:lineRule="auto"/>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17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211" w:lineRule="exact"/>
        <w:rPr>
          <w:rFonts w:ascii="Arial" w:cs="Arial" w:eastAsia="Arial" w:hAnsi="Arial"/>
          <w:sz w:val="18"/>
          <w:szCs w:val="18"/>
          <w:color w:val="auto"/>
        </w:rPr>
      </w:pPr>
    </w:p>
    <w:p>
      <w:pPr>
        <w:ind w:left="5620" w:right="4780" w:hanging="5166"/>
        <w:spacing w:after="0" w:line="525" w:lineRule="auto"/>
        <w:tabs>
          <w:tab w:leader="none" w:pos="8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purchase, redeem, defease, or otherwise acquire any subordinated debt securities. 11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235"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17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18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32" w:lineRule="exact"/>
        <w:rPr>
          <w:sz w:val="20"/>
          <w:szCs w:val="20"/>
          <w:color w:val="auto"/>
        </w:rPr>
      </w:pPr>
    </w:p>
    <w:p>
      <w:pPr>
        <w:ind w:left="460" w:right="20" w:firstLine="443"/>
        <w:spacing w:after="0" w:line="268" w:lineRule="auto"/>
        <w:tabs>
          <w:tab w:leader="none" w:pos="11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40" w:lineRule="exact"/>
        <w:rPr>
          <w:rFonts w:ascii="Arial" w:cs="Arial" w:eastAsia="Arial" w:hAnsi="Arial"/>
          <w:sz w:val="18"/>
          <w:szCs w:val="18"/>
          <w:color w:val="auto"/>
        </w:rPr>
      </w:pPr>
    </w:p>
    <w:p>
      <w:pPr>
        <w:ind w:left="1720" w:hanging="379"/>
        <w:spacing w:after="0"/>
        <w:tabs>
          <w:tab w:leader="none" w:pos="1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200" w:hanging="297"/>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720" w:hanging="379"/>
        <w:spacing w:after="0"/>
        <w:tabs>
          <w:tab w:leader="none" w:pos="1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71" w:lineRule="exact"/>
        <w:rPr>
          <w:sz w:val="20"/>
          <w:szCs w:val="20"/>
          <w:color w:val="auto"/>
        </w:rPr>
      </w:pPr>
    </w:p>
    <w:p>
      <w:pPr>
        <w:ind w:left="1200" w:hanging="297"/>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left="920" w:right="740" w:firstLine="421"/>
        <w:spacing w:after="0" w:line="268" w:lineRule="auto"/>
        <w:tabs>
          <w:tab w:leader="none" w:pos="1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920" w:right="480" w:firstLine="421"/>
        <w:spacing w:after="0" w:line="268" w:lineRule="auto"/>
        <w:tabs>
          <w:tab w:leader="none" w:pos="17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131" w:lineRule="exact"/>
        <w:rPr>
          <w:rFonts w:ascii="Arial" w:cs="Arial" w:eastAsia="Arial" w:hAnsi="Arial"/>
          <w:sz w:val="18"/>
          <w:szCs w:val="18"/>
          <w:color w:val="auto"/>
        </w:rPr>
      </w:pPr>
    </w:p>
    <w:p>
      <w:pPr>
        <w:ind w:left="1720" w:hanging="379"/>
        <w:spacing w:after="0"/>
        <w:tabs>
          <w:tab w:leader="none" w:pos="1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17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4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234"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234"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81" w:lineRule="exact"/>
        <w:rPr>
          <w:sz w:val="20"/>
          <w:szCs w:val="20"/>
          <w:color w:val="auto"/>
        </w:rPr>
      </w:pPr>
    </w:p>
    <w:p>
      <w:pPr>
        <w:ind w:left="900" w:right="2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2"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57"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since the date of execution of the indenture, there has been a change in the applicable federal income tax law,</w:t>
      </w:r>
    </w:p>
    <w:p>
      <w:pPr>
        <w:spacing w:after="0" w:line="211"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8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2"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2"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211"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17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7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18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172" w:lineRule="exact"/>
        <w:rPr>
          <w:sz w:val="20"/>
          <w:szCs w:val="20"/>
          <w:color w:val="auto"/>
        </w:rPr>
      </w:pPr>
    </w:p>
    <w:p>
      <w:pPr>
        <w:ind w:left="900" w:right="3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21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211"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2"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15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211"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our shareholder rights plan.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shareholder rights plan and the articles supplementary with respect to our Series 1 preferred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June 11, 2009, we had issued and outstanding 59,156,354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172" w:lineRule="exact"/>
        <w:rPr>
          <w:sz w:val="20"/>
          <w:szCs w:val="20"/>
          <w:color w:val="auto"/>
        </w:rPr>
      </w:pPr>
    </w:p>
    <w:p>
      <w:pPr>
        <w:ind w:left="900" w:right="5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21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83"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83"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47"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tabs>
          <w:tab w:leader="none" w:pos="238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71"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5"/>
          <w:szCs w:val="15"/>
          <w:color w:val="auto"/>
        </w:rPr>
        <w:t>The Series 1 preferred shares shall have no voting rights.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the articles supplementary for the Series 1 preferred shares, from the date of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21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17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17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29"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receipts shall have the right to inspect the transfer books of the depositary and the list of holders of depositary receipts as provided in the applicable deposit agreement or as required by law.</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72" w:lineRule="exact"/>
        <w:rPr>
          <w:sz w:val="20"/>
          <w:szCs w:val="20"/>
          <w:color w:val="auto"/>
        </w:rPr>
      </w:pPr>
    </w:p>
    <w:p>
      <w:pPr>
        <w:ind w:left="900" w:right="60" w:hanging="446"/>
        <w:spacing w:after="0" w:line="306"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47"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21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211"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47"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211"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21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211"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17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17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right="40" w:firstLine="456"/>
        <w:spacing w:after="0" w:line="311" w:lineRule="auto"/>
        <w:rPr>
          <w:sz w:val="20"/>
          <w:szCs w:val="20"/>
          <w:color w:val="auto"/>
        </w:rPr>
      </w:pPr>
      <w:r>
        <w:rPr>
          <w:rFonts w:ascii="Arial" w:cs="Arial" w:eastAsia="Arial" w:hAnsi="Arial"/>
          <w:sz w:val="15"/>
          <w:szCs w:val="15"/>
          <w:b w:val="1"/>
          <w:bCs w:val="1"/>
          <w:i w:val="1"/>
          <w:iCs w:val="1"/>
          <w:color w:val="auto"/>
        </w:rPr>
        <w:t>Rights Plan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April 13, 1989, we adopted a shareholder rights plan and declared a dividend distribution of one right for each outstanding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to shareholders of record at the close of business on April 24, 1989, with such rights to expire on April 24, 1999. On March 11, 1999, the expiration date of the rights plan was extended ten years and certain other amendments to the terms of the rights plan were adopted. On November 23, 2003, the rights plan was modified to increase the triggering ownership threshold to 20% and to add a provision commonly called a “TIDE” provision requiring that the independent trustees of the Board of Trustees review the rights under the rights plan every three years. On March 16, 2009, the rights plan was further amended to extend the expiration date for an additional three years and to add a provision commonly called a “qualified offer” provision, which is explained below. Except as set forth below, each right, as amended, when exercisable, entitles the registered holder to purchase from us a number of common shares (or fractional shares) having a then-current market value of two times the purchase price, initially equal to $65.00 per share, subject to adjustment upon the occurrence of specified events.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distribution date, which shall be the earlier to occur of:</w:t>
      </w:r>
    </w:p>
    <w:p>
      <w:pPr>
        <w:spacing w:after="0" w:line="212" w:lineRule="exact"/>
        <w:rPr>
          <w:sz w:val="20"/>
          <w:szCs w:val="20"/>
          <w:color w:val="auto"/>
        </w:rPr>
      </w:pPr>
    </w:p>
    <w:p>
      <w:pPr>
        <w:ind w:left="900" w:right="8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public announcement that, without the prior consent of the Board of Trustees, a person or group of affiliated or associated persons has acquired, or obtained the right to acquire, beneficial ownership of 20% or more of our common shares (without regard to the ownership limits contained within our declaration of trust); or</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ten days following the commencement of (or a public announcement of an intention to make) a tender offer or exchange offer that would result in the beneficial ownership by a person or group of affiliated or associated persons of 20% or more of our common shares.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as soon as practicable to holders of record of our common shares as of the close of business on the distribution date, and the separate rights certificates alone will evidence the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21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April 24, 2012;</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(or, in the event there is more than one acquiring company, the acquiring company receiving the greatest portion of the assets or earning power transferred), which at the time of such transaction would have a market value equal to two times the then-current purchase price of the right.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which redemption shall be effective upon the authorization of the Board of Trustees.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20% or more of our common shares.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we receive a qualified offer and we do not redeem the rights, within 90 days thereafter, then, upon request from holders (other than the offeror and its affiliates or associates or any officer or trustee of ours) of at least 10% of the outstanding common shares for the calling of a special meeting, we will hold a special meeting within 60 days after receipt of such a request. If, at such meeting, holders of more than 50% of the outstanding common shares (other than shares of the offeror or its affiliates or associates or any officer or trustee of ours) vote for redemption of the rights, then we will thereafter redeem the rights (or take similar action) as promptly as practicable. If such a meeting is not held on or prior to the 60</w:t>
      </w:r>
      <w:r>
        <w:rPr>
          <w:rFonts w:ascii="Arial" w:cs="Arial" w:eastAsia="Arial" w:hAnsi="Arial"/>
          <w:sz w:val="10"/>
          <w:szCs w:val="10"/>
          <w:color w:val="auto"/>
        </w:rPr>
        <w:t>th</w:t>
      </w:r>
      <w:r>
        <w:rPr>
          <w:rFonts w:ascii="Arial" w:cs="Arial" w:eastAsia="Arial" w:hAnsi="Arial"/>
          <w:sz w:val="16"/>
          <w:szCs w:val="16"/>
          <w:color w:val="auto"/>
        </w:rPr>
        <w:t xml:space="preserve"> day after a qualifying request is received (which period shall be extended if we are exercising reasonable efforts to hold such a meeting and have been prevented by circumstances reasonably beyond our control), we shall promptly thereafter redeem the rights (or take similar action). However, we are not required to hold such a meeting unless the qualified offer at issue has an expiration date which is at least 10 business days after such meeting, and any obligations of us to hold such a meeting or to redeem the rights in connection therewith are null and void in the event any person, entity or group acquires, or obtains the right to acquire, beneficial ownership of 20% or more of our common shares.</w:t>
      </w:r>
    </w:p>
    <w:p>
      <w:pPr>
        <w:spacing w:after="0" w:line="16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qualified offer shall mean a tender offer which, among other things, (a) is an all-cash offer for all common shares at a price per share which is at least the higher of (x) $97; or (y) an amount equal to 25% higher than the higher of (1) the average closing price of the common shares over the period of 30 trading days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preceding commencement of the offer or (2) the average closing price of the common shares over the period of five trading days immediately preceding commencement of the offer, (b) includes a firm financing commitment which, when added to the offeror’s cash, will be sufficient, (c) has a non-waivable condition that the offeror must own, after consummating the offer, at least 50% of the common shares then outstanding (other than common shares already held by such offeror and its affiliates or associates or any trustee or officer of ours), (d) stays open for at least 60 business days (extended for any increase in price) and (e) commits the offeror to buy all other common shares at the same price paid pursuant to the offer.</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any event, upon the effective date of the redemption of the rights, the right to exercise the rights will terminate and the only right of the holders of rights will be to receive the price of $0.01 per right.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179" w:lineRule="exact"/>
        <w:rPr>
          <w:sz w:val="20"/>
          <w:szCs w:val="20"/>
          <w:color w:val="auto"/>
        </w:rPr>
      </w:pPr>
    </w:p>
    <w:p>
      <w:pPr>
        <w:ind w:left="900" w:right="1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2"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i w:val="1"/>
          <w:iCs w:val="1"/>
          <w:color w:val="auto"/>
        </w:rPr>
        <w:t>Limitation of Liability of Trustees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183"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ownership and disposition of our common, preferred, and depositary shares. If we offer one or more additional series of common shares or preferred shares, debt securities, depositary shares, warrants to purchase debt or equity securities, or rights to purchase our common shares, the prospectus supplement would include information about certain additional material U.S. federal income tax considerations to holders of any of the offered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qualification tests. For a discussion of the tax treatment of us and our shareholders if we fail to qualify as a REIT, see “— Requirements for REIT Qualification — Failure to Qualify.”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72" w:lineRule="exact"/>
        <w:rPr>
          <w:sz w:val="20"/>
          <w:szCs w:val="20"/>
          <w:color w:val="auto"/>
        </w:rPr>
      </w:pPr>
    </w:p>
    <w:p>
      <w:pPr>
        <w:ind w:left="900" w:right="20" w:hanging="446"/>
        <w:spacing w:after="0" w:line="318"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5" w:lineRule="exact"/>
        <w:rPr>
          <w:rFonts w:ascii="Arial" w:cs="Arial" w:eastAsia="Arial" w:hAnsi="Arial"/>
          <w:sz w:val="16"/>
          <w:szCs w:val="16"/>
          <w:color w:val="auto"/>
        </w:rPr>
      </w:pPr>
    </w:p>
    <w:p>
      <w:pPr>
        <w:ind w:left="900" w:right="120" w:hanging="446"/>
        <w:spacing w:after="0" w:line="370"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61" w:lineRule="auto"/>
        <w:tabs>
          <w:tab w:leader="none" w:pos="2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17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Treasury is considering other methods for basis recovery, and new regulations addressing this treatment recently were proposed. There can be no assurance, however, that the proposed regulations will be adopted or that they will be adopted in the form currently proposed, and the existing methods for recovering adjusted tax basis continue to apply. We urge you to consult your tax advisor concerning the treatment of a cash redemption of our preferred shares.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7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shareholders. Thus, such entities will, after satisfying filing requirements, be allowed a credit or refund of the tax deemed paid by such entities in respect of such includible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10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Wash Sales. </w:t>
      </w:r>
      <w:r>
        <w:rPr>
          <w:rFonts w:ascii="Arial" w:cs="Arial" w:eastAsia="Arial" w:hAnsi="Arial"/>
          <w:sz w:val="16"/>
          <w:szCs w:val="16"/>
          <w:color w:val="auto"/>
        </w:rPr>
        <w:t>In general, special wash sale rules apply if a shareholder owning more than 5% of our common or preferred shares avoids a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6"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212" w:lineRule="exact"/>
        <w:rPr>
          <w:sz w:val="20"/>
          <w:szCs w:val="20"/>
          <w:color w:val="auto"/>
        </w:rPr>
      </w:pPr>
    </w:p>
    <w:p>
      <w:pPr>
        <w:ind w:left="900" w:right="32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240"/>
        <w:spacing w:after="0"/>
        <w:rPr>
          <w:sz w:val="20"/>
          <w:szCs w:val="20"/>
          <w:color w:val="auto"/>
        </w:rPr>
      </w:pPr>
      <w:r>
        <w:rPr>
          <w:rFonts w:ascii="Arial" w:cs="Arial" w:eastAsia="Arial" w:hAnsi="Arial"/>
          <w:sz w:val="24"/>
          <w:szCs w:val="24"/>
          <w:b w:val="1"/>
          <w:bCs w:val="1"/>
          <w:color w:val="32406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117475</wp:posOffset>
            </wp:positionV>
            <wp:extent cx="2143760" cy="814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32"/>
          <w:szCs w:val="32"/>
          <w:b w:val="1"/>
          <w:bCs w:val="1"/>
          <w:color w:val="32406B"/>
        </w:rPr>
        <w:t>%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212725</wp:posOffset>
            </wp:positionV>
            <wp:extent cx="22809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32406B"/>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109220</wp:posOffset>
            </wp:positionV>
            <wp:extent cx="22809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32406B"/>
        </w:rPr>
        <w:t>J.P. Morgan</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32406B"/>
        </w:rPr>
        <w:t>Wells Fargo Securities</w:t>
      </w:r>
    </w:p>
    <w:p>
      <w:pPr>
        <w:spacing w:after="0" w:line="182" w:lineRule="exact"/>
        <w:rPr>
          <w:sz w:val="20"/>
          <w:szCs w:val="20"/>
          <w:color w:val="auto"/>
        </w:rPr>
      </w:pPr>
    </w:p>
    <w:p>
      <w:pPr>
        <w:ind w:left="5120"/>
        <w:spacing w:after="0"/>
        <w:tabs>
          <w:tab w:leader="none" w:pos="5860" w:val="left"/>
        </w:tabs>
        <w:rPr>
          <w:sz w:val="20"/>
          <w:szCs w:val="20"/>
          <w:color w:val="auto"/>
        </w:rPr>
      </w:pPr>
      <w:r>
        <w:rPr>
          <w:rFonts w:ascii="Arial" w:cs="Arial" w:eastAsia="Arial" w:hAnsi="Arial"/>
          <w:sz w:val="18"/>
          <w:szCs w:val="18"/>
          <w:b w:val="1"/>
          <w:bCs w:val="1"/>
          <w:color w:val="32406B"/>
        </w:rPr>
        <w:t>August</w:t>
        <w:tab/>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lvl w:ilvl="1">
      <w:lvlJc w:val="left"/>
      <w:lvlText w:val="•"/>
      <w:numFmt w:val="bullet"/>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decimal"/>
      <w:start w:val="2"/>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1)"/>
      <w:numFmt w:val="decimal"/>
      <w:start w:val="30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lvl w:ilvl="1">
      <w:lvlJc w:val="left"/>
      <w:lvlText w:val="•"/>
      <w:numFmt w:val="bullet"/>
      <w:start w:val="1"/>
    </w:lvl>
  </w:abstractNum>
  <w:abstractNum w:abstractNumId="24">
    <w:nsid w:val="70C6A529"/>
    <w:multiLevelType w:val="hybridMultilevel"/>
    <w:lvl w:ilvl="0">
      <w:lvlJc w:val="left"/>
      <w:lvlText w:val="•"/>
      <w:numFmt w:val="bullet"/>
      <w:start w:val="1"/>
    </w:lvl>
    <w:lvl w:ilvl="1">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2"/>
    </w:lvl>
    <w:lvl w:ilvl="1">
      <w:lvlJc w:val="left"/>
      <w:lvlText w:val="(%2)"/>
      <w:numFmt w:val="lowerLetter"/>
      <w:start w:val="1"/>
    </w:lvl>
  </w:abstractNum>
  <w:abstractNum w:abstractNumId="31">
    <w:nsid w:val="39386575"/>
    <w:multiLevelType w:val="hybridMultilevel"/>
    <w:lvl w:ilvl="0">
      <w:lvlJc w:val="left"/>
      <w:lvlText w:val="%1."/>
      <w:numFmt w:val="decimal"/>
      <w:start w:val="7"/>
    </w:lvl>
    <w:lvl w:ilvl="1">
      <w:lvlJc w:val="left"/>
      <w:lvlText w:val="(%2)"/>
      <w:numFmt w:val="lowerLetter"/>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lvl w:ilvl="1">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lvl w:ilvl="1">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lvl w:ilvl="1">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1)"/>
      <w:numFmt w:val="lowerRoman"/>
      <w:start w:val="3"/>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lvl w:ilvl="1">
      <w:lvlJc w:val="left"/>
      <w:lvlText w:val="•"/>
      <w:numFmt w:val="bullet"/>
      <w:start w:val="1"/>
    </w:lvl>
  </w:abstractNum>
  <w:abstractNum w:abstractNumId="72">
    <w:nsid w:val="11447B73"/>
    <w:multiLevelType w:val="hybridMultilevel"/>
    <w:lvl w:ilvl="0">
      <w:lvlJc w:val="left"/>
      <w:lvlText w:val="(%1)"/>
      <w:numFmt w:val="lowerRoman"/>
      <w:start w:val="2"/>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4"/>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2019-12-10T00:21:20Z</dcterms:created>
  <dcterms:modified xsi:type="dcterms:W3CDTF">2019-12-10T00:21:20Z</dcterms:modified>
</cp:coreProperties>
</file>