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7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779"/>
        <w:spacing w:after="0"/>
        <w:rPr>
          <w:sz w:val="20"/>
          <w:szCs w:val="20"/>
          <w:color w:val="auto"/>
        </w:rPr>
      </w:pPr>
      <w:r>
        <w:rPr>
          <w:rFonts w:ascii="Courier New" w:cs="Courier New" w:eastAsia="Courier New" w:hAnsi="Courier New"/>
          <w:sz w:val="14"/>
          <w:szCs w:val="14"/>
          <w:color w:val="auto"/>
        </w:rPr>
        <w:t>Washington, D.C. 20549</w:t>
      </w:r>
    </w:p>
    <w:p>
      <w:pPr>
        <w:spacing w:after="0" w:line="200" w:lineRule="exact"/>
        <w:rPr>
          <w:sz w:val="24"/>
          <w:szCs w:val="24"/>
          <w:color w:val="auto"/>
        </w:rPr>
      </w:pPr>
    </w:p>
    <w:p>
      <w:pPr>
        <w:spacing w:after="0" w:line="304" w:lineRule="exact"/>
        <w:rPr>
          <w:sz w:val="24"/>
          <w:szCs w:val="24"/>
          <w:color w:val="auto"/>
        </w:rPr>
      </w:pPr>
    </w:p>
    <w:p>
      <w:pPr>
        <w:jc w:val="center"/>
        <w:ind w:right="3779"/>
        <w:spacing w:after="0"/>
        <w:rPr>
          <w:sz w:val="20"/>
          <w:szCs w:val="20"/>
          <w:color w:val="auto"/>
        </w:rPr>
      </w:pPr>
      <w:r>
        <w:rPr>
          <w:rFonts w:ascii="Courier New" w:cs="Courier New" w:eastAsia="Courier New" w:hAnsi="Courier New"/>
          <w:sz w:val="14"/>
          <w:szCs w:val="14"/>
          <w:color w:val="auto"/>
        </w:rPr>
        <w:t>FORM 8-K</w:t>
      </w:r>
    </w:p>
    <w:p>
      <w:pPr>
        <w:spacing w:after="0" w:line="173"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CURRENT REPORT</w:t>
      </w:r>
    </w:p>
    <w:p>
      <w:pPr>
        <w:spacing w:after="0" w:line="200" w:lineRule="exact"/>
        <w:rPr>
          <w:sz w:val="24"/>
          <w:szCs w:val="24"/>
          <w:color w:val="auto"/>
        </w:rPr>
      </w:pPr>
    </w:p>
    <w:p>
      <w:pPr>
        <w:spacing w:after="0" w:line="304" w:lineRule="exact"/>
        <w:rPr>
          <w:sz w:val="24"/>
          <w:szCs w:val="24"/>
          <w:color w:val="auto"/>
        </w:rPr>
      </w:pPr>
    </w:p>
    <w:p>
      <w:pPr>
        <w:jc w:val="center"/>
        <w:ind w:right="3779"/>
        <w:spacing w:after="0"/>
        <w:rPr>
          <w:sz w:val="20"/>
          <w:szCs w:val="20"/>
          <w:color w:val="auto"/>
        </w:rPr>
      </w:pPr>
      <w:r>
        <w:rPr>
          <w:rFonts w:ascii="Courier New" w:cs="Courier New" w:eastAsia="Courier New" w:hAnsi="Courier New"/>
          <w:sz w:val="14"/>
          <w:szCs w:val="14"/>
          <w:color w:val="auto"/>
        </w:rPr>
        <w:t>Pursuant to Section 13 or 15(d) of the Securities Exchange Act of 1934</w:t>
      </w:r>
    </w:p>
    <w:p>
      <w:pPr>
        <w:spacing w:after="0" w:line="7" w:lineRule="exact"/>
        <w:rPr>
          <w:sz w:val="24"/>
          <w:szCs w:val="24"/>
          <w:color w:val="auto"/>
        </w:rPr>
      </w:pPr>
    </w:p>
    <w:p>
      <w:pPr>
        <w:jc w:val="center"/>
        <w:ind w:right="3779"/>
        <w:spacing w:after="0"/>
        <w:rPr>
          <w:sz w:val="20"/>
          <w:szCs w:val="20"/>
          <w:color w:val="auto"/>
        </w:rPr>
      </w:pPr>
      <w:r>
        <w:rPr>
          <w:rFonts w:ascii="Courier New" w:cs="Courier New" w:eastAsia="Courier New" w:hAnsi="Courier New"/>
          <w:sz w:val="14"/>
          <w:szCs w:val="14"/>
          <w:color w:val="auto"/>
        </w:rPr>
        <w:t>Date of Report (Date of earliest event reported) December 31, 2002</w:t>
      </w:r>
    </w:p>
    <w:p>
      <w:pPr>
        <w:spacing w:after="0" w:line="173" w:lineRule="exact"/>
        <w:rPr>
          <w:sz w:val="24"/>
          <w:szCs w:val="24"/>
          <w:color w:val="auto"/>
        </w:rPr>
      </w:pPr>
    </w:p>
    <w:p>
      <w:pPr>
        <w:ind w:left="1720"/>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4"/>
          <w:szCs w:val="24"/>
          <w:color w:val="auto"/>
        </w:rPr>
      </w:pPr>
    </w:p>
    <w:p>
      <w:pPr>
        <w:ind w:left="1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68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9799"/>
          </w:cols>
          <w:pgMar w:left="660" w:top="561" w:right="1440" w:bottom="1440" w:gutter="0" w:footer="0" w:header="0"/>
        </w:sectPr>
      </w:pPr>
    </w:p>
    <w:p>
      <w:pPr>
        <w:spacing w:after="0" w:line="200" w:lineRule="exact"/>
        <w:rPr>
          <w:sz w:val="24"/>
          <w:szCs w:val="24"/>
          <w:color w:val="auto"/>
        </w:rPr>
      </w:pPr>
    </w:p>
    <w:p>
      <w:pPr>
        <w:spacing w:after="0" w:line="304" w:lineRule="exact"/>
        <w:rPr>
          <w:sz w:val="24"/>
          <w:szCs w:val="24"/>
          <w:color w:val="auto"/>
        </w:rPr>
      </w:pPr>
    </w:p>
    <w:p>
      <w:pPr>
        <w:ind w:left="940"/>
        <w:spacing w:after="0"/>
        <w:rPr>
          <w:sz w:val="20"/>
          <w:szCs w:val="20"/>
          <w:color w:val="auto"/>
        </w:rPr>
      </w:pPr>
      <w:r>
        <w:rPr>
          <w:rFonts w:ascii="Courier New" w:cs="Courier New" w:eastAsia="Courier New" w:hAnsi="Courier New"/>
          <w:sz w:val="14"/>
          <w:szCs w:val="14"/>
          <w:color w:val="auto"/>
        </w:rPr>
        <w:t>Maryland</w:t>
      </w:r>
    </w:p>
    <w:p>
      <w:pPr>
        <w:spacing w:after="0" w:line="7"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(State or other jurisdiction</w:t>
      </w:r>
    </w:p>
    <w:p>
      <w:pPr>
        <w:spacing w:after="0" w:line="7"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1-07533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ind w:left="420"/>
        <w:spacing w:after="0"/>
        <w:rPr>
          <w:sz w:val="20"/>
          <w:szCs w:val="20"/>
          <w:color w:val="auto"/>
        </w:rPr>
      </w:pPr>
      <w:r>
        <w:rPr>
          <w:rFonts w:ascii="Courier New" w:cs="Courier New" w:eastAsia="Courier New" w:hAnsi="Courier New"/>
          <w:sz w:val="14"/>
          <w:szCs w:val="14"/>
          <w:color w:val="auto"/>
        </w:rPr>
        <w:t>52-0782497</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3">
            <w:col w:w="2580" w:space="260"/>
            <w:col w:w="1380" w:space="260"/>
            <w:col w:w="5319"/>
          </w:cols>
          <w:pgMar w:left="660" w:top="561" w:right="1440" w:bottom="1440" w:gutter="0" w:footer="0" w:header="0"/>
          <w:type w:val="continuous"/>
        </w:sectPr>
      </w:pPr>
    </w:p>
    <w:p>
      <w:pPr>
        <w:spacing w:after="0" w:line="304" w:lineRule="exact"/>
        <w:rPr>
          <w:sz w:val="24"/>
          <w:szCs w:val="24"/>
          <w:color w:val="auto"/>
        </w:rPr>
      </w:pPr>
    </w:p>
    <w:p>
      <w:pPr>
        <w:ind w:left="80"/>
        <w:spacing w:after="0"/>
        <w:tabs>
          <w:tab w:leader="none" w:pos="4800" w:val="left"/>
        </w:tabs>
        <w:rPr>
          <w:sz w:val="20"/>
          <w:szCs w:val="20"/>
          <w:color w:val="auto"/>
        </w:rPr>
      </w:pPr>
      <w:r>
        <w:rPr>
          <w:rFonts w:ascii="Courier New" w:cs="Courier New" w:eastAsia="Courier New" w:hAnsi="Courier New"/>
          <w:sz w:val="14"/>
          <w:szCs w:val="14"/>
          <w:color w:val="auto"/>
        </w:rPr>
        <w:t>1626 East Jefferson Street, Rockville, Maryland</w:t>
      </w:r>
      <w:r>
        <w:rPr>
          <w:sz w:val="20"/>
          <w:szCs w:val="20"/>
          <w:color w:val="auto"/>
        </w:rPr>
        <w:tab/>
      </w:r>
      <w:r>
        <w:rPr>
          <w:rFonts w:ascii="Courier New" w:cs="Courier New" w:eastAsia="Courier New" w:hAnsi="Courier New"/>
          <w:sz w:val="14"/>
          <w:szCs w:val="14"/>
          <w:color w:val="auto"/>
        </w:rPr>
        <w:t>20852-4041</w:t>
      </w:r>
    </w:p>
    <w:p>
      <w:pPr>
        <w:sectPr>
          <w:pgSz w:w="11900" w:h="16838" w:orient="portrait"/>
          <w:cols w:equalWidth="0" w:num="1">
            <w:col w:w="9799"/>
          </w:cols>
          <w:pgMar w:left="660" w:top="561" w:right="1440" w:bottom="1440" w:gutter="0" w:footer="0" w:header="0"/>
          <w:type w:val="continuous"/>
        </w:sectPr>
      </w:pPr>
    </w:p>
    <w:p>
      <w:pPr>
        <w:spacing w:after="0" w:line="7"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80"/>
        <w:spacing w:after="0"/>
        <w:tabs>
          <w:tab w:leader="none" w:pos="4800" w:val="left"/>
        </w:tabs>
        <w:rPr>
          <w:sz w:val="20"/>
          <w:szCs w:val="20"/>
          <w:color w:val="auto"/>
        </w:rPr>
      </w:pPr>
      <w:r>
        <w:rPr>
          <w:rFonts w:ascii="Courier New" w:cs="Courier New" w:eastAsia="Courier New" w:hAnsi="Courier New"/>
          <w:sz w:val="14"/>
          <w:szCs w:val="14"/>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200" w:lineRule="exact"/>
        <w:rPr>
          <w:sz w:val="24"/>
          <w:szCs w:val="24"/>
          <w:color w:val="auto"/>
        </w:rPr>
      </w:pPr>
    </w:p>
    <w:p>
      <w:pPr>
        <w:spacing w:after="0" w:line="304"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Registrant's telephone number including area code: 301/998-8100</w:t>
      </w:r>
    </w:p>
    <w:p>
      <w:pPr>
        <w:spacing w:after="0" w:line="7" w:lineRule="exact"/>
        <w:rPr>
          <w:sz w:val="24"/>
          <w:szCs w:val="24"/>
          <w:color w:val="auto"/>
        </w:rPr>
      </w:pPr>
    </w:p>
    <w:p>
      <w:pPr>
        <w:ind w:left="44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799"/>
          </w:cols>
          <w:pgMar w:left="660" w:top="561" w:right="1440" w:bottom="1440" w:gutter="0" w:footer="0" w:header="0"/>
          <w:type w:val="continuous"/>
        </w:sectPr>
      </w:pPr>
    </w:p>
    <w:bookmarkStart w:id="1" w:name="page2"/>
    <w:bookmarkEnd w:id="1"/>
    <w:p>
      <w:pPr>
        <w:spacing w:after="0"/>
        <w:tabs>
          <w:tab w:leader="none" w:pos="840" w:val="left"/>
        </w:tabs>
        <w:rPr>
          <w:sz w:val="20"/>
          <w:szCs w:val="20"/>
          <w:color w:val="auto"/>
        </w:rPr>
      </w:pPr>
      <w:r>
        <w:rPr>
          <w:rFonts w:ascii="Courier New" w:cs="Courier New" w:eastAsia="Courier New" w:hAnsi="Courier New"/>
          <w:sz w:val="14"/>
          <w:szCs w:val="14"/>
          <w:color w:val="auto"/>
        </w:rPr>
        <w:t>Item 9.</w:t>
        <w:tab/>
        <w:t>Regulation FD Disclosure</w:t>
      </w:r>
    </w:p>
    <w:p>
      <w:pPr>
        <w:spacing w:after="0" w:line="173"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4"/>
          <w:szCs w:val="14"/>
          <w:color w:val="auto"/>
        </w:rPr>
        <w:t>Federal Realty Investment Trust hereby furnishes the</w:t>
      </w:r>
    </w:p>
    <w:p>
      <w:pPr>
        <w:spacing w:after="0" w:line="7"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following supplemental data pertaining to its portfolio of properties at December 31, 2002.</w:t>
      </w:r>
    </w:p>
    <w:p>
      <w:pPr>
        <w:spacing w:after="0" w:line="160" w:lineRule="exact"/>
        <w:rPr>
          <w:sz w:val="20"/>
          <w:szCs w:val="20"/>
          <w:color w:val="auto"/>
        </w:rPr>
      </w:pPr>
    </w:p>
    <w:p>
      <w:pPr>
        <w:ind w:left="860"/>
        <w:spacing w:after="0"/>
        <w:tabs>
          <w:tab w:leader="none" w:pos="1280" w:val="left"/>
        </w:tabs>
        <w:rPr>
          <w:sz w:val="20"/>
          <w:szCs w:val="20"/>
          <w:color w:val="auto"/>
        </w:rPr>
      </w:pPr>
      <w:r>
        <w:rPr>
          <w:rFonts w:ascii="Courier New" w:cs="Courier New" w:eastAsia="Courier New" w:hAnsi="Courier New"/>
          <w:sz w:val="14"/>
          <w:szCs w:val="14"/>
          <w:color w:val="auto"/>
        </w:rPr>
        <w:t>99</w:t>
      </w:r>
      <w:r>
        <w:rPr>
          <w:sz w:val="20"/>
          <w:szCs w:val="20"/>
          <w:color w:val="auto"/>
        </w:rPr>
        <w:tab/>
      </w:r>
      <w:r>
        <w:rPr>
          <w:rFonts w:ascii="Courier New" w:cs="Courier New" w:eastAsia="Courier New" w:hAnsi="Courier New"/>
          <w:sz w:val="14"/>
          <w:szCs w:val="14"/>
          <w:color w:val="auto"/>
        </w:rPr>
        <w:t>Supplemental information at December 31, 2002</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FEDERAL REALTY INVESTMENT TRUST</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February 12,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Larry E. Finger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Larry E. Finger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 and Treasurer</w:t>
      </w:r>
    </w:p>
    <w:p>
      <w:pPr>
        <w:sectPr>
          <w:pgSz w:w="11900" w:h="16838" w:orient="portrait"/>
          <w:cols w:equalWidth="0" w:num="2">
            <w:col w:w="2740" w:space="720"/>
            <w:col w:w="6779"/>
          </w:cols>
          <w:pgMar w:left="220" w:top="616" w:right="1440" w:bottom="1440" w:gutter="0" w:footer="0" w:header="0"/>
          <w:type w:val="continuous"/>
        </w:sectPr>
      </w:pPr>
    </w:p>
    <w:bookmarkStart w:id="2" w:name="page3"/>
    <w:bookmarkEnd w:id="2"/>
    <w:p>
      <w:pPr>
        <w:spacing w:after="0" w:line="61"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99</w:t>
      </w:r>
    </w:p>
    <w:p>
      <w:pPr>
        <w:spacing w:after="0" w:line="33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Supplemental Information</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December 31, 2002</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304" w:lineRule="exact"/>
        <w:rPr>
          <w:sz w:val="20"/>
          <w:szCs w:val="20"/>
          <w:color w:val="auto"/>
        </w:rPr>
      </w:pPr>
    </w:p>
    <w:p>
      <w:pPr>
        <w:spacing w:after="0"/>
        <w:tabs>
          <w:tab w:leader="none" w:pos="420" w:val="left"/>
          <w:tab w:leader="dot" w:pos="670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Fourth Quarter and Year-end 2002 Earnings Press Release</w:t>
      </w:r>
      <w:r>
        <w:rPr>
          <w:sz w:val="20"/>
          <w:szCs w:val="20"/>
          <w:color w:val="auto"/>
        </w:rPr>
        <w:tab/>
      </w:r>
      <w:r>
        <w:rPr>
          <w:rFonts w:ascii="Courier New" w:cs="Courier New" w:eastAsia="Courier New" w:hAnsi="Courier New"/>
          <w:sz w:val="14"/>
          <w:szCs w:val="14"/>
          <w:color w:val="auto"/>
        </w:rPr>
        <w:t>3</w:t>
      </w:r>
    </w:p>
    <w:p>
      <w:pPr>
        <w:spacing w:after="0" w:line="173" w:lineRule="exact"/>
        <w:rPr>
          <w:sz w:val="20"/>
          <w:szCs w:val="20"/>
          <w:color w:val="auto"/>
        </w:rPr>
      </w:pPr>
    </w:p>
    <w:p>
      <w:pPr>
        <w:ind w:left="440" w:hanging="432"/>
        <w:spacing w:after="0"/>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Highlights</w:t>
      </w:r>
    </w:p>
    <w:p>
      <w:pPr>
        <w:spacing w:after="0" w:line="7" w:lineRule="exact"/>
        <w:rPr>
          <w:sz w:val="20"/>
          <w:szCs w:val="20"/>
          <w:color w:val="auto"/>
        </w:rPr>
      </w:pPr>
    </w:p>
    <w:p>
      <w:pPr>
        <w:ind w:left="1040"/>
        <w:spacing w:after="0"/>
        <w:tabs>
          <w:tab w:leader="dot" w:pos="6700" w:val="left"/>
        </w:tabs>
        <w:rPr>
          <w:sz w:val="20"/>
          <w:szCs w:val="20"/>
          <w:color w:val="auto"/>
        </w:rPr>
      </w:pPr>
      <w:r>
        <w:rPr>
          <w:rFonts w:ascii="Courier New" w:cs="Courier New" w:eastAsia="Courier New" w:hAnsi="Courier New"/>
          <w:sz w:val="14"/>
          <w:szCs w:val="14"/>
          <w:color w:val="auto"/>
        </w:rPr>
        <w:t>Summarized Operating Results</w:t>
      </w:r>
      <w:r>
        <w:rPr>
          <w:sz w:val="20"/>
          <w:szCs w:val="20"/>
          <w:color w:val="auto"/>
        </w:rPr>
        <w:tab/>
      </w:r>
      <w:r>
        <w:rPr>
          <w:rFonts w:ascii="Courier New" w:cs="Courier New" w:eastAsia="Courier New" w:hAnsi="Courier New"/>
          <w:sz w:val="14"/>
          <w:szCs w:val="14"/>
          <w:color w:val="auto"/>
        </w:rPr>
        <w:t>9</w:t>
      </w:r>
    </w:p>
    <w:p>
      <w:pPr>
        <w:spacing w:after="0" w:line="7" w:lineRule="exact"/>
        <w:rPr>
          <w:sz w:val="20"/>
          <w:szCs w:val="20"/>
          <w:color w:val="auto"/>
        </w:rPr>
      </w:pPr>
    </w:p>
    <w:p>
      <w:pPr>
        <w:ind w:left="1040"/>
        <w:spacing w:after="0"/>
        <w:tabs>
          <w:tab w:leader="dot" w:pos="6620" w:val="left"/>
        </w:tabs>
        <w:rPr>
          <w:sz w:val="20"/>
          <w:szCs w:val="20"/>
          <w:color w:val="auto"/>
        </w:rPr>
      </w:pPr>
      <w:r>
        <w:rPr>
          <w:rFonts w:ascii="Courier New" w:cs="Courier New" w:eastAsia="Courier New" w:hAnsi="Courier New"/>
          <w:sz w:val="14"/>
          <w:szCs w:val="14"/>
          <w:color w:val="auto"/>
        </w:rPr>
        <w:t>Summarized Balance Sheet</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Funds From Operations / Funds Available for</w:t>
      </w:r>
    </w:p>
    <w:p>
      <w:pPr>
        <w:spacing w:after="0" w:line="7" w:lineRule="exact"/>
        <w:rPr>
          <w:sz w:val="20"/>
          <w:szCs w:val="20"/>
          <w:color w:val="auto"/>
        </w:rPr>
      </w:pPr>
    </w:p>
    <w:p>
      <w:pPr>
        <w:ind w:left="1040"/>
        <w:spacing w:after="0"/>
        <w:tabs>
          <w:tab w:leader="dot" w:pos="6620" w:val="left"/>
        </w:tabs>
        <w:rPr>
          <w:sz w:val="20"/>
          <w:szCs w:val="20"/>
          <w:color w:val="auto"/>
        </w:rPr>
      </w:pPr>
      <w:r>
        <w:rPr>
          <w:rFonts w:ascii="Courier New" w:cs="Courier New" w:eastAsia="Courier New" w:hAnsi="Courier New"/>
          <w:sz w:val="14"/>
          <w:szCs w:val="14"/>
          <w:color w:val="auto"/>
        </w:rPr>
        <w:t>Distribution / Summary of Capital Expenditures</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ind w:left="1040"/>
        <w:spacing w:after="0"/>
        <w:tabs>
          <w:tab w:leader="none" w:pos="6620" w:val="left"/>
        </w:tabs>
        <w:rPr>
          <w:sz w:val="20"/>
          <w:szCs w:val="20"/>
          <w:color w:val="auto"/>
        </w:rPr>
      </w:pPr>
      <w:r>
        <w:rPr>
          <w:rFonts w:ascii="Courier New" w:cs="Courier New" w:eastAsia="Courier New" w:hAnsi="Courier New"/>
          <w:sz w:val="14"/>
          <w:szCs w:val="14"/>
          <w:color w:val="auto"/>
        </w:rPr>
        <w:t>Market Data / Capital Availability / Operational Statistics ..</w:t>
      </w:r>
      <w:r>
        <w:rPr>
          <w:sz w:val="20"/>
          <w:szCs w:val="20"/>
          <w:color w:val="auto"/>
        </w:rPr>
        <w:tab/>
      </w:r>
      <w:r>
        <w:rPr>
          <w:rFonts w:ascii="Courier New" w:cs="Courier New" w:eastAsia="Courier New" w:hAnsi="Courier New"/>
          <w:sz w:val="14"/>
          <w:szCs w:val="14"/>
          <w:color w:val="auto"/>
        </w:rPr>
        <w:t>12</w:t>
      </w:r>
    </w:p>
    <w:p>
      <w:pPr>
        <w:spacing w:after="0" w:line="173" w:lineRule="exact"/>
        <w:rPr>
          <w:sz w:val="20"/>
          <w:szCs w:val="20"/>
          <w:color w:val="auto"/>
        </w:rPr>
      </w:pPr>
    </w:p>
    <w:p>
      <w:pPr>
        <w:ind w:left="440" w:hanging="432"/>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Debt</w:t>
      </w:r>
    </w:p>
    <w:p>
      <w:pPr>
        <w:spacing w:after="0" w:line="7" w:lineRule="exact"/>
        <w:rPr>
          <w:sz w:val="20"/>
          <w:szCs w:val="20"/>
          <w:color w:val="auto"/>
        </w:rPr>
      </w:pPr>
    </w:p>
    <w:p>
      <w:pPr>
        <w:ind w:left="1040"/>
        <w:spacing w:after="0"/>
        <w:tabs>
          <w:tab w:leader="dot" w:pos="6620" w:val="left"/>
        </w:tabs>
        <w:rPr>
          <w:sz w:val="20"/>
          <w:szCs w:val="20"/>
          <w:color w:val="auto"/>
        </w:rPr>
      </w:pPr>
      <w:r>
        <w:rPr>
          <w:rFonts w:ascii="Courier New" w:cs="Courier New" w:eastAsia="Courier New" w:hAnsi="Courier New"/>
          <w:sz w:val="14"/>
          <w:szCs w:val="14"/>
          <w:color w:val="auto"/>
        </w:rPr>
        <w:t>Summary of Outstanding Debt</w:t>
      </w:r>
      <w:r>
        <w:rPr>
          <w:sz w:val="20"/>
          <w:szCs w:val="20"/>
          <w:color w:val="auto"/>
        </w:rPr>
        <w:tab/>
      </w:r>
      <w:r>
        <w:rPr>
          <w:rFonts w:ascii="Courier New" w:cs="Courier New" w:eastAsia="Courier New" w:hAnsi="Courier New"/>
          <w:sz w:val="14"/>
          <w:szCs w:val="14"/>
          <w:color w:val="auto"/>
        </w:rPr>
        <w:t>13</w:t>
      </w:r>
    </w:p>
    <w:p>
      <w:pPr>
        <w:spacing w:after="0" w:line="7" w:lineRule="exact"/>
        <w:rPr>
          <w:sz w:val="20"/>
          <w:szCs w:val="20"/>
          <w:color w:val="auto"/>
        </w:rPr>
      </w:pPr>
    </w:p>
    <w:p>
      <w:pPr>
        <w:ind w:left="1040"/>
        <w:spacing w:after="0"/>
        <w:tabs>
          <w:tab w:leader="dot" w:pos="6620" w:val="left"/>
        </w:tabs>
        <w:rPr>
          <w:sz w:val="20"/>
          <w:szCs w:val="20"/>
          <w:color w:val="auto"/>
        </w:rPr>
      </w:pPr>
      <w:r>
        <w:rPr>
          <w:rFonts w:ascii="Courier New" w:cs="Courier New" w:eastAsia="Courier New" w:hAnsi="Courier New"/>
          <w:sz w:val="14"/>
          <w:szCs w:val="14"/>
          <w:color w:val="auto"/>
        </w:rPr>
        <w:t>Summary of Debt Maturities</w:t>
      </w:r>
      <w:r>
        <w:rPr>
          <w:sz w:val="20"/>
          <w:szCs w:val="20"/>
          <w:color w:val="auto"/>
        </w:rPr>
        <w:tab/>
      </w:r>
      <w:r>
        <w:rPr>
          <w:rFonts w:ascii="Courier New" w:cs="Courier New" w:eastAsia="Courier New" w:hAnsi="Courier New"/>
          <w:sz w:val="14"/>
          <w:szCs w:val="14"/>
          <w:color w:val="auto"/>
        </w:rPr>
        <w:t>14</w:t>
      </w:r>
    </w:p>
    <w:p>
      <w:pPr>
        <w:spacing w:after="0" w:line="173" w:lineRule="exact"/>
        <w:rPr>
          <w:sz w:val="20"/>
          <w:szCs w:val="20"/>
          <w:color w:val="auto"/>
        </w:rPr>
      </w:pPr>
    </w:p>
    <w:p>
      <w:pPr>
        <w:ind w:left="440" w:hanging="432"/>
        <w:spacing w:after="0"/>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Redevelopments</w:t>
      </w:r>
    </w:p>
    <w:p>
      <w:pPr>
        <w:spacing w:after="0" w:line="7" w:lineRule="exact"/>
        <w:rPr>
          <w:sz w:val="20"/>
          <w:szCs w:val="20"/>
          <w:color w:val="auto"/>
        </w:rPr>
      </w:pPr>
    </w:p>
    <w:p>
      <w:pPr>
        <w:ind w:left="1040"/>
        <w:spacing w:after="0"/>
        <w:tabs>
          <w:tab w:leader="dot" w:pos="6620" w:val="left"/>
        </w:tabs>
        <w:rPr>
          <w:sz w:val="20"/>
          <w:szCs w:val="20"/>
          <w:color w:val="auto"/>
        </w:rPr>
      </w:pPr>
      <w:r>
        <w:rPr>
          <w:rFonts w:ascii="Courier New" w:cs="Courier New" w:eastAsia="Courier New" w:hAnsi="Courier New"/>
          <w:sz w:val="14"/>
          <w:szCs w:val="14"/>
          <w:color w:val="auto"/>
        </w:rPr>
        <w:t>Summary of Current and Future Redevelopment Opportunities</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ind w:left="1040"/>
        <w:spacing w:after="0"/>
        <w:tabs>
          <w:tab w:leader="dot" w:pos="6620" w:val="left"/>
        </w:tabs>
        <w:rPr>
          <w:sz w:val="20"/>
          <w:szCs w:val="20"/>
          <w:color w:val="auto"/>
        </w:rPr>
      </w:pPr>
      <w:r>
        <w:rPr>
          <w:rFonts w:ascii="Courier New" w:cs="Courier New" w:eastAsia="Courier New" w:hAnsi="Courier New"/>
          <w:sz w:val="14"/>
          <w:szCs w:val="14"/>
          <w:color w:val="auto"/>
        </w:rPr>
        <w:t>Summary of Recent Redevelopments</w:t>
      </w:r>
      <w:r>
        <w:rPr>
          <w:sz w:val="20"/>
          <w:szCs w:val="20"/>
          <w:color w:val="auto"/>
        </w:rPr>
        <w:tab/>
      </w:r>
      <w:r>
        <w:rPr>
          <w:rFonts w:ascii="Courier New" w:cs="Courier New" w:eastAsia="Courier New" w:hAnsi="Courier New"/>
          <w:sz w:val="14"/>
          <w:szCs w:val="14"/>
          <w:color w:val="auto"/>
        </w:rPr>
        <w:t>16</w:t>
      </w:r>
    </w:p>
    <w:p>
      <w:pPr>
        <w:spacing w:after="0" w:line="173" w:lineRule="exact"/>
        <w:rPr>
          <w:sz w:val="20"/>
          <w:szCs w:val="20"/>
          <w:color w:val="auto"/>
        </w:rPr>
      </w:pPr>
    </w:p>
    <w:p>
      <w:pPr>
        <w:spacing w:after="0"/>
        <w:tabs>
          <w:tab w:leader="none" w:pos="420" w:val="left"/>
          <w:tab w:leader="dot" w:pos="6620" w:val="left"/>
        </w:tabs>
        <w:rPr>
          <w:sz w:val="20"/>
          <w:szCs w:val="20"/>
          <w:color w:val="auto"/>
        </w:rPr>
      </w:pPr>
      <w:r>
        <w:rPr>
          <w:rFonts w:ascii="Courier New" w:cs="Courier New" w:eastAsia="Courier New" w:hAnsi="Courier New"/>
          <w:sz w:val="14"/>
          <w:szCs w:val="14"/>
          <w:color w:val="auto"/>
        </w:rPr>
        <w:t>5.</w:t>
      </w:r>
      <w:r>
        <w:rPr>
          <w:sz w:val="20"/>
          <w:szCs w:val="20"/>
          <w:color w:val="auto"/>
        </w:rPr>
        <w:tab/>
      </w:r>
      <w:r>
        <w:rPr>
          <w:rFonts w:ascii="Courier New" w:cs="Courier New" w:eastAsia="Courier New" w:hAnsi="Courier New"/>
          <w:sz w:val="14"/>
          <w:szCs w:val="14"/>
          <w:color w:val="auto"/>
        </w:rPr>
        <w:t>Santana Row Summary</w:t>
      </w:r>
      <w:r>
        <w:rPr>
          <w:sz w:val="20"/>
          <w:szCs w:val="20"/>
          <w:color w:val="auto"/>
        </w:rPr>
        <w:tab/>
      </w:r>
      <w:r>
        <w:rPr>
          <w:rFonts w:ascii="Courier New" w:cs="Courier New" w:eastAsia="Courier New" w:hAnsi="Courier New"/>
          <w:sz w:val="14"/>
          <w:szCs w:val="14"/>
          <w:color w:val="auto"/>
        </w:rPr>
        <w:t>17</w:t>
      </w:r>
    </w:p>
    <w:p>
      <w:pPr>
        <w:spacing w:after="0" w:line="173" w:lineRule="exact"/>
        <w:rPr>
          <w:sz w:val="20"/>
          <w:szCs w:val="20"/>
          <w:color w:val="auto"/>
        </w:rPr>
      </w:pPr>
    </w:p>
    <w:p>
      <w:pPr>
        <w:spacing w:after="0"/>
        <w:tabs>
          <w:tab w:leader="none" w:pos="420" w:val="left"/>
          <w:tab w:leader="dot" w:pos="6620" w:val="left"/>
        </w:tabs>
        <w:rPr>
          <w:sz w:val="20"/>
          <w:szCs w:val="20"/>
          <w:color w:val="auto"/>
        </w:rPr>
      </w:pPr>
      <w:r>
        <w:rPr>
          <w:rFonts w:ascii="Courier New" w:cs="Courier New" w:eastAsia="Courier New" w:hAnsi="Courier New"/>
          <w:sz w:val="14"/>
          <w:szCs w:val="14"/>
          <w:color w:val="auto"/>
        </w:rPr>
        <w:t>6.</w:t>
      </w:r>
      <w:r>
        <w:rPr>
          <w:sz w:val="20"/>
          <w:szCs w:val="20"/>
          <w:color w:val="auto"/>
        </w:rPr>
        <w:tab/>
      </w:r>
      <w:r>
        <w:rPr>
          <w:rFonts w:ascii="Courier New" w:cs="Courier New" w:eastAsia="Courier New" w:hAnsi="Courier New"/>
          <w:sz w:val="14"/>
          <w:szCs w:val="14"/>
          <w:color w:val="auto"/>
        </w:rPr>
        <w:t>Acquisitions and Dispositions - Year to Date</w:t>
      </w:r>
      <w:r>
        <w:rPr>
          <w:sz w:val="20"/>
          <w:szCs w:val="20"/>
          <w:color w:val="auto"/>
        </w:rPr>
        <w:tab/>
      </w:r>
      <w:r>
        <w:rPr>
          <w:rFonts w:ascii="Courier New" w:cs="Courier New" w:eastAsia="Courier New" w:hAnsi="Courier New"/>
          <w:sz w:val="14"/>
          <w:szCs w:val="14"/>
          <w:color w:val="auto"/>
        </w:rPr>
        <w:t>18</w:t>
      </w:r>
    </w:p>
    <w:p>
      <w:pPr>
        <w:spacing w:after="0" w:line="173" w:lineRule="exact"/>
        <w:rPr>
          <w:sz w:val="20"/>
          <w:szCs w:val="20"/>
          <w:color w:val="auto"/>
        </w:rPr>
      </w:pPr>
    </w:p>
    <w:p>
      <w:pPr>
        <w:spacing w:after="0"/>
        <w:tabs>
          <w:tab w:leader="none" w:pos="420" w:val="left"/>
          <w:tab w:leader="dot" w:pos="6620" w:val="left"/>
        </w:tabs>
        <w:rPr>
          <w:sz w:val="20"/>
          <w:szCs w:val="20"/>
          <w:color w:val="auto"/>
        </w:rPr>
      </w:pPr>
      <w:r>
        <w:rPr>
          <w:rFonts w:ascii="Courier New" w:cs="Courier New" w:eastAsia="Courier New" w:hAnsi="Courier New"/>
          <w:sz w:val="14"/>
          <w:szCs w:val="14"/>
          <w:color w:val="auto"/>
        </w:rPr>
        <w:t>7.</w:t>
      </w:r>
      <w:r>
        <w:rPr>
          <w:sz w:val="20"/>
          <w:szCs w:val="20"/>
          <w:color w:val="auto"/>
        </w:rPr>
        <w:tab/>
      </w:r>
      <w:r>
        <w:rPr>
          <w:rFonts w:ascii="Courier New" w:cs="Courier New" w:eastAsia="Courier New" w:hAnsi="Courier New"/>
          <w:sz w:val="14"/>
          <w:szCs w:val="14"/>
          <w:color w:val="auto"/>
        </w:rPr>
        <w:t>Real Estate Status Report</w:t>
      </w:r>
      <w:r>
        <w:rPr>
          <w:sz w:val="20"/>
          <w:szCs w:val="20"/>
          <w:color w:val="auto"/>
        </w:rPr>
        <w:tab/>
      </w:r>
      <w:r>
        <w:rPr>
          <w:rFonts w:ascii="Courier New" w:cs="Courier New" w:eastAsia="Courier New" w:hAnsi="Courier New"/>
          <w:sz w:val="14"/>
          <w:szCs w:val="14"/>
          <w:color w:val="auto"/>
        </w:rPr>
        <w:t>19</w:t>
      </w:r>
    </w:p>
    <w:p>
      <w:pPr>
        <w:spacing w:after="0" w:line="173" w:lineRule="exact"/>
        <w:rPr>
          <w:sz w:val="20"/>
          <w:szCs w:val="20"/>
          <w:color w:val="auto"/>
        </w:rPr>
      </w:pPr>
    </w:p>
    <w:p>
      <w:pPr>
        <w:spacing w:after="0"/>
        <w:tabs>
          <w:tab w:leader="none" w:pos="420" w:val="left"/>
          <w:tab w:leader="dot" w:pos="6620" w:val="left"/>
        </w:tabs>
        <w:rPr>
          <w:sz w:val="20"/>
          <w:szCs w:val="20"/>
          <w:color w:val="auto"/>
        </w:rPr>
      </w:pPr>
      <w:r>
        <w:rPr>
          <w:rFonts w:ascii="Courier New" w:cs="Courier New" w:eastAsia="Courier New" w:hAnsi="Courier New"/>
          <w:sz w:val="14"/>
          <w:szCs w:val="14"/>
          <w:color w:val="auto"/>
        </w:rPr>
        <w:t>8.</w:t>
      </w:r>
      <w:r>
        <w:rPr>
          <w:sz w:val="20"/>
          <w:szCs w:val="20"/>
          <w:color w:val="auto"/>
        </w:rPr>
        <w:tab/>
      </w:r>
      <w:r>
        <w:rPr>
          <w:rFonts w:ascii="Courier New" w:cs="Courier New" w:eastAsia="Courier New" w:hAnsi="Courier New"/>
          <w:sz w:val="14"/>
          <w:szCs w:val="14"/>
          <w:color w:val="auto"/>
        </w:rPr>
        <w:t>Shopping Center / Street Retail Summary</w:t>
      </w:r>
      <w:r>
        <w:rPr>
          <w:sz w:val="20"/>
          <w:szCs w:val="20"/>
          <w:color w:val="auto"/>
        </w:rPr>
        <w:tab/>
      </w:r>
      <w:r>
        <w:rPr>
          <w:rFonts w:ascii="Courier New" w:cs="Courier New" w:eastAsia="Courier New" w:hAnsi="Courier New"/>
          <w:sz w:val="14"/>
          <w:szCs w:val="14"/>
          <w:color w:val="auto"/>
        </w:rPr>
        <w:t>21</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9.</w:t>
      </w:r>
      <w:r>
        <w:rPr>
          <w:sz w:val="20"/>
          <w:szCs w:val="20"/>
          <w:color w:val="auto"/>
        </w:rPr>
        <w:tab/>
      </w:r>
      <w:r>
        <w:rPr>
          <w:rFonts w:ascii="Courier New" w:cs="Courier New" w:eastAsia="Courier New" w:hAnsi="Courier New"/>
          <w:sz w:val="14"/>
          <w:szCs w:val="14"/>
          <w:color w:val="auto"/>
        </w:rPr>
        <w:t>Leasing Summary</w:t>
      </w:r>
    </w:p>
    <w:p>
      <w:pPr>
        <w:spacing w:after="0" w:line="7" w:lineRule="exact"/>
        <w:rPr>
          <w:sz w:val="20"/>
          <w:szCs w:val="20"/>
          <w:color w:val="auto"/>
        </w:rPr>
      </w:pPr>
    </w:p>
    <w:p>
      <w:pPr>
        <w:ind w:left="1040"/>
        <w:spacing w:after="0"/>
        <w:tabs>
          <w:tab w:leader="dot" w:pos="6620" w:val="left"/>
        </w:tabs>
        <w:rPr>
          <w:sz w:val="20"/>
          <w:szCs w:val="20"/>
          <w:color w:val="auto"/>
        </w:rPr>
      </w:pPr>
      <w:r>
        <w:rPr>
          <w:rFonts w:ascii="Courier New" w:cs="Courier New" w:eastAsia="Courier New" w:hAnsi="Courier New"/>
          <w:sz w:val="14"/>
          <w:szCs w:val="14"/>
          <w:color w:val="auto"/>
        </w:rPr>
        <w:t>Retail Leasing Summary - Comparable</w:t>
      </w:r>
      <w:r>
        <w:rPr>
          <w:sz w:val="20"/>
          <w:szCs w:val="20"/>
          <w:color w:val="auto"/>
        </w:rPr>
        <w:tab/>
      </w:r>
      <w:r>
        <w:rPr>
          <w:rFonts w:ascii="Courier New" w:cs="Courier New" w:eastAsia="Courier New" w:hAnsi="Courier New"/>
          <w:sz w:val="14"/>
          <w:szCs w:val="14"/>
          <w:color w:val="auto"/>
        </w:rPr>
        <w:t>22</w:t>
      </w:r>
    </w:p>
    <w:p>
      <w:pPr>
        <w:spacing w:after="0" w:line="7" w:lineRule="exact"/>
        <w:rPr>
          <w:sz w:val="20"/>
          <w:szCs w:val="20"/>
          <w:color w:val="auto"/>
        </w:rPr>
      </w:pPr>
    </w:p>
    <w:p>
      <w:pPr>
        <w:ind w:left="1040"/>
        <w:spacing w:after="0"/>
        <w:tabs>
          <w:tab w:leader="dot" w:pos="6620" w:val="left"/>
        </w:tabs>
        <w:rPr>
          <w:sz w:val="20"/>
          <w:szCs w:val="20"/>
          <w:color w:val="auto"/>
        </w:rPr>
      </w:pPr>
      <w:r>
        <w:rPr>
          <w:rFonts w:ascii="Courier New" w:cs="Courier New" w:eastAsia="Courier New" w:hAnsi="Courier New"/>
          <w:sz w:val="14"/>
          <w:szCs w:val="14"/>
          <w:color w:val="auto"/>
        </w:rPr>
        <w:t>Retail Leasing Summary - Non-comparable</w:t>
      </w:r>
      <w:r>
        <w:rPr>
          <w:sz w:val="20"/>
          <w:szCs w:val="20"/>
          <w:color w:val="auto"/>
        </w:rPr>
        <w:tab/>
      </w:r>
      <w:r>
        <w:rPr>
          <w:rFonts w:ascii="Courier New" w:cs="Courier New" w:eastAsia="Courier New" w:hAnsi="Courier New"/>
          <w:sz w:val="14"/>
          <w:szCs w:val="14"/>
          <w:color w:val="auto"/>
        </w:rPr>
        <w:t>23</w:t>
      </w:r>
    </w:p>
    <w:p>
      <w:pPr>
        <w:spacing w:after="0" w:line="173" w:lineRule="exact"/>
        <w:rPr>
          <w:sz w:val="20"/>
          <w:szCs w:val="20"/>
          <w:color w:val="auto"/>
        </w:rPr>
      </w:pPr>
    </w:p>
    <w:p>
      <w:pPr>
        <w:spacing w:after="0"/>
        <w:tabs>
          <w:tab w:leader="none" w:pos="420" w:val="left"/>
          <w:tab w:leader="dot" w:pos="6620" w:val="left"/>
        </w:tabs>
        <w:rPr>
          <w:sz w:val="20"/>
          <w:szCs w:val="20"/>
          <w:color w:val="auto"/>
        </w:rPr>
      </w:pPr>
      <w:r>
        <w:rPr>
          <w:rFonts w:ascii="Courier New" w:cs="Courier New" w:eastAsia="Courier New" w:hAnsi="Courier New"/>
          <w:sz w:val="14"/>
          <w:szCs w:val="14"/>
          <w:color w:val="auto"/>
        </w:rPr>
        <w:t>10.</w:t>
        <w:tab/>
        <w:t>Lease Expirations</w:t>
      </w:r>
      <w:r>
        <w:rPr>
          <w:sz w:val="20"/>
          <w:szCs w:val="20"/>
          <w:color w:val="auto"/>
        </w:rPr>
        <w:tab/>
      </w:r>
      <w:r>
        <w:rPr>
          <w:rFonts w:ascii="Courier New" w:cs="Courier New" w:eastAsia="Courier New" w:hAnsi="Courier New"/>
          <w:sz w:val="14"/>
          <w:szCs w:val="14"/>
          <w:color w:val="auto"/>
        </w:rPr>
        <w:t>24</w:t>
      </w:r>
    </w:p>
    <w:p>
      <w:pPr>
        <w:spacing w:after="0" w:line="173" w:lineRule="exact"/>
        <w:rPr>
          <w:sz w:val="20"/>
          <w:szCs w:val="20"/>
          <w:color w:val="auto"/>
        </w:rPr>
      </w:pPr>
    </w:p>
    <w:p>
      <w:pPr>
        <w:ind w:left="440" w:hanging="432"/>
        <w:spacing w:after="0"/>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Occupancy Summary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24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Occupancy Summary -</w:t>
            </w:r>
          </w:p>
        </w:tc>
        <w:tc>
          <w:tcPr>
            <w:tcW w:w="37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Overall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360" w:type="dxa"/>
            <w:vAlign w:val="bottom"/>
          </w:tcPr>
          <w:p>
            <w:pPr>
              <w:spacing w:after="0"/>
              <w:rPr>
                <w:sz w:val="14"/>
                <w:szCs w:val="14"/>
                <w:color w:val="auto"/>
              </w:rPr>
            </w:pPr>
          </w:p>
        </w:tc>
        <w:tc>
          <w:tcPr>
            <w:tcW w:w="24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Occupancy Summary -</w:t>
            </w:r>
          </w:p>
        </w:tc>
        <w:tc>
          <w:tcPr>
            <w:tcW w:w="37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Same Center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331"/>
        </w:trPr>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12.</w:t>
            </w:r>
          </w:p>
        </w:tc>
        <w:tc>
          <w:tcPr>
            <w:tcW w:w="1580" w:type="dxa"/>
            <w:vAlign w:val="bottom"/>
          </w:tcPr>
          <w:p>
            <w:pPr>
              <w:ind w:left="80"/>
              <w:spacing w:after="0"/>
              <w:rPr>
                <w:sz w:val="20"/>
                <w:szCs w:val="20"/>
                <w:color w:val="auto"/>
              </w:rPr>
            </w:pPr>
            <w:r>
              <w:rPr>
                <w:rFonts w:ascii="Courier New" w:cs="Courier New" w:eastAsia="Courier New" w:hAnsi="Courier New"/>
                <w:sz w:val="14"/>
                <w:szCs w:val="14"/>
                <w:color w:val="auto"/>
              </w:rPr>
              <w:t>Summary of Top 25</w:t>
            </w:r>
          </w:p>
        </w:tc>
        <w:tc>
          <w:tcPr>
            <w:tcW w:w="45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Tenants - Prospective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331"/>
        </w:trPr>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13.</w:t>
            </w:r>
          </w:p>
        </w:tc>
        <w:tc>
          <w:tcPr>
            <w:tcW w:w="1580" w:type="dxa"/>
            <w:vAlign w:val="bottom"/>
          </w:tcPr>
          <w:p>
            <w:pPr>
              <w:ind w:left="80"/>
              <w:spacing w:after="0"/>
              <w:rPr>
                <w:sz w:val="20"/>
                <w:szCs w:val="20"/>
                <w:color w:val="auto"/>
              </w:rPr>
            </w:pPr>
            <w:r>
              <w:rPr>
                <w:rFonts w:ascii="Courier New" w:cs="Courier New" w:eastAsia="Courier New" w:hAnsi="Courier New"/>
                <w:sz w:val="14"/>
                <w:szCs w:val="14"/>
                <w:color w:val="auto"/>
              </w:rPr>
              <w:t>Glossary of Terms</w:t>
            </w:r>
          </w:p>
        </w:tc>
        <w:tc>
          <w:tcPr>
            <w:tcW w:w="45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497"/>
        </w:trPr>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1626</w:t>
            </w:r>
          </w:p>
        </w:tc>
        <w:tc>
          <w:tcPr>
            <w:tcW w:w="3760" w:type="dxa"/>
            <w:vAlign w:val="bottom"/>
          </w:tcPr>
          <w:p>
            <w:pPr>
              <w:jc w:val="right"/>
              <w:ind w:right="1868"/>
              <w:spacing w:after="0"/>
              <w:rPr>
                <w:sz w:val="20"/>
                <w:szCs w:val="20"/>
                <w:color w:val="auto"/>
              </w:rPr>
            </w:pPr>
            <w:r>
              <w:rPr>
                <w:rFonts w:ascii="Courier New" w:cs="Courier New" w:eastAsia="Courier New" w:hAnsi="Courier New"/>
                <w:sz w:val="14"/>
                <w:szCs w:val="14"/>
                <w:color w:val="auto"/>
              </w:rPr>
              <w:t>East Jefferson Street</w:t>
            </w:r>
          </w:p>
        </w:tc>
        <w:tc>
          <w:tcPr>
            <w:tcW w:w="300" w:type="dxa"/>
            <w:vAlign w:val="bottom"/>
          </w:tcPr>
          <w:p>
            <w:pPr>
              <w:spacing w:after="0"/>
              <w:rPr>
                <w:sz w:val="24"/>
                <w:szCs w:val="24"/>
                <w:color w:val="auto"/>
              </w:rPr>
            </w:pPr>
          </w:p>
        </w:tc>
      </w:tr>
      <w:tr>
        <w:trPr>
          <w:trHeight w:val="166"/>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580" w:type="dxa"/>
            <w:vAlign w:val="bottom"/>
            <w:gridSpan w:val="2"/>
          </w:tcPr>
          <w:p>
            <w:pPr>
              <w:jc w:val="right"/>
              <w:ind w:right="1708"/>
              <w:spacing w:after="0"/>
              <w:rPr>
                <w:sz w:val="20"/>
                <w:szCs w:val="20"/>
                <w:color w:val="auto"/>
              </w:rPr>
            </w:pPr>
            <w:r>
              <w:rPr>
                <w:rFonts w:ascii="Courier New" w:cs="Courier New" w:eastAsia="Courier New" w:hAnsi="Courier New"/>
                <w:sz w:val="14"/>
                <w:szCs w:val="14"/>
                <w:color w:val="auto"/>
              </w:rPr>
              <w:t>Rockville, Maryland 20852-4041</w:t>
            </w:r>
          </w:p>
        </w:tc>
        <w:tc>
          <w:tcPr>
            <w:tcW w:w="300" w:type="dxa"/>
            <w:vAlign w:val="bottom"/>
          </w:tcPr>
          <w:p>
            <w:pPr>
              <w:spacing w:after="0"/>
              <w:rPr>
                <w:sz w:val="14"/>
                <w:szCs w:val="14"/>
                <w:color w:val="auto"/>
              </w:rPr>
            </w:pPr>
          </w:p>
        </w:tc>
      </w:tr>
      <w:tr>
        <w:trPr>
          <w:trHeight w:val="166"/>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760" w:type="dxa"/>
            <w:vAlign w:val="bottom"/>
          </w:tcPr>
          <w:p>
            <w:pPr>
              <w:jc w:val="right"/>
              <w:ind w:right="2468"/>
              <w:spacing w:after="0"/>
              <w:rPr>
                <w:sz w:val="20"/>
                <w:szCs w:val="20"/>
                <w:color w:val="auto"/>
              </w:rPr>
            </w:pPr>
            <w:r>
              <w:rPr>
                <w:rFonts w:ascii="Courier New" w:cs="Courier New" w:eastAsia="Courier New" w:hAnsi="Courier New"/>
                <w:sz w:val="14"/>
                <w:szCs w:val="14"/>
                <w:color w:val="auto"/>
              </w:rPr>
              <w:t>301/998-8100</w:t>
            </w:r>
          </w:p>
        </w:tc>
        <w:tc>
          <w:tcPr>
            <w:tcW w:w="3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Certain matters discussed within this Supplemental Information may be deemed to be forward looking statements within the meaning of the federal securities laws. Although Federal Realty believes the expectations reflected in the forward looking statements are based on reasonable assumptions, it can give no assurance that its expectations will be attained. The factors that may impact these expectations include: (a) risks that growth will be limited if additional capital cannot be obtained; (b) risks of financing, such as the ability to consummate additional financings or obtain replacement financing on terms which are acceptable, ability to meet existing financial covenants and the possibility of increases in interest rates that would result in increased interest expense;</w:t>
      </w:r>
    </w:p>
    <w:p>
      <w:pPr>
        <w:spacing w:after="0" w:line="4" w:lineRule="exact"/>
        <w:rPr>
          <w:sz w:val="20"/>
          <w:szCs w:val="20"/>
          <w:color w:val="auto"/>
        </w:rPr>
      </w:pPr>
    </w:p>
    <w:p>
      <w:pPr>
        <w:ind w:left="360" w:hanging="352"/>
        <w:spacing w:after="0"/>
        <w:tabs>
          <w:tab w:leader="none" w:pos="3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risks normally associated with the real estate industry, including risks</w:t>
      </w:r>
    </w:p>
    <w:p>
      <w:pPr>
        <w:spacing w:after="0" w:line="7" w:lineRule="exact"/>
        <w:rPr>
          <w:rFonts w:ascii="Courier New" w:cs="Courier New" w:eastAsia="Courier New" w:hAnsi="Courier New"/>
          <w:sz w:val="14"/>
          <w:szCs w:val="14"/>
          <w:color w:val="auto"/>
        </w:rPr>
      </w:pPr>
    </w:p>
    <w:p>
      <w:pPr>
        <w:ind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that tenants will not pay rent or that we may be unable to renew leases or relet space at favorable rents as leases expire, that new acquisitions or development, construction and renovation projects, including Santana Row, may fail to perform as expected, that competition for acquisitions could result in increased prices, that there may be environmental risks at our properties, and, because real estate is illiquid, that we may not be able to sell properties when appropriate;</w:t>
      </w:r>
    </w:p>
    <w:p>
      <w:pPr>
        <w:spacing w:after="0" w:line="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risks related to our status as a REIT for federal income tax purposes, such</w:t>
      </w:r>
    </w:p>
    <w:p>
      <w:pPr>
        <w:sectPr>
          <w:pgSz w:w="11900" w:h="16899" w:orient="portrait"/>
          <w:cols w:equalWidth="0" w:num="1">
            <w:col w:w="10239"/>
          </w:cols>
          <w:pgMar w:left="220" w:top="473" w:right="1440" w:bottom="0" w:gutter="0" w:footer="0" w:header="0"/>
        </w:sectPr>
      </w:pPr>
    </w:p>
    <w:bookmarkStart w:id="3" w:name="page4"/>
    <w:bookmarkEnd w:id="3"/>
    <w:p>
      <w:pPr>
        <w:ind w:right="3339"/>
        <w:spacing w:after="0" w:line="251" w:lineRule="auto"/>
        <w:rPr>
          <w:sz w:val="20"/>
          <w:szCs w:val="20"/>
          <w:color w:val="auto"/>
        </w:rPr>
      </w:pPr>
      <w:r>
        <w:rPr>
          <w:rFonts w:ascii="Courier New" w:cs="Courier New" w:eastAsia="Courier New" w:hAnsi="Courier New"/>
          <w:sz w:val="14"/>
          <w:szCs w:val="14"/>
          <w:color w:val="auto"/>
        </w:rPr>
        <w:t>as the existence of complex regulations relating to our status as a REIT, the effect of future changes in REIT requirements as a result of new legislation and the adverse consequences of the failure to qualify as a REIT; and (e) those risks detailed from time to time in our SEC reports, including our annual report on Form 10-K and our quarterly reports on Form 10-Q. Federal Realty assumes no obligation to update or supplement forward-looking statements that become untrue because of subsequent events.</w:t>
      </w:r>
    </w:p>
    <w:p>
      <w:pPr>
        <w:sectPr>
          <w:pgSz w:w="11900" w:h="16838" w:orient="portrait"/>
          <w:cols w:equalWidth="0" w:num="1">
            <w:col w:w="10239"/>
          </w:cols>
          <w:pgMar w:left="220" w:top="141"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FOR IMMEDIATE RELEASE</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Investor Inquiries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Media Inquiries</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4120" w:space="720"/>
            <w:col w:w="539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Andrew Blocher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Investor Relations &amp; Capital Markets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301/998-8166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ablocher@federalrealty.com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Kristine Warner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Corporate Communications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301/998-8212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kwarner@federalrealty.com</w:t>
      </w:r>
    </w:p>
    <w:p>
      <w:pPr>
        <w:spacing w:after="0" w:line="200" w:lineRule="exact"/>
        <w:rPr>
          <w:sz w:val="20"/>
          <w:szCs w:val="20"/>
          <w:color w:val="auto"/>
        </w:rPr>
      </w:pPr>
    </w:p>
    <w:p>
      <w:pPr>
        <w:sectPr>
          <w:pgSz w:w="11900" w:h="16838" w:orient="portrait"/>
          <w:cols w:equalWidth="0" w:num="2">
            <w:col w:w="4480" w:space="360"/>
            <w:col w:w="5399"/>
          </w:cols>
          <w:pgMar w:left="220" w:top="616" w:right="1440" w:bottom="1440" w:gutter="0" w:footer="0" w:header="0"/>
          <w:type w:val="continuous"/>
        </w:sectPr>
      </w:pPr>
    </w:p>
    <w:p>
      <w:pPr>
        <w:spacing w:after="0" w:line="1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FEDERAL REALTY INVESTMENT TRUST ANNOUNCES FOURTH QUARTER</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AND YEAR-END 2002 OPERATING RESULTS</w:t>
      </w:r>
    </w:p>
    <w:p>
      <w:pPr>
        <w:spacing w:after="0" w:line="17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ROCKVILLE, MD (February 12, 2003) - Federal Realty Investment Trust (NYSE:FRT) today reported operating results for its fourth quarter and year ended December 31, 2002.</w:t>
      </w:r>
    </w:p>
    <w:p>
      <w:pPr>
        <w:spacing w:after="0" w:line="163" w:lineRule="exact"/>
        <w:rPr>
          <w:sz w:val="20"/>
          <w:szCs w:val="20"/>
          <w:color w:val="auto"/>
        </w:rPr>
      </w:pPr>
    </w:p>
    <w:p>
      <w:pPr>
        <w:ind w:left="860" w:hanging="421"/>
        <w:spacing w:after="0"/>
        <w:tabs>
          <w:tab w:leader="none" w:pos="8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Funds from operations (FFO), excluding charges associated with the</w:t>
      </w:r>
    </w:p>
    <w:p>
      <w:pPr>
        <w:spacing w:after="0" w:line="7" w:lineRule="exact"/>
        <w:rPr>
          <w:sz w:val="20"/>
          <w:szCs w:val="20"/>
          <w:color w:val="auto"/>
        </w:rPr>
      </w:pPr>
    </w:p>
    <w:p>
      <w:pPr>
        <w:ind w:left="860" w:right="3779"/>
        <w:spacing w:after="0" w:line="250" w:lineRule="auto"/>
        <w:rPr>
          <w:sz w:val="20"/>
          <w:szCs w:val="20"/>
          <w:color w:val="auto"/>
        </w:rPr>
      </w:pPr>
      <w:r>
        <w:rPr>
          <w:rFonts w:ascii="Courier New" w:cs="Courier New" w:eastAsia="Courier New" w:hAnsi="Courier New"/>
          <w:sz w:val="14"/>
          <w:szCs w:val="14"/>
          <w:color w:val="auto"/>
        </w:rPr>
        <w:t>accelerated executive transition, was $0.63 per diluted share for the fourth quarter</w:t>
      </w:r>
    </w:p>
    <w:p>
      <w:pPr>
        <w:spacing w:after="0" w:line="1" w:lineRule="exact"/>
        <w:rPr>
          <w:sz w:val="20"/>
          <w:szCs w:val="20"/>
          <w:color w:val="auto"/>
        </w:rPr>
      </w:pPr>
    </w:p>
    <w:p>
      <w:pPr>
        <w:ind w:left="860" w:right="3599" w:hanging="421"/>
        <w:spacing w:after="0" w:line="250" w:lineRule="auto"/>
        <w:tabs>
          <w:tab w:leader="none" w:pos="8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Same-center net operating income, excluding the impact of redevelopments and expansions, increased 3.7% versus fourth quarter 2001</w:t>
      </w:r>
    </w:p>
    <w:p>
      <w:pPr>
        <w:spacing w:after="0" w:line="1" w:lineRule="exact"/>
        <w:rPr>
          <w:sz w:val="20"/>
          <w:szCs w:val="20"/>
          <w:color w:val="auto"/>
        </w:rPr>
      </w:pPr>
    </w:p>
    <w:p>
      <w:pPr>
        <w:ind w:left="860" w:right="3339" w:hanging="421"/>
        <w:spacing w:after="0" w:line="250" w:lineRule="auto"/>
        <w:tabs>
          <w:tab w:leader="none" w:pos="8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rent increases on lease rollovers were 12% for the fourth quarter and 13% for the year on over 265,000 and approximately 1.3 million square feet of retail space, respectively</w:t>
      </w:r>
    </w:p>
    <w:p>
      <w:pPr>
        <w:spacing w:after="0" w:line="1" w:lineRule="exact"/>
        <w:rPr>
          <w:sz w:val="20"/>
          <w:szCs w:val="20"/>
          <w:color w:val="auto"/>
        </w:rPr>
      </w:pPr>
    </w:p>
    <w:p>
      <w:pPr>
        <w:ind w:right="3679" w:firstLine="439"/>
        <w:spacing w:after="0" w:line="501" w:lineRule="auto"/>
        <w:tabs>
          <w:tab w:leader="none" w:pos="861"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FFO per diluted share guidance for 2003 remains unchanged at $2.60 Financial Results</w:t>
      </w:r>
    </w:p>
    <w:p>
      <w:pPr>
        <w:ind w:right="3419"/>
        <w:spacing w:after="0" w:line="251" w:lineRule="auto"/>
        <w:rPr>
          <w:sz w:val="20"/>
          <w:szCs w:val="20"/>
          <w:color w:val="auto"/>
        </w:rPr>
      </w:pPr>
      <w:r>
        <w:rPr>
          <w:rFonts w:ascii="Courier New" w:cs="Courier New" w:eastAsia="Courier New" w:hAnsi="Courier New"/>
          <w:sz w:val="14"/>
          <w:szCs w:val="14"/>
          <w:color w:val="auto"/>
        </w:rPr>
        <w:t>Federal Realty reported FFO of $14.0 million for the fourth quarter of 2002, or $0.32 per diluted share. This includes a $0.31 charge recognized as a result of the accelerated executive transition announced on December 20, 2002. Excluding this charge, the Trust would have reported FFO of $27.8 million, or $0.63 per diluted share.</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For the year ended December 31, 2002, Federal Realty reported FFO of $90.5 million, or $2.11 per diluted share. During 2002, the Trust recognized $22.3 million of charges relating to the change in business strategy and associated management changes announced in March, and the accelerated executive transition announced in December. Excluding these charges, Federal Realty would have reported FFO of $112.8 million, or $2.63 per diluted share.</w:t>
      </w:r>
    </w:p>
    <w:p>
      <w:pPr>
        <w:sectPr>
          <w:pgSz w:w="11900" w:h="16838" w:orient="portrait"/>
          <w:cols w:equalWidth="0" w:num="1">
            <w:col w:w="10239"/>
          </w:cols>
          <w:pgMar w:left="220" w:top="616" w:right="1440"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FOURTH QUARTER AND YEAR-END 2002 OPERATING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12,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w:t>
      </w:r>
    </w:p>
    <w:p>
      <w:pPr>
        <w:spacing w:after="0" w:line="173" w:lineRule="exact"/>
        <w:rPr>
          <w:sz w:val="20"/>
          <w:szCs w:val="20"/>
          <w:color w:val="auto"/>
        </w:rPr>
      </w:pPr>
    </w:p>
    <w:p>
      <w:pPr>
        <w:ind w:right="180"/>
        <w:spacing w:after="0" w:line="251" w:lineRule="auto"/>
        <w:rPr>
          <w:sz w:val="20"/>
          <w:szCs w:val="20"/>
          <w:color w:val="auto"/>
        </w:rPr>
      </w:pPr>
      <w:r>
        <w:rPr>
          <w:rFonts w:ascii="Courier New" w:cs="Courier New" w:eastAsia="Courier New" w:hAnsi="Courier New"/>
          <w:sz w:val="14"/>
          <w:szCs w:val="14"/>
          <w:color w:val="auto"/>
        </w:rPr>
        <w:t>On a same-center basis, net operating income, excluding the impact of properties redeveloped or expanded, increased 3.7% versus fourth quarter 2001 and 4.4% versus full-year 2001. Although same-center net operating income increased, FFO declined on a year-over-year basis due to pre-opening expenses and initial operations at Santana Row.</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FRT vs. REIT Industry Same-Center NOI Growth Over Last 6 Quarters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14"/>
                <w:szCs w:val="14"/>
                <w:color w:val="auto"/>
              </w:rPr>
            </w:pPr>
          </w:p>
        </w:tc>
        <w:tc>
          <w:tcPr>
            <w:tcW w:w="1600" w:type="dxa"/>
            <w:vAlign w:val="bottom"/>
          </w:tcPr>
          <w:p>
            <w:pPr>
              <w:ind w:left="920"/>
              <w:spacing w:after="0"/>
              <w:rPr>
                <w:sz w:val="20"/>
                <w:szCs w:val="20"/>
                <w:color w:val="auto"/>
              </w:rPr>
            </w:pPr>
            <w:r>
              <w:rPr>
                <w:rFonts w:ascii="Courier New" w:cs="Courier New" w:eastAsia="Courier New" w:hAnsi="Courier New"/>
                <w:sz w:val="14"/>
                <w:szCs w:val="14"/>
                <w:color w:val="auto"/>
              </w:rPr>
              <w:t>3Q01</w:t>
            </w: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4Q01</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1Q02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2Q02</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FRT (1)</w:t>
            </w:r>
          </w:p>
        </w:tc>
        <w:tc>
          <w:tcPr>
            <w:tcW w:w="1600" w:type="dxa"/>
            <w:vAlign w:val="bottom"/>
          </w:tcPr>
          <w:p>
            <w:pPr>
              <w:ind w:left="920"/>
              <w:spacing w:after="0"/>
              <w:rPr>
                <w:sz w:val="20"/>
                <w:szCs w:val="20"/>
                <w:color w:val="auto"/>
              </w:rPr>
            </w:pPr>
            <w:r>
              <w:rPr>
                <w:rFonts w:ascii="Courier New" w:cs="Courier New" w:eastAsia="Courier New" w:hAnsi="Courier New"/>
                <w:sz w:val="14"/>
                <w:szCs w:val="14"/>
                <w:color w:val="auto"/>
              </w:rPr>
              <w:t>6.5%</w:t>
            </w: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6.3%</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6.2%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Peer Group Average (2)</w:t>
            </w:r>
          </w:p>
        </w:tc>
        <w:tc>
          <w:tcPr>
            <w:tcW w:w="1600" w:type="dxa"/>
            <w:vAlign w:val="bottom"/>
          </w:tcPr>
          <w:p>
            <w:pPr>
              <w:ind w:left="920"/>
              <w:spacing w:after="0"/>
              <w:rPr>
                <w:sz w:val="20"/>
                <w:szCs w:val="20"/>
                <w:color w:val="auto"/>
              </w:rPr>
            </w:pPr>
            <w:r>
              <w:rPr>
                <w:rFonts w:ascii="Courier New" w:cs="Courier New" w:eastAsia="Courier New" w:hAnsi="Courier New"/>
                <w:sz w:val="14"/>
                <w:szCs w:val="14"/>
                <w:color w:val="auto"/>
              </w:rPr>
              <w:t>2.4%</w:t>
            </w: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1.5%</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0.3%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r>
    </w:tbl>
    <w:p>
      <w:pPr>
        <w:spacing w:after="0" w:line="335" w:lineRule="exact"/>
        <w:rPr>
          <w:sz w:val="20"/>
          <w:szCs w:val="20"/>
          <w:color w:val="auto"/>
        </w:rPr>
      </w:pPr>
    </w:p>
    <w:p>
      <w:pPr>
        <w:ind w:right="360" w:firstLine="8"/>
        <w:spacing w:after="0" w:line="250" w:lineRule="auto"/>
        <w:tabs>
          <w:tab w:leader="none" w:pos="34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FRT same-center NOI growth excludes properties where redevelopment capital was invested. If these properties were included, same-center NOI growth would have equaled or exceeded the growth shown in all periods.</w:t>
      </w:r>
    </w:p>
    <w:p>
      <w:pPr>
        <w:spacing w:after="0" w:line="1" w:lineRule="exact"/>
        <w:rPr>
          <w:rFonts w:ascii="Courier New" w:cs="Courier New" w:eastAsia="Courier New" w:hAnsi="Courier New"/>
          <w:sz w:val="14"/>
          <w:szCs w:val="14"/>
          <w:color w:val="auto"/>
        </w:rPr>
      </w:pPr>
    </w:p>
    <w:p>
      <w:pPr>
        <w:ind w:right="260" w:firstLine="8"/>
        <w:spacing w:after="0" w:line="255" w:lineRule="auto"/>
        <w:tabs>
          <w:tab w:leader="none" w:pos="34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Peer Group includes KIM, REG, NXL, WRI and PNP. Complete 4Q02 data for Peer Group not yet available.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Source: Morgan Stanley Research</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Portfolio Results</w:t>
      </w:r>
    </w:p>
    <w:p>
      <w:pPr>
        <w:spacing w:after="0" w:line="173" w:lineRule="exact"/>
        <w:rPr>
          <w:sz w:val="20"/>
          <w:szCs w:val="20"/>
          <w:color w:val="auto"/>
        </w:rPr>
      </w:pPr>
    </w:p>
    <w:p>
      <w:pPr>
        <w:ind w:right="260"/>
        <w:spacing w:after="0" w:line="252" w:lineRule="auto"/>
        <w:rPr>
          <w:sz w:val="20"/>
          <w:szCs w:val="20"/>
          <w:color w:val="auto"/>
        </w:rPr>
      </w:pPr>
      <w:r>
        <w:rPr>
          <w:rFonts w:ascii="Courier New" w:cs="Courier New" w:eastAsia="Courier New" w:hAnsi="Courier New"/>
          <w:sz w:val="14"/>
          <w:szCs w:val="14"/>
          <w:color w:val="auto"/>
        </w:rPr>
        <w:t>At December 31, 2002, overall occupancy, excluding Santana Row, remained strong at 95.5%, compared to 95.6% on December 31, 2001 and 95.5% on September 30, 2002. Including the 444,000 square feet of retail space in Phase I of Santana Row, occupancy on December 31, 2002 was 94.7%.</w:t>
      </w:r>
    </w:p>
    <w:p>
      <w:pPr>
        <w:spacing w:after="0" w:line="162" w:lineRule="exact"/>
        <w:rPr>
          <w:sz w:val="20"/>
          <w:szCs w:val="20"/>
          <w:color w:val="auto"/>
        </w:rPr>
      </w:pPr>
    </w:p>
    <w:p>
      <w:pPr>
        <w:jc w:val="both"/>
        <w:ind w:right="260"/>
        <w:spacing w:after="0" w:line="252" w:lineRule="auto"/>
        <w:rPr>
          <w:sz w:val="20"/>
          <w:szCs w:val="20"/>
          <w:color w:val="auto"/>
        </w:rPr>
      </w:pPr>
      <w:r>
        <w:rPr>
          <w:rFonts w:ascii="Courier New" w:cs="Courier New" w:eastAsia="Courier New" w:hAnsi="Courier New"/>
          <w:sz w:val="14"/>
          <w:szCs w:val="14"/>
          <w:color w:val="auto"/>
        </w:rPr>
        <w:t>During the fourth quarter, the Trust signed leases for more than 310,000 square feet of retail space. On a comparable space basis (i.e. spaces for which there was a former tenant), the Trust leased over 265,000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0"/>
        <w:spacing w:after="0"/>
        <w:tabs>
          <w:tab w:leader="none" w:pos="840" w:val="left"/>
        </w:tabs>
        <w:rPr>
          <w:sz w:val="20"/>
          <w:szCs w:val="20"/>
          <w:color w:val="auto"/>
        </w:rPr>
      </w:pPr>
      <w:r>
        <w:rPr>
          <w:rFonts w:ascii="Courier New" w:cs="Courier New" w:eastAsia="Courier New" w:hAnsi="Courier New"/>
          <w:sz w:val="14"/>
          <w:szCs w:val="14"/>
          <w:color w:val="auto"/>
        </w:rPr>
        <w:t>3Q02</w:t>
      </w:r>
      <w:r>
        <w:rPr>
          <w:sz w:val="20"/>
          <w:szCs w:val="20"/>
          <w:color w:val="auto"/>
        </w:rPr>
        <w:tab/>
      </w:r>
      <w:r>
        <w:rPr>
          <w:rFonts w:ascii="Courier New" w:cs="Courier New" w:eastAsia="Courier New" w:hAnsi="Courier New"/>
          <w:sz w:val="14"/>
          <w:szCs w:val="14"/>
          <w:color w:val="auto"/>
        </w:rPr>
        <w:t>4Q02</w:t>
      </w:r>
    </w:p>
    <w:p>
      <w:pPr>
        <w:spacing w:after="0" w:line="173" w:lineRule="exact"/>
        <w:rPr>
          <w:sz w:val="20"/>
          <w:szCs w:val="20"/>
          <w:color w:val="auto"/>
        </w:rPr>
      </w:pPr>
    </w:p>
    <w:p>
      <w:pPr>
        <w:ind w:left="80"/>
        <w:spacing w:after="0"/>
        <w:tabs>
          <w:tab w:leader="none" w:pos="840" w:val="left"/>
        </w:tabs>
        <w:rPr>
          <w:sz w:val="20"/>
          <w:szCs w:val="20"/>
          <w:color w:val="auto"/>
        </w:rPr>
      </w:pPr>
      <w:r>
        <w:rPr>
          <w:rFonts w:ascii="Courier New" w:cs="Courier New" w:eastAsia="Courier New" w:hAnsi="Courier New"/>
          <w:sz w:val="14"/>
          <w:szCs w:val="14"/>
          <w:color w:val="auto"/>
        </w:rPr>
        <w:t>4.0%</w:t>
      </w:r>
      <w:r>
        <w:rPr>
          <w:sz w:val="20"/>
          <w:szCs w:val="20"/>
          <w:color w:val="auto"/>
        </w:rPr>
        <w:tab/>
      </w:r>
      <w:r>
        <w:rPr>
          <w:rFonts w:ascii="Courier New" w:cs="Courier New" w:eastAsia="Courier New" w:hAnsi="Courier New"/>
          <w:sz w:val="14"/>
          <w:szCs w:val="14"/>
          <w:color w:val="auto"/>
        </w:rPr>
        <w:t>3.7%</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-0.4%</w:t>
      </w:r>
      <w:r>
        <w:rPr>
          <w:sz w:val="20"/>
          <w:szCs w:val="20"/>
          <w:color w:val="auto"/>
        </w:rPr>
        <w:tab/>
      </w:r>
      <w:r>
        <w:rPr>
          <w:rFonts w:ascii="Courier New" w:cs="Courier New" w:eastAsia="Courier New" w:hAnsi="Courier New"/>
          <w:sz w:val="14"/>
          <w:szCs w:val="14"/>
          <w:color w:val="auto"/>
        </w:rPr>
        <w:t>n/a</w:t>
      </w:r>
    </w:p>
    <w:p>
      <w:pPr>
        <w:sectPr>
          <w:pgSz w:w="11900" w:h="16838" w:orient="portrait"/>
          <w:cols w:equalWidth="0" w:num="2">
            <w:col w:w="7080" w:space="600"/>
            <w:col w:w="2559"/>
          </w:cols>
          <w:pgMar w:left="220" w:top="616"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FOURTH QUARTER AND YEAR-END 2002 OPERATING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12,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3</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square feet at an average cash increase in rent per square foot of 12%. On a cash-basis, the weighted-average minimum rent on this space for the first year of the new lease was $20.92 per square foot compared to the previous weighted-average rent of $18.69 per square foot. The previous weighted-average rent is calculated by including both minimum rent and percentage rent actually paid during the last year of the lease term for the re-leased space. Rent increases on the almost 1.3 million square feet of comparable space leased during 2002 averaged 13.0% on a cash basis, using the same methodology.</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"We've tackled some challenging issues in 2002, and without question have emerged a stronger company," stated Donald C. Wood, Federal Realty's president and chief executive officer. "Our balance sheet is stronger compared to a year ago and Santana Row is open, both of which mitigate risk in this difficult economic climate."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Other Quarterly Activities and Recent Developments</w:t>
      </w:r>
    </w:p>
    <w:p>
      <w:pPr>
        <w:spacing w:after="0" w:line="173" w:lineRule="exact"/>
        <w:rPr>
          <w:sz w:val="20"/>
          <w:szCs w:val="20"/>
          <w:color w:val="auto"/>
        </w:rPr>
      </w:pPr>
    </w:p>
    <w:p>
      <w:pPr>
        <w:ind w:left="440" w:right="3259" w:hanging="430"/>
        <w:spacing w:after="0" w:line="251" w:lineRule="auto"/>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On February 7, 2003, the Trust announced plans for Phase II of Santana Row, which includes 84,000 square feet of retail space on two pad sites and 275 additional parking spaces. 95% of the retail space has been pre-leased to Best Buy and The Container Store, and Federal Realty expects an approximate 16% unleveraged return on its $27 million cost.</w:t>
      </w:r>
    </w:p>
    <w:p>
      <w:pPr>
        <w:spacing w:after="0" w:line="165" w:lineRule="exact"/>
        <w:rPr>
          <w:sz w:val="20"/>
          <w:szCs w:val="20"/>
          <w:color w:val="auto"/>
        </w:rPr>
      </w:pPr>
    </w:p>
    <w:p>
      <w:pPr>
        <w:ind w:left="440" w:right="3339" w:hanging="430"/>
        <w:spacing w:after="0" w:line="251" w:lineRule="auto"/>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On January 15, 2003, Federal Realty announced that three of its five Kmart locations were on the list of 326 stores that Kmart intends to close. The three properties potentially impacted by the announcement are in Queens, New York, Flourtown, Pennsylvania and Leesburg, Virginia. Details of the terms of these leases are contained in the January 15, 2003 Press Release.</w:t>
      </w:r>
    </w:p>
    <w:p>
      <w:pPr>
        <w:spacing w:after="0" w:line="165" w:lineRule="exact"/>
        <w:rPr>
          <w:sz w:val="20"/>
          <w:szCs w:val="20"/>
          <w:color w:val="auto"/>
        </w:rPr>
      </w:pPr>
    </w:p>
    <w:p>
      <w:pPr>
        <w:ind w:left="440" w:right="3339" w:hanging="430"/>
        <w:spacing w:after="0" w:line="252" w:lineRule="auto"/>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On January 9, 2003, the Trust announced the opening of a new 62,000 square foot Giant Food and Pharmacy at Bethesda Row. Federal Realty invested $3.6 million in this, the fifth phase of Bethesda Row, and expects an approximately 14% cash return on cost.</w:t>
      </w:r>
    </w:p>
    <w:p>
      <w:pPr>
        <w:spacing w:after="0" w:line="162" w:lineRule="exact"/>
        <w:rPr>
          <w:sz w:val="20"/>
          <w:szCs w:val="20"/>
          <w:color w:val="auto"/>
        </w:rPr>
      </w:pPr>
    </w:p>
    <w:p>
      <w:pPr>
        <w:ind w:left="440" w:right="3259" w:hanging="430"/>
        <w:spacing w:after="0" w:line="251" w:lineRule="auto"/>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On December 20, 2002, Federal Realty announced the resignation of Steven J. Guttman as Trustee, chief executive officer and chairman of the Board of Trustees effective January 1, 2003. Donald Wood, the Trust's then president and chief operating officer, was named chief executive officer and a member of the Board of Trustees. Mark Ordan, a member of the Board of Trustees since 1996, was named non-executive chairman of the board.</w:t>
      </w:r>
    </w:p>
    <w:p>
      <w:pPr>
        <w:sectPr>
          <w:pgSz w:w="11900" w:h="16838" w:orient="portrait"/>
          <w:cols w:equalWidth="0" w:num="1">
            <w:col w:w="10239"/>
          </w:cols>
          <w:pgMar w:left="220" w:top="616"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FOURTH QUARTER AND YEAR-END 2002 OPERATING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12,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4</w:t>
      </w:r>
    </w:p>
    <w:p>
      <w:pPr>
        <w:spacing w:after="0" w:line="173" w:lineRule="exact"/>
        <w:rPr>
          <w:sz w:val="20"/>
          <w:szCs w:val="20"/>
          <w:color w:val="auto"/>
        </w:rPr>
      </w:pPr>
    </w:p>
    <w:p>
      <w:pPr>
        <w:ind w:left="440" w:right="3419" w:hanging="430"/>
        <w:spacing w:after="0" w:line="251" w:lineRule="auto"/>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On November 19, 2002, Federal Realty issued $150 million of senior unsecured notes, rated Baa2 and BBB by Moody's and Standard and Poor's, respectively. The notes yielded 6.181% to investors, and proceeds from the issuance, along with fire insurance proceeds previously received by the Trust, were utilized to retire the Santana Row construction loan.</w:t>
      </w:r>
    </w:p>
    <w:p>
      <w:pPr>
        <w:spacing w:after="0" w:line="165" w:lineRule="exact"/>
        <w:rPr>
          <w:sz w:val="20"/>
          <w:szCs w:val="20"/>
          <w:color w:val="auto"/>
        </w:rPr>
      </w:pPr>
    </w:p>
    <w:p>
      <w:pPr>
        <w:ind w:left="440" w:right="3339" w:hanging="430"/>
        <w:spacing w:after="0" w:line="252" w:lineRule="auto"/>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On November 7, 2002, Federal Realty announced the successful opening of Santana Row, the Trust's mixed-use community in San Jose, California. Phase I of Santana Row includes 444,000 square feet of retail, 255 residential units and a 213 room boutique hotel.</w:t>
      </w:r>
    </w:p>
    <w:p>
      <w:pPr>
        <w:spacing w:after="0" w:line="162" w:lineRule="exact"/>
        <w:rPr>
          <w:sz w:val="20"/>
          <w:szCs w:val="20"/>
          <w:color w:val="auto"/>
        </w:rPr>
      </w:pPr>
    </w:p>
    <w:p>
      <w:pPr>
        <w:ind w:left="440" w:right="3339" w:hanging="430"/>
        <w:spacing w:after="0" w:line="251" w:lineRule="auto"/>
        <w:tabs>
          <w:tab w:leader="none" w:pos="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In October 2002, Standard &amp; Poor's reaffirmed the Trust's BBB corporate credit rating and removed the Trust from credit watch. In addition, Moody's Investor Service reaffirmed its Baa2 senior unsecured debt ratings for the Trust and changed its rating outlook to negative, from stable, as a result of the impact of property loss and cash flow disruption caused by the August 19 fire at Santana Row.</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Conference Call Information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Federal Realty's management team will present a more in depth discussion of the Trust's operating performance on its fourth quarter earnings conference call, which is scheduled for Thursday, February 13, 2003 at 11:00 A.M. Eastern Time. To participate, please call (888) 560-8502 five to ten minutes prior to the start time and use the Passcode EARNINGS (required). The conference leader is Andrew Blocher. Federal Realty will also provide an online Web Simulcast on the company's web site, www.federalrealty.com, which will remain available for 14 days following the conference call. A telephone recording of the call will be available for 14 days by dialing (888) 568-0348.</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Federal Realty Investment Trust is an equity real estate investment trust specializing in the ownership, management, development and re-development of shopping centers and street retail properties. Federal Realty's portfolio contains over 15 million square feet located in major metropolitan markets across the United States. The operating portfolio is currently approximately 95% occupied by over 2,000 national, regional and local retailers with no single tenant accounting for more than 2.5% of rental revenue. Federal</w:t>
      </w:r>
    </w:p>
    <w:p>
      <w:pPr>
        <w:sectPr>
          <w:pgSz w:w="11900" w:h="16838" w:orient="portrait"/>
          <w:cols w:equalWidth="0" w:num="1">
            <w:col w:w="10239"/>
          </w:cols>
          <w:pgMar w:left="220" w:top="616"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FOURTH QUARTER AND YEAR-END 2002 OPERATING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12,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5</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Realty has paid quarterly dividends to its shareholders continuously since its founding in 1962, and has increased its dividend rate for 35 consecutive years, the longest consecutive record in the REIT industry. Shares of Federal Realty are traded on the New York Stock Exchange under the symbol FRT. Additional information about Federal Realty can be found on the Internet at www.federalrealty.com.</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Safe Harbor Language</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Certain matters discussed within this press release may be deemed to be forward looking statements within the meaning of the federal securities laws. Although Federal Realty believes the expectations reflected in the forward looking statements are based on reasonable assumptions, it can give no assurance that its expectations will be attained. The factors that may impact these expectations include:</w:t>
      </w:r>
    </w:p>
    <w:p>
      <w:pPr>
        <w:spacing w:after="0" w:line="164" w:lineRule="exact"/>
        <w:rPr>
          <w:sz w:val="20"/>
          <w:szCs w:val="20"/>
          <w:color w:val="auto"/>
        </w:rPr>
      </w:pPr>
    </w:p>
    <w:p>
      <w:pPr>
        <w:ind w:left="860" w:right="3519" w:hanging="421"/>
        <w:spacing w:after="0" w:line="250" w:lineRule="auto"/>
        <w:tabs>
          <w:tab w:leader="none" w:pos="8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risks that our growth will be limited if we cannot obtain additional capital;</w:t>
      </w:r>
    </w:p>
    <w:p>
      <w:pPr>
        <w:spacing w:after="0" w:line="1" w:lineRule="exact"/>
        <w:rPr>
          <w:sz w:val="20"/>
          <w:szCs w:val="20"/>
          <w:color w:val="auto"/>
        </w:rPr>
      </w:pPr>
    </w:p>
    <w:p>
      <w:pPr>
        <w:ind w:left="860" w:right="3859" w:hanging="421"/>
        <w:spacing w:after="0" w:line="250" w:lineRule="auto"/>
        <w:tabs>
          <w:tab w:leader="none" w:pos="8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risks of financing, such as our ability to consummate additional financings or obtain replacement financing on terms which are</w:t>
      </w:r>
    </w:p>
    <w:p>
      <w:pPr>
        <w:spacing w:after="0" w:line="1" w:lineRule="exact"/>
        <w:rPr>
          <w:sz w:val="20"/>
          <w:szCs w:val="20"/>
          <w:color w:val="auto"/>
        </w:rPr>
      </w:pPr>
    </w:p>
    <w:p>
      <w:pPr>
        <w:ind w:left="860" w:right="3339"/>
        <w:spacing w:after="0" w:line="250" w:lineRule="auto"/>
        <w:rPr>
          <w:sz w:val="20"/>
          <w:szCs w:val="20"/>
          <w:color w:val="auto"/>
        </w:rPr>
      </w:pPr>
      <w:r>
        <w:rPr>
          <w:rFonts w:ascii="Courier New" w:cs="Courier New" w:eastAsia="Courier New" w:hAnsi="Courier New"/>
          <w:sz w:val="14"/>
          <w:szCs w:val="14"/>
          <w:color w:val="auto"/>
        </w:rPr>
        <w:t>acceptable to us, our ability to meet existing financial covenants and the possibility of increases in interest rates that would result in increased interest expense;</w:t>
      </w:r>
    </w:p>
    <w:p>
      <w:pPr>
        <w:spacing w:after="0" w:line="1" w:lineRule="exact"/>
        <w:rPr>
          <w:sz w:val="20"/>
          <w:szCs w:val="20"/>
          <w:color w:val="auto"/>
        </w:rPr>
      </w:pPr>
    </w:p>
    <w:p>
      <w:pPr>
        <w:ind w:left="860" w:right="3419" w:hanging="421"/>
        <w:spacing w:after="0" w:line="250" w:lineRule="auto"/>
        <w:tabs>
          <w:tab w:leader="none" w:pos="8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risks normally associated with the real estate industry, including risks that our tenants will not pay rent or that we may be unable to renew leases or relet space at favorable rents as leases expire, that new acquisitions and our development, construction and renovation projects, including our Santana Row project, may fail to perform as expected, that competition for acquisitions could result in increased prices, environmental risks, and, because real estate is illiquid,</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that we may not be able to sell properties when appropriate;</w:t>
      </w:r>
    </w:p>
    <w:p>
      <w:pPr>
        <w:spacing w:after="0" w:line="7" w:lineRule="exact"/>
        <w:rPr>
          <w:sz w:val="20"/>
          <w:szCs w:val="20"/>
          <w:color w:val="auto"/>
        </w:rPr>
      </w:pPr>
    </w:p>
    <w:p>
      <w:pPr>
        <w:ind w:left="860" w:hanging="421"/>
        <w:spacing w:after="0"/>
        <w:tabs>
          <w:tab w:leader="none" w:pos="8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risks related to our status as a REIT for federal income tax purposes,</w:t>
      </w:r>
    </w:p>
    <w:p>
      <w:pPr>
        <w:spacing w:after="0" w:line="7" w:lineRule="exact"/>
        <w:rPr>
          <w:sz w:val="20"/>
          <w:szCs w:val="20"/>
          <w:color w:val="auto"/>
        </w:rPr>
      </w:pPr>
    </w:p>
    <w:p>
      <w:pPr>
        <w:ind w:left="860" w:right="3339"/>
        <w:spacing w:after="0" w:line="250" w:lineRule="auto"/>
        <w:rPr>
          <w:sz w:val="20"/>
          <w:szCs w:val="20"/>
          <w:color w:val="auto"/>
        </w:rPr>
      </w:pPr>
      <w:r>
        <w:rPr>
          <w:rFonts w:ascii="Courier New" w:cs="Courier New" w:eastAsia="Courier New" w:hAnsi="Courier New"/>
          <w:sz w:val="14"/>
          <w:szCs w:val="14"/>
          <w:color w:val="auto"/>
        </w:rPr>
        <w:t>such as the existence of complex regulations relating to our status as a REIT, the effect of future changes in REIT requirements as a result of new legislation and the adverse consequences of the failure to qualify as a REIT; and</w:t>
      </w:r>
    </w:p>
    <w:p>
      <w:pPr>
        <w:spacing w:after="0" w:line="2" w:lineRule="exact"/>
        <w:rPr>
          <w:sz w:val="20"/>
          <w:szCs w:val="20"/>
          <w:color w:val="auto"/>
        </w:rPr>
      </w:pPr>
    </w:p>
    <w:p>
      <w:pPr>
        <w:ind w:left="860" w:right="3419" w:hanging="421"/>
        <w:spacing w:after="0" w:line="252" w:lineRule="auto"/>
        <w:tabs>
          <w:tab w:leader="none" w:pos="8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those risks detailed from time to time in the Company's SEC reports, including its annual report on Form 10-K and its quarterly reports on Form 10-Q.</w:t>
      </w:r>
    </w:p>
    <w:p>
      <w:pPr>
        <w:spacing w:after="0" w:line="16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Federal Realty assumes no obligation to update or supplement forward-looking statements that become untrue because of subsequent events.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Statement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Financial Highlights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20" w:type="dxa"/>
            <w:vAlign w:val="bottom"/>
          </w:tcPr>
          <w:p>
            <w:pPr>
              <w:ind w:left="1900"/>
              <w:spacing w:after="0"/>
              <w:rPr>
                <w:sz w:val="20"/>
                <w:szCs w:val="20"/>
                <w:color w:val="auto"/>
              </w:rPr>
            </w:pPr>
            <w:r>
              <w:rPr>
                <w:rFonts w:ascii="Courier New" w:cs="Courier New" w:eastAsia="Courier New" w:hAnsi="Courier New"/>
                <w:sz w:val="14"/>
                <w:szCs w:val="14"/>
                <w:color w:val="auto"/>
              </w:rPr>
              <w:t>(in thousands, except per share data)</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63"/>
        </w:trPr>
        <w:tc>
          <w:tcPr>
            <w:tcW w:w="6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Three</w:t>
            </w:r>
          </w:p>
        </w:tc>
        <w:tc>
          <w:tcPr>
            <w:tcW w:w="12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9"/>
              </w:rPr>
              <w:t>Months Ended</w:t>
            </w:r>
          </w:p>
        </w:tc>
        <w:tc>
          <w:tcPr>
            <w:tcW w:w="220" w:type="dxa"/>
            <w:vAlign w:val="bottom"/>
          </w:tcPr>
          <w:p>
            <w:pPr>
              <w:spacing w:after="0"/>
              <w:rPr>
                <w:sz w:val="24"/>
                <w:szCs w:val="24"/>
                <w:color w:val="auto"/>
              </w:rPr>
            </w:pPr>
          </w:p>
        </w:tc>
        <w:tc>
          <w:tcPr>
            <w:tcW w:w="194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Twelve Months Ended</w:t>
            </w:r>
          </w:p>
        </w:tc>
      </w:tr>
      <w:tr>
        <w:trPr>
          <w:trHeight w:val="166"/>
        </w:trPr>
        <w:tc>
          <w:tcPr>
            <w:tcW w:w="6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9"/>
              </w:rPr>
              <w:t>December 31,</w:t>
            </w:r>
          </w:p>
        </w:tc>
        <w:tc>
          <w:tcPr>
            <w:tcW w:w="220" w:type="dxa"/>
            <w:vAlign w:val="bottom"/>
          </w:tcPr>
          <w:p>
            <w:pPr>
              <w:spacing w:after="0"/>
              <w:rPr>
                <w:sz w:val="14"/>
                <w:szCs w:val="14"/>
                <w:color w:val="auto"/>
              </w:rPr>
            </w:pPr>
          </w:p>
        </w:tc>
        <w:tc>
          <w:tcPr>
            <w:tcW w:w="194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6720" w:type="dxa"/>
            <w:vAlign w:val="bottom"/>
          </w:tcPr>
          <w:p>
            <w:pPr>
              <w:spacing w:after="0"/>
              <w:rPr>
                <w:sz w:val="20"/>
                <w:szCs w:val="20"/>
                <w:color w:val="auto"/>
              </w:rPr>
            </w:pPr>
            <w:r>
              <w:rPr>
                <w:rFonts w:ascii="Courier New" w:cs="Courier New" w:eastAsia="Courier New" w:hAnsi="Courier New"/>
                <w:sz w:val="14"/>
                <w:szCs w:val="14"/>
                <w:color w:val="auto"/>
              </w:rPr>
              <w:t>OPERATING RESULTS</w:t>
            </w:r>
          </w:p>
        </w:tc>
        <w:tc>
          <w:tcPr>
            <w:tcW w:w="5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2002</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2001</w:t>
            </w:r>
          </w:p>
        </w:tc>
        <w:tc>
          <w:tcPr>
            <w:tcW w:w="2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2002</w:t>
            </w:r>
          </w:p>
        </w:tc>
        <w:tc>
          <w:tcPr>
            <w:tcW w:w="2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67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20" w:type="dxa"/>
            <w:vAlign w:val="bottom"/>
          </w:tcPr>
          <w:p>
            <w:pPr>
              <w:spacing w:after="0"/>
              <w:rPr>
                <w:sz w:val="14"/>
                <w:szCs w:val="14"/>
                <w:color w:val="auto"/>
              </w:rPr>
            </w:pPr>
          </w:p>
        </w:tc>
        <w:tc>
          <w:tcPr>
            <w:tcW w:w="11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7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6720" w:type="dxa"/>
            <w:vAlign w:val="bottom"/>
          </w:tcPr>
          <w:p>
            <w:pPr>
              <w:ind w:left="100"/>
              <w:spacing w:after="0"/>
              <w:rPr>
                <w:sz w:val="20"/>
                <w:szCs w:val="20"/>
                <w:color w:val="auto"/>
              </w:rPr>
            </w:pPr>
            <w:r>
              <w:rPr>
                <w:rFonts w:ascii="Courier New" w:cs="Courier New" w:eastAsia="Courier New" w:hAnsi="Courier New"/>
                <w:sz w:val="14"/>
                <w:szCs w:val="14"/>
                <w:color w:val="auto"/>
              </w:rPr>
              <w:t>Rental income</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83,843</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73,390</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$ 298,085</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$ 274,567</w:t>
            </w:r>
          </w:p>
        </w:tc>
      </w:tr>
      <w:tr>
        <w:trPr>
          <w:trHeight w:val="166"/>
        </w:trPr>
        <w:tc>
          <w:tcPr>
            <w:tcW w:w="6720" w:type="dxa"/>
            <w:vAlign w:val="bottom"/>
          </w:tcPr>
          <w:p>
            <w:pPr>
              <w:ind w:left="100"/>
              <w:spacing w:after="0"/>
              <w:rPr>
                <w:sz w:val="20"/>
                <w:szCs w:val="20"/>
                <w:color w:val="auto"/>
              </w:rPr>
            </w:pPr>
            <w:r>
              <w:rPr>
                <w:rFonts w:ascii="Courier New" w:cs="Courier New" w:eastAsia="Courier New" w:hAnsi="Courier New"/>
                <w:sz w:val="14"/>
                <w:szCs w:val="14"/>
                <w:color w:val="auto"/>
              </w:rPr>
              <w:t>Other property income</w:t>
            </w:r>
          </w:p>
        </w:tc>
        <w:tc>
          <w:tcPr>
            <w:tcW w:w="5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4,200</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3,764</w:t>
            </w:r>
          </w:p>
        </w:tc>
        <w:tc>
          <w:tcPr>
            <w:tcW w:w="2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15,593</w:t>
            </w:r>
          </w:p>
        </w:tc>
        <w:tc>
          <w:tcPr>
            <w:tcW w:w="2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13,953</w:t>
            </w:r>
          </w:p>
        </w:tc>
      </w:tr>
      <w:tr>
        <w:trPr>
          <w:trHeight w:val="166"/>
        </w:trPr>
        <w:tc>
          <w:tcPr>
            <w:tcW w:w="6720" w:type="dxa"/>
            <w:vAlign w:val="bottom"/>
          </w:tcPr>
          <w:p>
            <w:pPr>
              <w:ind w:left="100"/>
              <w:spacing w:after="0"/>
              <w:rPr>
                <w:sz w:val="20"/>
                <w:szCs w:val="20"/>
                <w:color w:val="auto"/>
              </w:rPr>
            </w:pPr>
            <w:r>
              <w:rPr>
                <w:rFonts w:ascii="Courier New" w:cs="Courier New" w:eastAsia="Courier New" w:hAnsi="Courier New"/>
                <w:sz w:val="14"/>
                <w:szCs w:val="14"/>
                <w:color w:val="auto"/>
              </w:rPr>
              <w:t>Interest and other income</w:t>
            </w:r>
          </w:p>
        </w:tc>
        <w:tc>
          <w:tcPr>
            <w:tcW w:w="5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1,394</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1,315</w:t>
            </w:r>
          </w:p>
        </w:tc>
        <w:tc>
          <w:tcPr>
            <w:tcW w:w="2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5,156</w:t>
            </w:r>
          </w:p>
        </w:tc>
        <w:tc>
          <w:tcPr>
            <w:tcW w:w="2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6,590</w:t>
            </w:r>
          </w:p>
        </w:tc>
      </w:tr>
      <w:tr>
        <w:trPr>
          <w:trHeight w:val="166"/>
        </w:trPr>
        <w:tc>
          <w:tcPr>
            <w:tcW w:w="672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89,437</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78,469</w:t>
            </w:r>
          </w:p>
        </w:tc>
        <w:tc>
          <w:tcPr>
            <w:tcW w:w="2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318,834</w:t>
            </w:r>
          </w:p>
        </w:tc>
        <w:tc>
          <w:tcPr>
            <w:tcW w:w="2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295,110</w:t>
            </w:r>
          </w:p>
        </w:tc>
      </w:tr>
      <w:tr>
        <w:trPr>
          <w:trHeight w:val="166"/>
        </w:trPr>
        <w:tc>
          <w:tcPr>
            <w:tcW w:w="672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720" w:type="dxa"/>
            <w:vAlign w:val="bottom"/>
          </w:tcPr>
          <w:p>
            <w:pPr>
              <w:ind w:left="100"/>
              <w:spacing w:after="0"/>
              <w:rPr>
                <w:sz w:val="20"/>
                <w:szCs w:val="20"/>
                <w:color w:val="auto"/>
              </w:rPr>
            </w:pPr>
            <w:r>
              <w:rPr>
                <w:rFonts w:ascii="Courier New" w:cs="Courier New" w:eastAsia="Courier New" w:hAnsi="Courier New"/>
                <w:sz w:val="14"/>
                <w:szCs w:val="14"/>
                <w:color w:val="auto"/>
              </w:rPr>
              <w:t>Rental</w:t>
            </w:r>
          </w:p>
        </w:tc>
        <w:tc>
          <w:tcPr>
            <w:tcW w:w="5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24,303</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17,601</w:t>
            </w:r>
          </w:p>
        </w:tc>
        <w:tc>
          <w:tcPr>
            <w:tcW w:w="2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73,591</w:t>
            </w:r>
          </w:p>
        </w:tc>
        <w:tc>
          <w:tcPr>
            <w:tcW w:w="2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62,715</w:t>
            </w:r>
          </w:p>
        </w:tc>
      </w:tr>
      <w:tr>
        <w:trPr>
          <w:trHeight w:val="166"/>
        </w:trPr>
        <w:tc>
          <w:tcPr>
            <w:tcW w:w="6720" w:type="dxa"/>
            <w:vAlign w:val="bottom"/>
          </w:tcPr>
          <w:p>
            <w:pPr>
              <w:ind w:left="100"/>
              <w:spacing w:after="0"/>
              <w:rPr>
                <w:sz w:val="20"/>
                <w:szCs w:val="20"/>
                <w:color w:val="auto"/>
              </w:rPr>
            </w:pPr>
            <w:r>
              <w:rPr>
                <w:rFonts w:ascii="Courier New" w:cs="Courier New" w:eastAsia="Courier New" w:hAnsi="Courier New"/>
                <w:sz w:val="14"/>
                <w:szCs w:val="14"/>
                <w:color w:val="auto"/>
              </w:rPr>
              <w:t>Real estate taxes</w:t>
            </w:r>
          </w:p>
        </w:tc>
        <w:tc>
          <w:tcPr>
            <w:tcW w:w="5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8,108</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7,807</w:t>
            </w:r>
          </w:p>
        </w:tc>
        <w:tc>
          <w:tcPr>
            <w:tcW w:w="2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31,186</w:t>
            </w:r>
          </w:p>
        </w:tc>
        <w:tc>
          <w:tcPr>
            <w:tcW w:w="2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28,348</w:t>
            </w:r>
          </w:p>
        </w:tc>
      </w:tr>
      <w:tr>
        <w:trPr>
          <w:trHeight w:val="166"/>
        </w:trPr>
        <w:tc>
          <w:tcPr>
            <w:tcW w:w="6720" w:type="dxa"/>
            <w:vAlign w:val="bottom"/>
          </w:tcPr>
          <w:p>
            <w:pPr>
              <w:ind w:left="100"/>
              <w:spacing w:after="0"/>
              <w:rPr>
                <w:sz w:val="20"/>
                <w:szCs w:val="20"/>
                <w:color w:val="auto"/>
              </w:rPr>
            </w:pPr>
            <w:r>
              <w:rPr>
                <w:rFonts w:ascii="Courier New" w:cs="Courier New" w:eastAsia="Courier New" w:hAnsi="Courier New"/>
                <w:sz w:val="14"/>
                <w:szCs w:val="14"/>
                <w:color w:val="auto"/>
              </w:rPr>
              <w:t>Interest</w:t>
            </w:r>
          </w:p>
        </w:tc>
        <w:tc>
          <w:tcPr>
            <w:tcW w:w="5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19,741</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16,953</w:t>
            </w:r>
          </w:p>
        </w:tc>
        <w:tc>
          <w:tcPr>
            <w:tcW w:w="2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65,054</w:t>
            </w:r>
          </w:p>
        </w:tc>
        <w:tc>
          <w:tcPr>
            <w:tcW w:w="2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69,313</w:t>
            </w:r>
          </w:p>
        </w:tc>
      </w:tr>
      <w:tr>
        <w:trPr>
          <w:trHeight w:val="166"/>
        </w:trPr>
        <w:tc>
          <w:tcPr>
            <w:tcW w:w="6720" w:type="dxa"/>
            <w:vAlign w:val="bottom"/>
          </w:tcPr>
          <w:p>
            <w:pPr>
              <w:ind w:left="100"/>
              <w:spacing w:after="0"/>
              <w:rPr>
                <w:sz w:val="20"/>
                <w:szCs w:val="20"/>
                <w:color w:val="auto"/>
              </w:rPr>
            </w:pPr>
            <w:r>
              <w:rPr>
                <w:rFonts w:ascii="Courier New" w:cs="Courier New" w:eastAsia="Courier New" w:hAnsi="Courier New"/>
                <w:sz w:val="14"/>
                <w:szCs w:val="14"/>
                <w:color w:val="auto"/>
              </w:rPr>
              <w:t>Administrative</w:t>
            </w:r>
          </w:p>
        </w:tc>
        <w:tc>
          <w:tcPr>
            <w:tcW w:w="5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3,581</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4,310</w:t>
            </w:r>
          </w:p>
        </w:tc>
        <w:tc>
          <w:tcPr>
            <w:tcW w:w="2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13,790</w:t>
            </w:r>
          </w:p>
        </w:tc>
        <w:tc>
          <w:tcPr>
            <w:tcW w:w="2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14,281</w:t>
            </w:r>
          </w:p>
        </w:tc>
      </w:tr>
      <w:tr>
        <w:trPr>
          <w:trHeight w:val="166"/>
        </w:trPr>
        <w:tc>
          <w:tcPr>
            <w:tcW w:w="6720" w:type="dxa"/>
            <w:vAlign w:val="bottom"/>
          </w:tcPr>
          <w:p>
            <w:pPr>
              <w:ind w:left="100"/>
              <w:spacing w:after="0"/>
              <w:rPr>
                <w:sz w:val="20"/>
                <w:szCs w:val="20"/>
                <w:color w:val="auto"/>
              </w:rPr>
            </w:pPr>
            <w:r>
              <w:rPr>
                <w:rFonts w:ascii="Courier New" w:cs="Courier New" w:eastAsia="Courier New" w:hAnsi="Courier New"/>
                <w:sz w:val="14"/>
                <w:szCs w:val="14"/>
                <w:color w:val="auto"/>
              </w:rPr>
              <w:t>Restructuring expenses</w:t>
            </w:r>
          </w:p>
        </w:tc>
        <w:tc>
          <w:tcPr>
            <w:tcW w:w="5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13,780</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22,269</w:t>
            </w:r>
          </w:p>
        </w:tc>
        <w:tc>
          <w:tcPr>
            <w:tcW w:w="2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720" w:type="dxa"/>
            <w:vAlign w:val="bottom"/>
          </w:tcPr>
          <w:p>
            <w:pPr>
              <w:ind w:left="100"/>
              <w:spacing w:after="0"/>
              <w:rPr>
                <w:sz w:val="20"/>
                <w:szCs w:val="20"/>
                <w:color w:val="auto"/>
              </w:rPr>
            </w:pPr>
            <w:r>
              <w:rPr>
                <w:rFonts w:ascii="Courier New" w:cs="Courier New" w:eastAsia="Courier New" w:hAnsi="Courier New"/>
                <w:sz w:val="14"/>
                <w:szCs w:val="14"/>
                <w:color w:val="auto"/>
              </w:rPr>
              <w:t>Depreciation and amortization</w:t>
            </w:r>
          </w:p>
        </w:tc>
        <w:tc>
          <w:tcPr>
            <w:tcW w:w="5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16,425</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15,610</w:t>
            </w:r>
          </w:p>
        </w:tc>
        <w:tc>
          <w:tcPr>
            <w:tcW w:w="2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64,251</w:t>
            </w:r>
          </w:p>
        </w:tc>
        <w:tc>
          <w:tcPr>
            <w:tcW w:w="2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59,171</w:t>
            </w:r>
          </w:p>
        </w:tc>
      </w:tr>
      <w:tr>
        <w:trPr>
          <w:trHeight w:val="166"/>
        </w:trPr>
        <w:tc>
          <w:tcPr>
            <w:tcW w:w="672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85,938</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62,281</w:t>
            </w:r>
          </w:p>
        </w:tc>
        <w:tc>
          <w:tcPr>
            <w:tcW w:w="2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270,141</w:t>
            </w:r>
          </w:p>
        </w:tc>
        <w:tc>
          <w:tcPr>
            <w:tcW w:w="2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233,828</w:t>
            </w:r>
          </w:p>
        </w:tc>
      </w:tr>
      <w:tr>
        <w:trPr>
          <w:trHeight w:val="166"/>
        </w:trPr>
        <w:tc>
          <w:tcPr>
            <w:tcW w:w="672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720" w:type="dxa"/>
            <w:vAlign w:val="bottom"/>
          </w:tcPr>
          <w:p>
            <w:pPr>
              <w:ind w:left="100"/>
              <w:spacing w:after="0"/>
              <w:rPr>
                <w:sz w:val="20"/>
                <w:szCs w:val="20"/>
                <w:color w:val="auto"/>
              </w:rPr>
            </w:pPr>
            <w:r>
              <w:rPr>
                <w:rFonts w:ascii="Courier New" w:cs="Courier New" w:eastAsia="Courier New" w:hAnsi="Courier New"/>
                <w:sz w:val="14"/>
                <w:szCs w:val="14"/>
                <w:color w:val="auto"/>
              </w:rPr>
              <w:t>Operating income before investors' share of operations and discontinued</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720" w:type="dxa"/>
            <w:vAlign w:val="bottom"/>
          </w:tcPr>
          <w:p>
            <w:pPr>
              <w:ind w:left="180"/>
              <w:spacing w:after="0"/>
              <w:rPr>
                <w:sz w:val="20"/>
                <w:szCs w:val="20"/>
                <w:color w:val="auto"/>
              </w:rPr>
            </w:pPr>
            <w:r>
              <w:rPr>
                <w:rFonts w:ascii="Courier New" w:cs="Courier New" w:eastAsia="Courier New" w:hAnsi="Courier New"/>
                <w:sz w:val="14"/>
                <w:szCs w:val="14"/>
                <w:color w:val="auto"/>
              </w:rPr>
              <w:t>operations</w:t>
            </w:r>
          </w:p>
        </w:tc>
        <w:tc>
          <w:tcPr>
            <w:tcW w:w="5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3,499</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16,188</w:t>
            </w:r>
          </w:p>
        </w:tc>
        <w:tc>
          <w:tcPr>
            <w:tcW w:w="2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48,693</w:t>
            </w:r>
          </w:p>
        </w:tc>
        <w:tc>
          <w:tcPr>
            <w:tcW w:w="2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61,282</w:t>
            </w:r>
          </w:p>
        </w:tc>
      </w:tr>
      <w:tr>
        <w:trPr>
          <w:trHeight w:val="166"/>
        </w:trPr>
        <w:tc>
          <w:tcPr>
            <w:tcW w:w="6720" w:type="dxa"/>
            <w:vAlign w:val="bottom"/>
          </w:tcPr>
          <w:p>
            <w:pPr>
              <w:ind w:left="100"/>
              <w:spacing w:after="0"/>
              <w:rPr>
                <w:sz w:val="20"/>
                <w:szCs w:val="20"/>
                <w:color w:val="auto"/>
              </w:rPr>
            </w:pPr>
            <w:r>
              <w:rPr>
                <w:rFonts w:ascii="Courier New" w:cs="Courier New" w:eastAsia="Courier New" w:hAnsi="Courier New"/>
                <w:sz w:val="14"/>
                <w:szCs w:val="14"/>
                <w:color w:val="auto"/>
              </w:rPr>
              <w:t>Investors' share of operations</w:t>
            </w:r>
          </w:p>
        </w:tc>
        <w:tc>
          <w:tcPr>
            <w:tcW w:w="5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(755)</w:t>
            </w:r>
          </w:p>
        </w:tc>
        <w:tc>
          <w:tcPr>
            <w:tcW w:w="4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(1,179)</w:t>
            </w:r>
          </w:p>
        </w:tc>
        <w:tc>
          <w:tcPr>
            <w:tcW w:w="22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(4,112)</w:t>
            </w:r>
          </w:p>
        </w:tc>
        <w:tc>
          <w:tcPr>
            <w:tcW w:w="22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(5,170)</w:t>
            </w:r>
          </w:p>
        </w:tc>
      </w:tr>
      <w:tr>
        <w:trPr>
          <w:trHeight w:val="166"/>
        </w:trPr>
        <w:tc>
          <w:tcPr>
            <w:tcW w:w="672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720" w:type="dxa"/>
            <w:vAlign w:val="bottom"/>
          </w:tcPr>
          <w:p>
            <w:pPr>
              <w:ind w:left="100"/>
              <w:spacing w:after="0"/>
              <w:rPr>
                <w:sz w:val="20"/>
                <w:szCs w:val="20"/>
                <w:color w:val="auto"/>
              </w:rPr>
            </w:pPr>
            <w:r>
              <w:rPr>
                <w:rFonts w:ascii="Courier New" w:cs="Courier New" w:eastAsia="Courier New" w:hAnsi="Courier New"/>
                <w:sz w:val="14"/>
                <w:szCs w:val="14"/>
                <w:color w:val="auto"/>
              </w:rPr>
              <w:t>Income before gain on sale of real estate net of loss on abandoned</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720" w:type="dxa"/>
            <w:vAlign w:val="bottom"/>
          </w:tcPr>
          <w:p>
            <w:pPr>
              <w:ind w:left="180"/>
              <w:spacing w:after="0"/>
              <w:rPr>
                <w:sz w:val="20"/>
                <w:szCs w:val="20"/>
                <w:color w:val="auto"/>
              </w:rPr>
            </w:pPr>
            <w:r>
              <w:rPr>
                <w:rFonts w:ascii="Courier New" w:cs="Courier New" w:eastAsia="Courier New" w:hAnsi="Courier New"/>
                <w:sz w:val="14"/>
                <w:szCs w:val="14"/>
                <w:color w:val="auto"/>
              </w:rPr>
              <w:t>developments held for sale and discontinued operations</w:t>
            </w:r>
          </w:p>
        </w:tc>
        <w:tc>
          <w:tcPr>
            <w:tcW w:w="5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2,744</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15,009</w:t>
            </w:r>
          </w:p>
        </w:tc>
        <w:tc>
          <w:tcPr>
            <w:tcW w:w="2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44,581</w:t>
            </w:r>
          </w:p>
        </w:tc>
        <w:tc>
          <w:tcPr>
            <w:tcW w:w="2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56,112</w:t>
            </w:r>
          </w:p>
        </w:tc>
      </w:tr>
      <w:tr>
        <w:trPr>
          <w:trHeight w:val="166"/>
        </w:trPr>
        <w:tc>
          <w:tcPr>
            <w:tcW w:w="6720" w:type="dxa"/>
            <w:vAlign w:val="bottom"/>
          </w:tcPr>
          <w:p>
            <w:pPr>
              <w:ind w:left="100"/>
              <w:spacing w:after="0"/>
              <w:rPr>
                <w:sz w:val="20"/>
                <w:szCs w:val="20"/>
                <w:color w:val="auto"/>
              </w:rPr>
            </w:pPr>
            <w:r>
              <w:rPr>
                <w:rFonts w:ascii="Courier New" w:cs="Courier New" w:eastAsia="Courier New" w:hAnsi="Courier New"/>
                <w:sz w:val="14"/>
                <w:szCs w:val="14"/>
                <w:color w:val="auto"/>
              </w:rPr>
              <w:t>Income from operations of discontinued assets</w:t>
            </w:r>
          </w:p>
        </w:tc>
        <w:tc>
          <w:tcPr>
            <w:tcW w:w="5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878</w:t>
            </w:r>
          </w:p>
        </w:tc>
        <w:tc>
          <w:tcPr>
            <w:tcW w:w="2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1,252</w:t>
            </w:r>
          </w:p>
        </w:tc>
        <w:tc>
          <w:tcPr>
            <w:tcW w:w="2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3,459</w:t>
            </w:r>
          </w:p>
        </w:tc>
      </w:tr>
      <w:tr>
        <w:trPr>
          <w:trHeight w:val="166"/>
        </w:trPr>
        <w:tc>
          <w:tcPr>
            <w:tcW w:w="672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720" w:type="dxa"/>
            <w:vAlign w:val="bottom"/>
          </w:tcPr>
          <w:p>
            <w:pPr>
              <w:ind w:left="100"/>
              <w:spacing w:after="0"/>
              <w:rPr>
                <w:sz w:val="20"/>
                <w:szCs w:val="20"/>
                <w:color w:val="auto"/>
              </w:rPr>
            </w:pPr>
            <w:r>
              <w:rPr>
                <w:rFonts w:ascii="Courier New" w:cs="Courier New" w:eastAsia="Courier New" w:hAnsi="Courier New"/>
                <w:sz w:val="14"/>
                <w:szCs w:val="14"/>
                <w:color w:val="auto"/>
              </w:rPr>
              <w:t>Income before gain on sale of real estate net of loss on abandoned</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720" w:type="dxa"/>
            <w:vAlign w:val="bottom"/>
          </w:tcPr>
          <w:p>
            <w:pPr>
              <w:ind w:left="180"/>
              <w:spacing w:after="0"/>
              <w:rPr>
                <w:sz w:val="20"/>
                <w:szCs w:val="20"/>
                <w:color w:val="auto"/>
              </w:rPr>
            </w:pPr>
            <w:r>
              <w:rPr>
                <w:rFonts w:ascii="Courier New" w:cs="Courier New" w:eastAsia="Courier New" w:hAnsi="Courier New"/>
                <w:sz w:val="14"/>
                <w:szCs w:val="14"/>
                <w:color w:val="auto"/>
              </w:rPr>
              <w:t>developments held for sale</w:t>
            </w:r>
          </w:p>
        </w:tc>
        <w:tc>
          <w:tcPr>
            <w:tcW w:w="5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2,779</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15,887</w:t>
            </w:r>
          </w:p>
        </w:tc>
        <w:tc>
          <w:tcPr>
            <w:tcW w:w="2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45,833</w:t>
            </w:r>
          </w:p>
        </w:tc>
        <w:tc>
          <w:tcPr>
            <w:tcW w:w="2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59,571</w:t>
            </w:r>
          </w:p>
        </w:tc>
      </w:tr>
      <w:tr>
        <w:trPr>
          <w:trHeight w:val="166"/>
        </w:trPr>
        <w:tc>
          <w:tcPr>
            <w:tcW w:w="6720" w:type="dxa"/>
            <w:vAlign w:val="bottom"/>
          </w:tcPr>
          <w:p>
            <w:pPr>
              <w:ind w:left="100"/>
              <w:spacing w:after="0"/>
              <w:rPr>
                <w:sz w:val="20"/>
                <w:szCs w:val="20"/>
                <w:color w:val="auto"/>
              </w:rPr>
            </w:pPr>
            <w:r>
              <w:rPr>
                <w:rFonts w:ascii="Courier New" w:cs="Courier New" w:eastAsia="Courier New" w:hAnsi="Courier New"/>
                <w:sz w:val="14"/>
                <w:szCs w:val="14"/>
                <w:color w:val="auto"/>
              </w:rPr>
              <w:t>Gain on sale of real estate net of loss on abandoned developments held</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720" w:type="dxa"/>
            <w:vAlign w:val="bottom"/>
          </w:tcPr>
          <w:p>
            <w:pPr>
              <w:ind w:left="260"/>
              <w:spacing w:after="0"/>
              <w:rPr>
                <w:sz w:val="20"/>
                <w:szCs w:val="20"/>
                <w:color w:val="auto"/>
              </w:rPr>
            </w:pPr>
            <w:r>
              <w:rPr>
                <w:rFonts w:ascii="Courier New" w:cs="Courier New" w:eastAsia="Courier New" w:hAnsi="Courier New"/>
                <w:sz w:val="14"/>
                <w:szCs w:val="14"/>
                <w:color w:val="auto"/>
              </w:rPr>
              <w:t>for sale</w:t>
            </w:r>
          </w:p>
        </w:tc>
        <w:tc>
          <w:tcPr>
            <w:tcW w:w="5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1,287</w:t>
            </w:r>
          </w:p>
        </w:tc>
        <w:tc>
          <w:tcPr>
            <w:tcW w:w="2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9,454</w:t>
            </w:r>
          </w:p>
        </w:tc>
        <w:tc>
          <w:tcPr>
            <w:tcW w:w="2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9,185</w:t>
            </w:r>
          </w:p>
        </w:tc>
      </w:tr>
      <w:tr>
        <w:trPr>
          <w:trHeight w:val="166"/>
        </w:trPr>
        <w:tc>
          <w:tcPr>
            <w:tcW w:w="672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720" w:type="dxa"/>
            <w:vAlign w:val="bottom"/>
          </w:tcPr>
          <w:p>
            <w:pPr>
              <w:ind w:left="1740"/>
              <w:spacing w:after="0"/>
              <w:rPr>
                <w:sz w:val="20"/>
                <w:szCs w:val="20"/>
                <w:color w:val="auto"/>
              </w:rPr>
            </w:pPr>
            <w:r>
              <w:rPr>
                <w:rFonts w:ascii="Courier New" w:cs="Courier New" w:eastAsia="Courier New" w:hAnsi="Courier New"/>
                <w:sz w:val="14"/>
                <w:szCs w:val="14"/>
                <w:color w:val="auto"/>
              </w:rPr>
              <w:t>Net income</w:t>
            </w:r>
          </w:p>
        </w:tc>
        <w:tc>
          <w:tcPr>
            <w:tcW w:w="5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2,779</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17,174</w:t>
            </w:r>
          </w:p>
        </w:tc>
        <w:tc>
          <w:tcPr>
            <w:tcW w:w="2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55,287</w:t>
            </w:r>
          </w:p>
        </w:tc>
        <w:tc>
          <w:tcPr>
            <w:tcW w:w="2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68,756</w:t>
            </w:r>
          </w:p>
        </w:tc>
      </w:tr>
      <w:tr>
        <w:trPr>
          <w:trHeight w:val="166"/>
        </w:trPr>
        <w:tc>
          <w:tcPr>
            <w:tcW w:w="6720" w:type="dxa"/>
            <w:vAlign w:val="bottom"/>
          </w:tcPr>
          <w:p>
            <w:pPr>
              <w:ind w:left="100"/>
              <w:spacing w:after="0"/>
              <w:rPr>
                <w:sz w:val="20"/>
                <w:szCs w:val="20"/>
                <w:color w:val="auto"/>
              </w:rPr>
            </w:pPr>
            <w:r>
              <w:rPr>
                <w:rFonts w:ascii="Courier New" w:cs="Courier New" w:eastAsia="Courier New" w:hAnsi="Courier New"/>
                <w:sz w:val="14"/>
                <w:szCs w:val="14"/>
                <w:color w:val="auto"/>
              </w:rPr>
              <w:t>Dividends on preferred stock</w:t>
            </w:r>
          </w:p>
        </w:tc>
        <w:tc>
          <w:tcPr>
            <w:tcW w:w="5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(4,857)</w:t>
            </w:r>
          </w:p>
        </w:tc>
        <w:tc>
          <w:tcPr>
            <w:tcW w:w="4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(3,071)</w:t>
            </w:r>
          </w:p>
        </w:tc>
        <w:tc>
          <w:tcPr>
            <w:tcW w:w="22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(19,425)</w:t>
            </w:r>
          </w:p>
        </w:tc>
        <w:tc>
          <w:tcPr>
            <w:tcW w:w="22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(9,034)</w:t>
            </w:r>
          </w:p>
        </w:tc>
      </w:tr>
      <w:tr>
        <w:trPr>
          <w:trHeight w:val="166"/>
        </w:trPr>
        <w:tc>
          <w:tcPr>
            <w:tcW w:w="672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720" w:type="dxa"/>
            <w:vAlign w:val="bottom"/>
          </w:tcPr>
          <w:p>
            <w:pPr>
              <w:ind w:left="1740"/>
              <w:spacing w:after="0"/>
              <w:rPr>
                <w:sz w:val="20"/>
                <w:szCs w:val="20"/>
                <w:color w:val="auto"/>
              </w:rPr>
            </w:pPr>
            <w:r>
              <w:rPr>
                <w:rFonts w:ascii="Courier New" w:cs="Courier New" w:eastAsia="Courier New" w:hAnsi="Courier New"/>
                <w:sz w:val="14"/>
                <w:szCs w:val="14"/>
                <w:color w:val="auto"/>
              </w:rPr>
              <w:t>Net income (loss) available for common shareholders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(2,078)</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14,103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35,862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59,722</w:t>
            </w:r>
          </w:p>
        </w:tc>
      </w:tr>
      <w:tr>
        <w:trPr>
          <w:trHeight w:val="166"/>
        </w:trPr>
        <w:tc>
          <w:tcPr>
            <w:tcW w:w="672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6720" w:type="dxa"/>
            <w:vAlign w:val="bottom"/>
          </w:tcPr>
          <w:p>
            <w:pPr>
              <w:spacing w:after="0"/>
              <w:rPr>
                <w:sz w:val="20"/>
                <w:szCs w:val="20"/>
                <w:color w:val="auto"/>
              </w:rPr>
            </w:pPr>
            <w:r>
              <w:rPr>
                <w:rFonts w:ascii="Courier New" w:cs="Courier New" w:eastAsia="Courier New" w:hAnsi="Courier New"/>
                <w:sz w:val="14"/>
                <w:szCs w:val="14"/>
                <w:color w:val="auto"/>
              </w:rPr>
              <w:t>Funds from Operations</w:t>
            </w: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6720" w:type="dxa"/>
            <w:vAlign w:val="bottom"/>
          </w:tcPr>
          <w:p>
            <w:pPr>
              <w:ind w:left="440"/>
              <w:spacing w:after="0"/>
              <w:rPr>
                <w:sz w:val="20"/>
                <w:szCs w:val="20"/>
                <w:color w:val="auto"/>
              </w:rPr>
            </w:pPr>
            <w:r>
              <w:rPr>
                <w:rFonts w:ascii="Courier New" w:cs="Courier New" w:eastAsia="Courier New" w:hAnsi="Courier New"/>
                <w:sz w:val="14"/>
                <w:szCs w:val="14"/>
                <w:color w:val="auto"/>
              </w:rPr>
              <w:t>Net income (loss) available for common shareholders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(2,078)</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14,103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35,862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59,722</w:t>
            </w:r>
          </w:p>
        </w:tc>
      </w:tr>
      <w:tr>
        <w:trPr>
          <w:trHeight w:val="166"/>
        </w:trPr>
        <w:tc>
          <w:tcPr>
            <w:tcW w:w="6720" w:type="dxa"/>
            <w:vAlign w:val="bottom"/>
          </w:tcPr>
          <w:p>
            <w:pPr>
              <w:ind w:left="440"/>
              <w:spacing w:after="0"/>
              <w:rPr>
                <w:sz w:val="20"/>
                <w:szCs w:val="20"/>
                <w:color w:val="auto"/>
              </w:rPr>
            </w:pPr>
            <w:r>
              <w:rPr>
                <w:rFonts w:ascii="Courier New" w:cs="Courier New" w:eastAsia="Courier New" w:hAnsi="Courier New"/>
                <w:sz w:val="14"/>
                <w:szCs w:val="14"/>
                <w:color w:val="auto"/>
              </w:rPr>
              <w:t>Gain on sale of real estate</w:t>
            </w:r>
          </w:p>
        </w:tc>
        <w:tc>
          <w:tcPr>
            <w:tcW w:w="5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(1,287)</w:t>
            </w:r>
          </w:p>
        </w:tc>
        <w:tc>
          <w:tcPr>
            <w:tcW w:w="22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(9,454)</w:t>
            </w:r>
          </w:p>
        </w:tc>
        <w:tc>
          <w:tcPr>
            <w:tcW w:w="22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(9,185)</w:t>
            </w:r>
          </w:p>
        </w:tc>
      </w:tr>
      <w:tr>
        <w:trPr>
          <w:trHeight w:val="166"/>
        </w:trPr>
        <w:tc>
          <w:tcPr>
            <w:tcW w:w="6720" w:type="dxa"/>
            <w:vAlign w:val="bottom"/>
          </w:tcPr>
          <w:p>
            <w:pPr>
              <w:ind w:left="440"/>
              <w:spacing w:after="0"/>
              <w:rPr>
                <w:sz w:val="20"/>
                <w:szCs w:val="20"/>
                <w:color w:val="auto"/>
              </w:rPr>
            </w:pPr>
            <w:r>
              <w:rPr>
                <w:rFonts w:ascii="Courier New" w:cs="Courier New" w:eastAsia="Courier New" w:hAnsi="Courier New"/>
                <w:sz w:val="14"/>
                <w:szCs w:val="14"/>
                <w:color w:val="auto"/>
              </w:rPr>
              <w:t>Depreciation and amortization of real estate assets</w:t>
            </w:r>
          </w:p>
        </w:tc>
        <w:tc>
          <w:tcPr>
            <w:tcW w:w="5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14,933</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14,211</w:t>
            </w:r>
          </w:p>
        </w:tc>
        <w:tc>
          <w:tcPr>
            <w:tcW w:w="2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58,605</w:t>
            </w:r>
          </w:p>
        </w:tc>
        <w:tc>
          <w:tcPr>
            <w:tcW w:w="2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54,350</w:t>
            </w:r>
          </w:p>
        </w:tc>
      </w:tr>
      <w:tr>
        <w:trPr>
          <w:trHeight w:val="166"/>
        </w:trPr>
        <w:tc>
          <w:tcPr>
            <w:tcW w:w="6720" w:type="dxa"/>
            <w:vAlign w:val="bottom"/>
          </w:tcPr>
          <w:p>
            <w:pPr>
              <w:ind w:left="440"/>
              <w:spacing w:after="0"/>
              <w:rPr>
                <w:sz w:val="20"/>
                <w:szCs w:val="20"/>
                <w:color w:val="auto"/>
              </w:rPr>
            </w:pPr>
            <w:r>
              <w:rPr>
                <w:rFonts w:ascii="Courier New" w:cs="Courier New" w:eastAsia="Courier New" w:hAnsi="Courier New"/>
                <w:sz w:val="14"/>
                <w:szCs w:val="14"/>
                <w:color w:val="auto"/>
              </w:rPr>
              <w:t>Amortization of initial direct costs of leases</w:t>
            </w:r>
          </w:p>
        </w:tc>
        <w:tc>
          <w:tcPr>
            <w:tcW w:w="5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1,204</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1,146</w:t>
            </w:r>
          </w:p>
        </w:tc>
        <w:tc>
          <w:tcPr>
            <w:tcW w:w="2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4,750</w:t>
            </w:r>
          </w:p>
        </w:tc>
        <w:tc>
          <w:tcPr>
            <w:tcW w:w="2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4,161</w:t>
            </w:r>
          </w:p>
        </w:tc>
      </w:tr>
      <w:tr>
        <w:trPr>
          <w:trHeight w:val="166"/>
        </w:trPr>
        <w:tc>
          <w:tcPr>
            <w:tcW w:w="6720" w:type="dxa"/>
            <w:vAlign w:val="bottom"/>
          </w:tcPr>
          <w:p>
            <w:pPr>
              <w:ind w:left="440"/>
              <w:spacing w:after="0"/>
              <w:rPr>
                <w:sz w:val="20"/>
                <w:szCs w:val="20"/>
                <w:color w:val="auto"/>
              </w:rPr>
            </w:pPr>
            <w:r>
              <w:rPr>
                <w:rFonts w:ascii="Courier New" w:cs="Courier New" w:eastAsia="Courier New" w:hAnsi="Courier New"/>
                <w:sz w:val="14"/>
                <w:szCs w:val="14"/>
                <w:color w:val="auto"/>
              </w:rPr>
              <w:t>Income attributable to operating partnership units</w:t>
            </w:r>
          </w:p>
        </w:tc>
        <w:tc>
          <w:tcPr>
            <w:tcW w:w="5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335</w:t>
            </w:r>
          </w:p>
        </w:tc>
        <w:tc>
          <w:tcPr>
            <w:tcW w:w="2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740</w:t>
            </w:r>
          </w:p>
        </w:tc>
        <w:tc>
          <w:tcPr>
            <w:tcW w:w="2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1,384</w:t>
            </w:r>
          </w:p>
        </w:tc>
      </w:tr>
      <w:tr>
        <w:trPr>
          <w:trHeight w:val="166"/>
        </w:trPr>
        <w:tc>
          <w:tcPr>
            <w:tcW w:w="672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720" w:type="dxa"/>
            <w:vAlign w:val="bottom"/>
          </w:tcPr>
          <w:p>
            <w:pPr>
              <w:ind w:left="440"/>
              <w:spacing w:after="0"/>
              <w:rPr>
                <w:sz w:val="20"/>
                <w:szCs w:val="20"/>
                <w:color w:val="auto"/>
              </w:rPr>
            </w:pPr>
            <w:r>
              <w:rPr>
                <w:rFonts w:ascii="Courier New" w:cs="Courier New" w:eastAsia="Courier New" w:hAnsi="Courier New"/>
                <w:sz w:val="14"/>
                <w:szCs w:val="14"/>
                <w:color w:val="auto"/>
              </w:rPr>
              <w:t>Funds from operations</w:t>
            </w:r>
          </w:p>
        </w:tc>
        <w:tc>
          <w:tcPr>
            <w:tcW w:w="5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14,022</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28,508</w:t>
            </w:r>
          </w:p>
        </w:tc>
        <w:tc>
          <w:tcPr>
            <w:tcW w:w="2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90,503</w:t>
            </w:r>
          </w:p>
        </w:tc>
        <w:tc>
          <w:tcPr>
            <w:tcW w:w="2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110,432</w:t>
            </w:r>
          </w:p>
        </w:tc>
      </w:tr>
      <w:tr>
        <w:trPr>
          <w:trHeight w:val="166"/>
        </w:trPr>
        <w:tc>
          <w:tcPr>
            <w:tcW w:w="6720" w:type="dxa"/>
            <w:vAlign w:val="bottom"/>
          </w:tcPr>
          <w:p>
            <w:pPr>
              <w:ind w:left="440"/>
              <w:spacing w:after="0"/>
              <w:rPr>
                <w:sz w:val="20"/>
                <w:szCs w:val="20"/>
                <w:color w:val="auto"/>
              </w:rPr>
            </w:pPr>
            <w:r>
              <w:rPr>
                <w:rFonts w:ascii="Courier New" w:cs="Courier New" w:eastAsia="Courier New" w:hAnsi="Courier New"/>
                <w:sz w:val="14"/>
                <w:szCs w:val="14"/>
                <w:color w:val="auto"/>
              </w:rPr>
              <w:t>Add back restructuring expense</w:t>
            </w:r>
          </w:p>
        </w:tc>
        <w:tc>
          <w:tcPr>
            <w:tcW w:w="5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13,780</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22,269</w:t>
            </w:r>
          </w:p>
        </w:tc>
        <w:tc>
          <w:tcPr>
            <w:tcW w:w="2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72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720" w:type="dxa"/>
            <w:vAlign w:val="bottom"/>
          </w:tcPr>
          <w:p>
            <w:pPr>
              <w:ind w:left="440"/>
              <w:spacing w:after="0"/>
              <w:rPr>
                <w:sz w:val="20"/>
                <w:szCs w:val="20"/>
                <w:color w:val="auto"/>
              </w:rPr>
            </w:pPr>
            <w:r>
              <w:rPr>
                <w:rFonts w:ascii="Courier New" w:cs="Courier New" w:eastAsia="Courier New" w:hAnsi="Courier New"/>
                <w:sz w:val="14"/>
                <w:szCs w:val="14"/>
                <w:color w:val="auto"/>
              </w:rPr>
              <w:t>Adjusted funds from operations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27,802</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28,508</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$ 112,772</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$ 110,432</w:t>
            </w:r>
          </w:p>
        </w:tc>
      </w:tr>
      <w:tr>
        <w:trPr>
          <w:trHeight w:val="166"/>
        </w:trPr>
        <w:tc>
          <w:tcPr>
            <w:tcW w:w="672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720" w:type="dxa"/>
            <w:vAlign w:val="bottom"/>
          </w:tcPr>
          <w:p>
            <w:pPr>
              <w:ind w:left="700"/>
              <w:spacing w:after="0"/>
              <w:rPr>
                <w:sz w:val="20"/>
                <w:szCs w:val="20"/>
                <w:color w:val="auto"/>
              </w:rPr>
            </w:pPr>
            <w:r>
              <w:rPr>
                <w:rFonts w:ascii="Courier New" w:cs="Courier New" w:eastAsia="Courier New" w:hAnsi="Courier New"/>
                <w:sz w:val="14"/>
                <w:szCs w:val="14"/>
                <w:color w:val="auto"/>
              </w:rPr>
              <w:t>Weighted average number of common shares, diluted</w:t>
            </w:r>
          </w:p>
        </w:tc>
        <w:tc>
          <w:tcPr>
            <w:tcW w:w="5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44,251</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40,653</w:t>
            </w:r>
          </w:p>
        </w:tc>
        <w:tc>
          <w:tcPr>
            <w:tcW w:w="2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42,882</w:t>
            </w:r>
          </w:p>
        </w:tc>
        <w:tc>
          <w:tcPr>
            <w:tcW w:w="2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40,266</w:t>
            </w:r>
          </w:p>
        </w:tc>
      </w:tr>
      <w:tr>
        <w:trPr>
          <w:trHeight w:val="166"/>
        </w:trPr>
        <w:tc>
          <w:tcPr>
            <w:tcW w:w="672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720" w:type="dxa"/>
            <w:vAlign w:val="bottom"/>
          </w:tcPr>
          <w:p>
            <w:pPr>
              <w:ind w:left="440"/>
              <w:spacing w:after="0"/>
              <w:rPr>
                <w:sz w:val="20"/>
                <w:szCs w:val="20"/>
                <w:color w:val="auto"/>
              </w:rPr>
            </w:pPr>
            <w:r>
              <w:rPr>
                <w:rFonts w:ascii="Courier New" w:cs="Courier New" w:eastAsia="Courier New" w:hAnsi="Courier New"/>
                <w:sz w:val="14"/>
                <w:szCs w:val="14"/>
                <w:color w:val="auto"/>
              </w:rPr>
              <w:t>Adjusted funds from operations per share</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0.63</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2.74</w:t>
            </w:r>
          </w:p>
        </w:tc>
      </w:tr>
      <w:tr>
        <w:trPr>
          <w:trHeight w:val="166"/>
        </w:trPr>
        <w:tc>
          <w:tcPr>
            <w:tcW w:w="672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6720" w:type="dxa"/>
            <w:vAlign w:val="bottom"/>
          </w:tcPr>
          <w:p>
            <w:pPr>
              <w:spacing w:after="0"/>
              <w:rPr>
                <w:sz w:val="20"/>
                <w:szCs w:val="20"/>
                <w:color w:val="auto"/>
              </w:rPr>
            </w:pPr>
            <w:r>
              <w:rPr>
                <w:rFonts w:ascii="Courier New" w:cs="Courier New" w:eastAsia="Courier New" w:hAnsi="Courier New"/>
                <w:sz w:val="14"/>
                <w:szCs w:val="14"/>
                <w:color w:val="auto"/>
              </w:rPr>
              <w:t>Earnings per common share, basic</w:t>
            </w: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6720" w:type="dxa"/>
            <w:vAlign w:val="bottom"/>
          </w:tcPr>
          <w:p>
            <w:pPr>
              <w:ind w:left="100"/>
              <w:spacing w:after="0"/>
              <w:rPr>
                <w:sz w:val="20"/>
                <w:szCs w:val="20"/>
                <w:color w:val="auto"/>
              </w:rPr>
            </w:pPr>
            <w:r>
              <w:rPr>
                <w:rFonts w:ascii="Courier New" w:cs="Courier New" w:eastAsia="Courier New" w:hAnsi="Courier New"/>
                <w:sz w:val="14"/>
                <w:szCs w:val="14"/>
                <w:color w:val="auto"/>
              </w:rPr>
              <w:t>Income (loss) before gain on sale of real estate net of loss on abandoned</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720" w:type="dxa"/>
            <w:vAlign w:val="bottom"/>
          </w:tcPr>
          <w:p>
            <w:pPr>
              <w:ind w:left="440"/>
              <w:spacing w:after="0"/>
              <w:rPr>
                <w:sz w:val="20"/>
                <w:szCs w:val="20"/>
                <w:color w:val="auto"/>
              </w:rPr>
            </w:pPr>
            <w:r>
              <w:rPr>
                <w:rFonts w:ascii="Courier New" w:cs="Courier New" w:eastAsia="Courier New" w:hAnsi="Courier New"/>
                <w:sz w:val="14"/>
                <w:szCs w:val="14"/>
                <w:color w:val="auto"/>
              </w:rPr>
              <w:t>developments held for sale and discontinued operations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(0.05)</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w:t>
            </w:r>
          </w:p>
        </w:tc>
      </w:tr>
      <w:tr>
        <w:trPr>
          <w:trHeight w:val="166"/>
        </w:trPr>
        <w:tc>
          <w:tcPr>
            <w:tcW w:w="6720" w:type="dxa"/>
            <w:vAlign w:val="bottom"/>
          </w:tcPr>
          <w:p>
            <w:pPr>
              <w:ind w:left="100"/>
              <w:spacing w:after="0"/>
              <w:rPr>
                <w:sz w:val="20"/>
                <w:szCs w:val="20"/>
                <w:color w:val="auto"/>
              </w:rPr>
            </w:pPr>
            <w:r>
              <w:rPr>
                <w:rFonts w:ascii="Courier New" w:cs="Courier New" w:eastAsia="Courier New" w:hAnsi="Courier New"/>
                <w:sz w:val="14"/>
                <w:szCs w:val="14"/>
                <w:color w:val="auto"/>
              </w:rPr>
              <w:t>Discontinued operations</w:t>
            </w:r>
          </w:p>
        </w:tc>
        <w:tc>
          <w:tcPr>
            <w:tcW w:w="5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0.02</w:t>
            </w:r>
          </w:p>
        </w:tc>
        <w:tc>
          <w:tcPr>
            <w:tcW w:w="2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0.03</w:t>
            </w:r>
          </w:p>
        </w:tc>
        <w:tc>
          <w:tcPr>
            <w:tcW w:w="2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0.09</w:t>
            </w:r>
          </w:p>
        </w:tc>
      </w:tr>
      <w:tr>
        <w:trPr>
          <w:trHeight w:val="166"/>
        </w:trPr>
        <w:tc>
          <w:tcPr>
            <w:tcW w:w="6720" w:type="dxa"/>
            <w:vAlign w:val="bottom"/>
          </w:tcPr>
          <w:p>
            <w:pPr>
              <w:ind w:left="100"/>
              <w:spacing w:after="0"/>
              <w:rPr>
                <w:sz w:val="20"/>
                <w:szCs w:val="20"/>
                <w:color w:val="auto"/>
              </w:rPr>
            </w:pPr>
            <w:r>
              <w:rPr>
                <w:rFonts w:ascii="Courier New" w:cs="Courier New" w:eastAsia="Courier New" w:hAnsi="Courier New"/>
                <w:sz w:val="14"/>
                <w:szCs w:val="14"/>
                <w:color w:val="auto"/>
              </w:rPr>
              <w:t>Gain on sale of real estate net of loss on abandoned developments held</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720" w:type="dxa"/>
            <w:vAlign w:val="bottom"/>
          </w:tcPr>
          <w:p>
            <w:pPr>
              <w:ind w:left="260"/>
              <w:spacing w:after="0"/>
              <w:rPr>
                <w:sz w:val="20"/>
                <w:szCs w:val="20"/>
                <w:color w:val="auto"/>
              </w:rPr>
            </w:pPr>
            <w:r>
              <w:rPr>
                <w:rFonts w:ascii="Courier New" w:cs="Courier New" w:eastAsia="Courier New" w:hAnsi="Courier New"/>
                <w:sz w:val="14"/>
                <w:szCs w:val="14"/>
                <w:color w:val="auto"/>
              </w:rPr>
              <w:t>for sale</w:t>
            </w:r>
          </w:p>
        </w:tc>
        <w:tc>
          <w:tcPr>
            <w:tcW w:w="5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0.03</w:t>
            </w:r>
          </w:p>
        </w:tc>
        <w:tc>
          <w:tcPr>
            <w:tcW w:w="2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0.23</w:t>
            </w:r>
          </w:p>
        </w:tc>
        <w:tc>
          <w:tcPr>
            <w:tcW w:w="2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0.23</w:t>
            </w:r>
          </w:p>
        </w:tc>
      </w:tr>
      <w:tr>
        <w:trPr>
          <w:trHeight w:val="166"/>
        </w:trPr>
        <w:tc>
          <w:tcPr>
            <w:tcW w:w="672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72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(0.05)</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w:t>
            </w:r>
          </w:p>
        </w:tc>
      </w:tr>
      <w:tr>
        <w:trPr>
          <w:trHeight w:val="166"/>
        </w:trPr>
        <w:tc>
          <w:tcPr>
            <w:tcW w:w="672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720" w:type="dxa"/>
            <w:vAlign w:val="bottom"/>
          </w:tcPr>
          <w:p>
            <w:pPr>
              <w:ind w:left="440"/>
              <w:spacing w:after="0"/>
              <w:rPr>
                <w:sz w:val="20"/>
                <w:szCs w:val="20"/>
                <w:color w:val="auto"/>
              </w:rPr>
            </w:pPr>
            <w:r>
              <w:rPr>
                <w:rFonts w:ascii="Courier New" w:cs="Courier New" w:eastAsia="Courier New" w:hAnsi="Courier New"/>
                <w:sz w:val="14"/>
                <w:szCs w:val="14"/>
                <w:color w:val="auto"/>
              </w:rPr>
              <w:t>Weighted average number of common shares, basic</w:t>
            </w:r>
          </w:p>
        </w:tc>
        <w:tc>
          <w:tcPr>
            <w:tcW w:w="5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43,014</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39,473</w:t>
            </w:r>
          </w:p>
        </w:tc>
        <w:tc>
          <w:tcPr>
            <w:tcW w:w="2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41,624</w:t>
            </w:r>
          </w:p>
        </w:tc>
        <w:tc>
          <w:tcPr>
            <w:tcW w:w="2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39,164</w:t>
            </w:r>
          </w:p>
        </w:tc>
      </w:tr>
      <w:tr>
        <w:trPr>
          <w:trHeight w:val="166"/>
        </w:trPr>
        <w:tc>
          <w:tcPr>
            <w:tcW w:w="672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6720" w:type="dxa"/>
            <w:vAlign w:val="bottom"/>
          </w:tcPr>
          <w:p>
            <w:pPr>
              <w:spacing w:after="0"/>
              <w:rPr>
                <w:sz w:val="20"/>
                <w:szCs w:val="20"/>
                <w:color w:val="auto"/>
              </w:rPr>
            </w:pPr>
            <w:r>
              <w:rPr>
                <w:rFonts w:ascii="Courier New" w:cs="Courier New" w:eastAsia="Courier New" w:hAnsi="Courier New"/>
                <w:sz w:val="14"/>
                <w:szCs w:val="14"/>
                <w:color w:val="auto"/>
              </w:rPr>
              <w:t>Earnings per common share, diluted</w:t>
            </w: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6720" w:type="dxa"/>
            <w:vAlign w:val="bottom"/>
          </w:tcPr>
          <w:p>
            <w:pPr>
              <w:ind w:left="100"/>
              <w:spacing w:after="0"/>
              <w:rPr>
                <w:sz w:val="20"/>
                <w:szCs w:val="20"/>
                <w:color w:val="auto"/>
              </w:rPr>
            </w:pPr>
            <w:r>
              <w:rPr>
                <w:rFonts w:ascii="Courier New" w:cs="Courier New" w:eastAsia="Courier New" w:hAnsi="Courier New"/>
                <w:sz w:val="14"/>
                <w:szCs w:val="14"/>
                <w:color w:val="auto"/>
              </w:rPr>
              <w:t>Income (loss) before gain on sale of real estate net of loss on abandoned</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720" w:type="dxa"/>
            <w:vAlign w:val="bottom"/>
          </w:tcPr>
          <w:p>
            <w:pPr>
              <w:ind w:left="440"/>
              <w:spacing w:after="0"/>
              <w:rPr>
                <w:sz w:val="20"/>
                <w:szCs w:val="20"/>
                <w:color w:val="auto"/>
              </w:rPr>
            </w:pPr>
            <w:r>
              <w:rPr>
                <w:rFonts w:ascii="Courier New" w:cs="Courier New" w:eastAsia="Courier New" w:hAnsi="Courier New"/>
                <w:sz w:val="14"/>
                <w:szCs w:val="14"/>
                <w:color w:val="auto"/>
              </w:rPr>
              <w:t>developments held for sale and discontinued operations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(0.05)</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w:t>
            </w:r>
          </w:p>
        </w:tc>
      </w:tr>
      <w:tr>
        <w:trPr>
          <w:trHeight w:val="166"/>
        </w:trPr>
        <w:tc>
          <w:tcPr>
            <w:tcW w:w="6720" w:type="dxa"/>
            <w:vAlign w:val="bottom"/>
          </w:tcPr>
          <w:p>
            <w:pPr>
              <w:ind w:left="100"/>
              <w:spacing w:after="0"/>
              <w:rPr>
                <w:sz w:val="20"/>
                <w:szCs w:val="20"/>
                <w:color w:val="auto"/>
              </w:rPr>
            </w:pPr>
            <w:r>
              <w:rPr>
                <w:rFonts w:ascii="Courier New" w:cs="Courier New" w:eastAsia="Courier New" w:hAnsi="Courier New"/>
                <w:sz w:val="14"/>
                <w:szCs w:val="14"/>
                <w:color w:val="auto"/>
              </w:rPr>
              <w:t>Discontinued operations</w:t>
            </w:r>
          </w:p>
        </w:tc>
        <w:tc>
          <w:tcPr>
            <w:tcW w:w="5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0.02</w:t>
            </w:r>
          </w:p>
        </w:tc>
        <w:tc>
          <w:tcPr>
            <w:tcW w:w="2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0.03</w:t>
            </w:r>
          </w:p>
        </w:tc>
        <w:tc>
          <w:tcPr>
            <w:tcW w:w="2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0.09</w:t>
            </w:r>
          </w:p>
        </w:tc>
      </w:tr>
      <w:tr>
        <w:trPr>
          <w:trHeight w:val="166"/>
        </w:trPr>
        <w:tc>
          <w:tcPr>
            <w:tcW w:w="6720" w:type="dxa"/>
            <w:vAlign w:val="bottom"/>
          </w:tcPr>
          <w:p>
            <w:pPr>
              <w:ind w:left="100"/>
              <w:spacing w:after="0"/>
              <w:rPr>
                <w:sz w:val="20"/>
                <w:szCs w:val="20"/>
                <w:color w:val="auto"/>
              </w:rPr>
            </w:pPr>
            <w:r>
              <w:rPr>
                <w:rFonts w:ascii="Courier New" w:cs="Courier New" w:eastAsia="Courier New" w:hAnsi="Courier New"/>
                <w:sz w:val="14"/>
                <w:szCs w:val="14"/>
                <w:color w:val="auto"/>
              </w:rPr>
              <w:t>Gain on sale of real estate net of loss on abandoned developments held</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720" w:type="dxa"/>
            <w:vAlign w:val="bottom"/>
          </w:tcPr>
          <w:p>
            <w:pPr>
              <w:ind w:left="440"/>
              <w:spacing w:after="0"/>
              <w:rPr>
                <w:sz w:val="20"/>
                <w:szCs w:val="20"/>
                <w:color w:val="auto"/>
              </w:rPr>
            </w:pPr>
            <w:r>
              <w:rPr>
                <w:rFonts w:ascii="Courier New" w:cs="Courier New" w:eastAsia="Courier New" w:hAnsi="Courier New"/>
                <w:sz w:val="14"/>
                <w:szCs w:val="14"/>
                <w:color w:val="auto"/>
              </w:rPr>
              <w:t>for sale</w:t>
            </w:r>
          </w:p>
        </w:tc>
        <w:tc>
          <w:tcPr>
            <w:tcW w:w="5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0.03</w:t>
            </w:r>
          </w:p>
        </w:tc>
        <w:tc>
          <w:tcPr>
            <w:tcW w:w="2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0.22</w:t>
            </w:r>
          </w:p>
        </w:tc>
        <w:tc>
          <w:tcPr>
            <w:tcW w:w="2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0.23</w:t>
            </w:r>
          </w:p>
        </w:tc>
      </w:tr>
      <w:tr>
        <w:trPr>
          <w:trHeight w:val="166"/>
        </w:trPr>
        <w:tc>
          <w:tcPr>
            <w:tcW w:w="672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72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(0.05)</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w:t>
            </w:r>
          </w:p>
        </w:tc>
      </w:tr>
      <w:tr>
        <w:trPr>
          <w:trHeight w:val="166"/>
        </w:trPr>
        <w:tc>
          <w:tcPr>
            <w:tcW w:w="672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720" w:type="dxa"/>
            <w:vAlign w:val="bottom"/>
          </w:tcPr>
          <w:p>
            <w:pPr>
              <w:ind w:left="440"/>
              <w:spacing w:after="0"/>
              <w:rPr>
                <w:sz w:val="20"/>
                <w:szCs w:val="20"/>
                <w:color w:val="auto"/>
              </w:rPr>
            </w:pPr>
            <w:r>
              <w:rPr>
                <w:rFonts w:ascii="Courier New" w:cs="Courier New" w:eastAsia="Courier New" w:hAnsi="Courier New"/>
                <w:sz w:val="14"/>
                <w:szCs w:val="14"/>
                <w:color w:val="auto"/>
              </w:rPr>
              <w:t>Weighted average number of common shares, diluted</w:t>
            </w:r>
          </w:p>
        </w:tc>
        <w:tc>
          <w:tcPr>
            <w:tcW w:w="5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44,251</w:t>
            </w:r>
          </w:p>
        </w:tc>
        <w:tc>
          <w:tcPr>
            <w:tcW w:w="4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40,653</w:t>
            </w:r>
          </w:p>
        </w:tc>
        <w:tc>
          <w:tcPr>
            <w:tcW w:w="2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42,882</w:t>
            </w:r>
          </w:p>
        </w:tc>
        <w:tc>
          <w:tcPr>
            <w:tcW w:w="2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40,266</w:t>
            </w:r>
          </w:p>
        </w:tc>
      </w:tr>
      <w:tr>
        <w:trPr>
          <w:trHeight w:val="166"/>
        </w:trPr>
        <w:tc>
          <w:tcPr>
            <w:tcW w:w="672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1380"/>
          </w:cols>
          <w:pgMar w:left="220" w:top="616" w:right="299" w:bottom="588"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Sheet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Financial Highlights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40" w:type="dxa"/>
            <w:vAlign w:val="bottom"/>
          </w:tcPr>
          <w:p>
            <w:pPr>
              <w:ind w:left="1900"/>
              <w:spacing w:after="0"/>
              <w:rPr>
                <w:sz w:val="20"/>
                <w:szCs w:val="20"/>
                <w:color w:val="auto"/>
              </w:rPr>
            </w:pPr>
            <w:r>
              <w:rPr>
                <w:rFonts w:ascii="Courier New" w:cs="Courier New" w:eastAsia="Courier New" w:hAnsi="Courier New"/>
                <w:sz w:val="14"/>
                <w:szCs w:val="14"/>
                <w:color w:val="auto"/>
              </w:rPr>
              <w:t>(in thousands, except per share data)</w:t>
            </w:r>
          </w:p>
        </w:tc>
        <w:tc>
          <w:tcPr>
            <w:tcW w:w="19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663"/>
        </w:trPr>
        <w:tc>
          <w:tcPr>
            <w:tcW w:w="634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December 31,</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63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2002</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6340" w:type="dxa"/>
            <w:vAlign w:val="bottom"/>
          </w:tcPr>
          <w:p>
            <w:pPr>
              <w:spacing w:after="0"/>
              <w:rPr>
                <w:sz w:val="14"/>
                <w:szCs w:val="14"/>
                <w:color w:val="auto"/>
              </w:rPr>
            </w:pP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63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9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1"/>
        </w:trPr>
        <w:tc>
          <w:tcPr>
            <w:tcW w:w="6340" w:type="dxa"/>
            <w:vAlign w:val="bottom"/>
          </w:tcPr>
          <w:p>
            <w:pPr>
              <w:spacing w:after="0"/>
              <w:rPr>
                <w:sz w:val="20"/>
                <w:szCs w:val="20"/>
                <w:color w:val="auto"/>
              </w:rPr>
            </w:pPr>
            <w:r>
              <w:rPr>
                <w:rFonts w:ascii="Courier New" w:cs="Courier New" w:eastAsia="Courier New" w:hAnsi="Courier New"/>
                <w:sz w:val="14"/>
                <w:szCs w:val="14"/>
                <w:color w:val="auto"/>
              </w:rPr>
              <w:t>Real estate, at cost</w:t>
            </w:r>
          </w:p>
        </w:tc>
        <w:tc>
          <w:tcPr>
            <w:tcW w:w="19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6340" w:type="dxa"/>
            <w:vAlign w:val="bottom"/>
          </w:tcPr>
          <w:p>
            <w:pPr>
              <w:ind w:left="100"/>
              <w:spacing w:after="0"/>
              <w:rPr>
                <w:sz w:val="20"/>
                <w:szCs w:val="20"/>
                <w:color w:val="auto"/>
              </w:rPr>
            </w:pPr>
            <w:r>
              <w:rPr>
                <w:rFonts w:ascii="Courier New" w:cs="Courier New" w:eastAsia="Courier New" w:hAnsi="Courier New"/>
                <w:sz w:val="14"/>
                <w:szCs w:val="14"/>
                <w:color w:val="auto"/>
              </w:rPr>
              <w:t>Operating</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$ 1,864,244</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$ 1,741,385</w:t>
            </w:r>
          </w:p>
        </w:tc>
      </w:tr>
      <w:tr>
        <w:trPr>
          <w:trHeight w:val="166"/>
        </w:trPr>
        <w:tc>
          <w:tcPr>
            <w:tcW w:w="6340" w:type="dxa"/>
            <w:vAlign w:val="bottom"/>
          </w:tcPr>
          <w:p>
            <w:pPr>
              <w:ind w:left="100"/>
              <w:spacing w:after="0"/>
              <w:rPr>
                <w:sz w:val="20"/>
                <w:szCs w:val="20"/>
                <w:color w:val="auto"/>
              </w:rPr>
            </w:pPr>
            <w:r>
              <w:rPr>
                <w:rFonts w:ascii="Courier New" w:cs="Courier New" w:eastAsia="Courier New" w:hAnsi="Courier New"/>
                <w:sz w:val="14"/>
                <w:szCs w:val="14"/>
                <w:color w:val="auto"/>
              </w:rPr>
              <w:t>Development</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442,582</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321,986</w:t>
            </w:r>
          </w:p>
        </w:tc>
      </w:tr>
      <w:tr>
        <w:trPr>
          <w:trHeight w:val="166"/>
        </w:trPr>
        <w:tc>
          <w:tcPr>
            <w:tcW w:w="6340" w:type="dxa"/>
            <w:vAlign w:val="bottom"/>
          </w:tcPr>
          <w:p>
            <w:pPr>
              <w:ind w:left="100"/>
              <w:spacing w:after="0"/>
              <w:rPr>
                <w:sz w:val="20"/>
                <w:szCs w:val="20"/>
                <w:color w:val="auto"/>
              </w:rPr>
            </w:pPr>
            <w:r>
              <w:rPr>
                <w:rFonts w:ascii="Courier New" w:cs="Courier New" w:eastAsia="Courier New" w:hAnsi="Courier New"/>
                <w:sz w:val="14"/>
                <w:szCs w:val="14"/>
                <w:color w:val="auto"/>
              </w:rPr>
              <w:t>Discontinued operations</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40,933</w:t>
            </w:r>
          </w:p>
        </w:tc>
      </w:tr>
      <w:tr>
        <w:trPr>
          <w:trHeight w:val="166"/>
        </w:trPr>
        <w:tc>
          <w:tcPr>
            <w:tcW w:w="6340" w:type="dxa"/>
            <w:vAlign w:val="bottom"/>
          </w:tcPr>
          <w:p>
            <w:pPr>
              <w:spacing w:after="0"/>
              <w:rPr>
                <w:sz w:val="14"/>
                <w:szCs w:val="14"/>
                <w:color w:val="auto"/>
              </w:rPr>
            </w:pP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340" w:type="dxa"/>
            <w:vAlign w:val="bottom"/>
          </w:tcPr>
          <w:p>
            <w:pPr>
              <w:spacing w:after="0"/>
              <w:rPr>
                <w:sz w:val="14"/>
                <w:szCs w:val="14"/>
                <w:color w:val="auto"/>
              </w:rPr>
            </w:pP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2,306,826</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2,104,304</w:t>
            </w:r>
          </w:p>
        </w:tc>
      </w:tr>
      <w:tr>
        <w:trPr>
          <w:trHeight w:val="166"/>
        </w:trPr>
        <w:tc>
          <w:tcPr>
            <w:tcW w:w="6340" w:type="dxa"/>
            <w:vAlign w:val="bottom"/>
          </w:tcPr>
          <w:p>
            <w:pPr>
              <w:ind w:left="100"/>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(450,697)</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(395,767)</w:t>
            </w:r>
          </w:p>
        </w:tc>
      </w:tr>
      <w:tr>
        <w:trPr>
          <w:trHeight w:val="166"/>
        </w:trPr>
        <w:tc>
          <w:tcPr>
            <w:tcW w:w="6340" w:type="dxa"/>
            <w:vAlign w:val="bottom"/>
          </w:tcPr>
          <w:p>
            <w:pPr>
              <w:spacing w:after="0"/>
              <w:rPr>
                <w:sz w:val="14"/>
                <w:szCs w:val="14"/>
                <w:color w:val="auto"/>
              </w:rPr>
            </w:pP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340" w:type="dxa"/>
            <w:vAlign w:val="bottom"/>
          </w:tcPr>
          <w:p>
            <w:pPr>
              <w:spacing w:after="0"/>
              <w:rPr>
                <w:sz w:val="14"/>
                <w:szCs w:val="14"/>
                <w:color w:val="auto"/>
              </w:rPr>
            </w:pP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1,856,129</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1,708,537</w:t>
            </w:r>
          </w:p>
        </w:tc>
      </w:tr>
      <w:tr>
        <w:trPr>
          <w:trHeight w:val="166"/>
        </w:trPr>
        <w:tc>
          <w:tcPr>
            <w:tcW w:w="634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9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6340" w:type="dxa"/>
            <w:vAlign w:val="bottom"/>
          </w:tcPr>
          <w:p>
            <w:pPr>
              <w:ind w:left="100"/>
              <w:spacing w:after="0"/>
              <w:rPr>
                <w:sz w:val="20"/>
                <w:szCs w:val="20"/>
                <w:color w:val="auto"/>
              </w:rPr>
            </w:pPr>
            <w:r>
              <w:rPr>
                <w:rFonts w:ascii="Courier New" w:cs="Courier New" w:eastAsia="Courier New" w:hAnsi="Courier New"/>
                <w:sz w:val="14"/>
                <w:szCs w:val="14"/>
                <w:color w:val="auto"/>
              </w:rPr>
              <w:t>Mortgage notes receivable</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35,577</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35,607</w:t>
            </w:r>
          </w:p>
        </w:tc>
      </w:tr>
      <w:tr>
        <w:trPr>
          <w:trHeight w:val="166"/>
        </w:trPr>
        <w:tc>
          <w:tcPr>
            <w:tcW w:w="6340" w:type="dxa"/>
            <w:vAlign w:val="bottom"/>
          </w:tcPr>
          <w:p>
            <w:pPr>
              <w:ind w:left="100"/>
              <w:spacing w:after="0"/>
              <w:rPr>
                <w:sz w:val="20"/>
                <w:szCs w:val="20"/>
                <w:color w:val="auto"/>
              </w:rPr>
            </w:pPr>
            <w:r>
              <w:rPr>
                <w:rFonts w:ascii="Courier New" w:cs="Courier New" w:eastAsia="Courier New" w:hAnsi="Courier New"/>
                <w:sz w:val="14"/>
                <w:szCs w:val="14"/>
                <w:color w:val="auto"/>
              </w:rPr>
              <w:t>Cash and investments</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23,123</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17,563</w:t>
            </w:r>
          </w:p>
        </w:tc>
      </w:tr>
      <w:tr>
        <w:trPr>
          <w:trHeight w:val="166"/>
        </w:trPr>
        <w:tc>
          <w:tcPr>
            <w:tcW w:w="6340" w:type="dxa"/>
            <w:vAlign w:val="bottom"/>
          </w:tcPr>
          <w:p>
            <w:pPr>
              <w:ind w:left="100"/>
              <w:spacing w:after="0"/>
              <w:rPr>
                <w:sz w:val="20"/>
                <w:szCs w:val="20"/>
                <w:color w:val="auto"/>
              </w:rPr>
            </w:pPr>
            <w:r>
              <w:rPr>
                <w:rFonts w:ascii="Courier New" w:cs="Courier New" w:eastAsia="Courier New" w:hAnsi="Courier New"/>
                <w:sz w:val="14"/>
                <w:szCs w:val="14"/>
                <w:color w:val="auto"/>
              </w:rPr>
              <w:t>Receivables</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18,722</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15,483</w:t>
            </w:r>
          </w:p>
        </w:tc>
      </w:tr>
      <w:tr>
        <w:trPr>
          <w:trHeight w:val="166"/>
        </w:trPr>
        <w:tc>
          <w:tcPr>
            <w:tcW w:w="6340" w:type="dxa"/>
            <w:vAlign w:val="bottom"/>
          </w:tcPr>
          <w:p>
            <w:pPr>
              <w:ind w:left="100"/>
              <w:spacing w:after="0"/>
              <w:rPr>
                <w:sz w:val="20"/>
                <w:szCs w:val="20"/>
                <w:color w:val="auto"/>
              </w:rPr>
            </w:pPr>
            <w:r>
              <w:rPr>
                <w:rFonts w:ascii="Courier New" w:cs="Courier New" w:eastAsia="Courier New" w:hAnsi="Courier New"/>
                <w:sz w:val="14"/>
                <w:szCs w:val="14"/>
                <w:color w:val="auto"/>
              </w:rPr>
              <w:t>Tax deferred exchange escrows</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6,006</w:t>
            </w:r>
          </w:p>
        </w:tc>
      </w:tr>
      <w:tr>
        <w:trPr>
          <w:trHeight w:val="166"/>
        </w:trPr>
        <w:tc>
          <w:tcPr>
            <w:tcW w:w="6340" w:type="dxa"/>
            <w:vAlign w:val="bottom"/>
          </w:tcPr>
          <w:p>
            <w:pPr>
              <w:ind w:left="100"/>
              <w:spacing w:after="0"/>
              <w:rPr>
                <w:sz w:val="20"/>
                <w:szCs w:val="20"/>
                <w:color w:val="auto"/>
              </w:rPr>
            </w:pPr>
            <w:r>
              <w:rPr>
                <w:rFonts w:ascii="Courier New" w:cs="Courier New" w:eastAsia="Courier New" w:hAnsi="Courier New"/>
                <w:sz w:val="14"/>
                <w:szCs w:val="14"/>
                <w:color w:val="auto"/>
              </w:rPr>
              <w:t>Other assets</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65,827</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51,685</w:t>
            </w:r>
          </w:p>
        </w:tc>
      </w:tr>
      <w:tr>
        <w:trPr>
          <w:trHeight w:val="166"/>
        </w:trPr>
        <w:tc>
          <w:tcPr>
            <w:tcW w:w="6340" w:type="dxa"/>
            <w:vAlign w:val="bottom"/>
          </w:tcPr>
          <w:p>
            <w:pPr>
              <w:spacing w:after="0"/>
              <w:rPr>
                <w:sz w:val="14"/>
                <w:szCs w:val="14"/>
                <w:color w:val="auto"/>
              </w:rPr>
            </w:pP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3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$ 1,999,378</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$ 1,834,881</w:t>
            </w:r>
          </w:p>
        </w:tc>
      </w:tr>
      <w:tr>
        <w:trPr>
          <w:trHeight w:val="166"/>
        </w:trPr>
        <w:tc>
          <w:tcPr>
            <w:tcW w:w="6340" w:type="dxa"/>
            <w:vAlign w:val="bottom"/>
          </w:tcPr>
          <w:p>
            <w:pPr>
              <w:spacing w:after="0"/>
              <w:rPr>
                <w:sz w:val="14"/>
                <w:szCs w:val="14"/>
                <w:color w:val="auto"/>
              </w:rPr>
            </w:pP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634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19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1"/>
        </w:trPr>
        <w:tc>
          <w:tcPr>
            <w:tcW w:w="6340" w:type="dxa"/>
            <w:vAlign w:val="bottom"/>
          </w:tcPr>
          <w:p>
            <w:pPr>
              <w:ind w:left="100"/>
              <w:spacing w:after="0"/>
              <w:rPr>
                <w:sz w:val="20"/>
                <w:szCs w:val="20"/>
                <w:color w:val="auto"/>
              </w:rPr>
            </w:pPr>
            <w:r>
              <w:rPr>
                <w:rFonts w:ascii="Courier New" w:cs="Courier New" w:eastAsia="Courier New" w:hAnsi="Courier New"/>
                <w:sz w:val="14"/>
                <w:szCs w:val="14"/>
                <w:color w:val="auto"/>
              </w:rPr>
              <w:t>Obligations under capital leases, mortgages and construction loans</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393,212</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450,336</w:t>
            </w:r>
          </w:p>
        </w:tc>
      </w:tr>
      <w:tr>
        <w:trPr>
          <w:trHeight w:val="166"/>
        </w:trPr>
        <w:tc>
          <w:tcPr>
            <w:tcW w:w="6340" w:type="dxa"/>
            <w:vAlign w:val="bottom"/>
          </w:tcPr>
          <w:p>
            <w:pPr>
              <w:ind w:left="100"/>
              <w:spacing w:after="0"/>
              <w:rPr>
                <w:sz w:val="20"/>
                <w:szCs w:val="20"/>
                <w:color w:val="auto"/>
              </w:rPr>
            </w:pPr>
            <w:r>
              <w:rPr>
                <w:rFonts w:ascii="Courier New" w:cs="Courier New" w:eastAsia="Courier New" w:hAnsi="Courier New"/>
                <w:sz w:val="14"/>
                <w:szCs w:val="14"/>
                <w:color w:val="auto"/>
              </w:rPr>
              <w:t>Notes payable</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198,311</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174,843</w:t>
            </w:r>
          </w:p>
        </w:tc>
      </w:tr>
      <w:tr>
        <w:trPr>
          <w:trHeight w:val="166"/>
        </w:trPr>
        <w:tc>
          <w:tcPr>
            <w:tcW w:w="6340" w:type="dxa"/>
            <w:vAlign w:val="bottom"/>
          </w:tcPr>
          <w:p>
            <w:pPr>
              <w:ind w:left="100"/>
              <w:spacing w:after="0"/>
              <w:rPr>
                <w:sz w:val="20"/>
                <w:szCs w:val="20"/>
                <w:color w:val="auto"/>
              </w:rPr>
            </w:pPr>
            <w:r>
              <w:rPr>
                <w:rFonts w:ascii="Courier New" w:cs="Courier New" w:eastAsia="Courier New" w:hAnsi="Courier New"/>
                <w:sz w:val="14"/>
                <w:szCs w:val="14"/>
                <w:color w:val="auto"/>
              </w:rPr>
              <w:t>Senior notes</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535,000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410,000</w:t>
            </w:r>
          </w:p>
        </w:tc>
      </w:tr>
      <w:tr>
        <w:trPr>
          <w:trHeight w:val="166"/>
        </w:trPr>
        <w:tc>
          <w:tcPr>
            <w:tcW w:w="6340" w:type="dxa"/>
            <w:vAlign w:val="bottom"/>
          </w:tcPr>
          <w:p>
            <w:pPr>
              <w:ind w:left="100"/>
              <w:spacing w:after="0"/>
              <w:rPr>
                <w:sz w:val="20"/>
                <w:szCs w:val="20"/>
                <w:color w:val="auto"/>
              </w:rPr>
            </w:pPr>
            <w:r>
              <w:rPr>
                <w:rFonts w:ascii="Courier New" w:cs="Courier New" w:eastAsia="Courier New" w:hAnsi="Courier New"/>
                <w:sz w:val="14"/>
                <w:szCs w:val="14"/>
                <w:color w:val="auto"/>
              </w:rPr>
              <w:t>5 1/4% Convertible subordinated debentures</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75,000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75,289</w:t>
            </w:r>
          </w:p>
        </w:tc>
      </w:tr>
      <w:tr>
        <w:trPr>
          <w:trHeight w:val="166"/>
        </w:trPr>
        <w:tc>
          <w:tcPr>
            <w:tcW w:w="6340" w:type="dxa"/>
            <w:vAlign w:val="bottom"/>
          </w:tcPr>
          <w:p>
            <w:pPr>
              <w:ind w:left="100"/>
              <w:spacing w:after="0"/>
              <w:rPr>
                <w:sz w:val="20"/>
                <w:szCs w:val="20"/>
                <w:color w:val="auto"/>
              </w:rPr>
            </w:pPr>
            <w:r>
              <w:rPr>
                <w:rFonts w:ascii="Courier New" w:cs="Courier New" w:eastAsia="Courier New" w:hAnsi="Courier New"/>
                <w:sz w:val="14"/>
                <w:szCs w:val="14"/>
                <w:color w:val="auto"/>
              </w:rPr>
              <w:t>Other liabilities</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154,280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135,122</w:t>
            </w:r>
          </w:p>
        </w:tc>
      </w:tr>
      <w:tr>
        <w:trPr>
          <w:trHeight w:val="166"/>
        </w:trPr>
        <w:tc>
          <w:tcPr>
            <w:tcW w:w="6340" w:type="dxa"/>
            <w:vAlign w:val="bottom"/>
          </w:tcPr>
          <w:p>
            <w:pPr>
              <w:spacing w:after="0"/>
              <w:rPr>
                <w:sz w:val="14"/>
                <w:szCs w:val="14"/>
                <w:color w:val="auto"/>
              </w:rPr>
            </w:pP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34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1,355,803</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1,245,590</w:t>
            </w:r>
          </w:p>
        </w:tc>
      </w:tr>
      <w:tr>
        <w:trPr>
          <w:trHeight w:val="331"/>
        </w:trPr>
        <w:tc>
          <w:tcPr>
            <w:tcW w:w="6340" w:type="dxa"/>
            <w:vAlign w:val="bottom"/>
          </w:tcPr>
          <w:p>
            <w:pPr>
              <w:spacing w:after="0"/>
              <w:rPr>
                <w:sz w:val="20"/>
                <w:szCs w:val="20"/>
                <w:color w:val="auto"/>
              </w:rPr>
            </w:pPr>
            <w:r>
              <w:rPr>
                <w:rFonts w:ascii="Courier New" w:cs="Courier New" w:eastAsia="Courier New" w:hAnsi="Courier New"/>
                <w:sz w:val="14"/>
                <w:szCs w:val="14"/>
                <w:color w:val="auto"/>
              </w:rPr>
              <w:t>Preferred stock</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235,000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235,000</w:t>
            </w:r>
          </w:p>
        </w:tc>
      </w:tr>
      <w:tr>
        <w:trPr>
          <w:trHeight w:val="331"/>
        </w:trPr>
        <w:tc>
          <w:tcPr>
            <w:tcW w:w="6340" w:type="dxa"/>
            <w:vAlign w:val="bottom"/>
          </w:tcPr>
          <w:p>
            <w:pPr>
              <w:spacing w:after="0"/>
              <w:rPr>
                <w:sz w:val="20"/>
                <w:szCs w:val="20"/>
                <w:color w:val="auto"/>
              </w:rPr>
            </w:pPr>
            <w:r>
              <w:rPr>
                <w:rFonts w:ascii="Courier New" w:cs="Courier New" w:eastAsia="Courier New" w:hAnsi="Courier New"/>
                <w:sz w:val="14"/>
                <w:szCs w:val="14"/>
                <w:color w:val="auto"/>
              </w:rPr>
              <w:t>Common Shares and Other Shareholders' Equity</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408,575</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354,291</w:t>
            </w:r>
          </w:p>
        </w:tc>
      </w:tr>
      <w:tr>
        <w:trPr>
          <w:trHeight w:val="166"/>
        </w:trPr>
        <w:tc>
          <w:tcPr>
            <w:tcW w:w="6340" w:type="dxa"/>
            <w:vAlign w:val="bottom"/>
          </w:tcPr>
          <w:p>
            <w:pPr>
              <w:spacing w:after="0"/>
              <w:rPr>
                <w:sz w:val="14"/>
                <w:szCs w:val="14"/>
                <w:color w:val="auto"/>
              </w:rPr>
            </w:pP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340" w:type="dxa"/>
            <w:vAlign w:val="bottom"/>
          </w:tcPr>
          <w:p>
            <w:pPr>
              <w:spacing w:after="0"/>
              <w:rPr>
                <w:sz w:val="20"/>
                <w:szCs w:val="20"/>
                <w:color w:val="auto"/>
              </w:rPr>
            </w:pPr>
            <w:r>
              <w:rPr>
                <w:rFonts w:ascii="Courier New" w:cs="Courier New" w:eastAsia="Courier New" w:hAnsi="Courier New"/>
                <w:sz w:val="14"/>
                <w:szCs w:val="14"/>
                <w:color w:val="auto"/>
              </w:rPr>
              <w:t>Total Liabilities and Shareholders' Equity</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$ 1,999,378</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$ 1,834,881</w:t>
            </w:r>
          </w:p>
        </w:tc>
      </w:tr>
      <w:tr>
        <w:trPr>
          <w:trHeight w:val="166"/>
        </w:trPr>
        <w:tc>
          <w:tcPr>
            <w:tcW w:w="6340" w:type="dxa"/>
            <w:vAlign w:val="bottom"/>
          </w:tcPr>
          <w:p>
            <w:pPr>
              <w:spacing w:after="0"/>
              <w:rPr>
                <w:sz w:val="14"/>
                <w:szCs w:val="14"/>
                <w:color w:val="auto"/>
              </w:rPr>
            </w:pP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616"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Funds From Operations / Funds Available for Distribution / Summary of Capital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Expenditures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Three months ended</w:t>
            </w:r>
          </w:p>
        </w:tc>
        <w:tc>
          <w:tcPr>
            <w:tcW w:w="680" w:type="dxa"/>
            <w:vAlign w:val="bottom"/>
          </w:tcPr>
          <w:p>
            <w:pPr>
              <w:spacing w:after="0"/>
              <w:rPr>
                <w:sz w:val="14"/>
                <w:szCs w:val="14"/>
                <w:color w:val="auto"/>
              </w:rPr>
            </w:pPr>
          </w:p>
        </w:tc>
      </w:tr>
      <w:tr>
        <w:trPr>
          <w:trHeight w:val="166"/>
        </w:trPr>
        <w:tc>
          <w:tcPr>
            <w:tcW w:w="6300" w:type="dxa"/>
            <w:vAlign w:val="bottom"/>
          </w:tcPr>
          <w:p>
            <w:pPr>
              <w:spacing w:after="0"/>
              <w:rPr>
                <w:sz w:val="14"/>
                <w:szCs w:val="14"/>
                <w:color w:val="auto"/>
              </w:rPr>
            </w:pPr>
          </w:p>
        </w:tc>
        <w:tc>
          <w:tcPr>
            <w:tcW w:w="20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December 31, 2002</w:t>
            </w:r>
          </w:p>
        </w:tc>
        <w:tc>
          <w:tcPr>
            <w:tcW w:w="16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December 31, 2001</w:t>
            </w:r>
          </w:p>
        </w:tc>
      </w:tr>
      <w:tr>
        <w:trPr>
          <w:trHeight w:val="166"/>
        </w:trPr>
        <w:tc>
          <w:tcPr>
            <w:tcW w:w="6300" w:type="dxa"/>
            <w:vAlign w:val="bottom"/>
          </w:tcPr>
          <w:p>
            <w:pPr>
              <w:spacing w:after="0"/>
              <w:rPr>
                <w:sz w:val="14"/>
                <w:szCs w:val="14"/>
                <w:color w:val="auto"/>
              </w:rPr>
            </w:pPr>
          </w:p>
        </w:tc>
        <w:tc>
          <w:tcPr>
            <w:tcW w:w="20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300" w:type="dxa"/>
            <w:vAlign w:val="bottom"/>
          </w:tcPr>
          <w:p>
            <w:pPr>
              <w:spacing w:after="0"/>
              <w:rPr>
                <w:sz w:val="20"/>
                <w:szCs w:val="20"/>
                <w:color w:val="auto"/>
              </w:rPr>
            </w:pPr>
            <w:r>
              <w:rPr>
                <w:rFonts w:ascii="Courier New" w:cs="Courier New" w:eastAsia="Courier New" w:hAnsi="Courier New"/>
                <w:sz w:val="14"/>
                <w:szCs w:val="14"/>
                <w:color w:val="auto"/>
              </w:rPr>
              <w:t>Funds From Operations, exclusive of restructuring expense (FFO) (1)</w:t>
            </w:r>
          </w:p>
        </w:tc>
        <w:tc>
          <w:tcPr>
            <w:tcW w:w="420" w:type="dxa"/>
            <w:vAlign w:val="bottom"/>
          </w:tcPr>
          <w:p>
            <w:pPr>
              <w:spacing w:after="0"/>
              <w:rPr>
                <w:sz w:val="14"/>
                <w:szCs w:val="14"/>
                <w:color w:val="auto"/>
              </w:rPr>
            </w:pPr>
          </w:p>
        </w:tc>
        <w:tc>
          <w:tcPr>
            <w:tcW w:w="32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(in thousands, except per share data)</w:t>
            </w:r>
          </w:p>
        </w:tc>
      </w:tr>
      <w:tr>
        <w:trPr>
          <w:trHeight w:val="166"/>
        </w:trPr>
        <w:tc>
          <w:tcPr>
            <w:tcW w:w="6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Net income available for common shareholders</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(2,078)</w:t>
            </w:r>
          </w:p>
        </w:tc>
        <w:tc>
          <w:tcPr>
            <w:tcW w:w="10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14,103</w:t>
            </w:r>
          </w:p>
        </w:tc>
      </w:tr>
      <w:tr>
        <w:trPr>
          <w:trHeight w:val="166"/>
        </w:trPr>
        <w:tc>
          <w:tcPr>
            <w:tcW w:w="6300" w:type="dxa"/>
            <w:vAlign w:val="bottom"/>
          </w:tcPr>
          <w:p>
            <w:pPr>
              <w:ind w:left="780"/>
              <w:spacing w:after="0"/>
              <w:rPr>
                <w:sz w:val="20"/>
                <w:szCs w:val="20"/>
                <w:color w:val="auto"/>
              </w:rPr>
            </w:pPr>
            <w:r>
              <w:rPr>
                <w:rFonts w:ascii="Courier New" w:cs="Courier New" w:eastAsia="Courier New" w:hAnsi="Courier New"/>
                <w:sz w:val="14"/>
                <w:szCs w:val="14"/>
                <w:color w:val="auto"/>
              </w:rPr>
              <w:t>Gain on sale of real estate</w:t>
            </w:r>
          </w:p>
        </w:tc>
        <w:tc>
          <w:tcPr>
            <w:tcW w:w="420" w:type="dxa"/>
            <w:vAlign w:val="bottom"/>
          </w:tcPr>
          <w:p>
            <w:pPr>
              <w:spacing w:after="0"/>
              <w:rPr>
                <w:sz w:val="14"/>
                <w:szCs w:val="14"/>
                <w:color w:val="auto"/>
              </w:rPr>
            </w:pP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(1,287)</w:t>
            </w:r>
          </w:p>
        </w:tc>
      </w:tr>
      <w:tr>
        <w:trPr>
          <w:trHeight w:val="166"/>
        </w:trPr>
        <w:tc>
          <w:tcPr>
            <w:tcW w:w="6300" w:type="dxa"/>
            <w:vAlign w:val="bottom"/>
          </w:tcPr>
          <w:p>
            <w:pPr>
              <w:ind w:left="780"/>
              <w:spacing w:after="0"/>
              <w:rPr>
                <w:sz w:val="20"/>
                <w:szCs w:val="20"/>
                <w:color w:val="auto"/>
              </w:rPr>
            </w:pPr>
            <w:r>
              <w:rPr>
                <w:rFonts w:ascii="Courier New" w:cs="Courier New" w:eastAsia="Courier New" w:hAnsi="Courier New"/>
                <w:sz w:val="14"/>
                <w:szCs w:val="14"/>
                <w:color w:val="auto"/>
              </w:rPr>
              <w:t>Restructuring expense</w:t>
            </w:r>
          </w:p>
        </w:tc>
        <w:tc>
          <w:tcPr>
            <w:tcW w:w="420" w:type="dxa"/>
            <w:vAlign w:val="bottom"/>
          </w:tcPr>
          <w:p>
            <w:pPr>
              <w:spacing w:after="0"/>
              <w:rPr>
                <w:sz w:val="14"/>
                <w:szCs w:val="14"/>
                <w:color w:val="auto"/>
              </w:rPr>
            </w:pP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13,780</w:t>
            </w:r>
          </w:p>
        </w:tc>
        <w:tc>
          <w:tcPr>
            <w:tcW w:w="10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300" w:type="dxa"/>
            <w:vAlign w:val="bottom"/>
          </w:tcPr>
          <w:p>
            <w:pPr>
              <w:ind w:left="780"/>
              <w:spacing w:after="0"/>
              <w:rPr>
                <w:sz w:val="20"/>
                <w:szCs w:val="20"/>
                <w:color w:val="auto"/>
              </w:rPr>
            </w:pPr>
            <w:r>
              <w:rPr>
                <w:rFonts w:ascii="Courier New" w:cs="Courier New" w:eastAsia="Courier New" w:hAnsi="Courier New"/>
                <w:sz w:val="14"/>
                <w:szCs w:val="14"/>
                <w:color w:val="auto"/>
              </w:rPr>
              <w:t>Depreciation and amortization of real estate assets</w:t>
            </w:r>
          </w:p>
        </w:tc>
        <w:tc>
          <w:tcPr>
            <w:tcW w:w="420" w:type="dxa"/>
            <w:vAlign w:val="bottom"/>
          </w:tcPr>
          <w:p>
            <w:pPr>
              <w:spacing w:after="0"/>
              <w:rPr>
                <w:sz w:val="14"/>
                <w:szCs w:val="14"/>
                <w:color w:val="auto"/>
              </w:rPr>
            </w:pP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14,933</w:t>
            </w:r>
          </w:p>
        </w:tc>
        <w:tc>
          <w:tcPr>
            <w:tcW w:w="10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14,211</w:t>
            </w:r>
          </w:p>
        </w:tc>
      </w:tr>
      <w:tr>
        <w:trPr>
          <w:trHeight w:val="166"/>
        </w:trPr>
        <w:tc>
          <w:tcPr>
            <w:tcW w:w="6300" w:type="dxa"/>
            <w:vAlign w:val="bottom"/>
          </w:tcPr>
          <w:p>
            <w:pPr>
              <w:ind w:left="780"/>
              <w:spacing w:after="0"/>
              <w:rPr>
                <w:sz w:val="20"/>
                <w:szCs w:val="20"/>
                <w:color w:val="auto"/>
              </w:rPr>
            </w:pPr>
            <w:r>
              <w:rPr>
                <w:rFonts w:ascii="Courier New" w:cs="Courier New" w:eastAsia="Courier New" w:hAnsi="Courier New"/>
                <w:sz w:val="14"/>
                <w:szCs w:val="14"/>
                <w:color w:val="auto"/>
              </w:rPr>
              <w:t>Amortization of initial direct costs of leases</w:t>
            </w:r>
          </w:p>
        </w:tc>
        <w:tc>
          <w:tcPr>
            <w:tcW w:w="420" w:type="dxa"/>
            <w:vAlign w:val="bottom"/>
          </w:tcPr>
          <w:p>
            <w:pPr>
              <w:spacing w:after="0"/>
              <w:rPr>
                <w:sz w:val="14"/>
                <w:szCs w:val="14"/>
                <w:color w:val="auto"/>
              </w:rPr>
            </w:pP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1,204</w:t>
            </w:r>
          </w:p>
        </w:tc>
        <w:tc>
          <w:tcPr>
            <w:tcW w:w="10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1,146</w:t>
            </w:r>
          </w:p>
        </w:tc>
      </w:tr>
      <w:tr>
        <w:trPr>
          <w:trHeight w:val="166"/>
        </w:trPr>
        <w:tc>
          <w:tcPr>
            <w:tcW w:w="6300" w:type="dxa"/>
            <w:vAlign w:val="bottom"/>
          </w:tcPr>
          <w:p>
            <w:pPr>
              <w:ind w:left="780"/>
              <w:spacing w:after="0"/>
              <w:rPr>
                <w:sz w:val="20"/>
                <w:szCs w:val="20"/>
                <w:color w:val="auto"/>
              </w:rPr>
            </w:pPr>
            <w:r>
              <w:rPr>
                <w:rFonts w:ascii="Courier New" w:cs="Courier New" w:eastAsia="Courier New" w:hAnsi="Courier New"/>
                <w:sz w:val="14"/>
                <w:szCs w:val="14"/>
                <w:color w:val="auto"/>
              </w:rPr>
              <w:t>Income attributable to operating partnership units</w:t>
            </w:r>
          </w:p>
        </w:tc>
        <w:tc>
          <w:tcPr>
            <w:tcW w:w="420" w:type="dxa"/>
            <w:vAlign w:val="bottom"/>
          </w:tcPr>
          <w:p>
            <w:pPr>
              <w:spacing w:after="0"/>
              <w:rPr>
                <w:sz w:val="14"/>
                <w:szCs w:val="14"/>
                <w:color w:val="auto"/>
              </w:rPr>
            </w:pPr>
          </w:p>
        </w:tc>
        <w:tc>
          <w:tcPr>
            <w:tcW w:w="1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w:t>
            </w:r>
          </w:p>
        </w:tc>
        <w:tc>
          <w:tcPr>
            <w:tcW w:w="10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335</w:t>
            </w:r>
          </w:p>
        </w:tc>
      </w:tr>
      <w:tr>
        <w:trPr>
          <w:trHeight w:val="166"/>
        </w:trPr>
        <w:tc>
          <w:tcPr>
            <w:tcW w:w="6300" w:type="dxa"/>
            <w:vAlign w:val="bottom"/>
          </w:tcPr>
          <w:p>
            <w:pPr>
              <w:spacing w:after="0"/>
              <w:rPr>
                <w:sz w:val="14"/>
                <w:szCs w:val="14"/>
                <w:color w:val="auto"/>
              </w:rPr>
            </w:pPr>
          </w:p>
        </w:tc>
        <w:tc>
          <w:tcPr>
            <w:tcW w:w="20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FFO</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27,802</w:t>
            </w:r>
          </w:p>
        </w:tc>
        <w:tc>
          <w:tcPr>
            <w:tcW w:w="10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28,508</w:t>
            </w:r>
          </w:p>
        </w:tc>
      </w:tr>
      <w:tr>
        <w:trPr>
          <w:trHeight w:val="166"/>
        </w:trPr>
        <w:tc>
          <w:tcPr>
            <w:tcW w:w="6300" w:type="dxa"/>
            <w:vAlign w:val="bottom"/>
          </w:tcPr>
          <w:p>
            <w:pPr>
              <w:spacing w:after="0"/>
              <w:rPr>
                <w:sz w:val="14"/>
                <w:szCs w:val="14"/>
                <w:color w:val="auto"/>
              </w:rPr>
            </w:pPr>
          </w:p>
        </w:tc>
        <w:tc>
          <w:tcPr>
            <w:tcW w:w="20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300" w:type="dxa"/>
            <w:vAlign w:val="bottom"/>
          </w:tcPr>
          <w:p>
            <w:pPr>
              <w:ind w:left="780"/>
              <w:spacing w:after="0"/>
              <w:rPr>
                <w:sz w:val="20"/>
                <w:szCs w:val="20"/>
                <w:color w:val="auto"/>
              </w:rPr>
            </w:pPr>
            <w:r>
              <w:rPr>
                <w:rFonts w:ascii="Courier New" w:cs="Courier New" w:eastAsia="Courier New" w:hAnsi="Courier New"/>
                <w:sz w:val="14"/>
                <w:szCs w:val="14"/>
                <w:color w:val="auto"/>
              </w:rPr>
              <w:t>Weighted average shares number of common shares, diluted</w:t>
            </w:r>
          </w:p>
        </w:tc>
        <w:tc>
          <w:tcPr>
            <w:tcW w:w="420" w:type="dxa"/>
            <w:vAlign w:val="bottom"/>
          </w:tcPr>
          <w:p>
            <w:pPr>
              <w:spacing w:after="0"/>
              <w:rPr>
                <w:sz w:val="24"/>
                <w:szCs w:val="24"/>
                <w:color w:val="auto"/>
              </w:rPr>
            </w:pP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44,251</w:t>
            </w:r>
          </w:p>
        </w:tc>
        <w:tc>
          <w:tcPr>
            <w:tcW w:w="100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40,653</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FFO per share</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0.63</w:t>
            </w:r>
          </w:p>
        </w:tc>
        <w:tc>
          <w:tcPr>
            <w:tcW w:w="10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0.70</w:t>
            </w:r>
          </w:p>
        </w:tc>
      </w:tr>
      <w:tr>
        <w:trPr>
          <w:trHeight w:val="166"/>
        </w:trPr>
        <w:tc>
          <w:tcPr>
            <w:tcW w:w="6300" w:type="dxa"/>
            <w:vAlign w:val="bottom"/>
          </w:tcPr>
          <w:p>
            <w:pPr>
              <w:spacing w:after="0"/>
              <w:rPr>
                <w:sz w:val="14"/>
                <w:szCs w:val="14"/>
                <w:color w:val="auto"/>
              </w:rPr>
            </w:pPr>
          </w:p>
        </w:tc>
        <w:tc>
          <w:tcPr>
            <w:tcW w:w="20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Funds Available for Distribution (FAD)</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6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FFO</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27,802</w:t>
            </w:r>
          </w:p>
        </w:tc>
        <w:tc>
          <w:tcPr>
            <w:tcW w:w="10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28,508</w:t>
            </w:r>
          </w:p>
        </w:tc>
      </w:tr>
      <w:tr>
        <w:trPr>
          <w:trHeight w:val="166"/>
        </w:trPr>
        <w:tc>
          <w:tcPr>
            <w:tcW w:w="6300" w:type="dxa"/>
            <w:vAlign w:val="bottom"/>
          </w:tcPr>
          <w:p>
            <w:pPr>
              <w:ind w:left="780"/>
              <w:spacing w:after="0"/>
              <w:rPr>
                <w:sz w:val="20"/>
                <w:szCs w:val="20"/>
                <w:color w:val="auto"/>
              </w:rPr>
            </w:pPr>
            <w:r>
              <w:rPr>
                <w:rFonts w:ascii="Courier New" w:cs="Courier New" w:eastAsia="Courier New" w:hAnsi="Courier New"/>
                <w:sz w:val="14"/>
                <w:szCs w:val="14"/>
                <w:color w:val="auto"/>
              </w:rPr>
              <w:t>Non-accretive capital expenditures</w:t>
            </w:r>
          </w:p>
        </w:tc>
        <w:tc>
          <w:tcPr>
            <w:tcW w:w="420" w:type="dxa"/>
            <w:vAlign w:val="bottom"/>
          </w:tcPr>
          <w:p>
            <w:pPr>
              <w:spacing w:after="0"/>
              <w:rPr>
                <w:sz w:val="14"/>
                <w:szCs w:val="14"/>
                <w:color w:val="auto"/>
              </w:rPr>
            </w:pPr>
          </w:p>
        </w:tc>
        <w:tc>
          <w:tcPr>
            <w:tcW w:w="1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(1,017)</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(1,141)</w:t>
            </w:r>
          </w:p>
        </w:tc>
      </w:tr>
      <w:tr>
        <w:trPr>
          <w:trHeight w:val="166"/>
        </w:trPr>
        <w:tc>
          <w:tcPr>
            <w:tcW w:w="6300" w:type="dxa"/>
            <w:vAlign w:val="bottom"/>
          </w:tcPr>
          <w:p>
            <w:pPr>
              <w:spacing w:after="0"/>
              <w:rPr>
                <w:sz w:val="14"/>
                <w:szCs w:val="14"/>
                <w:color w:val="auto"/>
              </w:rPr>
            </w:pPr>
          </w:p>
        </w:tc>
        <w:tc>
          <w:tcPr>
            <w:tcW w:w="20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FAD</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26,785</w:t>
            </w:r>
          </w:p>
        </w:tc>
        <w:tc>
          <w:tcPr>
            <w:tcW w:w="10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27,367</w:t>
            </w:r>
          </w:p>
        </w:tc>
      </w:tr>
      <w:tr>
        <w:trPr>
          <w:trHeight w:val="166"/>
        </w:trPr>
        <w:tc>
          <w:tcPr>
            <w:tcW w:w="6300" w:type="dxa"/>
            <w:vAlign w:val="bottom"/>
          </w:tcPr>
          <w:p>
            <w:pPr>
              <w:spacing w:after="0"/>
              <w:rPr>
                <w:sz w:val="14"/>
                <w:szCs w:val="14"/>
                <w:color w:val="auto"/>
              </w:rPr>
            </w:pPr>
          </w:p>
        </w:tc>
        <w:tc>
          <w:tcPr>
            <w:tcW w:w="20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300" w:type="dxa"/>
            <w:vAlign w:val="bottom"/>
          </w:tcPr>
          <w:p>
            <w:pPr>
              <w:ind w:left="780"/>
              <w:spacing w:after="0"/>
              <w:rPr>
                <w:sz w:val="20"/>
                <w:szCs w:val="20"/>
                <w:color w:val="auto"/>
              </w:rPr>
            </w:pPr>
            <w:r>
              <w:rPr>
                <w:rFonts w:ascii="Courier New" w:cs="Courier New" w:eastAsia="Courier New" w:hAnsi="Courier New"/>
                <w:sz w:val="14"/>
                <w:szCs w:val="14"/>
                <w:color w:val="auto"/>
              </w:rPr>
              <w:t>Weighted average shares number of common shares, diluted</w:t>
            </w:r>
          </w:p>
        </w:tc>
        <w:tc>
          <w:tcPr>
            <w:tcW w:w="420" w:type="dxa"/>
            <w:vAlign w:val="bottom"/>
          </w:tcPr>
          <w:p>
            <w:pPr>
              <w:spacing w:after="0"/>
              <w:rPr>
                <w:sz w:val="24"/>
                <w:szCs w:val="24"/>
                <w:color w:val="auto"/>
              </w:rPr>
            </w:pP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44,251</w:t>
            </w:r>
          </w:p>
        </w:tc>
        <w:tc>
          <w:tcPr>
            <w:tcW w:w="100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40,653</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FAD per share</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0.61</w:t>
            </w:r>
          </w:p>
        </w:tc>
        <w:tc>
          <w:tcPr>
            <w:tcW w:w="10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0.67</w:t>
            </w:r>
          </w:p>
        </w:tc>
      </w:tr>
      <w:tr>
        <w:trPr>
          <w:trHeight w:val="166"/>
        </w:trPr>
        <w:tc>
          <w:tcPr>
            <w:tcW w:w="6300" w:type="dxa"/>
            <w:vAlign w:val="bottom"/>
          </w:tcPr>
          <w:p>
            <w:pPr>
              <w:spacing w:after="0"/>
              <w:rPr>
                <w:sz w:val="14"/>
                <w:szCs w:val="14"/>
                <w:color w:val="auto"/>
              </w:rPr>
            </w:pPr>
          </w:p>
        </w:tc>
        <w:tc>
          <w:tcPr>
            <w:tcW w:w="20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Dividends declared per share</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0.485</w:t>
            </w:r>
          </w:p>
        </w:tc>
        <w:tc>
          <w:tcPr>
            <w:tcW w:w="10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Dividend payout ratio as a percentage of FFO</w:t>
            </w:r>
          </w:p>
        </w:tc>
        <w:tc>
          <w:tcPr>
            <w:tcW w:w="420" w:type="dxa"/>
            <w:vAlign w:val="bottom"/>
          </w:tcPr>
          <w:p>
            <w:pPr>
              <w:spacing w:after="0"/>
              <w:rPr>
                <w:sz w:val="24"/>
                <w:szCs w:val="24"/>
                <w:color w:val="auto"/>
              </w:rPr>
            </w:pPr>
          </w:p>
        </w:tc>
        <w:tc>
          <w:tcPr>
            <w:tcW w:w="1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77%</w:t>
            </w:r>
          </w:p>
        </w:tc>
        <w:tc>
          <w:tcPr>
            <w:tcW w:w="10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Dividend payout ratio as a percentage of FAD</w:t>
            </w:r>
          </w:p>
        </w:tc>
        <w:tc>
          <w:tcPr>
            <w:tcW w:w="420" w:type="dxa"/>
            <w:vAlign w:val="bottom"/>
          </w:tcPr>
          <w:p>
            <w:pPr>
              <w:spacing w:after="0"/>
              <w:rPr>
                <w:sz w:val="24"/>
                <w:szCs w:val="24"/>
                <w:color w:val="auto"/>
              </w:rPr>
            </w:pPr>
          </w:p>
        </w:tc>
        <w:tc>
          <w:tcPr>
            <w:tcW w:w="1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80%</w:t>
            </w:r>
          </w:p>
        </w:tc>
        <w:tc>
          <w:tcPr>
            <w:tcW w:w="10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Summary of Capital Expenditures</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6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Accretive Capital Expenditures</w:t>
            </w: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6300" w:type="dxa"/>
            <w:vAlign w:val="bottom"/>
          </w:tcPr>
          <w:p>
            <w:pPr>
              <w:ind w:left="780"/>
              <w:spacing w:after="0"/>
              <w:rPr>
                <w:sz w:val="20"/>
                <w:szCs w:val="20"/>
                <w:color w:val="auto"/>
              </w:rPr>
            </w:pPr>
            <w:r>
              <w:rPr>
                <w:rFonts w:ascii="Courier New" w:cs="Courier New" w:eastAsia="Courier New" w:hAnsi="Courier New"/>
                <w:sz w:val="14"/>
                <w:szCs w:val="14"/>
                <w:color w:val="auto"/>
              </w:rPr>
              <w:t>Development</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45,604</w:t>
            </w:r>
          </w:p>
        </w:tc>
        <w:tc>
          <w:tcPr>
            <w:tcW w:w="10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36,344</w:t>
            </w:r>
          </w:p>
        </w:tc>
      </w:tr>
      <w:tr>
        <w:trPr>
          <w:trHeight w:val="166"/>
        </w:trPr>
        <w:tc>
          <w:tcPr>
            <w:tcW w:w="6300" w:type="dxa"/>
            <w:vAlign w:val="bottom"/>
          </w:tcPr>
          <w:p>
            <w:pPr>
              <w:ind w:left="780"/>
              <w:spacing w:after="0"/>
              <w:rPr>
                <w:sz w:val="20"/>
                <w:szCs w:val="20"/>
                <w:color w:val="auto"/>
              </w:rPr>
            </w:pPr>
            <w:r>
              <w:rPr>
                <w:rFonts w:ascii="Courier New" w:cs="Courier New" w:eastAsia="Courier New" w:hAnsi="Courier New"/>
                <w:sz w:val="14"/>
                <w:szCs w:val="14"/>
                <w:color w:val="auto"/>
              </w:rPr>
              <w:t>Acquisition Related (2)</w:t>
            </w:r>
          </w:p>
        </w:tc>
        <w:tc>
          <w:tcPr>
            <w:tcW w:w="420" w:type="dxa"/>
            <w:vAlign w:val="bottom"/>
          </w:tcPr>
          <w:p>
            <w:pPr>
              <w:spacing w:after="0"/>
              <w:rPr>
                <w:sz w:val="14"/>
                <w:szCs w:val="14"/>
                <w:color w:val="auto"/>
              </w:rPr>
            </w:pP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10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w:t>
            </w:r>
          </w:p>
        </w:tc>
      </w:tr>
      <w:tr>
        <w:trPr>
          <w:trHeight w:val="166"/>
        </w:trPr>
        <w:tc>
          <w:tcPr>
            <w:tcW w:w="6300" w:type="dxa"/>
            <w:vAlign w:val="bottom"/>
          </w:tcPr>
          <w:p>
            <w:pPr>
              <w:ind w:left="780"/>
              <w:spacing w:after="0"/>
              <w:rPr>
                <w:sz w:val="20"/>
                <w:szCs w:val="20"/>
                <w:color w:val="auto"/>
              </w:rPr>
            </w:pPr>
            <w:r>
              <w:rPr>
                <w:rFonts w:ascii="Courier New" w:cs="Courier New" w:eastAsia="Courier New" w:hAnsi="Courier New"/>
                <w:sz w:val="14"/>
                <w:szCs w:val="14"/>
                <w:color w:val="auto"/>
              </w:rPr>
              <w:t>Redevelopments and Expansions</w:t>
            </w:r>
          </w:p>
        </w:tc>
        <w:tc>
          <w:tcPr>
            <w:tcW w:w="420" w:type="dxa"/>
            <w:vAlign w:val="bottom"/>
          </w:tcPr>
          <w:p>
            <w:pPr>
              <w:spacing w:after="0"/>
              <w:rPr>
                <w:sz w:val="14"/>
                <w:szCs w:val="14"/>
                <w:color w:val="auto"/>
              </w:rPr>
            </w:pP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4,562</w:t>
            </w:r>
          </w:p>
        </w:tc>
        <w:tc>
          <w:tcPr>
            <w:tcW w:w="10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6,121</w:t>
            </w:r>
          </w:p>
        </w:tc>
      </w:tr>
      <w:tr>
        <w:trPr>
          <w:trHeight w:val="166"/>
        </w:trPr>
        <w:tc>
          <w:tcPr>
            <w:tcW w:w="6300" w:type="dxa"/>
            <w:vAlign w:val="bottom"/>
          </w:tcPr>
          <w:p>
            <w:pPr>
              <w:ind w:left="780"/>
              <w:spacing w:after="0"/>
              <w:rPr>
                <w:sz w:val="20"/>
                <w:szCs w:val="20"/>
                <w:color w:val="auto"/>
              </w:rPr>
            </w:pPr>
            <w:r>
              <w:rPr>
                <w:rFonts w:ascii="Courier New" w:cs="Courier New" w:eastAsia="Courier New" w:hAnsi="Courier New"/>
                <w:sz w:val="14"/>
                <w:szCs w:val="14"/>
                <w:color w:val="auto"/>
              </w:rPr>
              <w:t>Tenant Improvements</w:t>
            </w:r>
          </w:p>
        </w:tc>
        <w:tc>
          <w:tcPr>
            <w:tcW w:w="420" w:type="dxa"/>
            <w:vAlign w:val="bottom"/>
          </w:tcPr>
          <w:p>
            <w:pPr>
              <w:spacing w:after="0"/>
              <w:rPr>
                <w:sz w:val="14"/>
                <w:szCs w:val="14"/>
                <w:color w:val="auto"/>
              </w:rPr>
            </w:pP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2,080</w:t>
            </w:r>
          </w:p>
        </w:tc>
        <w:tc>
          <w:tcPr>
            <w:tcW w:w="10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1,851</w:t>
            </w:r>
          </w:p>
        </w:tc>
      </w:tr>
      <w:tr>
        <w:trPr>
          <w:trHeight w:val="166"/>
        </w:trPr>
        <w:tc>
          <w:tcPr>
            <w:tcW w:w="6300" w:type="dxa"/>
            <w:vAlign w:val="bottom"/>
          </w:tcPr>
          <w:p>
            <w:pPr>
              <w:spacing w:after="0"/>
              <w:rPr>
                <w:sz w:val="14"/>
                <w:szCs w:val="14"/>
                <w:color w:val="auto"/>
              </w:rPr>
            </w:pPr>
          </w:p>
        </w:tc>
        <w:tc>
          <w:tcPr>
            <w:tcW w:w="20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Total Accretive Capital Expenditures</w:t>
            </w:r>
          </w:p>
        </w:tc>
        <w:tc>
          <w:tcPr>
            <w:tcW w:w="420" w:type="dxa"/>
            <w:vAlign w:val="bottom"/>
          </w:tcPr>
          <w:p>
            <w:pPr>
              <w:spacing w:after="0"/>
              <w:rPr>
                <w:sz w:val="24"/>
                <w:szCs w:val="24"/>
                <w:color w:val="auto"/>
              </w:rPr>
            </w:pP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52,258</w:t>
            </w:r>
          </w:p>
        </w:tc>
        <w:tc>
          <w:tcPr>
            <w:tcW w:w="100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44,515</w:t>
            </w:r>
          </w:p>
        </w:tc>
      </w:tr>
      <w:tr>
        <w:trPr>
          <w:trHeight w:val="331"/>
        </w:trPr>
        <w:tc>
          <w:tcPr>
            <w:tcW w:w="6300" w:type="dxa"/>
            <w:vAlign w:val="bottom"/>
          </w:tcPr>
          <w:p>
            <w:pPr>
              <w:ind w:left="780"/>
              <w:spacing w:after="0"/>
              <w:rPr>
                <w:sz w:val="20"/>
                <w:szCs w:val="20"/>
                <w:color w:val="auto"/>
              </w:rPr>
            </w:pPr>
            <w:r>
              <w:rPr>
                <w:rFonts w:ascii="Courier New" w:cs="Courier New" w:eastAsia="Courier New" w:hAnsi="Courier New"/>
                <w:sz w:val="14"/>
                <w:szCs w:val="14"/>
                <w:color w:val="auto"/>
              </w:rPr>
              <w:t>Non-accretive Capital Expenditures</w:t>
            </w:r>
          </w:p>
        </w:tc>
        <w:tc>
          <w:tcPr>
            <w:tcW w:w="420" w:type="dxa"/>
            <w:vAlign w:val="bottom"/>
          </w:tcPr>
          <w:p>
            <w:pPr>
              <w:spacing w:after="0"/>
              <w:rPr>
                <w:sz w:val="24"/>
                <w:szCs w:val="24"/>
                <w:color w:val="auto"/>
              </w:rPr>
            </w:pP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1,017</w:t>
            </w:r>
          </w:p>
        </w:tc>
        <w:tc>
          <w:tcPr>
            <w:tcW w:w="100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1,141</w:t>
            </w:r>
          </w:p>
        </w:tc>
      </w:tr>
      <w:tr>
        <w:trPr>
          <w:trHeight w:val="166"/>
        </w:trPr>
        <w:tc>
          <w:tcPr>
            <w:tcW w:w="6300" w:type="dxa"/>
            <w:vAlign w:val="bottom"/>
          </w:tcPr>
          <w:p>
            <w:pPr>
              <w:spacing w:after="0"/>
              <w:rPr>
                <w:sz w:val="14"/>
                <w:szCs w:val="14"/>
                <w:color w:val="auto"/>
              </w:rPr>
            </w:pPr>
          </w:p>
        </w:tc>
        <w:tc>
          <w:tcPr>
            <w:tcW w:w="20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Total Capital Expenditures</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53,275</w:t>
            </w:r>
          </w:p>
        </w:tc>
        <w:tc>
          <w:tcPr>
            <w:tcW w:w="10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45,656</w:t>
            </w:r>
          </w:p>
        </w:tc>
      </w:tr>
      <w:tr>
        <w:trPr>
          <w:trHeight w:val="166"/>
        </w:trPr>
        <w:tc>
          <w:tcPr>
            <w:tcW w:w="6300" w:type="dxa"/>
            <w:vAlign w:val="bottom"/>
          </w:tcPr>
          <w:p>
            <w:pPr>
              <w:spacing w:after="0"/>
              <w:rPr>
                <w:sz w:val="14"/>
                <w:szCs w:val="14"/>
                <w:color w:val="auto"/>
              </w:rPr>
            </w:pPr>
          </w:p>
        </w:tc>
        <w:tc>
          <w:tcPr>
            <w:tcW w:w="20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hanging="352"/>
        <w:spacing w:after="0"/>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Glossary of Terms.</w:t>
      </w:r>
    </w:p>
    <w:p>
      <w:pPr>
        <w:spacing w:after="0" w:line="7" w:lineRule="exact"/>
        <w:rPr>
          <w:rFonts w:ascii="Courier New" w:cs="Courier New" w:eastAsia="Courier New" w:hAnsi="Courier New"/>
          <w:sz w:val="14"/>
          <w:szCs w:val="14"/>
          <w:color w:val="auto"/>
        </w:rPr>
      </w:pPr>
    </w:p>
    <w:p>
      <w:pPr>
        <w:ind w:left="860" w:right="3599" w:hanging="852"/>
        <w:spacing w:after="0" w:line="252" w:lineRule="auto"/>
        <w:tabs>
          <w:tab w:leader="none" w:pos="343"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expenditures related to properties acquired in the last two years for which accretive expenditures were projected at the time of the acquisition underwriting.</w:t>
      </w:r>
    </w:p>
    <w:p>
      <w:pPr>
        <w:sectPr>
          <w:pgSz w:w="11900" w:h="16838" w:orient="portrait"/>
          <w:cols w:equalWidth="0" w:num="1">
            <w:col w:w="10239"/>
          </w:cols>
          <w:pgMar w:left="220" w:top="616"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Data / Capital Availability / Operational Statistics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As of</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5860" w:type="dxa"/>
            <w:vAlign w:val="bottom"/>
          </w:tcPr>
          <w:p>
            <w:pPr>
              <w:spacing w:after="0"/>
              <w:rPr>
                <w:sz w:val="14"/>
                <w:szCs w:val="14"/>
                <w:color w:val="auto"/>
              </w:rPr>
            </w:pPr>
          </w:p>
        </w:tc>
        <w:tc>
          <w:tcPr>
            <w:tcW w:w="24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December 31, 2002</w:t>
            </w:r>
          </w:p>
        </w:tc>
        <w:tc>
          <w:tcPr>
            <w:tcW w:w="1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December 31, 2001</w:t>
            </w:r>
          </w:p>
        </w:tc>
      </w:tr>
      <w:tr>
        <w:trPr>
          <w:trHeight w:val="166"/>
        </w:trPr>
        <w:tc>
          <w:tcPr>
            <w:tcW w:w="5860" w:type="dxa"/>
            <w:vAlign w:val="bottom"/>
          </w:tcPr>
          <w:p>
            <w:pPr>
              <w:spacing w:after="0"/>
              <w:rPr>
                <w:sz w:val="14"/>
                <w:szCs w:val="14"/>
                <w:color w:val="auto"/>
              </w:rPr>
            </w:pPr>
          </w:p>
        </w:tc>
        <w:tc>
          <w:tcPr>
            <w:tcW w:w="24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540" w:type="dxa"/>
            <w:vAlign w:val="bottom"/>
            <w:gridSpan w:val="3"/>
          </w:tcPr>
          <w:p>
            <w:pPr>
              <w:jc w:val="right"/>
              <w:ind w:right="288"/>
              <w:spacing w:after="0"/>
              <w:rPr>
                <w:sz w:val="20"/>
                <w:szCs w:val="20"/>
                <w:color w:val="auto"/>
              </w:rPr>
            </w:pPr>
            <w:r>
              <w:rPr>
                <w:rFonts w:ascii="Courier New" w:cs="Courier New" w:eastAsia="Courier New" w:hAnsi="Courier New"/>
                <w:sz w:val="14"/>
                <w:szCs w:val="14"/>
                <w:color w:val="auto"/>
              </w:rPr>
              <w:t>(in thousands, except per share data)</w:t>
            </w: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Market data</w:t>
            </w: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6"/>
        </w:trPr>
        <w:tc>
          <w:tcPr>
            <w:tcW w:w="5860" w:type="dxa"/>
            <w:vAlign w:val="bottom"/>
          </w:tcPr>
          <w:p>
            <w:pPr>
              <w:ind w:left="440"/>
              <w:spacing w:after="0"/>
              <w:rPr>
                <w:sz w:val="20"/>
                <w:szCs w:val="20"/>
                <w:color w:val="auto"/>
              </w:rPr>
            </w:pPr>
            <w:r>
              <w:rPr>
                <w:rFonts w:ascii="Courier New" w:cs="Courier New" w:eastAsia="Courier New" w:hAnsi="Courier New"/>
                <w:sz w:val="14"/>
                <w:szCs w:val="14"/>
                <w:color w:val="auto"/>
              </w:rPr>
              <w:t>Common shares outstanding</w:t>
            </w:r>
          </w:p>
        </w:tc>
        <w:tc>
          <w:tcPr>
            <w:tcW w:w="520" w:type="dxa"/>
            <w:vAlign w:val="bottom"/>
          </w:tcPr>
          <w:p>
            <w:pPr>
              <w:spacing w:after="0"/>
              <w:rPr>
                <w:sz w:val="14"/>
                <w:szCs w:val="14"/>
                <w:color w:val="auto"/>
              </w:rPr>
            </w:pP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43,535</w:t>
            </w:r>
          </w:p>
        </w:tc>
        <w:tc>
          <w:tcPr>
            <w:tcW w:w="38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40,071</w:t>
            </w:r>
          </w:p>
        </w:tc>
      </w:tr>
      <w:tr>
        <w:trPr>
          <w:trHeight w:val="331"/>
        </w:trPr>
        <w:tc>
          <w:tcPr>
            <w:tcW w:w="5860" w:type="dxa"/>
            <w:vAlign w:val="bottom"/>
          </w:tcPr>
          <w:p>
            <w:pPr>
              <w:ind w:left="440"/>
              <w:spacing w:after="0"/>
              <w:rPr>
                <w:sz w:val="20"/>
                <w:szCs w:val="20"/>
                <w:color w:val="auto"/>
              </w:rPr>
            </w:pPr>
            <w:r>
              <w:rPr>
                <w:rFonts w:ascii="Courier New" w:cs="Courier New" w:eastAsia="Courier New" w:hAnsi="Courier New"/>
                <w:sz w:val="14"/>
                <w:szCs w:val="14"/>
                <w:color w:val="auto"/>
              </w:rPr>
              <w:t>Market price per common share</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28.12</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23.00</w:t>
            </w:r>
          </w:p>
        </w:tc>
      </w:tr>
      <w:tr>
        <w:trPr>
          <w:trHeight w:val="331"/>
        </w:trPr>
        <w:tc>
          <w:tcPr>
            <w:tcW w:w="5860" w:type="dxa"/>
            <w:vAlign w:val="bottom"/>
          </w:tcPr>
          <w:p>
            <w:pPr>
              <w:ind w:left="440"/>
              <w:spacing w:after="0"/>
              <w:rPr>
                <w:sz w:val="20"/>
                <w:szCs w:val="20"/>
                <w:color w:val="auto"/>
              </w:rPr>
            </w:pPr>
            <w:r>
              <w:rPr>
                <w:rFonts w:ascii="Courier New" w:cs="Courier New" w:eastAsia="Courier New" w:hAnsi="Courier New"/>
                <w:sz w:val="14"/>
                <w:szCs w:val="14"/>
                <w:color w:val="auto"/>
              </w:rPr>
              <w:t>Series A preferred shares outstanding</w:t>
            </w:r>
          </w:p>
        </w:tc>
        <w:tc>
          <w:tcPr>
            <w:tcW w:w="520" w:type="dxa"/>
            <w:vAlign w:val="bottom"/>
          </w:tcPr>
          <w:p>
            <w:pPr>
              <w:spacing w:after="0"/>
              <w:rPr>
                <w:sz w:val="24"/>
                <w:szCs w:val="24"/>
                <w:color w:val="auto"/>
              </w:rPr>
            </w:pP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4,000</w:t>
            </w:r>
          </w:p>
        </w:tc>
        <w:tc>
          <w:tcPr>
            <w:tcW w:w="38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4,000</w:t>
            </w:r>
          </w:p>
        </w:tc>
      </w:tr>
      <w:tr>
        <w:trPr>
          <w:trHeight w:val="331"/>
        </w:trPr>
        <w:tc>
          <w:tcPr>
            <w:tcW w:w="5860" w:type="dxa"/>
            <w:vAlign w:val="bottom"/>
          </w:tcPr>
          <w:p>
            <w:pPr>
              <w:ind w:left="440"/>
              <w:spacing w:after="0"/>
              <w:rPr>
                <w:sz w:val="20"/>
                <w:szCs w:val="20"/>
                <w:color w:val="auto"/>
              </w:rPr>
            </w:pPr>
            <w:r>
              <w:rPr>
                <w:rFonts w:ascii="Courier New" w:cs="Courier New" w:eastAsia="Courier New" w:hAnsi="Courier New"/>
                <w:sz w:val="14"/>
                <w:szCs w:val="14"/>
                <w:color w:val="auto"/>
              </w:rPr>
              <w:t>Market price per Series A preferred share</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24.90</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24.10</w:t>
            </w:r>
          </w:p>
        </w:tc>
      </w:tr>
      <w:tr>
        <w:trPr>
          <w:trHeight w:val="331"/>
        </w:trPr>
        <w:tc>
          <w:tcPr>
            <w:tcW w:w="5860" w:type="dxa"/>
            <w:vAlign w:val="bottom"/>
          </w:tcPr>
          <w:p>
            <w:pPr>
              <w:ind w:left="440"/>
              <w:spacing w:after="0"/>
              <w:rPr>
                <w:sz w:val="20"/>
                <w:szCs w:val="20"/>
                <w:color w:val="auto"/>
              </w:rPr>
            </w:pPr>
            <w:r>
              <w:rPr>
                <w:rFonts w:ascii="Courier New" w:cs="Courier New" w:eastAsia="Courier New" w:hAnsi="Courier New"/>
                <w:sz w:val="14"/>
                <w:szCs w:val="14"/>
                <w:color w:val="auto"/>
              </w:rPr>
              <w:t>Series B preferred shares outstanding</w:t>
            </w:r>
          </w:p>
        </w:tc>
        <w:tc>
          <w:tcPr>
            <w:tcW w:w="520" w:type="dxa"/>
            <w:vAlign w:val="bottom"/>
          </w:tcPr>
          <w:p>
            <w:pPr>
              <w:spacing w:after="0"/>
              <w:rPr>
                <w:sz w:val="24"/>
                <w:szCs w:val="24"/>
                <w:color w:val="auto"/>
              </w:rPr>
            </w:pP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5,400</w:t>
            </w:r>
          </w:p>
        </w:tc>
        <w:tc>
          <w:tcPr>
            <w:tcW w:w="38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5,400</w:t>
            </w:r>
          </w:p>
        </w:tc>
      </w:tr>
      <w:tr>
        <w:trPr>
          <w:trHeight w:val="331"/>
        </w:trPr>
        <w:tc>
          <w:tcPr>
            <w:tcW w:w="5860" w:type="dxa"/>
            <w:vAlign w:val="bottom"/>
          </w:tcPr>
          <w:p>
            <w:pPr>
              <w:ind w:left="440"/>
              <w:spacing w:after="0"/>
              <w:rPr>
                <w:sz w:val="20"/>
                <w:szCs w:val="20"/>
                <w:color w:val="auto"/>
              </w:rPr>
            </w:pPr>
            <w:r>
              <w:rPr>
                <w:rFonts w:ascii="Courier New" w:cs="Courier New" w:eastAsia="Courier New" w:hAnsi="Courier New"/>
                <w:sz w:val="14"/>
                <w:szCs w:val="14"/>
                <w:color w:val="auto"/>
              </w:rPr>
              <w:t>Market price per Series B preferred share</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25.75</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24.40</w:t>
            </w:r>
          </w:p>
        </w:tc>
      </w:tr>
      <w:tr>
        <w:trPr>
          <w:trHeight w:val="331"/>
        </w:trPr>
        <w:tc>
          <w:tcPr>
            <w:tcW w:w="5860" w:type="dxa"/>
            <w:vAlign w:val="bottom"/>
          </w:tcPr>
          <w:p>
            <w:pPr>
              <w:ind w:left="440"/>
              <w:spacing w:after="0"/>
              <w:rPr>
                <w:sz w:val="20"/>
                <w:szCs w:val="20"/>
                <w:color w:val="auto"/>
              </w:rPr>
            </w:pPr>
            <w:r>
              <w:rPr>
                <w:rFonts w:ascii="Courier New" w:cs="Courier New" w:eastAsia="Courier New" w:hAnsi="Courier New"/>
                <w:sz w:val="14"/>
                <w:szCs w:val="14"/>
                <w:color w:val="auto"/>
              </w:rPr>
              <w:t>Equity market capitalization</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1,462,854</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1,149,793</w:t>
            </w:r>
          </w:p>
        </w:tc>
      </w:tr>
      <w:tr>
        <w:trPr>
          <w:trHeight w:val="331"/>
        </w:trPr>
        <w:tc>
          <w:tcPr>
            <w:tcW w:w="5860" w:type="dxa"/>
            <w:vAlign w:val="bottom"/>
          </w:tcPr>
          <w:p>
            <w:pPr>
              <w:ind w:left="440"/>
              <w:spacing w:after="0"/>
              <w:rPr>
                <w:sz w:val="20"/>
                <w:szCs w:val="20"/>
                <w:color w:val="auto"/>
              </w:rPr>
            </w:pPr>
            <w:r>
              <w:rPr>
                <w:rFonts w:ascii="Courier New" w:cs="Courier New" w:eastAsia="Courier New" w:hAnsi="Courier New"/>
                <w:sz w:val="14"/>
                <w:szCs w:val="14"/>
                <w:color w:val="auto"/>
              </w:rPr>
              <w:t>Total debt (1)</w:t>
            </w:r>
          </w:p>
        </w:tc>
        <w:tc>
          <w:tcPr>
            <w:tcW w:w="520" w:type="dxa"/>
            <w:vAlign w:val="bottom"/>
          </w:tcPr>
          <w:p>
            <w:pPr>
              <w:spacing w:after="0"/>
              <w:rPr>
                <w:sz w:val="24"/>
                <w:szCs w:val="24"/>
                <w:color w:val="auto"/>
              </w:rPr>
            </w:pP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1,097,128</w:t>
            </w:r>
          </w:p>
        </w:tc>
        <w:tc>
          <w:tcPr>
            <w:tcW w:w="38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1,010,175</w:t>
            </w:r>
          </w:p>
        </w:tc>
      </w:tr>
      <w:tr>
        <w:trPr>
          <w:trHeight w:val="166"/>
        </w:trPr>
        <w:tc>
          <w:tcPr>
            <w:tcW w:w="5860" w:type="dxa"/>
            <w:vAlign w:val="bottom"/>
          </w:tcPr>
          <w:p>
            <w:pPr>
              <w:spacing w:after="0"/>
              <w:rPr>
                <w:sz w:val="14"/>
                <w:szCs w:val="14"/>
                <w:color w:val="auto"/>
              </w:rPr>
            </w:pPr>
          </w:p>
        </w:tc>
        <w:tc>
          <w:tcPr>
            <w:tcW w:w="24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860" w:type="dxa"/>
            <w:vAlign w:val="bottom"/>
          </w:tcPr>
          <w:p>
            <w:pPr>
              <w:ind w:left="440"/>
              <w:spacing w:after="0"/>
              <w:rPr>
                <w:sz w:val="20"/>
                <w:szCs w:val="20"/>
                <w:color w:val="auto"/>
              </w:rPr>
            </w:pPr>
            <w:r>
              <w:rPr>
                <w:rFonts w:ascii="Courier New" w:cs="Courier New" w:eastAsia="Courier New" w:hAnsi="Courier New"/>
                <w:sz w:val="14"/>
                <w:szCs w:val="14"/>
                <w:color w:val="auto"/>
              </w:rPr>
              <w:t>Total market capitalization</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2,559,982</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2,159,968</w:t>
            </w:r>
          </w:p>
        </w:tc>
      </w:tr>
      <w:tr>
        <w:trPr>
          <w:trHeight w:val="166"/>
        </w:trPr>
        <w:tc>
          <w:tcPr>
            <w:tcW w:w="5860" w:type="dxa"/>
            <w:vAlign w:val="bottom"/>
          </w:tcPr>
          <w:p>
            <w:pPr>
              <w:spacing w:after="0"/>
              <w:rPr>
                <w:sz w:val="14"/>
                <w:szCs w:val="14"/>
                <w:color w:val="auto"/>
              </w:rPr>
            </w:pPr>
          </w:p>
        </w:tc>
        <w:tc>
          <w:tcPr>
            <w:tcW w:w="24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860" w:type="dxa"/>
            <w:vAlign w:val="bottom"/>
          </w:tcPr>
          <w:p>
            <w:pPr>
              <w:ind w:left="440"/>
              <w:spacing w:after="0"/>
              <w:rPr>
                <w:sz w:val="20"/>
                <w:szCs w:val="20"/>
                <w:color w:val="auto"/>
              </w:rPr>
            </w:pPr>
            <w:r>
              <w:rPr>
                <w:rFonts w:ascii="Courier New" w:cs="Courier New" w:eastAsia="Courier New" w:hAnsi="Courier New"/>
                <w:sz w:val="14"/>
                <w:szCs w:val="14"/>
                <w:color w:val="auto"/>
              </w:rPr>
              <w:t>Total debt to market capitalization</w:t>
            </w:r>
          </w:p>
        </w:tc>
        <w:tc>
          <w:tcPr>
            <w:tcW w:w="520" w:type="dxa"/>
            <w:vAlign w:val="bottom"/>
          </w:tcPr>
          <w:p>
            <w:pPr>
              <w:spacing w:after="0"/>
              <w:rPr>
                <w:sz w:val="24"/>
                <w:szCs w:val="24"/>
                <w:color w:val="auto"/>
              </w:rPr>
            </w:pP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.43:1</w:t>
            </w:r>
          </w:p>
        </w:tc>
        <w:tc>
          <w:tcPr>
            <w:tcW w:w="38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.47:1</w:t>
            </w:r>
          </w:p>
        </w:tc>
      </w:tr>
      <w:tr>
        <w:trPr>
          <w:trHeight w:val="166"/>
        </w:trPr>
        <w:tc>
          <w:tcPr>
            <w:tcW w:w="5860" w:type="dxa"/>
            <w:vAlign w:val="bottom"/>
          </w:tcPr>
          <w:p>
            <w:pPr>
              <w:spacing w:after="0"/>
              <w:rPr>
                <w:sz w:val="14"/>
                <w:szCs w:val="14"/>
                <w:color w:val="auto"/>
              </w:rPr>
            </w:pPr>
          </w:p>
        </w:tc>
        <w:tc>
          <w:tcPr>
            <w:tcW w:w="24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Capital availability:</w:t>
            </w: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6"/>
        </w:trPr>
        <w:tc>
          <w:tcPr>
            <w:tcW w:w="5860" w:type="dxa"/>
            <w:vAlign w:val="bottom"/>
          </w:tcPr>
          <w:p>
            <w:pPr>
              <w:ind w:left="440"/>
              <w:spacing w:after="0"/>
              <w:rPr>
                <w:sz w:val="20"/>
                <w:szCs w:val="20"/>
                <w:color w:val="auto"/>
              </w:rPr>
            </w:pPr>
            <w:r>
              <w:rPr>
                <w:rFonts w:ascii="Courier New" w:cs="Courier New" w:eastAsia="Courier New" w:hAnsi="Courier New"/>
                <w:sz w:val="14"/>
                <w:szCs w:val="14"/>
                <w:color w:val="auto"/>
              </w:rPr>
              <w:t>Cash on hand</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23,123</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17,563</w:t>
            </w:r>
          </w:p>
        </w:tc>
      </w:tr>
      <w:tr>
        <w:trPr>
          <w:trHeight w:val="166"/>
        </w:trPr>
        <w:tc>
          <w:tcPr>
            <w:tcW w:w="5860" w:type="dxa"/>
            <w:vAlign w:val="bottom"/>
          </w:tcPr>
          <w:p>
            <w:pPr>
              <w:ind w:left="440"/>
              <w:spacing w:after="0"/>
              <w:rPr>
                <w:sz w:val="20"/>
                <w:szCs w:val="20"/>
                <w:color w:val="auto"/>
              </w:rPr>
            </w:pPr>
            <w:r>
              <w:rPr>
                <w:rFonts w:ascii="Courier New" w:cs="Courier New" w:eastAsia="Courier New" w:hAnsi="Courier New"/>
                <w:sz w:val="14"/>
                <w:szCs w:val="14"/>
                <w:color w:val="auto"/>
              </w:rPr>
              <w:t>Tax deferred exchange escrows</w:t>
            </w:r>
          </w:p>
        </w:tc>
        <w:tc>
          <w:tcPr>
            <w:tcW w:w="520" w:type="dxa"/>
            <w:vAlign w:val="bottom"/>
          </w:tcPr>
          <w:p>
            <w:pPr>
              <w:spacing w:after="0"/>
              <w:rPr>
                <w:sz w:val="14"/>
                <w:szCs w:val="14"/>
                <w:color w:val="auto"/>
              </w:rPr>
            </w:pP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6,006</w:t>
            </w:r>
          </w:p>
        </w:tc>
      </w:tr>
      <w:tr>
        <w:trPr>
          <w:trHeight w:val="166"/>
        </w:trPr>
        <w:tc>
          <w:tcPr>
            <w:tcW w:w="5860" w:type="dxa"/>
            <w:vAlign w:val="bottom"/>
          </w:tcPr>
          <w:p>
            <w:pPr>
              <w:ind w:left="440"/>
              <w:spacing w:after="0"/>
              <w:rPr>
                <w:sz w:val="20"/>
                <w:szCs w:val="20"/>
                <w:color w:val="auto"/>
              </w:rPr>
            </w:pPr>
            <w:r>
              <w:rPr>
                <w:rFonts w:ascii="Courier New" w:cs="Courier New" w:eastAsia="Courier New" w:hAnsi="Courier New"/>
                <w:sz w:val="14"/>
                <w:szCs w:val="14"/>
                <w:color w:val="auto"/>
              </w:rPr>
              <w:t>Available capacity under line of credit</w:t>
            </w:r>
          </w:p>
        </w:tc>
        <w:tc>
          <w:tcPr>
            <w:tcW w:w="520" w:type="dxa"/>
            <w:vAlign w:val="bottom"/>
          </w:tcPr>
          <w:p>
            <w:pPr>
              <w:spacing w:after="0"/>
              <w:rPr>
                <w:sz w:val="14"/>
                <w:szCs w:val="14"/>
                <w:color w:val="auto"/>
              </w:rPr>
            </w:pP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229,000</w:t>
            </w:r>
          </w:p>
        </w:tc>
        <w:tc>
          <w:tcPr>
            <w:tcW w:w="38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256,000</w:t>
            </w:r>
          </w:p>
        </w:tc>
      </w:tr>
      <w:tr>
        <w:trPr>
          <w:trHeight w:val="166"/>
        </w:trPr>
        <w:tc>
          <w:tcPr>
            <w:tcW w:w="5860" w:type="dxa"/>
            <w:vAlign w:val="bottom"/>
          </w:tcPr>
          <w:p>
            <w:pPr>
              <w:ind w:left="440"/>
              <w:spacing w:after="0"/>
              <w:rPr>
                <w:sz w:val="20"/>
                <w:szCs w:val="20"/>
                <w:color w:val="auto"/>
              </w:rPr>
            </w:pPr>
            <w:r>
              <w:rPr>
                <w:rFonts w:ascii="Courier New" w:cs="Courier New" w:eastAsia="Courier New" w:hAnsi="Courier New"/>
                <w:sz w:val="14"/>
                <w:szCs w:val="14"/>
                <w:color w:val="auto"/>
              </w:rPr>
              <w:t>Available capacity under Santana Row construction loan (2)</w:t>
            </w:r>
          </w:p>
        </w:tc>
        <w:tc>
          <w:tcPr>
            <w:tcW w:w="520" w:type="dxa"/>
            <w:vAlign w:val="bottom"/>
          </w:tcPr>
          <w:p>
            <w:pPr>
              <w:spacing w:after="0"/>
              <w:rPr>
                <w:sz w:val="14"/>
                <w:szCs w:val="14"/>
                <w:color w:val="auto"/>
              </w:rPr>
            </w:pP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233,000</w:t>
            </w:r>
          </w:p>
        </w:tc>
      </w:tr>
      <w:tr>
        <w:trPr>
          <w:trHeight w:val="166"/>
        </w:trPr>
        <w:tc>
          <w:tcPr>
            <w:tcW w:w="5860" w:type="dxa"/>
            <w:vAlign w:val="bottom"/>
          </w:tcPr>
          <w:p>
            <w:pPr>
              <w:ind w:left="440"/>
              <w:spacing w:after="0"/>
              <w:rPr>
                <w:sz w:val="20"/>
                <w:szCs w:val="20"/>
                <w:color w:val="auto"/>
              </w:rPr>
            </w:pPr>
            <w:r>
              <w:rPr>
                <w:rFonts w:ascii="Courier New" w:cs="Courier New" w:eastAsia="Courier New" w:hAnsi="Courier New"/>
                <w:sz w:val="14"/>
                <w:szCs w:val="14"/>
                <w:color w:val="auto"/>
              </w:rPr>
              <w:t>Available for issuance under shelf registration statement</w:t>
            </w:r>
          </w:p>
        </w:tc>
        <w:tc>
          <w:tcPr>
            <w:tcW w:w="520" w:type="dxa"/>
            <w:vAlign w:val="bottom"/>
          </w:tcPr>
          <w:p>
            <w:pPr>
              <w:spacing w:after="0"/>
              <w:rPr>
                <w:sz w:val="14"/>
                <w:szCs w:val="14"/>
                <w:color w:val="auto"/>
              </w:rPr>
            </w:pP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500,000</w:t>
            </w:r>
          </w:p>
        </w:tc>
        <w:tc>
          <w:tcPr>
            <w:tcW w:w="38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190,000</w:t>
            </w:r>
          </w:p>
        </w:tc>
      </w:tr>
      <w:tr>
        <w:trPr>
          <w:trHeight w:val="166"/>
        </w:trPr>
        <w:tc>
          <w:tcPr>
            <w:tcW w:w="5860" w:type="dxa"/>
            <w:vAlign w:val="bottom"/>
          </w:tcPr>
          <w:p>
            <w:pPr>
              <w:spacing w:after="0"/>
              <w:rPr>
                <w:sz w:val="14"/>
                <w:szCs w:val="14"/>
                <w:color w:val="auto"/>
              </w:rPr>
            </w:pPr>
          </w:p>
        </w:tc>
        <w:tc>
          <w:tcPr>
            <w:tcW w:w="24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860" w:type="dxa"/>
            <w:vAlign w:val="bottom"/>
          </w:tcPr>
          <w:p>
            <w:pPr>
              <w:spacing w:after="0"/>
              <w:rPr>
                <w:sz w:val="24"/>
                <w:szCs w:val="24"/>
                <w:color w:val="auto"/>
              </w:rPr>
            </w:pP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752,123</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702,569</w:t>
            </w:r>
          </w:p>
        </w:tc>
      </w:tr>
      <w:tr>
        <w:trPr>
          <w:trHeight w:val="166"/>
        </w:trPr>
        <w:tc>
          <w:tcPr>
            <w:tcW w:w="5860" w:type="dxa"/>
            <w:vAlign w:val="bottom"/>
          </w:tcPr>
          <w:p>
            <w:pPr>
              <w:spacing w:after="0"/>
              <w:rPr>
                <w:sz w:val="14"/>
                <w:szCs w:val="14"/>
                <w:color w:val="auto"/>
              </w:rPr>
            </w:pPr>
          </w:p>
        </w:tc>
        <w:tc>
          <w:tcPr>
            <w:tcW w:w="24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497"/>
        </w:trPr>
        <w:tc>
          <w:tcPr>
            <w:tcW w:w="5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Year ended</w:t>
            </w:r>
          </w:p>
        </w:tc>
        <w:tc>
          <w:tcPr>
            <w:tcW w:w="38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5860" w:type="dxa"/>
            <w:vAlign w:val="bottom"/>
          </w:tcPr>
          <w:p>
            <w:pPr>
              <w:spacing w:after="0"/>
              <w:rPr>
                <w:sz w:val="14"/>
                <w:szCs w:val="14"/>
                <w:color w:val="auto"/>
              </w:rPr>
            </w:pPr>
          </w:p>
        </w:tc>
        <w:tc>
          <w:tcPr>
            <w:tcW w:w="24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December 31, 2002</w:t>
            </w:r>
          </w:p>
        </w:tc>
        <w:tc>
          <w:tcPr>
            <w:tcW w:w="1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December 31, 2001</w:t>
            </w:r>
          </w:p>
        </w:tc>
      </w:tr>
      <w:tr>
        <w:trPr>
          <w:trHeight w:val="166"/>
        </w:trPr>
        <w:tc>
          <w:tcPr>
            <w:tcW w:w="5860" w:type="dxa"/>
            <w:vAlign w:val="bottom"/>
          </w:tcPr>
          <w:p>
            <w:pPr>
              <w:spacing w:after="0"/>
              <w:rPr>
                <w:sz w:val="14"/>
                <w:szCs w:val="14"/>
                <w:color w:val="auto"/>
              </w:rPr>
            </w:pPr>
          </w:p>
        </w:tc>
        <w:tc>
          <w:tcPr>
            <w:tcW w:w="24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Operational statistics</w:t>
            </w: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6"/>
        </w:trPr>
        <w:tc>
          <w:tcPr>
            <w:tcW w:w="5860" w:type="dxa"/>
            <w:vAlign w:val="bottom"/>
          </w:tcPr>
          <w:p>
            <w:pPr>
              <w:ind w:left="440"/>
              <w:spacing w:after="0"/>
              <w:rPr>
                <w:sz w:val="20"/>
                <w:szCs w:val="20"/>
                <w:color w:val="auto"/>
              </w:rPr>
            </w:pPr>
            <w:r>
              <w:rPr>
                <w:rFonts w:ascii="Courier New" w:cs="Courier New" w:eastAsia="Courier New" w:hAnsi="Courier New"/>
                <w:sz w:val="14"/>
                <w:szCs w:val="14"/>
                <w:color w:val="auto"/>
              </w:rPr>
              <w:t>Ratio of earnings to fixed charges (3)</w:t>
            </w:r>
          </w:p>
        </w:tc>
        <w:tc>
          <w:tcPr>
            <w:tcW w:w="520" w:type="dxa"/>
            <w:vAlign w:val="bottom"/>
          </w:tcPr>
          <w:p>
            <w:pPr>
              <w:spacing w:after="0"/>
              <w:rPr>
                <w:sz w:val="14"/>
                <w:szCs w:val="14"/>
                <w:color w:val="auto"/>
              </w:rPr>
            </w:pPr>
          </w:p>
        </w:tc>
        <w:tc>
          <w:tcPr>
            <w:tcW w:w="1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1.25x (4)</w:t>
            </w: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1.47x</w:t>
            </w:r>
          </w:p>
        </w:tc>
      </w:tr>
      <w:tr>
        <w:trPr>
          <w:trHeight w:val="331"/>
        </w:trPr>
        <w:tc>
          <w:tcPr>
            <w:tcW w:w="5860" w:type="dxa"/>
            <w:vAlign w:val="bottom"/>
          </w:tcPr>
          <w:p>
            <w:pPr>
              <w:ind w:left="440"/>
              <w:spacing w:after="0"/>
              <w:rPr>
                <w:sz w:val="20"/>
                <w:szCs w:val="20"/>
                <w:color w:val="auto"/>
              </w:rPr>
            </w:pPr>
            <w:r>
              <w:rPr>
                <w:rFonts w:ascii="Courier New" w:cs="Courier New" w:eastAsia="Courier New" w:hAnsi="Courier New"/>
                <w:sz w:val="14"/>
                <w:szCs w:val="14"/>
                <w:color w:val="auto"/>
              </w:rPr>
              <w:t>Ratio of earnings to combined fixed charges</w:t>
            </w: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6"/>
        </w:trPr>
        <w:tc>
          <w:tcPr>
            <w:tcW w:w="5860" w:type="dxa"/>
            <w:vAlign w:val="bottom"/>
          </w:tcPr>
          <w:p>
            <w:pPr>
              <w:ind w:left="620"/>
              <w:spacing w:after="0"/>
              <w:rPr>
                <w:sz w:val="20"/>
                <w:szCs w:val="20"/>
                <w:color w:val="auto"/>
              </w:rPr>
            </w:pPr>
            <w:r>
              <w:rPr>
                <w:rFonts w:ascii="Courier New" w:cs="Courier New" w:eastAsia="Courier New" w:hAnsi="Courier New"/>
                <w:sz w:val="14"/>
                <w:szCs w:val="14"/>
                <w:color w:val="auto"/>
              </w:rPr>
              <w:t>and preferred share dividends (3)</w:t>
            </w:r>
          </w:p>
        </w:tc>
        <w:tc>
          <w:tcPr>
            <w:tcW w:w="520" w:type="dxa"/>
            <w:vAlign w:val="bottom"/>
          </w:tcPr>
          <w:p>
            <w:pPr>
              <w:spacing w:after="0"/>
              <w:rPr>
                <w:sz w:val="14"/>
                <w:szCs w:val="14"/>
                <w:color w:val="auto"/>
              </w:rPr>
            </w:pPr>
          </w:p>
        </w:tc>
        <w:tc>
          <w:tcPr>
            <w:tcW w:w="1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1.03x (4)</w:t>
            </w: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1.34x</w:t>
            </w:r>
          </w:p>
        </w:tc>
      </w:tr>
      <w:tr>
        <w:trPr>
          <w:trHeight w:val="331"/>
        </w:trPr>
        <w:tc>
          <w:tcPr>
            <w:tcW w:w="5860" w:type="dxa"/>
            <w:vAlign w:val="bottom"/>
          </w:tcPr>
          <w:p>
            <w:pPr>
              <w:ind w:left="440"/>
              <w:spacing w:after="0"/>
              <w:rPr>
                <w:sz w:val="20"/>
                <w:szCs w:val="20"/>
                <w:color w:val="auto"/>
              </w:rPr>
            </w:pPr>
            <w:r>
              <w:rPr>
                <w:rFonts w:ascii="Courier New" w:cs="Courier New" w:eastAsia="Courier New" w:hAnsi="Courier New"/>
                <w:sz w:val="14"/>
                <w:szCs w:val="14"/>
                <w:color w:val="auto"/>
              </w:rPr>
              <w:t>Ratio of EBITDA to combined fixed charges</w:t>
            </w: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6"/>
        </w:trPr>
        <w:tc>
          <w:tcPr>
            <w:tcW w:w="5860" w:type="dxa"/>
            <w:vAlign w:val="bottom"/>
          </w:tcPr>
          <w:p>
            <w:pPr>
              <w:ind w:left="620"/>
              <w:spacing w:after="0"/>
              <w:rPr>
                <w:sz w:val="20"/>
                <w:szCs w:val="20"/>
                <w:color w:val="auto"/>
              </w:rPr>
            </w:pPr>
            <w:r>
              <w:rPr>
                <w:rFonts w:ascii="Courier New" w:cs="Courier New" w:eastAsia="Courier New" w:hAnsi="Courier New"/>
                <w:sz w:val="14"/>
                <w:szCs w:val="14"/>
                <w:color w:val="auto"/>
              </w:rPr>
              <w:t>and preferred share dividends (3) (5)</w:t>
            </w:r>
          </w:p>
        </w:tc>
        <w:tc>
          <w:tcPr>
            <w:tcW w:w="520" w:type="dxa"/>
            <w:vAlign w:val="bottom"/>
          </w:tcPr>
          <w:p>
            <w:pPr>
              <w:spacing w:after="0"/>
              <w:rPr>
                <w:sz w:val="14"/>
                <w:szCs w:val="14"/>
                <w:color w:val="auto"/>
              </w:rPr>
            </w:pPr>
          </w:p>
        </w:tc>
        <w:tc>
          <w:tcPr>
            <w:tcW w:w="1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1.60x (4)</w:t>
            </w: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1.93x</w:t>
            </w:r>
          </w:p>
        </w:tc>
      </w:tr>
      <w:tr>
        <w:trPr>
          <w:trHeight w:val="331"/>
        </w:trPr>
        <w:tc>
          <w:tcPr>
            <w:tcW w:w="5860" w:type="dxa"/>
            <w:vAlign w:val="bottom"/>
          </w:tcPr>
          <w:p>
            <w:pPr>
              <w:ind w:left="440"/>
              <w:spacing w:after="0"/>
              <w:rPr>
                <w:sz w:val="20"/>
                <w:szCs w:val="20"/>
                <w:color w:val="auto"/>
              </w:rPr>
            </w:pPr>
            <w:r>
              <w:rPr>
                <w:rFonts w:ascii="Courier New" w:cs="Courier New" w:eastAsia="Courier New" w:hAnsi="Courier New"/>
                <w:sz w:val="14"/>
                <w:szCs w:val="14"/>
                <w:color w:val="auto"/>
              </w:rPr>
              <w:t>Administrative expense as a percentage of total revenues</w:t>
            </w:r>
          </w:p>
        </w:tc>
        <w:tc>
          <w:tcPr>
            <w:tcW w:w="520" w:type="dxa"/>
            <w:vAlign w:val="bottom"/>
          </w:tcPr>
          <w:p>
            <w:pPr>
              <w:spacing w:after="0"/>
              <w:rPr>
                <w:sz w:val="24"/>
                <w:szCs w:val="24"/>
                <w:color w:val="auto"/>
              </w:rPr>
            </w:pPr>
          </w:p>
        </w:tc>
        <w:tc>
          <w:tcPr>
            <w:tcW w:w="1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4.33%</w:t>
            </w:r>
          </w:p>
        </w:tc>
        <w:tc>
          <w:tcPr>
            <w:tcW w:w="3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4.84%</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w:t>
      </w:r>
    </w:p>
    <w:p>
      <w:pPr>
        <w:spacing w:after="0" w:line="7" w:lineRule="exact"/>
        <w:rPr>
          <w:sz w:val="20"/>
          <w:szCs w:val="20"/>
          <w:color w:val="auto"/>
        </w:rPr>
      </w:pPr>
    </w:p>
    <w:p>
      <w:pPr>
        <w:ind w:left="180" w:hanging="172"/>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520" w:right="3599" w:hanging="339"/>
        <w:spacing w:after="0" w:line="250" w:lineRule="auto"/>
        <w:tabs>
          <w:tab w:leader="none" w:pos="520"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debt includes mortgages and construction loans payable, notes payable, senior notes and debentures and 5.25% convertible subordinated debentures.</w:t>
      </w:r>
    </w:p>
    <w:p>
      <w:pPr>
        <w:spacing w:after="0" w:line="1" w:lineRule="exact"/>
        <w:rPr>
          <w:rFonts w:ascii="Courier New" w:cs="Courier New" w:eastAsia="Courier New" w:hAnsi="Courier New"/>
          <w:sz w:val="14"/>
          <w:szCs w:val="14"/>
          <w:color w:val="auto"/>
        </w:rPr>
      </w:pPr>
    </w:p>
    <w:p>
      <w:pPr>
        <w:ind w:left="520" w:hanging="339"/>
        <w:spacing w:after="0"/>
        <w:tabs>
          <w:tab w:leader="none" w:pos="520"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Santana Row construction loan retired on November 19, 2002.</w:t>
      </w:r>
    </w:p>
    <w:p>
      <w:pPr>
        <w:spacing w:after="0" w:line="7" w:lineRule="exact"/>
        <w:rPr>
          <w:rFonts w:ascii="Courier New" w:cs="Courier New" w:eastAsia="Courier New" w:hAnsi="Courier New"/>
          <w:sz w:val="14"/>
          <w:szCs w:val="14"/>
          <w:color w:val="auto"/>
        </w:rPr>
      </w:pPr>
    </w:p>
    <w:p>
      <w:pPr>
        <w:ind w:left="520" w:right="3419" w:hanging="339"/>
        <w:spacing w:after="0" w:line="250" w:lineRule="auto"/>
        <w:tabs>
          <w:tab w:leader="none" w:pos="520"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consist of income before gain (loss) on sale of real estate and fixed charges. Fixed charges consist of interest on borrowed funds (including capitalized interest), amortization of debt discount and expense and the portion of rent expense representing an interest factor. Preferred share dividends consist of dividends paid on outstanding Series A preferred shares and Series B preferred shares.</w:t>
      </w:r>
    </w:p>
    <w:p>
      <w:pPr>
        <w:spacing w:after="0" w:line="2" w:lineRule="exact"/>
        <w:rPr>
          <w:rFonts w:ascii="Courier New" w:cs="Courier New" w:eastAsia="Courier New" w:hAnsi="Courier New"/>
          <w:sz w:val="14"/>
          <w:szCs w:val="14"/>
          <w:color w:val="auto"/>
        </w:rPr>
      </w:pPr>
    </w:p>
    <w:p>
      <w:pPr>
        <w:ind w:left="520" w:right="3339" w:hanging="339"/>
        <w:spacing w:after="0" w:line="250" w:lineRule="auto"/>
        <w:tabs>
          <w:tab w:leader="none" w:pos="520"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an $8.5 million restructuring charge incurred in the first quarter of 2002 and a $13.8 million restructuring charge incurred in the fourth quarter of 2002. Excluding these charges the ratio of earnings to fixed charges would have been 1.49x, the ratio of earnings to combined fixed charges and preferred share dividends would have been 1.23x, and the ratio of EBITDA to combined fixed charges and preferred share dividends would have been 1.80x.</w:t>
      </w:r>
    </w:p>
    <w:p>
      <w:pPr>
        <w:spacing w:after="0" w:line="3" w:lineRule="exact"/>
        <w:rPr>
          <w:rFonts w:ascii="Courier New" w:cs="Courier New" w:eastAsia="Courier New" w:hAnsi="Courier New"/>
          <w:sz w:val="14"/>
          <w:szCs w:val="14"/>
          <w:color w:val="auto"/>
        </w:rPr>
      </w:pPr>
    </w:p>
    <w:p>
      <w:pPr>
        <w:ind w:left="520" w:right="3339" w:hanging="339"/>
        <w:spacing w:after="0" w:line="252" w:lineRule="auto"/>
        <w:tabs>
          <w:tab w:leader="none" w:pos="520"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EBITDA means net income or loss plus interest expense, income taxes, depreciation and amortization; adjusted for gain or loss on sale of assets, impairment provisions, provision for loss on equity securities and other nonrecurring expenses.</w:t>
      </w:r>
    </w:p>
    <w:p>
      <w:pPr>
        <w:sectPr>
          <w:pgSz w:w="11900" w:h="16838" w:orient="portrait"/>
          <w:cols w:equalWidth="0" w:num="1">
            <w:col w:w="10239"/>
          </w:cols>
          <w:pgMar w:left="220" w:top="616" w:right="1440" w:bottom="912"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Outstanding Debt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Maturity</w:t>
            </w:r>
          </w:p>
        </w:tc>
        <w:tc>
          <w:tcPr>
            <w:tcW w:w="17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Effective Rate</w:t>
            </w:r>
          </w:p>
        </w:tc>
        <w:tc>
          <w:tcPr>
            <w:tcW w:w="6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Balance</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Mortgages and Construction Loans</w:t>
            </w: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(in thousands)</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1"/>
        </w:trPr>
        <w:tc>
          <w:tcPr>
            <w:tcW w:w="466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Construction loan on Woodmont East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08/29/03</w:t>
            </w:r>
          </w:p>
        </w:tc>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libor + 1.20% (a)</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24,449</w:t>
            </w: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2640" w:type="dxa"/>
            <w:vAlign w:val="bottom"/>
          </w:tcPr>
          <w:p>
            <w:pPr>
              <w:ind w:left="620"/>
              <w:spacing w:after="0"/>
              <w:rPr>
                <w:sz w:val="20"/>
                <w:szCs w:val="20"/>
                <w:color w:val="auto"/>
              </w:rPr>
            </w:pPr>
            <w:r>
              <w:rPr>
                <w:rFonts w:ascii="Courier New" w:cs="Courier New" w:eastAsia="Courier New" w:hAnsi="Courier New"/>
                <w:sz w:val="14"/>
                <w:szCs w:val="14"/>
                <w:color w:val="auto"/>
              </w:rPr>
              <w:t>Friendship Center</w:t>
            </w:r>
          </w:p>
        </w:tc>
        <w:tc>
          <w:tcPr>
            <w:tcW w:w="20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09/22/03</w:t>
            </w:r>
          </w:p>
        </w:tc>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libor + 1.35% (a)</w:t>
            </w:r>
          </w:p>
        </w:tc>
        <w:tc>
          <w:tcPr>
            <w:tcW w:w="6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17,000</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40" w:type="dxa"/>
            <w:vAlign w:val="bottom"/>
          </w:tcPr>
          <w:p>
            <w:pPr>
              <w:ind w:left="620"/>
              <w:spacing w:after="0"/>
              <w:rPr>
                <w:sz w:val="20"/>
                <w:szCs w:val="20"/>
                <w:color w:val="auto"/>
              </w:rPr>
            </w:pPr>
            <w:r>
              <w:rPr>
                <w:rFonts w:ascii="Courier New" w:cs="Courier New" w:eastAsia="Courier New" w:hAnsi="Courier New"/>
                <w:sz w:val="14"/>
                <w:szCs w:val="14"/>
                <w:color w:val="auto"/>
              </w:rPr>
              <w:t>Leesburg Plaza</w:t>
            </w:r>
          </w:p>
        </w:tc>
        <w:tc>
          <w:tcPr>
            <w:tcW w:w="20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10/01/08</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6.510%</w:t>
            </w: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9,900</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40" w:type="dxa"/>
            <w:vAlign w:val="bottom"/>
          </w:tcPr>
          <w:p>
            <w:pPr>
              <w:ind w:left="620"/>
              <w:spacing w:after="0"/>
              <w:rPr>
                <w:sz w:val="20"/>
                <w:szCs w:val="20"/>
                <w:color w:val="auto"/>
              </w:rPr>
            </w:pPr>
            <w:r>
              <w:rPr>
                <w:rFonts w:ascii="Courier New" w:cs="Courier New" w:eastAsia="Courier New" w:hAnsi="Courier New"/>
                <w:sz w:val="14"/>
                <w:szCs w:val="14"/>
                <w:color w:val="auto"/>
              </w:rPr>
              <w:t>164 E Houston Street</w:t>
            </w:r>
          </w:p>
        </w:tc>
        <w:tc>
          <w:tcPr>
            <w:tcW w:w="20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10/06/08</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7.500%</w:t>
            </w: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268</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40" w:type="dxa"/>
            <w:vAlign w:val="bottom"/>
          </w:tcPr>
          <w:p>
            <w:pPr>
              <w:ind w:left="620"/>
              <w:spacing w:after="0"/>
              <w:rPr>
                <w:sz w:val="20"/>
                <w:szCs w:val="20"/>
                <w:color w:val="auto"/>
              </w:rPr>
            </w:pPr>
            <w:r>
              <w:rPr>
                <w:rFonts w:ascii="Courier New" w:cs="Courier New" w:eastAsia="Courier New" w:hAnsi="Courier New"/>
                <w:sz w:val="14"/>
                <w:szCs w:val="14"/>
                <w:color w:val="auto"/>
              </w:rPr>
              <w:t>Federal Plaza</w:t>
            </w:r>
          </w:p>
        </w:tc>
        <w:tc>
          <w:tcPr>
            <w:tcW w:w="20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06/01/11</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6.750%</w:t>
            </w: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35,936</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40" w:type="dxa"/>
            <w:vAlign w:val="bottom"/>
          </w:tcPr>
          <w:p>
            <w:pPr>
              <w:ind w:left="620"/>
              <w:spacing w:after="0"/>
              <w:rPr>
                <w:sz w:val="20"/>
                <w:szCs w:val="20"/>
                <w:color w:val="auto"/>
              </w:rPr>
            </w:pPr>
            <w:r>
              <w:rPr>
                <w:rFonts w:ascii="Courier New" w:cs="Courier New" w:eastAsia="Courier New" w:hAnsi="Courier New"/>
                <w:sz w:val="14"/>
                <w:szCs w:val="14"/>
                <w:color w:val="auto"/>
              </w:rPr>
              <w:t>Barracks Road</w:t>
            </w:r>
          </w:p>
        </w:tc>
        <w:tc>
          <w:tcPr>
            <w:tcW w:w="20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11/01/15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7.950%</w:t>
            </w: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44,300</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40" w:type="dxa"/>
            <w:vAlign w:val="bottom"/>
          </w:tcPr>
          <w:p>
            <w:pPr>
              <w:ind w:left="620"/>
              <w:spacing w:after="0"/>
              <w:rPr>
                <w:sz w:val="20"/>
                <w:szCs w:val="20"/>
                <w:color w:val="auto"/>
              </w:rPr>
            </w:pPr>
            <w:r>
              <w:rPr>
                <w:rFonts w:ascii="Courier New" w:cs="Courier New" w:eastAsia="Courier New" w:hAnsi="Courier New"/>
                <w:sz w:val="14"/>
                <w:szCs w:val="14"/>
                <w:color w:val="auto"/>
              </w:rPr>
              <w:t>Hauppauge</w:t>
            </w:r>
          </w:p>
        </w:tc>
        <w:tc>
          <w:tcPr>
            <w:tcW w:w="20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11/01/15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7.950%</w:t>
            </w: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16,700</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40" w:type="dxa"/>
            <w:vAlign w:val="bottom"/>
          </w:tcPr>
          <w:p>
            <w:pPr>
              <w:ind w:left="620"/>
              <w:spacing w:after="0"/>
              <w:rPr>
                <w:sz w:val="20"/>
                <w:szCs w:val="20"/>
                <w:color w:val="auto"/>
              </w:rPr>
            </w:pPr>
            <w:r>
              <w:rPr>
                <w:rFonts w:ascii="Courier New" w:cs="Courier New" w:eastAsia="Courier New" w:hAnsi="Courier New"/>
                <w:sz w:val="14"/>
                <w:szCs w:val="14"/>
                <w:color w:val="auto"/>
              </w:rPr>
              <w:t>Lawrence Park</w:t>
            </w:r>
          </w:p>
        </w:tc>
        <w:tc>
          <w:tcPr>
            <w:tcW w:w="20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11/01/15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7.950%</w:t>
            </w: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31,400</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40" w:type="dxa"/>
            <w:vAlign w:val="bottom"/>
          </w:tcPr>
          <w:p>
            <w:pPr>
              <w:ind w:left="620"/>
              <w:spacing w:after="0"/>
              <w:rPr>
                <w:sz w:val="20"/>
                <w:szCs w:val="20"/>
                <w:color w:val="auto"/>
              </w:rPr>
            </w:pPr>
            <w:r>
              <w:rPr>
                <w:rFonts w:ascii="Courier New" w:cs="Courier New" w:eastAsia="Courier New" w:hAnsi="Courier New"/>
                <w:sz w:val="14"/>
                <w:szCs w:val="14"/>
                <w:color w:val="auto"/>
              </w:rPr>
              <w:t>Wildwood</w:t>
            </w:r>
          </w:p>
        </w:tc>
        <w:tc>
          <w:tcPr>
            <w:tcW w:w="20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11/01/15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7.950%</w:t>
            </w: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27,600</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40" w:type="dxa"/>
            <w:vAlign w:val="bottom"/>
          </w:tcPr>
          <w:p>
            <w:pPr>
              <w:ind w:left="620"/>
              <w:spacing w:after="0"/>
              <w:rPr>
                <w:sz w:val="20"/>
                <w:szCs w:val="20"/>
                <w:color w:val="auto"/>
              </w:rPr>
            </w:pPr>
            <w:r>
              <w:rPr>
                <w:rFonts w:ascii="Courier New" w:cs="Courier New" w:eastAsia="Courier New" w:hAnsi="Courier New"/>
                <w:sz w:val="14"/>
                <w:szCs w:val="14"/>
                <w:color w:val="auto"/>
              </w:rPr>
              <w:t>Wynnewood</w:t>
            </w:r>
          </w:p>
        </w:tc>
        <w:tc>
          <w:tcPr>
            <w:tcW w:w="20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11/01/15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7.950%</w:t>
            </w: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32,000</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40" w:type="dxa"/>
            <w:vAlign w:val="bottom"/>
          </w:tcPr>
          <w:p>
            <w:pPr>
              <w:ind w:left="620"/>
              <w:spacing w:after="0"/>
              <w:rPr>
                <w:sz w:val="20"/>
                <w:szCs w:val="20"/>
                <w:color w:val="auto"/>
              </w:rPr>
            </w:pPr>
            <w:r>
              <w:rPr>
                <w:rFonts w:ascii="Courier New" w:cs="Courier New" w:eastAsia="Courier New" w:hAnsi="Courier New"/>
                <w:sz w:val="14"/>
                <w:szCs w:val="14"/>
                <w:color w:val="auto"/>
              </w:rPr>
              <w:t>Brick Plaza</w:t>
            </w:r>
          </w:p>
        </w:tc>
        <w:tc>
          <w:tcPr>
            <w:tcW w:w="20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11/01/15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7.415%</w:t>
            </w: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33,000</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40" w:type="dxa"/>
            <w:vAlign w:val="bottom"/>
          </w:tcPr>
          <w:p>
            <w:pPr>
              <w:ind w:left="620"/>
              <w:spacing w:after="0"/>
              <w:rPr>
                <w:sz w:val="20"/>
                <w:szCs w:val="20"/>
                <w:color w:val="auto"/>
              </w:rPr>
            </w:pPr>
            <w:r>
              <w:rPr>
                <w:rFonts w:ascii="Courier New" w:cs="Courier New" w:eastAsia="Courier New" w:hAnsi="Courier New"/>
                <w:sz w:val="14"/>
                <w:szCs w:val="14"/>
                <w:color w:val="auto"/>
              </w:rPr>
              <w:t>Tysons Station</w:t>
            </w:r>
          </w:p>
        </w:tc>
        <w:tc>
          <w:tcPr>
            <w:tcW w:w="20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09/01/11</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7.400%</w:t>
            </w: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6,864</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66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Escondido (Municipal bonds)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10/01/16</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3.14%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(b)</w:t>
            </w:r>
          </w:p>
        </w:tc>
        <w:tc>
          <w:tcPr>
            <w:tcW w:w="6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9,400</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288,817</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Notes payable</w:t>
            </w:r>
          </w:p>
        </w:tc>
        <w:tc>
          <w:tcPr>
            <w:tcW w:w="2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66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Revolving credit facilities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12/19/03</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libor + .80%</w:t>
            </w:r>
          </w:p>
        </w:tc>
        <w:tc>
          <w:tcPr>
            <w:tcW w:w="340" w:type="dxa"/>
            <w:vAlign w:val="bottom"/>
          </w:tcPr>
          <w:p>
            <w:pPr>
              <w:spacing w:after="0"/>
              <w:rPr>
                <w:sz w:val="14"/>
                <w:szCs w:val="14"/>
                <w:color w:val="auto"/>
              </w:rPr>
            </w:pP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71,000</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40" w:type="dxa"/>
            <w:vAlign w:val="bottom"/>
          </w:tcPr>
          <w:p>
            <w:pPr>
              <w:ind w:left="620"/>
              <w:spacing w:after="0"/>
              <w:rPr>
                <w:sz w:val="20"/>
                <w:szCs w:val="20"/>
                <w:color w:val="auto"/>
              </w:rPr>
            </w:pPr>
            <w:r>
              <w:rPr>
                <w:rFonts w:ascii="Courier New" w:cs="Courier New" w:eastAsia="Courier New" w:hAnsi="Courier New"/>
                <w:sz w:val="14"/>
                <w:szCs w:val="14"/>
                <w:color w:val="auto"/>
              </w:rPr>
              <w:t>Term note with banks</w:t>
            </w:r>
          </w:p>
        </w:tc>
        <w:tc>
          <w:tcPr>
            <w:tcW w:w="20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12/19/03</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6.22%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(c)</w:t>
            </w:r>
          </w:p>
        </w:tc>
        <w:tc>
          <w:tcPr>
            <w:tcW w:w="6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125,000</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66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Note issued in connection with</w:t>
            </w: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66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renovation of Perring Plaza</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01/31/13</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2,266</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40" w:type="dxa"/>
            <w:vAlign w:val="bottom"/>
          </w:tcPr>
          <w:p>
            <w:pPr>
              <w:ind w:left="620"/>
              <w:spacing w:after="0"/>
              <w:rPr>
                <w:sz w:val="20"/>
                <w:szCs w:val="20"/>
                <w:color w:val="auto"/>
              </w:rPr>
            </w:pPr>
            <w:r>
              <w:rPr>
                <w:rFonts w:ascii="Courier New" w:cs="Courier New" w:eastAsia="Courier New" w:hAnsi="Courier New"/>
                <w:sz w:val="14"/>
                <w:szCs w:val="14"/>
                <w:color w:val="auto"/>
              </w:rPr>
              <w:t>Other</w:t>
            </w:r>
          </w:p>
        </w:tc>
        <w:tc>
          <w:tcPr>
            <w:tcW w:w="20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various</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various</w:t>
            </w: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45</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198,311</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Unsecured Public Debt</w:t>
            </w:r>
          </w:p>
        </w:tc>
        <w:tc>
          <w:tcPr>
            <w:tcW w:w="2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Convertible Subordinated Debentures</w:t>
            </w: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66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5 1/4% Convertible subordinated debentures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10/28/03</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5.250%</w:t>
            </w:r>
          </w:p>
        </w:tc>
        <w:tc>
          <w:tcPr>
            <w:tcW w:w="340" w:type="dxa"/>
            <w:vAlign w:val="bottom"/>
          </w:tcPr>
          <w:p>
            <w:pPr>
              <w:spacing w:after="0"/>
              <w:rPr>
                <w:sz w:val="14"/>
                <w:szCs w:val="14"/>
                <w:color w:val="auto"/>
              </w:rPr>
            </w:pP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75,000</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Notes and Debentures</w:t>
            </w:r>
          </w:p>
        </w:tc>
        <w:tc>
          <w:tcPr>
            <w:tcW w:w="2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66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6.74% Medium Term Notes (d)</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03/10/04</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6.370%</w:t>
            </w: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39,500</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40" w:type="dxa"/>
            <w:vAlign w:val="bottom"/>
          </w:tcPr>
          <w:p>
            <w:pPr>
              <w:ind w:left="620"/>
              <w:spacing w:after="0"/>
              <w:rPr>
                <w:sz w:val="20"/>
                <w:szCs w:val="20"/>
                <w:color w:val="auto"/>
              </w:rPr>
            </w:pPr>
            <w:r>
              <w:rPr>
                <w:rFonts w:ascii="Courier New" w:cs="Courier New" w:eastAsia="Courier New" w:hAnsi="Courier New"/>
                <w:sz w:val="14"/>
                <w:szCs w:val="14"/>
                <w:color w:val="auto"/>
              </w:rPr>
              <w:t>6.625% Notes (fixed)</w:t>
            </w:r>
          </w:p>
        </w:tc>
        <w:tc>
          <w:tcPr>
            <w:tcW w:w="20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12/01/05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6.625%</w:t>
            </w: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40,000</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66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6.99% Medium Term Notes (d)</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03/10/06</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6.894%</w:t>
            </w: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40,500</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40" w:type="dxa"/>
            <w:vAlign w:val="bottom"/>
          </w:tcPr>
          <w:p>
            <w:pPr>
              <w:ind w:left="620"/>
              <w:spacing w:after="0"/>
              <w:rPr>
                <w:sz w:val="20"/>
                <w:szCs w:val="20"/>
                <w:color w:val="auto"/>
              </w:rPr>
            </w:pPr>
            <w:r>
              <w:rPr>
                <w:rFonts w:ascii="Courier New" w:cs="Courier New" w:eastAsia="Courier New" w:hAnsi="Courier New"/>
                <w:sz w:val="14"/>
                <w:szCs w:val="14"/>
                <w:color w:val="auto"/>
              </w:rPr>
              <w:t>6.125% Notes</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(e)</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11/15/07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6.325%</w:t>
            </w: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150,000</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40" w:type="dxa"/>
            <w:vAlign w:val="bottom"/>
          </w:tcPr>
          <w:p>
            <w:pPr>
              <w:ind w:left="620"/>
              <w:spacing w:after="0"/>
              <w:rPr>
                <w:sz w:val="20"/>
                <w:szCs w:val="20"/>
                <w:color w:val="auto"/>
              </w:rPr>
            </w:pPr>
            <w:r>
              <w:rPr>
                <w:rFonts w:ascii="Courier New" w:cs="Courier New" w:eastAsia="Courier New" w:hAnsi="Courier New"/>
                <w:sz w:val="14"/>
                <w:szCs w:val="14"/>
                <w:color w:val="auto"/>
              </w:rPr>
              <w:t>8.75% Notes</w:t>
            </w:r>
          </w:p>
        </w:tc>
        <w:tc>
          <w:tcPr>
            <w:tcW w:w="20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12/01/09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8.750%</w:t>
            </w: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175,000</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40" w:type="dxa"/>
            <w:vAlign w:val="bottom"/>
          </w:tcPr>
          <w:p>
            <w:pPr>
              <w:ind w:left="620"/>
              <w:spacing w:after="0"/>
              <w:rPr>
                <w:sz w:val="20"/>
                <w:szCs w:val="20"/>
                <w:color w:val="auto"/>
              </w:rPr>
            </w:pPr>
            <w:r>
              <w:rPr>
                <w:rFonts w:ascii="Courier New" w:cs="Courier New" w:eastAsia="Courier New" w:hAnsi="Courier New"/>
                <w:sz w:val="14"/>
                <w:szCs w:val="14"/>
                <w:color w:val="auto"/>
              </w:rPr>
              <w:t>7.48% Debentures</w:t>
            </w:r>
          </w:p>
        </w:tc>
        <w:tc>
          <w:tcPr>
            <w:tcW w:w="20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08/15/26</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7.480%</w:t>
            </w: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50,000</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40" w:type="dxa"/>
            <w:vAlign w:val="bottom"/>
          </w:tcPr>
          <w:p>
            <w:pPr>
              <w:ind w:left="620"/>
              <w:spacing w:after="0"/>
              <w:rPr>
                <w:sz w:val="20"/>
                <w:szCs w:val="20"/>
                <w:color w:val="auto"/>
              </w:rPr>
            </w:pPr>
            <w:r>
              <w:rPr>
                <w:rFonts w:ascii="Courier New" w:cs="Courier New" w:eastAsia="Courier New" w:hAnsi="Courier New"/>
                <w:sz w:val="14"/>
                <w:szCs w:val="14"/>
                <w:color w:val="auto"/>
              </w:rPr>
              <w:t>6.82% Medium Term Notes</w:t>
            </w:r>
          </w:p>
        </w:tc>
        <w:tc>
          <w:tcPr>
            <w:tcW w:w="202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08/01/27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6.820%</w:t>
            </w: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40,000</w:t>
            </w:r>
          </w:p>
        </w:tc>
        <w:tc>
          <w:tcPr>
            <w:tcW w:w="98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2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2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535,000</w:t>
            </w:r>
          </w:p>
        </w:tc>
        <w:tc>
          <w:tcPr>
            <w:tcW w:w="98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interest</w:t>
            </w:r>
          </w:p>
        </w:tc>
      </w:tr>
      <w:tr>
        <w:trPr>
          <w:trHeight w:val="166"/>
        </w:trPr>
        <w:tc>
          <w:tcPr>
            <w:tcW w:w="2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rate</w:t>
            </w:r>
          </w:p>
        </w:tc>
      </w:tr>
      <w:tr>
        <w:trPr>
          <w:trHeight w:val="497"/>
        </w:trPr>
        <w:tc>
          <w:tcPr>
            <w:tcW w:w="2640" w:type="dxa"/>
            <w:vAlign w:val="bottom"/>
          </w:tcPr>
          <w:p>
            <w:pPr>
              <w:spacing w:after="0"/>
              <w:rPr>
                <w:sz w:val="24"/>
                <w:szCs w:val="24"/>
                <w:color w:val="auto"/>
              </w:rPr>
            </w:pPr>
          </w:p>
        </w:tc>
        <w:tc>
          <w:tcPr>
            <w:tcW w:w="332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Total fixed rate debt</w:t>
            </w: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975,279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88.89%</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7.11%</w:t>
            </w:r>
          </w:p>
        </w:tc>
      </w:tr>
      <w:tr>
        <w:trPr>
          <w:trHeight w:val="166"/>
        </w:trPr>
        <w:tc>
          <w:tcPr>
            <w:tcW w:w="2640" w:type="dxa"/>
            <w:vAlign w:val="bottom"/>
          </w:tcPr>
          <w:p>
            <w:pPr>
              <w:spacing w:after="0"/>
              <w:rPr>
                <w:sz w:val="14"/>
                <w:szCs w:val="14"/>
                <w:color w:val="auto"/>
              </w:rPr>
            </w:pPr>
          </w:p>
        </w:tc>
        <w:tc>
          <w:tcPr>
            <w:tcW w:w="332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Total variable rate debt</w:t>
            </w: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121,849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11.11%</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2.84% (f)</w:t>
            </w:r>
          </w:p>
        </w:tc>
      </w:tr>
      <w:tr>
        <w:trPr>
          <w:trHeight w:val="166"/>
        </w:trPr>
        <w:tc>
          <w:tcPr>
            <w:tcW w:w="2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tcPr>
          <w:p>
            <w:pPr>
              <w:spacing w:after="0"/>
              <w:rPr>
                <w:sz w:val="14"/>
                <w:szCs w:val="14"/>
                <w:color w:val="auto"/>
              </w:rPr>
            </w:pPr>
          </w:p>
        </w:tc>
        <w:tc>
          <w:tcPr>
            <w:tcW w:w="2020" w:type="dxa"/>
            <w:vAlign w:val="bottom"/>
          </w:tcPr>
          <w:p>
            <w:pPr>
              <w:ind w:left="820"/>
              <w:spacing w:after="0"/>
              <w:rPr>
                <w:sz w:val="20"/>
                <w:szCs w:val="20"/>
                <w:color w:val="auto"/>
              </w:rPr>
            </w:pPr>
            <w:r>
              <w:rPr>
                <w:rFonts w:ascii="Courier New" w:cs="Courier New" w:eastAsia="Courier New" w:hAnsi="Courier New"/>
                <w:sz w:val="14"/>
                <w:szCs w:val="14"/>
                <w:color w:val="auto"/>
              </w:rPr>
              <w:t>Total debt</w:t>
            </w: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$ 1,097,128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6.64%</w:t>
            </w:r>
          </w:p>
        </w:tc>
      </w:tr>
      <w:tr>
        <w:trPr>
          <w:trHeight w:val="166"/>
        </w:trPr>
        <w:tc>
          <w:tcPr>
            <w:tcW w:w="2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Capital lease obligations</w:t>
            </w:r>
          </w:p>
        </w:tc>
        <w:tc>
          <w:tcPr>
            <w:tcW w:w="2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1"/>
        </w:trPr>
        <w:tc>
          <w:tcPr>
            <w:tcW w:w="26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7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Various through 2077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(g)</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104,395</w:t>
            </w: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2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474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Total debt and capital lease obligations</w:t>
            </w:r>
          </w:p>
        </w:tc>
        <w:tc>
          <w:tcPr>
            <w:tcW w:w="340" w:type="dxa"/>
            <w:vAlign w:val="bottom"/>
          </w:tcPr>
          <w:p>
            <w:pPr>
              <w:spacing w:after="0"/>
              <w:rPr>
                <w:sz w:val="14"/>
                <w:szCs w:val="14"/>
                <w:color w:val="auto"/>
              </w:rPr>
            </w:pPr>
          </w:p>
        </w:tc>
        <w:tc>
          <w:tcPr>
            <w:tcW w:w="16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$ 1,201,523</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ind w:left="440" w:right="4400" w:hanging="432"/>
        <w:spacing w:after="0" w:line="250" w:lineRule="auto"/>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mortgages were paid off on February 11, 2003 through borrowings under the revolving credit facility.</w:t>
      </w:r>
    </w:p>
    <w:p>
      <w:pPr>
        <w:ind w:left="440" w:right="4740" w:hanging="432"/>
        <w:spacing w:after="0" w:line="250" w:lineRule="auto"/>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bonds bear interest at a variable rate determined weekly to be the interest rate which would enable the bonds to be remarketed at 100% of their principal amount. The weighted average interest rate for the year ended December 31, 2002, was 3.14%</w:t>
      </w:r>
    </w:p>
    <w:p>
      <w:pPr>
        <w:spacing w:after="0" w:line="1" w:lineRule="exact"/>
        <w:rPr>
          <w:rFonts w:ascii="Courier New" w:cs="Courier New" w:eastAsia="Courier New" w:hAnsi="Courier New"/>
          <w:sz w:val="14"/>
          <w:szCs w:val="14"/>
          <w:color w:val="auto"/>
        </w:rPr>
      </w:pPr>
    </w:p>
    <w:p>
      <w:pPr>
        <w:ind w:left="440" w:right="4580" w:hanging="432"/>
        <w:spacing w:after="0" w:line="250" w:lineRule="auto"/>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LIBOR plus 95 basis points. The Trust purchased interest rate swaps or hedges on this note, thereby locking in the LIBOR interest rate of 5.27%.</w:t>
      </w:r>
    </w:p>
    <w:p>
      <w:pPr>
        <w:ind w:left="440" w:right="4580" w:hanging="432"/>
        <w:spacing w:after="0" w:line="250" w:lineRule="auto"/>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purchased interest rate swaps at issuance, thereby reducing the effective interest rate on these notes.</w:t>
      </w:r>
    </w:p>
    <w:p>
      <w:pPr>
        <w:ind w:left="440" w:right="4480" w:hanging="432"/>
        <w:spacing w:after="0" w:line="250" w:lineRule="auto"/>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purchased an interest rate lock to hedge the planned note offering. A hedge loss of $1.5 million associated with this hedge is being amortized into the November 2002 note offering thereby increasing the effective interest rate on these notes to 6.325%.</w:t>
      </w:r>
    </w:p>
    <w:p>
      <w:pPr>
        <w:spacing w:after="0" w:line="1" w:lineRule="exact"/>
        <w:rPr>
          <w:rFonts w:ascii="Courier New" w:cs="Courier New" w:eastAsia="Courier New" w:hAnsi="Courier New"/>
          <w:sz w:val="14"/>
          <w:szCs w:val="14"/>
          <w:color w:val="auto"/>
        </w:rPr>
      </w:pPr>
    </w:p>
    <w:p>
      <w:pPr>
        <w:ind w:left="440" w:right="4740" w:hanging="432"/>
        <w:spacing w:after="0" w:line="250" w:lineRule="auto"/>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Weighted average interest rate on variable rate debt as of December 31, 2002.</w:t>
      </w:r>
    </w:p>
    <w:p>
      <w:pPr>
        <w:ind w:left="440" w:right="4480" w:hanging="432"/>
        <w:spacing w:after="0" w:line="252" w:lineRule="auto"/>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Weighted average interest rate on capital lease obligations is 9.80% on a stated basis and 12.99% including performance based participation interest paid by the Trust.</w:t>
      </w:r>
    </w:p>
    <w:p>
      <w:pPr>
        <w:sectPr>
          <w:pgSz w:w="11900" w:h="16838" w:orient="portrait"/>
          <w:cols w:equalWidth="0" w:num="1">
            <w:col w:w="11300"/>
          </w:cols>
          <w:pgMar w:left="220" w:top="616" w:right="379" w:bottom="0" w:gutter="0" w:footer="0" w:header="0"/>
        </w:sectPr>
      </w:pPr>
    </w:p>
    <w:bookmarkStart w:id="14" w:name="page15"/>
    <w:bookmarkEnd w:id="14"/>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Debt Maturities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 MATURITIES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(in thousands)</w:t>
            </w: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663"/>
        </w:trPr>
        <w:tc>
          <w:tcPr>
            <w:tcW w:w="1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Cumulative</w:t>
            </w:r>
          </w:p>
        </w:tc>
      </w:tr>
      <w:tr>
        <w:trPr>
          <w:trHeight w:val="166"/>
        </w:trPr>
        <w:tc>
          <w:tcPr>
            <w:tcW w:w="1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Scheduled</w:t>
            </w:r>
          </w:p>
        </w:tc>
        <w:tc>
          <w:tcPr>
            <w:tcW w:w="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Percent of</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Percent of</w:t>
            </w:r>
          </w:p>
        </w:tc>
      </w:tr>
      <w:tr>
        <w:trPr>
          <w:trHeight w:val="166"/>
        </w:trPr>
        <w:tc>
          <w:tcPr>
            <w:tcW w:w="18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Year</w:t>
            </w:r>
          </w:p>
        </w:tc>
        <w:tc>
          <w:tcPr>
            <w:tcW w:w="18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Amortization</w:t>
            </w:r>
          </w:p>
        </w:tc>
        <w:tc>
          <w:tcPr>
            <w:tcW w:w="400" w:type="dxa"/>
            <w:vAlign w:val="bottom"/>
          </w:tcPr>
          <w:p>
            <w:pPr>
              <w:spacing w:after="0"/>
              <w:rPr>
                <w:sz w:val="14"/>
                <w:szCs w:val="14"/>
                <w:color w:val="auto"/>
              </w:rPr>
            </w:pP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w w:val="99"/>
              </w:rPr>
              <w:t>Maturities</w:t>
            </w:r>
          </w:p>
        </w:tc>
        <w:tc>
          <w:tcPr>
            <w:tcW w:w="30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Total</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Debt Expiring</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Debt Expiring</w:t>
            </w:r>
          </w:p>
        </w:tc>
      </w:tr>
      <w:tr>
        <w:trPr>
          <w:trHeight w:val="166"/>
        </w:trPr>
        <w:tc>
          <w:tcPr>
            <w:tcW w:w="2500" w:type="dxa"/>
            <w:vAlign w:val="bottom"/>
            <w:gridSpan w:val="2"/>
          </w:tcPr>
          <w:p>
            <w:pPr>
              <w:spacing w:after="0"/>
              <w:rPr>
                <w:sz w:val="20"/>
                <w:szCs w:val="20"/>
                <w:color w:val="auto"/>
              </w:rPr>
            </w:pPr>
            <w:r>
              <w:rPr>
                <w:rFonts w:ascii="Courier New" w:cs="Courier New" w:eastAsia="Courier New" w:hAnsi="Courier New"/>
                <w:sz w:val="5"/>
                <w:szCs w:val="5"/>
                <w:color w:val="auto"/>
                <w:w w:val="81"/>
              </w:rPr>
              <w:t>- ---------------------------------------------------------------------------------------------------</w:t>
            </w: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8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2003</w:t>
            </w:r>
          </w:p>
        </w:tc>
        <w:tc>
          <w:tcPr>
            <w:tcW w:w="6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837</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312,449  (1)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313,286  (1)</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28.6%</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28.6%</w:t>
            </w:r>
          </w:p>
        </w:tc>
      </w:tr>
      <w:tr>
        <w:trPr>
          <w:trHeight w:val="166"/>
        </w:trPr>
        <w:tc>
          <w:tcPr>
            <w:tcW w:w="18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2004</w:t>
            </w:r>
          </w:p>
        </w:tc>
        <w:tc>
          <w:tcPr>
            <w:tcW w:w="6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2,811</w:t>
            </w:r>
          </w:p>
        </w:tc>
        <w:tc>
          <w:tcPr>
            <w:tcW w:w="400" w:type="dxa"/>
            <w:vAlign w:val="bottom"/>
          </w:tcPr>
          <w:p>
            <w:pPr>
              <w:spacing w:after="0"/>
              <w:rPr>
                <w:sz w:val="14"/>
                <w:szCs w:val="14"/>
                <w:color w:val="auto"/>
              </w:rPr>
            </w:pP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39,500</w:t>
            </w:r>
          </w:p>
        </w:tc>
        <w:tc>
          <w:tcPr>
            <w:tcW w:w="30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42,311</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32.5%</w:t>
            </w:r>
          </w:p>
        </w:tc>
      </w:tr>
      <w:tr>
        <w:trPr>
          <w:trHeight w:val="166"/>
        </w:trPr>
        <w:tc>
          <w:tcPr>
            <w:tcW w:w="18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2005</w:t>
            </w:r>
          </w:p>
        </w:tc>
        <w:tc>
          <w:tcPr>
            <w:tcW w:w="6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3,064</w:t>
            </w:r>
          </w:p>
        </w:tc>
        <w:tc>
          <w:tcPr>
            <w:tcW w:w="400" w:type="dxa"/>
            <w:vAlign w:val="bottom"/>
          </w:tcPr>
          <w:p>
            <w:pPr>
              <w:spacing w:after="0"/>
              <w:rPr>
                <w:sz w:val="14"/>
                <w:szCs w:val="14"/>
                <w:color w:val="auto"/>
              </w:rPr>
            </w:pP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40,000</w:t>
            </w:r>
          </w:p>
        </w:tc>
        <w:tc>
          <w:tcPr>
            <w:tcW w:w="30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43,064</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36.4%</w:t>
            </w:r>
          </w:p>
        </w:tc>
      </w:tr>
      <w:tr>
        <w:trPr>
          <w:trHeight w:val="166"/>
        </w:trPr>
        <w:tc>
          <w:tcPr>
            <w:tcW w:w="18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2006</w:t>
            </w:r>
          </w:p>
        </w:tc>
        <w:tc>
          <w:tcPr>
            <w:tcW w:w="6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3,412</w:t>
            </w:r>
          </w:p>
        </w:tc>
        <w:tc>
          <w:tcPr>
            <w:tcW w:w="400" w:type="dxa"/>
            <w:vAlign w:val="bottom"/>
          </w:tcPr>
          <w:p>
            <w:pPr>
              <w:spacing w:after="0"/>
              <w:rPr>
                <w:sz w:val="14"/>
                <w:szCs w:val="14"/>
                <w:color w:val="auto"/>
              </w:rPr>
            </w:pP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40,500</w:t>
            </w:r>
          </w:p>
        </w:tc>
        <w:tc>
          <w:tcPr>
            <w:tcW w:w="30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43,912</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40.4%</w:t>
            </w:r>
          </w:p>
        </w:tc>
      </w:tr>
      <w:tr>
        <w:trPr>
          <w:trHeight w:val="166"/>
        </w:trPr>
        <w:tc>
          <w:tcPr>
            <w:tcW w:w="18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2007</w:t>
            </w:r>
          </w:p>
        </w:tc>
        <w:tc>
          <w:tcPr>
            <w:tcW w:w="6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3,686</w:t>
            </w:r>
          </w:p>
        </w:tc>
        <w:tc>
          <w:tcPr>
            <w:tcW w:w="400" w:type="dxa"/>
            <w:vAlign w:val="bottom"/>
          </w:tcPr>
          <w:p>
            <w:pPr>
              <w:spacing w:after="0"/>
              <w:rPr>
                <w:sz w:val="14"/>
                <w:szCs w:val="14"/>
                <w:color w:val="auto"/>
              </w:rPr>
            </w:pP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150,000</w:t>
            </w:r>
          </w:p>
        </w:tc>
        <w:tc>
          <w:tcPr>
            <w:tcW w:w="30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153,686</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14.0%</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54.4%</w:t>
            </w:r>
          </w:p>
        </w:tc>
      </w:tr>
      <w:tr>
        <w:trPr>
          <w:trHeight w:val="166"/>
        </w:trPr>
        <w:tc>
          <w:tcPr>
            <w:tcW w:w="18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2008</w:t>
            </w:r>
          </w:p>
        </w:tc>
        <w:tc>
          <w:tcPr>
            <w:tcW w:w="6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3,918</w:t>
            </w:r>
          </w:p>
        </w:tc>
        <w:tc>
          <w:tcPr>
            <w:tcW w:w="400" w:type="dxa"/>
            <w:vAlign w:val="bottom"/>
          </w:tcPr>
          <w:p>
            <w:pPr>
              <w:spacing w:after="0"/>
              <w:rPr>
                <w:sz w:val="14"/>
                <w:szCs w:val="14"/>
                <w:color w:val="auto"/>
              </w:rPr>
            </w:pP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9,541</w:t>
            </w:r>
          </w:p>
        </w:tc>
        <w:tc>
          <w:tcPr>
            <w:tcW w:w="30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13,459</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55.6%</w:t>
            </w:r>
          </w:p>
        </w:tc>
      </w:tr>
      <w:tr>
        <w:trPr>
          <w:trHeight w:val="166"/>
        </w:trPr>
        <w:tc>
          <w:tcPr>
            <w:tcW w:w="18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2009</w:t>
            </w:r>
          </w:p>
        </w:tc>
        <w:tc>
          <w:tcPr>
            <w:tcW w:w="6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4,095</w:t>
            </w:r>
          </w:p>
        </w:tc>
        <w:tc>
          <w:tcPr>
            <w:tcW w:w="400" w:type="dxa"/>
            <w:vAlign w:val="bottom"/>
          </w:tcPr>
          <w:p>
            <w:pPr>
              <w:spacing w:after="0"/>
              <w:rPr>
                <w:sz w:val="14"/>
                <w:szCs w:val="14"/>
                <w:color w:val="auto"/>
              </w:rPr>
            </w:pP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175,045</w:t>
            </w:r>
          </w:p>
        </w:tc>
        <w:tc>
          <w:tcPr>
            <w:tcW w:w="30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179,140</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16.3%</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71.9%</w:t>
            </w:r>
          </w:p>
        </w:tc>
      </w:tr>
      <w:tr>
        <w:trPr>
          <w:trHeight w:val="166"/>
        </w:trPr>
        <w:tc>
          <w:tcPr>
            <w:tcW w:w="18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2010</w:t>
            </w:r>
          </w:p>
        </w:tc>
        <w:tc>
          <w:tcPr>
            <w:tcW w:w="6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4,427</w:t>
            </w:r>
          </w:p>
        </w:tc>
        <w:tc>
          <w:tcPr>
            <w:tcW w:w="400" w:type="dxa"/>
            <w:vAlign w:val="bottom"/>
          </w:tcPr>
          <w:p>
            <w:pPr>
              <w:spacing w:after="0"/>
              <w:rPr>
                <w:sz w:val="14"/>
                <w:szCs w:val="14"/>
                <w:color w:val="auto"/>
              </w:rPr>
            </w:pP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4,427</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0.4%</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72.3%</w:t>
            </w:r>
          </w:p>
        </w:tc>
      </w:tr>
      <w:tr>
        <w:trPr>
          <w:trHeight w:val="166"/>
        </w:trPr>
        <w:tc>
          <w:tcPr>
            <w:tcW w:w="18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2011</w:t>
            </w:r>
          </w:p>
        </w:tc>
        <w:tc>
          <w:tcPr>
            <w:tcW w:w="6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4,287</w:t>
            </w:r>
          </w:p>
        </w:tc>
        <w:tc>
          <w:tcPr>
            <w:tcW w:w="400" w:type="dxa"/>
            <w:vAlign w:val="bottom"/>
          </w:tcPr>
          <w:p>
            <w:pPr>
              <w:spacing w:after="0"/>
              <w:rPr>
                <w:sz w:val="14"/>
                <w:szCs w:val="14"/>
                <w:color w:val="auto"/>
              </w:rPr>
            </w:pP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37,236</w:t>
            </w:r>
          </w:p>
        </w:tc>
        <w:tc>
          <w:tcPr>
            <w:tcW w:w="30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41,523</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76.1%</w:t>
            </w:r>
          </w:p>
        </w:tc>
      </w:tr>
      <w:tr>
        <w:trPr>
          <w:trHeight w:val="166"/>
        </w:trPr>
        <w:tc>
          <w:tcPr>
            <w:tcW w:w="18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2012</w:t>
            </w:r>
          </w:p>
        </w:tc>
        <w:tc>
          <w:tcPr>
            <w:tcW w:w="6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4,233</w:t>
            </w:r>
          </w:p>
        </w:tc>
        <w:tc>
          <w:tcPr>
            <w:tcW w:w="400" w:type="dxa"/>
            <w:vAlign w:val="bottom"/>
          </w:tcPr>
          <w:p>
            <w:pPr>
              <w:spacing w:after="0"/>
              <w:rPr>
                <w:sz w:val="14"/>
                <w:szCs w:val="14"/>
                <w:color w:val="auto"/>
              </w:rPr>
            </w:pP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4,233</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0.4%</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76.5%</w:t>
            </w:r>
          </w:p>
        </w:tc>
      </w:tr>
      <w:tr>
        <w:trPr>
          <w:trHeight w:val="166"/>
        </w:trPr>
        <w:tc>
          <w:tcPr>
            <w:tcW w:w="18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Thereafter</w:t>
            </w:r>
          </w:p>
        </w:tc>
        <w:tc>
          <w:tcPr>
            <w:tcW w:w="68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12,880</w:t>
            </w:r>
          </w:p>
        </w:tc>
        <w:tc>
          <w:tcPr>
            <w:tcW w:w="400" w:type="dxa"/>
            <w:vAlign w:val="bottom"/>
          </w:tcPr>
          <w:p>
            <w:pPr>
              <w:spacing w:after="0"/>
              <w:rPr>
                <w:sz w:val="14"/>
                <w:szCs w:val="14"/>
                <w:color w:val="auto"/>
              </w:rPr>
            </w:pP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245,207</w:t>
            </w:r>
          </w:p>
        </w:tc>
        <w:tc>
          <w:tcPr>
            <w:tcW w:w="30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258,087</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23.5%</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1820" w:type="dxa"/>
            <w:vAlign w:val="bottom"/>
          </w:tcPr>
          <w:p>
            <w:pPr>
              <w:spacing w:after="0"/>
              <w:rPr>
                <w:sz w:val="14"/>
                <w:szCs w:val="14"/>
                <w:color w:val="auto"/>
              </w:rPr>
            </w:pPr>
          </w:p>
        </w:tc>
        <w:tc>
          <w:tcPr>
            <w:tcW w:w="7140" w:type="dxa"/>
            <w:vAlign w:val="bottom"/>
            <w:gridSpan w:val="7"/>
          </w:tcPr>
          <w:p>
            <w:pPr>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spacing w:after="0"/>
              <w:rPr>
                <w:sz w:val="14"/>
                <w:szCs w:val="14"/>
                <w:color w:val="auto"/>
              </w:rPr>
            </w:pPr>
          </w:p>
        </w:tc>
      </w:tr>
      <w:tr>
        <w:trPr>
          <w:trHeight w:val="331"/>
        </w:trPr>
        <w:tc>
          <w:tcPr>
            <w:tcW w:w="18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Total</w:t>
            </w:r>
          </w:p>
        </w:tc>
        <w:tc>
          <w:tcPr>
            <w:tcW w:w="6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47,650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1,049,478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1,097,128</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100.00%</w:t>
            </w:r>
          </w:p>
        </w:tc>
        <w:tc>
          <w:tcPr>
            <w:tcW w:w="1720" w:type="dxa"/>
            <w:vAlign w:val="bottom"/>
          </w:tcPr>
          <w:p>
            <w:pPr>
              <w:spacing w:after="0"/>
              <w:rPr>
                <w:sz w:val="24"/>
                <w:szCs w:val="24"/>
                <w:color w:val="auto"/>
              </w:rPr>
            </w:pPr>
          </w:p>
        </w:tc>
      </w:tr>
      <w:tr>
        <w:trPr>
          <w:trHeight w:val="166"/>
        </w:trPr>
        <w:tc>
          <w:tcPr>
            <w:tcW w:w="1820" w:type="dxa"/>
            <w:vAlign w:val="bottom"/>
          </w:tcPr>
          <w:p>
            <w:pPr>
              <w:spacing w:after="0"/>
              <w:rPr>
                <w:sz w:val="14"/>
                <w:szCs w:val="14"/>
                <w:color w:val="auto"/>
              </w:rPr>
            </w:pPr>
          </w:p>
        </w:tc>
        <w:tc>
          <w:tcPr>
            <w:tcW w:w="7140" w:type="dxa"/>
            <w:vAlign w:val="bottom"/>
            <w:gridSpan w:val="7"/>
          </w:tcPr>
          <w:p>
            <w:pPr>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spacing w:after="0"/>
              <w:rPr>
                <w:sz w:val="14"/>
                <w:szCs w:val="14"/>
                <w:color w:val="auto"/>
              </w:rPr>
            </w:pPr>
          </w:p>
        </w:tc>
      </w:tr>
      <w:tr>
        <w:trPr>
          <w:trHeight w:val="497"/>
        </w:trPr>
        <w:tc>
          <w:tcPr>
            <w:tcW w:w="1820" w:type="dxa"/>
            <w:vAlign w:val="bottom"/>
          </w:tcPr>
          <w:p>
            <w:pPr>
              <w:jc w:val="right"/>
              <w:ind w:right="1311"/>
              <w:spacing w:after="0"/>
              <w:rPr>
                <w:sz w:val="20"/>
                <w:szCs w:val="20"/>
                <w:color w:val="auto"/>
              </w:rPr>
            </w:pPr>
            <w:r>
              <w:rPr>
                <w:rFonts w:ascii="Courier New" w:cs="Courier New" w:eastAsia="Courier New" w:hAnsi="Courier New"/>
                <w:sz w:val="14"/>
                <w:szCs w:val="14"/>
                <w:color w:val="auto"/>
                <w:w w:val="99"/>
              </w:rPr>
              <w:t>Note:</w:t>
            </w: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58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(1)  Includes $71 million balance on revolving credit facility and $</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125 million</w:t>
            </w:r>
          </w:p>
        </w:tc>
        <w:tc>
          <w:tcPr>
            <w:tcW w:w="17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18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balance on term</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loan.</w:t>
            </w: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20" w:type="dxa"/>
            <w:vAlign w:val="bottom"/>
          </w:tcPr>
          <w:p>
            <w:pPr>
              <w:spacing w:after="0"/>
              <w:rPr>
                <w:sz w:val="14"/>
                <w:szCs w:val="14"/>
                <w:color w:val="auto"/>
              </w:rPr>
            </w:pPr>
          </w:p>
        </w:tc>
      </w:tr>
    </w:tbl>
    <w:p>
      <w:pPr>
        <w:sectPr>
          <w:pgSz w:w="11900" w:h="16838" w:orient="portrait"/>
          <w:cols w:equalWidth="0" w:num="1">
            <w:col w:w="10680"/>
          </w:cols>
          <w:pgMar w:left="220" w:top="616" w:right="999"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Current and Future Redevelopment Opportunities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2002</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Current Redevelopment Opportunities  (1)  ($ millions)</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800" w:type="dxa"/>
            <w:vAlign w:val="bottom"/>
          </w:tcPr>
          <w:p>
            <w:pPr>
              <w:ind w:left="340"/>
              <w:spacing w:after="0"/>
              <w:rPr>
                <w:sz w:val="20"/>
                <w:szCs w:val="20"/>
                <w:color w:val="auto"/>
              </w:rPr>
            </w:pPr>
            <w:r>
              <w:rPr>
                <w:rFonts w:ascii="Courier New" w:cs="Courier New" w:eastAsia="Courier New" w:hAnsi="Courier New"/>
                <w:sz w:val="14"/>
                <w:szCs w:val="14"/>
                <w:color w:val="auto"/>
              </w:rPr>
              <w:t>Property</w:t>
            </w:r>
          </w:p>
        </w:tc>
        <w:tc>
          <w:tcPr>
            <w:tcW w:w="740" w:type="dxa"/>
            <w:vAlign w:val="bottom"/>
          </w:tcPr>
          <w:p>
            <w:pPr>
              <w:spacing w:after="0"/>
              <w:rPr>
                <w:sz w:val="14"/>
                <w:szCs w:val="14"/>
                <w:color w:val="auto"/>
              </w:rPr>
            </w:pPr>
          </w:p>
        </w:tc>
        <w:tc>
          <w:tcPr>
            <w:tcW w:w="2120" w:type="dxa"/>
            <w:vAlign w:val="bottom"/>
          </w:tcPr>
          <w:p>
            <w:pPr>
              <w:ind w:left="300"/>
              <w:spacing w:after="0"/>
              <w:rPr>
                <w:sz w:val="20"/>
                <w:szCs w:val="20"/>
                <w:color w:val="auto"/>
              </w:rPr>
            </w:pPr>
            <w:r>
              <w:rPr>
                <w:rFonts w:ascii="Courier New" w:cs="Courier New" w:eastAsia="Courier New" w:hAnsi="Courier New"/>
                <w:sz w:val="14"/>
                <w:szCs w:val="14"/>
                <w:color w:val="auto"/>
              </w:rPr>
              <w:t>Location</w:t>
            </w:r>
          </w:p>
        </w:tc>
        <w:tc>
          <w:tcPr>
            <w:tcW w:w="760" w:type="dxa"/>
            <w:vAlign w:val="bottom"/>
          </w:tcPr>
          <w:p>
            <w:pPr>
              <w:spacing w:after="0"/>
              <w:rPr>
                <w:sz w:val="14"/>
                <w:szCs w:val="14"/>
                <w:color w:val="auto"/>
              </w:rPr>
            </w:pPr>
          </w:p>
        </w:tc>
        <w:tc>
          <w:tcPr>
            <w:tcW w:w="5780" w:type="dxa"/>
            <w:vAlign w:val="bottom"/>
          </w:tcPr>
          <w:p>
            <w:pPr>
              <w:jc w:val="right"/>
              <w:ind w:right="3368"/>
              <w:spacing w:after="0"/>
              <w:rPr>
                <w:sz w:val="20"/>
                <w:szCs w:val="20"/>
                <w:color w:val="auto"/>
              </w:rPr>
            </w:pPr>
            <w:r>
              <w:rPr>
                <w:rFonts w:ascii="Courier New" w:cs="Courier New" w:eastAsia="Courier New" w:hAnsi="Courier New"/>
                <w:sz w:val="14"/>
                <w:szCs w:val="14"/>
                <w:color w:val="auto"/>
              </w:rPr>
              <w:t>Opportunity</w:t>
            </w:r>
          </w:p>
        </w:tc>
      </w:tr>
      <w:tr>
        <w:trPr>
          <w:trHeight w:val="166"/>
        </w:trPr>
        <w:tc>
          <w:tcPr>
            <w:tcW w:w="180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21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c>
          <w:tcPr>
            <w:tcW w:w="5780" w:type="dxa"/>
            <w:vAlign w:val="bottom"/>
          </w:tcPr>
          <w:p>
            <w:pPr>
              <w:jc w:val="right"/>
              <w:ind w:right="3368"/>
              <w:spacing w:after="0"/>
              <w:rPr>
                <w:sz w:val="20"/>
                <w:szCs w:val="20"/>
                <w:color w:val="auto"/>
              </w:rPr>
            </w:pPr>
            <w:r>
              <w:rPr>
                <w:rFonts w:ascii="Courier New" w:cs="Courier New" w:eastAsia="Courier New" w:hAnsi="Courier New"/>
                <w:sz w:val="14"/>
                <w:szCs w:val="14"/>
                <w:color w:val="auto"/>
              </w:rPr>
              <w:t>-----------</w:t>
            </w:r>
          </w:p>
        </w:tc>
      </w:tr>
      <w:tr>
        <w:trPr>
          <w:trHeight w:val="331"/>
        </w:trPr>
        <w:tc>
          <w:tcPr>
            <w:tcW w:w="1800" w:type="dxa"/>
            <w:vAlign w:val="bottom"/>
          </w:tcPr>
          <w:p>
            <w:pPr>
              <w:spacing w:after="0"/>
              <w:rPr>
                <w:sz w:val="20"/>
                <w:szCs w:val="20"/>
                <w:color w:val="auto"/>
              </w:rPr>
            </w:pPr>
            <w:r>
              <w:rPr>
                <w:rFonts w:ascii="Courier New" w:cs="Courier New" w:eastAsia="Courier New" w:hAnsi="Courier New"/>
                <w:sz w:val="14"/>
                <w:szCs w:val="14"/>
                <w:color w:val="auto"/>
              </w:rPr>
              <w:t>Congressional Plaza</w:t>
            </w:r>
          </w:p>
        </w:tc>
        <w:tc>
          <w:tcPr>
            <w:tcW w:w="740" w:type="dxa"/>
            <w:vAlign w:val="bottom"/>
          </w:tcPr>
          <w:p>
            <w:pPr>
              <w:spacing w:after="0"/>
              <w:rPr>
                <w:sz w:val="24"/>
                <w:szCs w:val="24"/>
                <w:color w:val="auto"/>
              </w:rPr>
            </w:pPr>
          </w:p>
        </w:tc>
        <w:tc>
          <w:tcPr>
            <w:tcW w:w="2120" w:type="dxa"/>
            <w:vAlign w:val="bottom"/>
          </w:tcPr>
          <w:p>
            <w:pPr>
              <w:ind w:left="140"/>
              <w:spacing w:after="0"/>
              <w:rPr>
                <w:sz w:val="20"/>
                <w:szCs w:val="20"/>
                <w:color w:val="auto"/>
              </w:rPr>
            </w:pPr>
            <w:r>
              <w:rPr>
                <w:rFonts w:ascii="Courier New" w:cs="Courier New" w:eastAsia="Courier New" w:hAnsi="Courier New"/>
                <w:sz w:val="14"/>
                <w:szCs w:val="14"/>
                <w:color w:val="auto"/>
              </w:rPr>
              <w:t>Rockville, MD</w:t>
            </w:r>
          </w:p>
        </w:tc>
        <w:tc>
          <w:tcPr>
            <w:tcW w:w="6540" w:type="dxa"/>
            <w:vAlign w:val="bottom"/>
            <w:gridSpan w:val="2"/>
          </w:tcPr>
          <w:p>
            <w:pPr>
              <w:spacing w:after="0"/>
              <w:rPr>
                <w:sz w:val="20"/>
                <w:szCs w:val="20"/>
                <w:color w:val="auto"/>
              </w:rPr>
            </w:pPr>
            <w:r>
              <w:rPr>
                <w:rFonts w:ascii="Courier New" w:cs="Courier New" w:eastAsia="Courier New" w:hAnsi="Courier New"/>
                <w:sz w:val="14"/>
                <w:szCs w:val="14"/>
                <w:color w:val="auto"/>
              </w:rPr>
              <w:t>Addition of 146-unit apartment building and structured parking in existing</w:t>
            </w:r>
          </w:p>
        </w:tc>
      </w:tr>
      <w:tr>
        <w:trPr>
          <w:trHeight w:val="166"/>
        </w:trPr>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540" w:type="dxa"/>
            <w:vAlign w:val="bottom"/>
            <w:gridSpan w:val="2"/>
          </w:tcPr>
          <w:p>
            <w:pPr>
              <w:spacing w:after="0"/>
              <w:rPr>
                <w:sz w:val="20"/>
                <w:szCs w:val="20"/>
                <w:color w:val="auto"/>
              </w:rPr>
            </w:pPr>
            <w:r>
              <w:rPr>
                <w:rFonts w:ascii="Courier New" w:cs="Courier New" w:eastAsia="Courier New" w:hAnsi="Courier New"/>
                <w:sz w:val="14"/>
                <w:szCs w:val="14"/>
                <w:color w:val="auto"/>
              </w:rPr>
              <w:t>parking field</w:t>
            </w:r>
          </w:p>
        </w:tc>
      </w:tr>
      <w:tr>
        <w:trPr>
          <w:trHeight w:val="166"/>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Third Street Promenade</w:t>
            </w:r>
          </w:p>
        </w:tc>
        <w:tc>
          <w:tcPr>
            <w:tcW w:w="2120" w:type="dxa"/>
            <w:vAlign w:val="bottom"/>
          </w:tcPr>
          <w:p>
            <w:pPr>
              <w:ind w:left="140"/>
              <w:spacing w:after="0"/>
              <w:rPr>
                <w:sz w:val="20"/>
                <w:szCs w:val="20"/>
                <w:color w:val="auto"/>
              </w:rPr>
            </w:pPr>
            <w:r>
              <w:rPr>
                <w:rFonts w:ascii="Courier New" w:cs="Courier New" w:eastAsia="Courier New" w:hAnsi="Courier New"/>
                <w:sz w:val="14"/>
                <w:szCs w:val="14"/>
                <w:color w:val="auto"/>
              </w:rPr>
              <w:t>Santa Monica, CA</w:t>
            </w:r>
          </w:p>
        </w:tc>
        <w:tc>
          <w:tcPr>
            <w:tcW w:w="6540" w:type="dxa"/>
            <w:vAlign w:val="bottom"/>
            <w:gridSpan w:val="2"/>
          </w:tcPr>
          <w:p>
            <w:pPr>
              <w:spacing w:after="0"/>
              <w:rPr>
                <w:sz w:val="20"/>
                <w:szCs w:val="20"/>
                <w:color w:val="auto"/>
              </w:rPr>
            </w:pPr>
            <w:r>
              <w:rPr>
                <w:rFonts w:ascii="Courier New" w:cs="Courier New" w:eastAsia="Courier New" w:hAnsi="Courier New"/>
                <w:sz w:val="14"/>
                <w:szCs w:val="14"/>
                <w:color w:val="auto"/>
              </w:rPr>
              <w:t>Retail redevelopment</w:t>
            </w:r>
          </w:p>
        </w:tc>
      </w:tr>
      <w:tr>
        <w:trPr>
          <w:trHeight w:val="166"/>
        </w:trPr>
        <w:tc>
          <w:tcPr>
            <w:tcW w:w="1800" w:type="dxa"/>
            <w:vAlign w:val="bottom"/>
          </w:tcPr>
          <w:p>
            <w:pPr>
              <w:spacing w:after="0"/>
              <w:rPr>
                <w:sz w:val="20"/>
                <w:szCs w:val="20"/>
                <w:color w:val="auto"/>
              </w:rPr>
            </w:pPr>
            <w:r>
              <w:rPr>
                <w:rFonts w:ascii="Courier New" w:cs="Courier New" w:eastAsia="Courier New" w:hAnsi="Courier New"/>
                <w:sz w:val="14"/>
                <w:szCs w:val="14"/>
                <w:color w:val="auto"/>
              </w:rPr>
              <w:t>Bethesda Row</w:t>
            </w:r>
          </w:p>
        </w:tc>
        <w:tc>
          <w:tcPr>
            <w:tcW w:w="740" w:type="dxa"/>
            <w:vAlign w:val="bottom"/>
          </w:tcPr>
          <w:p>
            <w:pPr>
              <w:spacing w:after="0"/>
              <w:rPr>
                <w:sz w:val="14"/>
                <w:szCs w:val="14"/>
                <w:color w:val="auto"/>
              </w:rPr>
            </w:pPr>
          </w:p>
        </w:tc>
        <w:tc>
          <w:tcPr>
            <w:tcW w:w="2120" w:type="dxa"/>
            <w:vAlign w:val="bottom"/>
          </w:tcPr>
          <w:p>
            <w:pPr>
              <w:ind w:left="140"/>
              <w:spacing w:after="0"/>
              <w:rPr>
                <w:sz w:val="20"/>
                <w:szCs w:val="20"/>
                <w:color w:val="auto"/>
              </w:rPr>
            </w:pPr>
            <w:r>
              <w:rPr>
                <w:rFonts w:ascii="Courier New" w:cs="Courier New" w:eastAsia="Courier New" w:hAnsi="Courier New"/>
                <w:sz w:val="14"/>
                <w:szCs w:val="14"/>
                <w:color w:val="auto"/>
              </w:rPr>
              <w:t>Bethesda, MD</w:t>
            </w:r>
          </w:p>
        </w:tc>
        <w:tc>
          <w:tcPr>
            <w:tcW w:w="6540" w:type="dxa"/>
            <w:vAlign w:val="bottom"/>
            <w:gridSpan w:val="2"/>
          </w:tcPr>
          <w:p>
            <w:pPr>
              <w:spacing w:after="0"/>
              <w:rPr>
                <w:sz w:val="20"/>
                <w:szCs w:val="20"/>
                <w:color w:val="auto"/>
              </w:rPr>
            </w:pPr>
            <w:r>
              <w:rPr>
                <w:rFonts w:ascii="Courier New" w:cs="Courier New" w:eastAsia="Courier New" w:hAnsi="Courier New"/>
                <w:sz w:val="14"/>
                <w:szCs w:val="14"/>
                <w:color w:val="auto"/>
              </w:rPr>
              <w:t>Grocery expansion, new pad site, GLA expansion and re-tenanting (restaurant)</w:t>
            </w:r>
          </w:p>
        </w:tc>
      </w:tr>
      <w:tr>
        <w:trPr>
          <w:trHeight w:val="166"/>
        </w:trPr>
        <w:tc>
          <w:tcPr>
            <w:tcW w:w="1800" w:type="dxa"/>
            <w:vAlign w:val="bottom"/>
          </w:tcPr>
          <w:p>
            <w:pPr>
              <w:spacing w:after="0"/>
              <w:rPr>
                <w:sz w:val="20"/>
                <w:szCs w:val="20"/>
                <w:color w:val="auto"/>
              </w:rPr>
            </w:pPr>
            <w:r>
              <w:rPr>
                <w:rFonts w:ascii="Courier New" w:cs="Courier New" w:eastAsia="Courier New" w:hAnsi="Courier New"/>
                <w:sz w:val="14"/>
                <w:szCs w:val="14"/>
                <w:color w:val="auto"/>
              </w:rPr>
              <w:t>Garden Market</w:t>
            </w:r>
          </w:p>
        </w:tc>
        <w:tc>
          <w:tcPr>
            <w:tcW w:w="740" w:type="dxa"/>
            <w:vAlign w:val="bottom"/>
          </w:tcPr>
          <w:p>
            <w:pPr>
              <w:spacing w:after="0"/>
              <w:rPr>
                <w:sz w:val="14"/>
                <w:szCs w:val="14"/>
                <w:color w:val="auto"/>
              </w:rPr>
            </w:pPr>
          </w:p>
        </w:tc>
        <w:tc>
          <w:tcPr>
            <w:tcW w:w="2120" w:type="dxa"/>
            <w:vAlign w:val="bottom"/>
          </w:tcPr>
          <w:p>
            <w:pPr>
              <w:ind w:left="140"/>
              <w:spacing w:after="0"/>
              <w:rPr>
                <w:sz w:val="20"/>
                <w:szCs w:val="20"/>
                <w:color w:val="auto"/>
              </w:rPr>
            </w:pPr>
            <w:r>
              <w:rPr>
                <w:rFonts w:ascii="Courier New" w:cs="Courier New" w:eastAsia="Courier New" w:hAnsi="Courier New"/>
                <w:sz w:val="14"/>
                <w:szCs w:val="14"/>
                <w:color w:val="auto"/>
              </w:rPr>
              <w:t>Western Springs, IL</w:t>
            </w:r>
          </w:p>
        </w:tc>
        <w:tc>
          <w:tcPr>
            <w:tcW w:w="6540" w:type="dxa"/>
            <w:vAlign w:val="bottom"/>
            <w:gridSpan w:val="2"/>
          </w:tcPr>
          <w:p>
            <w:pPr>
              <w:spacing w:after="0"/>
              <w:rPr>
                <w:sz w:val="20"/>
                <w:szCs w:val="20"/>
                <w:color w:val="auto"/>
              </w:rPr>
            </w:pPr>
            <w:r>
              <w:rPr>
                <w:rFonts w:ascii="Courier New" w:cs="Courier New" w:eastAsia="Courier New" w:hAnsi="Courier New"/>
                <w:sz w:val="14"/>
                <w:szCs w:val="14"/>
                <w:color w:val="auto"/>
              </w:rPr>
              <w:t>Expansion, re-tenanting (new grocer) and new pad site (existing drug store)</w:t>
            </w:r>
          </w:p>
        </w:tc>
      </w:tr>
      <w:tr>
        <w:trPr>
          <w:trHeight w:val="166"/>
        </w:trPr>
        <w:tc>
          <w:tcPr>
            <w:tcW w:w="1800" w:type="dxa"/>
            <w:vAlign w:val="bottom"/>
          </w:tcPr>
          <w:p>
            <w:pPr>
              <w:spacing w:after="0"/>
              <w:rPr>
                <w:sz w:val="20"/>
                <w:szCs w:val="20"/>
                <w:color w:val="auto"/>
              </w:rPr>
            </w:pPr>
            <w:r>
              <w:rPr>
                <w:rFonts w:ascii="Courier New" w:cs="Courier New" w:eastAsia="Courier New" w:hAnsi="Courier New"/>
                <w:sz w:val="14"/>
                <w:szCs w:val="14"/>
                <w:color w:val="auto"/>
              </w:rPr>
              <w:t>Ellisburg Circle</w:t>
            </w:r>
          </w:p>
        </w:tc>
        <w:tc>
          <w:tcPr>
            <w:tcW w:w="740" w:type="dxa"/>
            <w:vAlign w:val="bottom"/>
          </w:tcPr>
          <w:p>
            <w:pPr>
              <w:spacing w:after="0"/>
              <w:rPr>
                <w:sz w:val="14"/>
                <w:szCs w:val="14"/>
                <w:color w:val="auto"/>
              </w:rPr>
            </w:pPr>
          </w:p>
        </w:tc>
        <w:tc>
          <w:tcPr>
            <w:tcW w:w="2120" w:type="dxa"/>
            <w:vAlign w:val="bottom"/>
          </w:tcPr>
          <w:p>
            <w:pPr>
              <w:ind w:left="140"/>
              <w:spacing w:after="0"/>
              <w:rPr>
                <w:sz w:val="20"/>
                <w:szCs w:val="20"/>
                <w:color w:val="auto"/>
              </w:rPr>
            </w:pPr>
            <w:r>
              <w:rPr>
                <w:rFonts w:ascii="Courier New" w:cs="Courier New" w:eastAsia="Courier New" w:hAnsi="Courier New"/>
                <w:sz w:val="14"/>
                <w:szCs w:val="14"/>
                <w:color w:val="auto"/>
              </w:rPr>
              <w:t>Cherry Hill, NJ</w:t>
            </w:r>
          </w:p>
        </w:tc>
        <w:tc>
          <w:tcPr>
            <w:tcW w:w="6540" w:type="dxa"/>
            <w:vAlign w:val="bottom"/>
            <w:gridSpan w:val="2"/>
          </w:tcPr>
          <w:p>
            <w:pPr>
              <w:spacing w:after="0"/>
              <w:rPr>
                <w:sz w:val="20"/>
                <w:szCs w:val="20"/>
                <w:color w:val="auto"/>
              </w:rPr>
            </w:pPr>
            <w:r>
              <w:rPr>
                <w:rFonts w:ascii="Courier New" w:cs="Courier New" w:eastAsia="Courier New" w:hAnsi="Courier New"/>
                <w:sz w:val="14"/>
                <w:szCs w:val="14"/>
                <w:color w:val="auto"/>
              </w:rPr>
              <w:t>Re-tenanting (new grocer) and associated expansion</w:t>
            </w:r>
          </w:p>
        </w:tc>
      </w:tr>
      <w:tr>
        <w:trPr>
          <w:trHeight w:val="166"/>
        </w:trPr>
        <w:tc>
          <w:tcPr>
            <w:tcW w:w="1800" w:type="dxa"/>
            <w:vAlign w:val="bottom"/>
          </w:tcPr>
          <w:p>
            <w:pPr>
              <w:spacing w:after="0"/>
              <w:rPr>
                <w:sz w:val="20"/>
                <w:szCs w:val="20"/>
                <w:color w:val="auto"/>
              </w:rPr>
            </w:pPr>
            <w:r>
              <w:rPr>
                <w:rFonts w:ascii="Courier New" w:cs="Courier New" w:eastAsia="Courier New" w:hAnsi="Courier New"/>
                <w:sz w:val="14"/>
                <w:szCs w:val="14"/>
                <w:color w:val="auto"/>
              </w:rPr>
              <w:t>Finley Square</w:t>
            </w:r>
          </w:p>
        </w:tc>
        <w:tc>
          <w:tcPr>
            <w:tcW w:w="740" w:type="dxa"/>
            <w:vAlign w:val="bottom"/>
          </w:tcPr>
          <w:p>
            <w:pPr>
              <w:spacing w:after="0"/>
              <w:rPr>
                <w:sz w:val="14"/>
                <w:szCs w:val="14"/>
                <w:color w:val="auto"/>
              </w:rPr>
            </w:pPr>
          </w:p>
        </w:tc>
        <w:tc>
          <w:tcPr>
            <w:tcW w:w="2120" w:type="dxa"/>
            <w:vAlign w:val="bottom"/>
          </w:tcPr>
          <w:p>
            <w:pPr>
              <w:ind w:left="140"/>
              <w:spacing w:after="0"/>
              <w:rPr>
                <w:sz w:val="20"/>
                <w:szCs w:val="20"/>
                <w:color w:val="auto"/>
              </w:rPr>
            </w:pPr>
            <w:r>
              <w:rPr>
                <w:rFonts w:ascii="Courier New" w:cs="Courier New" w:eastAsia="Courier New" w:hAnsi="Courier New"/>
                <w:sz w:val="14"/>
                <w:szCs w:val="14"/>
                <w:color w:val="auto"/>
              </w:rPr>
              <w:t>Downers Grove, IL</w:t>
            </w:r>
          </w:p>
        </w:tc>
        <w:tc>
          <w:tcPr>
            <w:tcW w:w="6540" w:type="dxa"/>
            <w:vAlign w:val="bottom"/>
            <w:gridSpan w:val="2"/>
          </w:tcPr>
          <w:p>
            <w:pPr>
              <w:spacing w:after="0"/>
              <w:rPr>
                <w:sz w:val="20"/>
                <w:szCs w:val="20"/>
                <w:color w:val="auto"/>
              </w:rPr>
            </w:pPr>
            <w:r>
              <w:rPr>
                <w:rFonts w:ascii="Courier New" w:cs="Courier New" w:eastAsia="Courier New" w:hAnsi="Courier New"/>
                <w:sz w:val="14"/>
                <w:szCs w:val="14"/>
                <w:color w:val="auto"/>
              </w:rPr>
              <w:t>Re-tenanting (office supply)</w:t>
            </w:r>
          </w:p>
        </w:tc>
      </w:tr>
      <w:tr>
        <w:trPr>
          <w:trHeight w:val="166"/>
        </w:trPr>
        <w:tc>
          <w:tcPr>
            <w:tcW w:w="1800" w:type="dxa"/>
            <w:vAlign w:val="bottom"/>
          </w:tcPr>
          <w:p>
            <w:pPr>
              <w:spacing w:after="0"/>
              <w:rPr>
                <w:sz w:val="20"/>
                <w:szCs w:val="20"/>
                <w:color w:val="auto"/>
              </w:rPr>
            </w:pPr>
            <w:r>
              <w:rPr>
                <w:rFonts w:ascii="Courier New" w:cs="Courier New" w:eastAsia="Courier New" w:hAnsi="Courier New"/>
                <w:sz w:val="14"/>
                <w:szCs w:val="14"/>
                <w:color w:val="auto"/>
              </w:rPr>
              <w:t>Governor Plaza</w:t>
            </w:r>
          </w:p>
        </w:tc>
        <w:tc>
          <w:tcPr>
            <w:tcW w:w="740" w:type="dxa"/>
            <w:vAlign w:val="bottom"/>
          </w:tcPr>
          <w:p>
            <w:pPr>
              <w:spacing w:after="0"/>
              <w:rPr>
                <w:sz w:val="14"/>
                <w:szCs w:val="14"/>
                <w:color w:val="auto"/>
              </w:rPr>
            </w:pPr>
          </w:p>
        </w:tc>
        <w:tc>
          <w:tcPr>
            <w:tcW w:w="2120" w:type="dxa"/>
            <w:vAlign w:val="bottom"/>
          </w:tcPr>
          <w:p>
            <w:pPr>
              <w:ind w:left="140"/>
              <w:spacing w:after="0"/>
              <w:rPr>
                <w:sz w:val="20"/>
                <w:szCs w:val="20"/>
                <w:color w:val="auto"/>
              </w:rPr>
            </w:pPr>
            <w:r>
              <w:rPr>
                <w:rFonts w:ascii="Courier New" w:cs="Courier New" w:eastAsia="Courier New" w:hAnsi="Courier New"/>
                <w:sz w:val="14"/>
                <w:szCs w:val="14"/>
                <w:color w:val="auto"/>
              </w:rPr>
              <w:t>Glen Burnie, MD</w:t>
            </w:r>
          </w:p>
        </w:tc>
        <w:tc>
          <w:tcPr>
            <w:tcW w:w="6540" w:type="dxa"/>
            <w:vAlign w:val="bottom"/>
            <w:gridSpan w:val="2"/>
          </w:tcPr>
          <w:p>
            <w:pPr>
              <w:spacing w:after="0"/>
              <w:rPr>
                <w:sz w:val="20"/>
                <w:szCs w:val="20"/>
                <w:color w:val="auto"/>
              </w:rPr>
            </w:pPr>
            <w:r>
              <w:rPr>
                <w:rFonts w:ascii="Courier New" w:cs="Courier New" w:eastAsia="Courier New" w:hAnsi="Courier New"/>
                <w:sz w:val="14"/>
                <w:szCs w:val="14"/>
                <w:color w:val="auto"/>
              </w:rPr>
              <w:t>New pad sites (furniture and grocer)</w:t>
            </w:r>
          </w:p>
        </w:tc>
      </w:tr>
      <w:tr>
        <w:trPr>
          <w:trHeight w:val="166"/>
        </w:trPr>
        <w:tc>
          <w:tcPr>
            <w:tcW w:w="1800" w:type="dxa"/>
            <w:vAlign w:val="bottom"/>
          </w:tcPr>
          <w:p>
            <w:pPr>
              <w:spacing w:after="0"/>
              <w:rPr>
                <w:sz w:val="20"/>
                <w:szCs w:val="20"/>
                <w:color w:val="auto"/>
              </w:rPr>
            </w:pPr>
            <w:r>
              <w:rPr>
                <w:rFonts w:ascii="Courier New" w:cs="Courier New" w:eastAsia="Courier New" w:hAnsi="Courier New"/>
                <w:sz w:val="14"/>
                <w:szCs w:val="14"/>
                <w:color w:val="auto"/>
              </w:rPr>
              <w:t>Dedham Plaza</w:t>
            </w:r>
          </w:p>
        </w:tc>
        <w:tc>
          <w:tcPr>
            <w:tcW w:w="740" w:type="dxa"/>
            <w:vAlign w:val="bottom"/>
          </w:tcPr>
          <w:p>
            <w:pPr>
              <w:spacing w:after="0"/>
              <w:rPr>
                <w:sz w:val="14"/>
                <w:szCs w:val="14"/>
                <w:color w:val="auto"/>
              </w:rPr>
            </w:pPr>
          </w:p>
        </w:tc>
        <w:tc>
          <w:tcPr>
            <w:tcW w:w="2120" w:type="dxa"/>
            <w:vAlign w:val="bottom"/>
          </w:tcPr>
          <w:p>
            <w:pPr>
              <w:ind w:left="140"/>
              <w:spacing w:after="0"/>
              <w:rPr>
                <w:sz w:val="20"/>
                <w:szCs w:val="20"/>
                <w:color w:val="auto"/>
              </w:rPr>
            </w:pPr>
            <w:r>
              <w:rPr>
                <w:rFonts w:ascii="Courier New" w:cs="Courier New" w:eastAsia="Courier New" w:hAnsi="Courier New"/>
                <w:sz w:val="14"/>
                <w:szCs w:val="14"/>
                <w:color w:val="auto"/>
              </w:rPr>
              <w:t>Dedham, MA</w:t>
            </w:r>
          </w:p>
        </w:tc>
        <w:tc>
          <w:tcPr>
            <w:tcW w:w="6540" w:type="dxa"/>
            <w:vAlign w:val="bottom"/>
            <w:gridSpan w:val="2"/>
          </w:tcPr>
          <w:p>
            <w:pPr>
              <w:spacing w:after="0"/>
              <w:rPr>
                <w:sz w:val="20"/>
                <w:szCs w:val="20"/>
                <w:color w:val="auto"/>
              </w:rPr>
            </w:pPr>
            <w:r>
              <w:rPr>
                <w:rFonts w:ascii="Courier New" w:cs="Courier New" w:eastAsia="Courier New" w:hAnsi="Courier New"/>
                <w:sz w:val="14"/>
                <w:szCs w:val="14"/>
                <w:color w:val="auto"/>
              </w:rPr>
              <w:t>Tenant re-location (electronics), parking lot and common area improvements</w:t>
            </w:r>
          </w:p>
        </w:tc>
      </w:tr>
      <w:tr>
        <w:trPr>
          <w:trHeight w:val="166"/>
        </w:trPr>
        <w:tc>
          <w:tcPr>
            <w:tcW w:w="1800" w:type="dxa"/>
            <w:vAlign w:val="bottom"/>
          </w:tcPr>
          <w:p>
            <w:pPr>
              <w:spacing w:after="0"/>
              <w:rPr>
                <w:sz w:val="20"/>
                <w:szCs w:val="20"/>
                <w:color w:val="auto"/>
              </w:rPr>
            </w:pPr>
            <w:r>
              <w:rPr>
                <w:rFonts w:ascii="Courier New" w:cs="Courier New" w:eastAsia="Courier New" w:hAnsi="Courier New"/>
                <w:sz w:val="14"/>
                <w:szCs w:val="14"/>
                <w:color w:val="auto"/>
              </w:rPr>
              <w:t>Willow Lawn</w:t>
            </w:r>
          </w:p>
        </w:tc>
        <w:tc>
          <w:tcPr>
            <w:tcW w:w="740" w:type="dxa"/>
            <w:vAlign w:val="bottom"/>
          </w:tcPr>
          <w:p>
            <w:pPr>
              <w:spacing w:after="0"/>
              <w:rPr>
                <w:sz w:val="14"/>
                <w:szCs w:val="14"/>
                <w:color w:val="auto"/>
              </w:rPr>
            </w:pPr>
          </w:p>
        </w:tc>
        <w:tc>
          <w:tcPr>
            <w:tcW w:w="2120" w:type="dxa"/>
            <w:vAlign w:val="bottom"/>
          </w:tcPr>
          <w:p>
            <w:pPr>
              <w:ind w:left="140"/>
              <w:spacing w:after="0"/>
              <w:rPr>
                <w:sz w:val="20"/>
                <w:szCs w:val="20"/>
                <w:color w:val="auto"/>
              </w:rPr>
            </w:pPr>
            <w:r>
              <w:rPr>
                <w:rFonts w:ascii="Courier New" w:cs="Courier New" w:eastAsia="Courier New" w:hAnsi="Courier New"/>
                <w:sz w:val="14"/>
                <w:szCs w:val="14"/>
                <w:color w:val="auto"/>
              </w:rPr>
              <w:t>Richmond, VA</w:t>
            </w:r>
          </w:p>
        </w:tc>
        <w:tc>
          <w:tcPr>
            <w:tcW w:w="6540" w:type="dxa"/>
            <w:vAlign w:val="bottom"/>
            <w:gridSpan w:val="2"/>
          </w:tcPr>
          <w:p>
            <w:pPr>
              <w:spacing w:after="0"/>
              <w:rPr>
                <w:sz w:val="20"/>
                <w:szCs w:val="20"/>
                <w:color w:val="auto"/>
              </w:rPr>
            </w:pPr>
            <w:r>
              <w:rPr>
                <w:rFonts w:ascii="Courier New" w:cs="Courier New" w:eastAsia="Courier New" w:hAnsi="Courier New"/>
                <w:sz w:val="14"/>
                <w:szCs w:val="14"/>
                <w:color w:val="auto"/>
              </w:rPr>
              <w:t>Grocery expansion</w:t>
            </w:r>
          </w:p>
        </w:tc>
      </w:tr>
      <w:tr>
        <w:trPr>
          <w:trHeight w:val="166"/>
        </w:trPr>
        <w:tc>
          <w:tcPr>
            <w:tcW w:w="1800" w:type="dxa"/>
            <w:vAlign w:val="bottom"/>
          </w:tcPr>
          <w:p>
            <w:pPr>
              <w:spacing w:after="0"/>
              <w:rPr>
                <w:sz w:val="20"/>
                <w:szCs w:val="20"/>
                <w:color w:val="auto"/>
              </w:rPr>
            </w:pPr>
            <w:r>
              <w:rPr>
                <w:rFonts w:ascii="Courier New" w:cs="Courier New" w:eastAsia="Courier New" w:hAnsi="Courier New"/>
                <w:sz w:val="14"/>
                <w:szCs w:val="14"/>
                <w:color w:val="auto"/>
              </w:rPr>
              <w:t>Quince Orchard</w:t>
            </w:r>
          </w:p>
        </w:tc>
        <w:tc>
          <w:tcPr>
            <w:tcW w:w="740" w:type="dxa"/>
            <w:vAlign w:val="bottom"/>
          </w:tcPr>
          <w:p>
            <w:pPr>
              <w:spacing w:after="0"/>
              <w:rPr>
                <w:sz w:val="14"/>
                <w:szCs w:val="14"/>
                <w:color w:val="auto"/>
              </w:rPr>
            </w:pPr>
          </w:p>
        </w:tc>
        <w:tc>
          <w:tcPr>
            <w:tcW w:w="2120" w:type="dxa"/>
            <w:vAlign w:val="bottom"/>
          </w:tcPr>
          <w:p>
            <w:pPr>
              <w:ind w:left="140"/>
              <w:spacing w:after="0"/>
              <w:rPr>
                <w:sz w:val="20"/>
                <w:szCs w:val="20"/>
                <w:color w:val="auto"/>
              </w:rPr>
            </w:pPr>
            <w:r>
              <w:rPr>
                <w:rFonts w:ascii="Courier New" w:cs="Courier New" w:eastAsia="Courier New" w:hAnsi="Courier New"/>
                <w:sz w:val="14"/>
                <w:szCs w:val="14"/>
                <w:color w:val="auto"/>
              </w:rPr>
              <w:t>Gaithersburg, MD</w:t>
            </w:r>
          </w:p>
        </w:tc>
        <w:tc>
          <w:tcPr>
            <w:tcW w:w="6540" w:type="dxa"/>
            <w:vAlign w:val="bottom"/>
            <w:gridSpan w:val="2"/>
          </w:tcPr>
          <w:p>
            <w:pPr>
              <w:spacing w:after="0"/>
              <w:rPr>
                <w:sz w:val="20"/>
                <w:szCs w:val="20"/>
                <w:color w:val="auto"/>
              </w:rPr>
            </w:pPr>
            <w:r>
              <w:rPr>
                <w:rFonts w:ascii="Courier New" w:cs="Courier New" w:eastAsia="Courier New" w:hAnsi="Courier New"/>
                <w:sz w:val="14"/>
                <w:szCs w:val="14"/>
                <w:color w:val="auto"/>
              </w:rPr>
              <w:t>Pad site re-tenanting (drug store)</w:t>
            </w:r>
          </w:p>
        </w:tc>
      </w:tr>
      <w:tr>
        <w:trPr>
          <w:trHeight w:val="166"/>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Hauppauge Shopping Center</w:t>
            </w:r>
          </w:p>
        </w:tc>
        <w:tc>
          <w:tcPr>
            <w:tcW w:w="2120" w:type="dxa"/>
            <w:vAlign w:val="bottom"/>
          </w:tcPr>
          <w:p>
            <w:pPr>
              <w:ind w:left="140"/>
              <w:spacing w:after="0"/>
              <w:rPr>
                <w:sz w:val="20"/>
                <w:szCs w:val="20"/>
                <w:color w:val="auto"/>
              </w:rPr>
            </w:pPr>
            <w:r>
              <w:rPr>
                <w:rFonts w:ascii="Courier New" w:cs="Courier New" w:eastAsia="Courier New" w:hAnsi="Courier New"/>
                <w:sz w:val="14"/>
                <w:szCs w:val="14"/>
                <w:color w:val="auto"/>
              </w:rPr>
              <w:t>Hauppauge, NY</w:t>
            </w:r>
          </w:p>
        </w:tc>
        <w:tc>
          <w:tcPr>
            <w:tcW w:w="6540" w:type="dxa"/>
            <w:vAlign w:val="bottom"/>
            <w:gridSpan w:val="2"/>
          </w:tcPr>
          <w:p>
            <w:pPr>
              <w:spacing w:after="0"/>
              <w:rPr>
                <w:sz w:val="20"/>
                <w:szCs w:val="20"/>
                <w:color w:val="auto"/>
              </w:rPr>
            </w:pPr>
            <w:r>
              <w:rPr>
                <w:rFonts w:ascii="Courier New" w:cs="Courier New" w:eastAsia="Courier New" w:hAnsi="Courier New"/>
                <w:sz w:val="14"/>
                <w:szCs w:val="14"/>
                <w:color w:val="auto"/>
              </w:rPr>
              <w:t>Pad site re-tenanting (restaurant)</w:t>
            </w:r>
          </w:p>
        </w:tc>
      </w:tr>
      <w:tr>
        <w:trPr>
          <w:trHeight w:val="331"/>
        </w:trPr>
        <w:tc>
          <w:tcPr>
            <w:tcW w:w="1800" w:type="dxa"/>
            <w:vAlign w:val="bottom"/>
          </w:tcPr>
          <w:p>
            <w:pPr>
              <w:ind w:left="860"/>
              <w:spacing w:after="0"/>
              <w:rPr>
                <w:sz w:val="20"/>
                <w:szCs w:val="20"/>
                <w:color w:val="auto"/>
              </w:rPr>
            </w:pPr>
            <w:r>
              <w:rPr>
                <w:rFonts w:ascii="Courier New" w:cs="Courier New" w:eastAsia="Courier New" w:hAnsi="Courier New"/>
                <w:sz w:val="14"/>
                <w:szCs w:val="14"/>
                <w:color w:val="auto"/>
              </w:rPr>
              <w:t>Subtotal:</w:t>
            </w:r>
          </w:p>
        </w:tc>
        <w:tc>
          <w:tcPr>
            <w:tcW w:w="3620" w:type="dxa"/>
            <w:vAlign w:val="bottom"/>
            <w:gridSpan w:val="3"/>
          </w:tcPr>
          <w:p>
            <w:pPr>
              <w:spacing w:after="0"/>
              <w:rPr>
                <w:sz w:val="20"/>
                <w:szCs w:val="20"/>
                <w:color w:val="auto"/>
              </w:rPr>
            </w:pPr>
            <w:r>
              <w:rPr>
                <w:rFonts w:ascii="Courier New" w:cs="Courier New" w:eastAsia="Courier New" w:hAnsi="Courier New"/>
                <w:sz w:val="14"/>
                <w:szCs w:val="14"/>
                <w:color w:val="auto"/>
              </w:rPr>
              <w:t>Projects Anticipated to Stabilize in 2003</w:t>
            </w:r>
          </w:p>
        </w:tc>
        <w:tc>
          <w:tcPr>
            <w:tcW w:w="5780" w:type="dxa"/>
            <w:vAlign w:val="bottom"/>
          </w:tcPr>
          <w:p>
            <w:pPr>
              <w:jc w:val="right"/>
              <w:ind w:right="5348"/>
              <w:spacing w:after="0"/>
              <w:rPr>
                <w:sz w:val="20"/>
                <w:szCs w:val="20"/>
                <w:color w:val="auto"/>
              </w:rPr>
            </w:pPr>
            <w:r>
              <w:rPr>
                <w:rFonts w:ascii="Courier New" w:cs="Courier New" w:eastAsia="Courier New" w:hAnsi="Courier New"/>
                <w:sz w:val="14"/>
                <w:szCs w:val="14"/>
                <w:color w:val="auto"/>
              </w:rPr>
              <w:t>(4)</w:t>
            </w:r>
          </w:p>
        </w:tc>
      </w:tr>
      <w:tr>
        <w:trPr>
          <w:trHeight w:val="331"/>
        </w:trPr>
        <w:tc>
          <w:tcPr>
            <w:tcW w:w="1800" w:type="dxa"/>
            <w:vAlign w:val="bottom"/>
          </w:tcPr>
          <w:p>
            <w:pPr>
              <w:spacing w:after="0"/>
              <w:rPr>
                <w:sz w:val="20"/>
                <w:szCs w:val="20"/>
                <w:color w:val="auto"/>
              </w:rPr>
            </w:pPr>
            <w:r>
              <w:rPr>
                <w:rFonts w:ascii="Courier New" w:cs="Courier New" w:eastAsia="Courier New" w:hAnsi="Courier New"/>
                <w:sz w:val="14"/>
                <w:szCs w:val="14"/>
                <w:color w:val="auto"/>
              </w:rPr>
              <w:t>Santana Row Phase II</w:t>
            </w:r>
          </w:p>
        </w:tc>
        <w:tc>
          <w:tcPr>
            <w:tcW w:w="740" w:type="dxa"/>
            <w:vAlign w:val="bottom"/>
          </w:tcPr>
          <w:p>
            <w:pPr>
              <w:spacing w:after="0"/>
              <w:rPr>
                <w:sz w:val="24"/>
                <w:szCs w:val="24"/>
                <w:color w:val="auto"/>
              </w:rPr>
            </w:pPr>
          </w:p>
        </w:tc>
        <w:tc>
          <w:tcPr>
            <w:tcW w:w="2120" w:type="dxa"/>
            <w:vAlign w:val="bottom"/>
          </w:tcPr>
          <w:p>
            <w:pPr>
              <w:ind w:left="140"/>
              <w:spacing w:after="0"/>
              <w:rPr>
                <w:sz w:val="20"/>
                <w:szCs w:val="20"/>
                <w:color w:val="auto"/>
              </w:rPr>
            </w:pPr>
            <w:r>
              <w:rPr>
                <w:rFonts w:ascii="Courier New" w:cs="Courier New" w:eastAsia="Courier New" w:hAnsi="Courier New"/>
                <w:sz w:val="14"/>
                <w:szCs w:val="14"/>
                <w:color w:val="auto"/>
              </w:rPr>
              <w:t>San Jose, CA</w:t>
            </w:r>
          </w:p>
        </w:tc>
        <w:tc>
          <w:tcPr>
            <w:tcW w:w="6540" w:type="dxa"/>
            <w:vAlign w:val="bottom"/>
            <w:gridSpan w:val="2"/>
          </w:tcPr>
          <w:p>
            <w:pPr>
              <w:spacing w:after="0"/>
              <w:rPr>
                <w:sz w:val="20"/>
                <w:szCs w:val="20"/>
                <w:color w:val="auto"/>
              </w:rPr>
            </w:pPr>
            <w:r>
              <w:rPr>
                <w:rFonts w:ascii="Courier New" w:cs="Courier New" w:eastAsia="Courier New" w:hAnsi="Courier New"/>
                <w:sz w:val="14"/>
                <w:szCs w:val="14"/>
                <w:color w:val="auto"/>
              </w:rPr>
              <w:t>Two new pad sites (Best Buy and The Container Store) and additional parking</w:t>
            </w:r>
          </w:p>
        </w:tc>
      </w:tr>
      <w:tr>
        <w:trPr>
          <w:trHeight w:val="166"/>
        </w:trPr>
        <w:tc>
          <w:tcPr>
            <w:tcW w:w="1800" w:type="dxa"/>
            <w:vAlign w:val="bottom"/>
          </w:tcPr>
          <w:p>
            <w:pPr>
              <w:spacing w:after="0"/>
              <w:rPr>
                <w:sz w:val="20"/>
                <w:szCs w:val="20"/>
                <w:color w:val="auto"/>
              </w:rPr>
            </w:pPr>
            <w:r>
              <w:rPr>
                <w:rFonts w:ascii="Courier New" w:cs="Courier New" w:eastAsia="Courier New" w:hAnsi="Courier New"/>
                <w:sz w:val="14"/>
                <w:szCs w:val="14"/>
                <w:color w:val="auto"/>
              </w:rPr>
              <w:t>Andorra</w:t>
            </w:r>
          </w:p>
        </w:tc>
        <w:tc>
          <w:tcPr>
            <w:tcW w:w="740" w:type="dxa"/>
            <w:vAlign w:val="bottom"/>
          </w:tcPr>
          <w:p>
            <w:pPr>
              <w:spacing w:after="0"/>
              <w:rPr>
                <w:sz w:val="14"/>
                <w:szCs w:val="14"/>
                <w:color w:val="auto"/>
              </w:rPr>
            </w:pPr>
          </w:p>
        </w:tc>
        <w:tc>
          <w:tcPr>
            <w:tcW w:w="2120" w:type="dxa"/>
            <w:vAlign w:val="bottom"/>
          </w:tcPr>
          <w:p>
            <w:pPr>
              <w:ind w:left="140"/>
              <w:spacing w:after="0"/>
              <w:rPr>
                <w:sz w:val="20"/>
                <w:szCs w:val="20"/>
                <w:color w:val="auto"/>
              </w:rPr>
            </w:pPr>
            <w:r>
              <w:rPr>
                <w:rFonts w:ascii="Courier New" w:cs="Courier New" w:eastAsia="Courier New" w:hAnsi="Courier New"/>
                <w:sz w:val="14"/>
                <w:szCs w:val="14"/>
                <w:color w:val="auto"/>
              </w:rPr>
              <w:t>Philadelphia, PA</w:t>
            </w:r>
          </w:p>
        </w:tc>
        <w:tc>
          <w:tcPr>
            <w:tcW w:w="6540" w:type="dxa"/>
            <w:vAlign w:val="bottom"/>
            <w:gridSpan w:val="2"/>
          </w:tcPr>
          <w:p>
            <w:pPr>
              <w:spacing w:after="0"/>
              <w:rPr>
                <w:sz w:val="20"/>
                <w:szCs w:val="20"/>
                <w:color w:val="auto"/>
              </w:rPr>
            </w:pPr>
            <w:r>
              <w:rPr>
                <w:rFonts w:ascii="Courier New" w:cs="Courier New" w:eastAsia="Courier New" w:hAnsi="Courier New"/>
                <w:sz w:val="14"/>
                <w:szCs w:val="14"/>
                <w:color w:val="auto"/>
              </w:rPr>
              <w:t>Expansion and re-tenanting (new health club)</w:t>
            </w:r>
          </w:p>
        </w:tc>
      </w:tr>
      <w:tr>
        <w:trPr>
          <w:trHeight w:val="166"/>
        </w:trPr>
        <w:tc>
          <w:tcPr>
            <w:tcW w:w="1800" w:type="dxa"/>
            <w:vAlign w:val="bottom"/>
          </w:tcPr>
          <w:p>
            <w:pPr>
              <w:spacing w:after="0"/>
              <w:rPr>
                <w:sz w:val="20"/>
                <w:szCs w:val="20"/>
                <w:color w:val="auto"/>
              </w:rPr>
            </w:pPr>
            <w:r>
              <w:rPr>
                <w:rFonts w:ascii="Courier New" w:cs="Courier New" w:eastAsia="Courier New" w:hAnsi="Courier New"/>
                <w:sz w:val="14"/>
                <w:szCs w:val="14"/>
                <w:color w:val="auto"/>
              </w:rPr>
              <w:t>Lawrence Park</w:t>
            </w:r>
          </w:p>
        </w:tc>
        <w:tc>
          <w:tcPr>
            <w:tcW w:w="740" w:type="dxa"/>
            <w:vAlign w:val="bottom"/>
          </w:tcPr>
          <w:p>
            <w:pPr>
              <w:spacing w:after="0"/>
              <w:rPr>
                <w:sz w:val="14"/>
                <w:szCs w:val="14"/>
                <w:color w:val="auto"/>
              </w:rPr>
            </w:pPr>
          </w:p>
        </w:tc>
        <w:tc>
          <w:tcPr>
            <w:tcW w:w="2120" w:type="dxa"/>
            <w:vAlign w:val="bottom"/>
          </w:tcPr>
          <w:p>
            <w:pPr>
              <w:ind w:left="140"/>
              <w:spacing w:after="0"/>
              <w:rPr>
                <w:sz w:val="20"/>
                <w:szCs w:val="20"/>
                <w:color w:val="auto"/>
              </w:rPr>
            </w:pPr>
            <w:r>
              <w:rPr>
                <w:rFonts w:ascii="Courier New" w:cs="Courier New" w:eastAsia="Courier New" w:hAnsi="Courier New"/>
                <w:sz w:val="14"/>
                <w:szCs w:val="14"/>
                <w:color w:val="auto"/>
              </w:rPr>
              <w:t>Broomall, PA</w:t>
            </w:r>
          </w:p>
        </w:tc>
        <w:tc>
          <w:tcPr>
            <w:tcW w:w="6540" w:type="dxa"/>
            <w:vAlign w:val="bottom"/>
            <w:gridSpan w:val="2"/>
          </w:tcPr>
          <w:p>
            <w:pPr>
              <w:spacing w:after="0"/>
              <w:rPr>
                <w:sz w:val="20"/>
                <w:szCs w:val="20"/>
                <w:color w:val="auto"/>
              </w:rPr>
            </w:pPr>
            <w:r>
              <w:rPr>
                <w:rFonts w:ascii="Courier New" w:cs="Courier New" w:eastAsia="Courier New" w:hAnsi="Courier New"/>
                <w:sz w:val="14"/>
                <w:szCs w:val="14"/>
                <w:color w:val="auto"/>
              </w:rPr>
              <w:t>Grocer expansion, new pad site (drug store), common area improvements</w:t>
            </w:r>
          </w:p>
        </w:tc>
      </w:tr>
      <w:tr>
        <w:trPr>
          <w:trHeight w:val="166"/>
        </w:trPr>
        <w:tc>
          <w:tcPr>
            <w:tcW w:w="1800" w:type="dxa"/>
            <w:vAlign w:val="bottom"/>
          </w:tcPr>
          <w:p>
            <w:pPr>
              <w:spacing w:after="0"/>
              <w:rPr>
                <w:sz w:val="20"/>
                <w:szCs w:val="20"/>
                <w:color w:val="auto"/>
              </w:rPr>
            </w:pPr>
            <w:r>
              <w:rPr>
                <w:rFonts w:ascii="Courier New" w:cs="Courier New" w:eastAsia="Courier New" w:hAnsi="Courier New"/>
                <w:sz w:val="14"/>
                <w:szCs w:val="14"/>
                <w:color w:val="auto"/>
              </w:rPr>
              <w:t>Greenlawn Plaza</w:t>
            </w:r>
          </w:p>
        </w:tc>
        <w:tc>
          <w:tcPr>
            <w:tcW w:w="740" w:type="dxa"/>
            <w:vAlign w:val="bottom"/>
          </w:tcPr>
          <w:p>
            <w:pPr>
              <w:spacing w:after="0"/>
              <w:rPr>
                <w:sz w:val="14"/>
                <w:szCs w:val="14"/>
                <w:color w:val="auto"/>
              </w:rPr>
            </w:pPr>
          </w:p>
        </w:tc>
        <w:tc>
          <w:tcPr>
            <w:tcW w:w="2120" w:type="dxa"/>
            <w:vAlign w:val="bottom"/>
          </w:tcPr>
          <w:p>
            <w:pPr>
              <w:ind w:left="140"/>
              <w:spacing w:after="0"/>
              <w:rPr>
                <w:sz w:val="20"/>
                <w:szCs w:val="20"/>
                <w:color w:val="auto"/>
              </w:rPr>
            </w:pPr>
            <w:r>
              <w:rPr>
                <w:rFonts w:ascii="Courier New" w:cs="Courier New" w:eastAsia="Courier New" w:hAnsi="Courier New"/>
                <w:sz w:val="14"/>
                <w:szCs w:val="14"/>
                <w:color w:val="auto"/>
              </w:rPr>
              <w:t>Greenlawn, NY</w:t>
            </w:r>
          </w:p>
        </w:tc>
        <w:tc>
          <w:tcPr>
            <w:tcW w:w="6540" w:type="dxa"/>
            <w:vAlign w:val="bottom"/>
            <w:gridSpan w:val="2"/>
          </w:tcPr>
          <w:p>
            <w:pPr>
              <w:spacing w:after="0"/>
              <w:rPr>
                <w:sz w:val="20"/>
                <w:szCs w:val="20"/>
                <w:color w:val="auto"/>
              </w:rPr>
            </w:pPr>
            <w:r>
              <w:rPr>
                <w:rFonts w:ascii="Courier New" w:cs="Courier New" w:eastAsia="Courier New" w:hAnsi="Courier New"/>
                <w:sz w:val="14"/>
                <w:szCs w:val="14"/>
                <w:color w:val="auto"/>
              </w:rPr>
              <w:t>New pad site (child care center)</w:t>
            </w:r>
          </w:p>
        </w:tc>
      </w:tr>
      <w:tr>
        <w:trPr>
          <w:trHeight w:val="166"/>
        </w:trPr>
        <w:tc>
          <w:tcPr>
            <w:tcW w:w="1800" w:type="dxa"/>
            <w:vAlign w:val="bottom"/>
          </w:tcPr>
          <w:p>
            <w:pPr>
              <w:spacing w:after="0"/>
              <w:rPr>
                <w:sz w:val="20"/>
                <w:szCs w:val="20"/>
                <w:color w:val="auto"/>
              </w:rPr>
            </w:pPr>
            <w:r>
              <w:rPr>
                <w:rFonts w:ascii="Courier New" w:cs="Courier New" w:eastAsia="Courier New" w:hAnsi="Courier New"/>
                <w:sz w:val="14"/>
                <w:szCs w:val="14"/>
                <w:color w:val="auto"/>
              </w:rPr>
              <w:t>Laurel</w:t>
            </w:r>
          </w:p>
        </w:tc>
        <w:tc>
          <w:tcPr>
            <w:tcW w:w="740" w:type="dxa"/>
            <w:vAlign w:val="bottom"/>
          </w:tcPr>
          <w:p>
            <w:pPr>
              <w:spacing w:after="0"/>
              <w:rPr>
                <w:sz w:val="14"/>
                <w:szCs w:val="14"/>
                <w:color w:val="auto"/>
              </w:rPr>
            </w:pPr>
          </w:p>
        </w:tc>
        <w:tc>
          <w:tcPr>
            <w:tcW w:w="2120" w:type="dxa"/>
            <w:vAlign w:val="bottom"/>
          </w:tcPr>
          <w:p>
            <w:pPr>
              <w:ind w:left="140"/>
              <w:spacing w:after="0"/>
              <w:rPr>
                <w:sz w:val="20"/>
                <w:szCs w:val="20"/>
                <w:color w:val="auto"/>
              </w:rPr>
            </w:pPr>
            <w:r>
              <w:rPr>
                <w:rFonts w:ascii="Courier New" w:cs="Courier New" w:eastAsia="Courier New" w:hAnsi="Courier New"/>
                <w:sz w:val="14"/>
                <w:szCs w:val="14"/>
                <w:color w:val="auto"/>
              </w:rPr>
              <w:t>Laurel, MD</w:t>
            </w:r>
          </w:p>
        </w:tc>
        <w:tc>
          <w:tcPr>
            <w:tcW w:w="6540" w:type="dxa"/>
            <w:vAlign w:val="bottom"/>
            <w:gridSpan w:val="2"/>
          </w:tcPr>
          <w:p>
            <w:pPr>
              <w:spacing w:after="0"/>
              <w:rPr>
                <w:sz w:val="20"/>
                <w:szCs w:val="20"/>
                <w:color w:val="auto"/>
              </w:rPr>
            </w:pPr>
            <w:r>
              <w:rPr>
                <w:rFonts w:ascii="Courier New" w:cs="Courier New" w:eastAsia="Courier New" w:hAnsi="Courier New"/>
                <w:sz w:val="14"/>
                <w:szCs w:val="14"/>
                <w:color w:val="auto"/>
              </w:rPr>
              <w:t>Grocery expansion</w:t>
            </w:r>
          </w:p>
        </w:tc>
      </w:tr>
      <w:tr>
        <w:trPr>
          <w:trHeight w:val="331"/>
        </w:trPr>
        <w:tc>
          <w:tcPr>
            <w:tcW w:w="1800" w:type="dxa"/>
            <w:vAlign w:val="bottom"/>
          </w:tcPr>
          <w:p>
            <w:pPr>
              <w:ind w:left="860"/>
              <w:spacing w:after="0"/>
              <w:rPr>
                <w:sz w:val="20"/>
                <w:szCs w:val="20"/>
                <w:color w:val="auto"/>
              </w:rPr>
            </w:pPr>
            <w:r>
              <w:rPr>
                <w:rFonts w:ascii="Courier New" w:cs="Courier New" w:eastAsia="Courier New" w:hAnsi="Courier New"/>
                <w:sz w:val="14"/>
                <w:szCs w:val="14"/>
                <w:color w:val="auto"/>
              </w:rPr>
              <w:t>Subtotal:</w:t>
            </w:r>
          </w:p>
        </w:tc>
        <w:tc>
          <w:tcPr>
            <w:tcW w:w="3620" w:type="dxa"/>
            <w:vAlign w:val="bottom"/>
            <w:gridSpan w:val="3"/>
          </w:tcPr>
          <w:p>
            <w:pPr>
              <w:spacing w:after="0"/>
              <w:rPr>
                <w:sz w:val="20"/>
                <w:szCs w:val="20"/>
                <w:color w:val="auto"/>
              </w:rPr>
            </w:pPr>
            <w:r>
              <w:rPr>
                <w:rFonts w:ascii="Courier New" w:cs="Courier New" w:eastAsia="Courier New" w:hAnsi="Courier New"/>
                <w:sz w:val="14"/>
                <w:szCs w:val="14"/>
                <w:color w:val="auto"/>
              </w:rPr>
              <w:t>Projects Anticipated to Stabilize in 2004</w:t>
            </w:r>
          </w:p>
        </w:tc>
        <w:tc>
          <w:tcPr>
            <w:tcW w:w="5780" w:type="dxa"/>
            <w:vAlign w:val="bottom"/>
          </w:tcPr>
          <w:p>
            <w:pPr>
              <w:jc w:val="right"/>
              <w:ind w:right="5348"/>
              <w:spacing w:after="0"/>
              <w:rPr>
                <w:sz w:val="20"/>
                <w:szCs w:val="20"/>
                <w:color w:val="auto"/>
              </w:rPr>
            </w:pPr>
            <w:r>
              <w:rPr>
                <w:rFonts w:ascii="Courier New" w:cs="Courier New" w:eastAsia="Courier New" w:hAnsi="Courier New"/>
                <w:sz w:val="14"/>
                <w:szCs w:val="14"/>
                <w:color w:val="auto"/>
              </w:rPr>
              <w:t>(4)</w:t>
            </w:r>
          </w:p>
        </w:tc>
      </w:tr>
      <w:tr>
        <w:trPr>
          <w:trHeight w:val="331"/>
        </w:trPr>
        <w:tc>
          <w:tcPr>
            <w:tcW w:w="4660" w:type="dxa"/>
            <w:vAlign w:val="bottom"/>
            <w:gridSpan w:val="3"/>
          </w:tcPr>
          <w:p>
            <w:pPr>
              <w:spacing w:after="0"/>
              <w:rPr>
                <w:sz w:val="20"/>
                <w:szCs w:val="20"/>
                <w:color w:val="auto"/>
              </w:rPr>
            </w:pPr>
            <w:r>
              <w:rPr>
                <w:rFonts w:ascii="Courier New" w:cs="Courier New" w:eastAsia="Courier New" w:hAnsi="Courier New"/>
                <w:sz w:val="14"/>
                <w:szCs w:val="14"/>
                <w:color w:val="auto"/>
              </w:rPr>
              <w:t>Potential Future Redevelopments Stabilizing After 2004</w:t>
            </w:r>
          </w:p>
        </w:tc>
        <w:tc>
          <w:tcPr>
            <w:tcW w:w="760" w:type="dxa"/>
            <w:vAlign w:val="bottom"/>
          </w:tcPr>
          <w:p>
            <w:pPr>
              <w:ind w:left="160"/>
              <w:spacing w:after="0"/>
              <w:rPr>
                <w:sz w:val="20"/>
                <w:szCs w:val="20"/>
                <w:color w:val="auto"/>
              </w:rPr>
            </w:pPr>
            <w:r>
              <w:rPr>
                <w:rFonts w:ascii="Courier New" w:cs="Courier New" w:eastAsia="Courier New" w:hAnsi="Courier New"/>
                <w:sz w:val="14"/>
                <w:szCs w:val="14"/>
                <w:color w:val="auto"/>
              </w:rPr>
              <w:t>(5)</w:t>
            </w:r>
          </w:p>
        </w:tc>
        <w:tc>
          <w:tcPr>
            <w:tcW w:w="5780" w:type="dxa"/>
            <w:vAlign w:val="bottom"/>
          </w:tcPr>
          <w:p>
            <w:pPr>
              <w:spacing w:after="0"/>
              <w:rPr>
                <w:sz w:val="24"/>
                <w:szCs w:val="24"/>
                <w:color w:val="auto"/>
              </w:rPr>
            </w:pPr>
          </w:p>
        </w:tc>
      </w:tr>
      <w:tr>
        <w:trPr>
          <w:trHeight w:val="331"/>
        </w:trPr>
        <w:tc>
          <w:tcPr>
            <w:tcW w:w="1800" w:type="dxa"/>
            <w:vAlign w:val="bottom"/>
          </w:tcPr>
          <w:p>
            <w:pPr>
              <w:spacing w:after="0"/>
              <w:rPr>
                <w:sz w:val="20"/>
                <w:szCs w:val="20"/>
                <w:color w:val="auto"/>
              </w:rPr>
            </w:pPr>
            <w:r>
              <w:rPr>
                <w:rFonts w:ascii="Courier New" w:cs="Courier New" w:eastAsia="Courier New" w:hAnsi="Courier New"/>
                <w:sz w:val="14"/>
                <w:szCs w:val="14"/>
                <w:color w:val="auto"/>
              </w:rPr>
              <w:t>150 Post Street</w:t>
            </w:r>
          </w:p>
        </w:tc>
        <w:tc>
          <w:tcPr>
            <w:tcW w:w="740" w:type="dxa"/>
            <w:vAlign w:val="bottom"/>
          </w:tcPr>
          <w:p>
            <w:pPr>
              <w:spacing w:after="0"/>
              <w:rPr>
                <w:sz w:val="24"/>
                <w:szCs w:val="24"/>
                <w:color w:val="auto"/>
              </w:rPr>
            </w:pPr>
          </w:p>
        </w:tc>
        <w:tc>
          <w:tcPr>
            <w:tcW w:w="2120" w:type="dxa"/>
            <w:vAlign w:val="bottom"/>
          </w:tcPr>
          <w:p>
            <w:pPr>
              <w:ind w:left="140"/>
              <w:spacing w:after="0"/>
              <w:rPr>
                <w:sz w:val="20"/>
                <w:szCs w:val="20"/>
                <w:color w:val="auto"/>
              </w:rPr>
            </w:pPr>
            <w:r>
              <w:rPr>
                <w:rFonts w:ascii="Courier New" w:cs="Courier New" w:eastAsia="Courier New" w:hAnsi="Courier New"/>
                <w:sz w:val="14"/>
                <w:szCs w:val="14"/>
                <w:color w:val="auto"/>
              </w:rPr>
              <w:t>San Francisco, CA</w:t>
            </w:r>
          </w:p>
        </w:tc>
        <w:tc>
          <w:tcPr>
            <w:tcW w:w="760" w:type="dxa"/>
            <w:vAlign w:val="bottom"/>
          </w:tcPr>
          <w:p>
            <w:pPr>
              <w:spacing w:after="0"/>
              <w:rPr>
                <w:sz w:val="24"/>
                <w:szCs w:val="24"/>
                <w:color w:val="auto"/>
              </w:rPr>
            </w:pPr>
          </w:p>
        </w:tc>
        <w:tc>
          <w:tcPr>
            <w:tcW w:w="5780" w:type="dxa"/>
            <w:vAlign w:val="bottom"/>
          </w:tcPr>
          <w:p>
            <w:pPr>
              <w:spacing w:after="0"/>
              <w:rPr>
                <w:sz w:val="24"/>
                <w:szCs w:val="24"/>
                <w:color w:val="auto"/>
              </w:rPr>
            </w:pPr>
          </w:p>
        </w:tc>
      </w:tr>
      <w:tr>
        <w:trPr>
          <w:trHeight w:val="166"/>
        </w:trPr>
        <w:tc>
          <w:tcPr>
            <w:tcW w:w="1800" w:type="dxa"/>
            <w:vAlign w:val="bottom"/>
          </w:tcPr>
          <w:p>
            <w:pPr>
              <w:spacing w:after="0"/>
              <w:rPr>
                <w:sz w:val="20"/>
                <w:szCs w:val="20"/>
                <w:color w:val="auto"/>
              </w:rPr>
            </w:pPr>
            <w:r>
              <w:rPr>
                <w:rFonts w:ascii="Courier New" w:cs="Courier New" w:eastAsia="Courier New" w:hAnsi="Courier New"/>
                <w:sz w:val="14"/>
                <w:szCs w:val="14"/>
                <w:color w:val="auto"/>
              </w:rPr>
              <w:t>Bala Cynwyd</w:t>
            </w:r>
          </w:p>
        </w:tc>
        <w:tc>
          <w:tcPr>
            <w:tcW w:w="740" w:type="dxa"/>
            <w:vAlign w:val="bottom"/>
          </w:tcPr>
          <w:p>
            <w:pPr>
              <w:spacing w:after="0"/>
              <w:rPr>
                <w:sz w:val="14"/>
                <w:szCs w:val="14"/>
                <w:color w:val="auto"/>
              </w:rPr>
            </w:pPr>
          </w:p>
        </w:tc>
        <w:tc>
          <w:tcPr>
            <w:tcW w:w="2120" w:type="dxa"/>
            <w:vAlign w:val="bottom"/>
          </w:tcPr>
          <w:p>
            <w:pPr>
              <w:ind w:left="140"/>
              <w:spacing w:after="0"/>
              <w:rPr>
                <w:sz w:val="20"/>
                <w:szCs w:val="20"/>
                <w:color w:val="auto"/>
              </w:rPr>
            </w:pPr>
            <w:r>
              <w:rPr>
                <w:rFonts w:ascii="Courier New" w:cs="Courier New" w:eastAsia="Courier New" w:hAnsi="Courier New"/>
                <w:sz w:val="14"/>
                <w:szCs w:val="14"/>
                <w:color w:val="auto"/>
              </w:rPr>
              <w:t>Bala Cynwyd, PA</w:t>
            </w:r>
          </w:p>
        </w:tc>
        <w:tc>
          <w:tcPr>
            <w:tcW w:w="760" w:type="dxa"/>
            <w:vAlign w:val="bottom"/>
          </w:tcPr>
          <w:p>
            <w:pPr>
              <w:spacing w:after="0"/>
              <w:rPr>
                <w:sz w:val="14"/>
                <w:szCs w:val="14"/>
                <w:color w:val="auto"/>
              </w:rPr>
            </w:pPr>
          </w:p>
        </w:tc>
        <w:tc>
          <w:tcPr>
            <w:tcW w:w="5780" w:type="dxa"/>
            <w:vAlign w:val="bottom"/>
          </w:tcPr>
          <w:p>
            <w:pPr>
              <w:spacing w:after="0"/>
              <w:rPr>
                <w:sz w:val="14"/>
                <w:szCs w:val="14"/>
                <w:color w:val="auto"/>
              </w:rPr>
            </w:pPr>
          </w:p>
        </w:tc>
      </w:tr>
      <w:tr>
        <w:trPr>
          <w:trHeight w:val="166"/>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Bethesda Row - Future Phases</w:t>
            </w:r>
          </w:p>
        </w:tc>
        <w:tc>
          <w:tcPr>
            <w:tcW w:w="2120" w:type="dxa"/>
            <w:vAlign w:val="bottom"/>
          </w:tcPr>
          <w:p>
            <w:pPr>
              <w:ind w:left="140"/>
              <w:spacing w:after="0"/>
              <w:rPr>
                <w:sz w:val="20"/>
                <w:szCs w:val="20"/>
                <w:color w:val="auto"/>
              </w:rPr>
            </w:pPr>
            <w:r>
              <w:rPr>
                <w:rFonts w:ascii="Courier New" w:cs="Courier New" w:eastAsia="Courier New" w:hAnsi="Courier New"/>
                <w:sz w:val="14"/>
                <w:szCs w:val="14"/>
                <w:color w:val="auto"/>
              </w:rPr>
              <w:t>Bethesda, MD</w:t>
            </w:r>
          </w:p>
        </w:tc>
        <w:tc>
          <w:tcPr>
            <w:tcW w:w="760" w:type="dxa"/>
            <w:vAlign w:val="bottom"/>
          </w:tcPr>
          <w:p>
            <w:pPr>
              <w:spacing w:after="0"/>
              <w:rPr>
                <w:sz w:val="14"/>
                <w:szCs w:val="14"/>
                <w:color w:val="auto"/>
              </w:rPr>
            </w:pPr>
          </w:p>
        </w:tc>
        <w:tc>
          <w:tcPr>
            <w:tcW w:w="5780" w:type="dxa"/>
            <w:vAlign w:val="bottom"/>
          </w:tcPr>
          <w:p>
            <w:pPr>
              <w:spacing w:after="0"/>
              <w:rPr>
                <w:sz w:val="14"/>
                <w:szCs w:val="14"/>
                <w:color w:val="auto"/>
              </w:rPr>
            </w:pPr>
          </w:p>
        </w:tc>
      </w:tr>
      <w:tr>
        <w:trPr>
          <w:trHeight w:val="166"/>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Brunswick Shopping Center</w:t>
            </w:r>
          </w:p>
        </w:tc>
        <w:tc>
          <w:tcPr>
            <w:tcW w:w="2120" w:type="dxa"/>
            <w:vAlign w:val="bottom"/>
          </w:tcPr>
          <w:p>
            <w:pPr>
              <w:ind w:left="140"/>
              <w:spacing w:after="0"/>
              <w:rPr>
                <w:sz w:val="20"/>
                <w:szCs w:val="20"/>
                <w:color w:val="auto"/>
              </w:rPr>
            </w:pPr>
            <w:r>
              <w:rPr>
                <w:rFonts w:ascii="Courier New" w:cs="Courier New" w:eastAsia="Courier New" w:hAnsi="Courier New"/>
                <w:sz w:val="14"/>
                <w:szCs w:val="14"/>
                <w:color w:val="auto"/>
              </w:rPr>
              <w:t>North Brunswick, NJ</w:t>
            </w:r>
          </w:p>
        </w:tc>
        <w:tc>
          <w:tcPr>
            <w:tcW w:w="760" w:type="dxa"/>
            <w:vAlign w:val="bottom"/>
          </w:tcPr>
          <w:p>
            <w:pPr>
              <w:spacing w:after="0"/>
              <w:rPr>
                <w:sz w:val="14"/>
                <w:szCs w:val="14"/>
                <w:color w:val="auto"/>
              </w:rPr>
            </w:pPr>
          </w:p>
        </w:tc>
        <w:tc>
          <w:tcPr>
            <w:tcW w:w="5780" w:type="dxa"/>
            <w:vAlign w:val="bottom"/>
          </w:tcPr>
          <w:p>
            <w:pPr>
              <w:spacing w:after="0"/>
              <w:rPr>
                <w:sz w:val="14"/>
                <w:szCs w:val="14"/>
                <w:color w:val="auto"/>
              </w:rPr>
            </w:pPr>
          </w:p>
        </w:tc>
      </w:tr>
      <w:tr>
        <w:trPr>
          <w:trHeight w:val="166"/>
        </w:trPr>
        <w:tc>
          <w:tcPr>
            <w:tcW w:w="1800" w:type="dxa"/>
            <w:vAlign w:val="bottom"/>
          </w:tcPr>
          <w:p>
            <w:pPr>
              <w:spacing w:after="0"/>
              <w:rPr>
                <w:sz w:val="20"/>
                <w:szCs w:val="20"/>
                <w:color w:val="auto"/>
              </w:rPr>
            </w:pPr>
            <w:r>
              <w:rPr>
                <w:rFonts w:ascii="Courier New" w:cs="Courier New" w:eastAsia="Courier New" w:hAnsi="Courier New"/>
                <w:sz w:val="14"/>
                <w:szCs w:val="14"/>
                <w:color w:val="auto"/>
              </w:rPr>
              <w:t>Fresh Meadows</w:t>
            </w:r>
          </w:p>
        </w:tc>
        <w:tc>
          <w:tcPr>
            <w:tcW w:w="740" w:type="dxa"/>
            <w:vAlign w:val="bottom"/>
          </w:tcPr>
          <w:p>
            <w:pPr>
              <w:spacing w:after="0"/>
              <w:rPr>
                <w:sz w:val="14"/>
                <w:szCs w:val="14"/>
                <w:color w:val="auto"/>
              </w:rPr>
            </w:pPr>
          </w:p>
        </w:tc>
        <w:tc>
          <w:tcPr>
            <w:tcW w:w="2120" w:type="dxa"/>
            <w:vAlign w:val="bottom"/>
          </w:tcPr>
          <w:p>
            <w:pPr>
              <w:ind w:left="140"/>
              <w:spacing w:after="0"/>
              <w:rPr>
                <w:sz w:val="20"/>
                <w:szCs w:val="20"/>
                <w:color w:val="auto"/>
              </w:rPr>
            </w:pPr>
            <w:r>
              <w:rPr>
                <w:rFonts w:ascii="Courier New" w:cs="Courier New" w:eastAsia="Courier New" w:hAnsi="Courier New"/>
                <w:sz w:val="14"/>
                <w:szCs w:val="14"/>
                <w:color w:val="auto"/>
              </w:rPr>
              <w:t>Queens, NY</w:t>
            </w:r>
          </w:p>
        </w:tc>
        <w:tc>
          <w:tcPr>
            <w:tcW w:w="760" w:type="dxa"/>
            <w:vAlign w:val="bottom"/>
          </w:tcPr>
          <w:p>
            <w:pPr>
              <w:spacing w:after="0"/>
              <w:rPr>
                <w:sz w:val="14"/>
                <w:szCs w:val="14"/>
                <w:color w:val="auto"/>
              </w:rPr>
            </w:pPr>
          </w:p>
        </w:tc>
        <w:tc>
          <w:tcPr>
            <w:tcW w:w="5780" w:type="dxa"/>
            <w:vAlign w:val="bottom"/>
          </w:tcPr>
          <w:p>
            <w:pPr>
              <w:spacing w:after="0"/>
              <w:rPr>
                <w:sz w:val="14"/>
                <w:szCs w:val="14"/>
                <w:color w:val="auto"/>
              </w:rPr>
            </w:pPr>
          </w:p>
        </w:tc>
      </w:tr>
      <w:tr>
        <w:trPr>
          <w:trHeight w:val="166"/>
        </w:trPr>
        <w:tc>
          <w:tcPr>
            <w:tcW w:w="1800" w:type="dxa"/>
            <w:vAlign w:val="bottom"/>
          </w:tcPr>
          <w:p>
            <w:pPr>
              <w:spacing w:after="0"/>
              <w:rPr>
                <w:sz w:val="20"/>
                <w:szCs w:val="20"/>
                <w:color w:val="auto"/>
              </w:rPr>
            </w:pPr>
            <w:r>
              <w:rPr>
                <w:rFonts w:ascii="Courier New" w:cs="Courier New" w:eastAsia="Courier New" w:hAnsi="Courier New"/>
                <w:sz w:val="14"/>
                <w:szCs w:val="14"/>
                <w:color w:val="auto"/>
              </w:rPr>
              <w:t>Houston Street</w:t>
            </w:r>
          </w:p>
        </w:tc>
        <w:tc>
          <w:tcPr>
            <w:tcW w:w="740" w:type="dxa"/>
            <w:vAlign w:val="bottom"/>
          </w:tcPr>
          <w:p>
            <w:pPr>
              <w:spacing w:after="0"/>
              <w:rPr>
                <w:sz w:val="14"/>
                <w:szCs w:val="14"/>
                <w:color w:val="auto"/>
              </w:rPr>
            </w:pPr>
          </w:p>
        </w:tc>
        <w:tc>
          <w:tcPr>
            <w:tcW w:w="2120" w:type="dxa"/>
            <w:vAlign w:val="bottom"/>
          </w:tcPr>
          <w:p>
            <w:pPr>
              <w:ind w:left="140"/>
              <w:spacing w:after="0"/>
              <w:rPr>
                <w:sz w:val="20"/>
                <w:szCs w:val="20"/>
                <w:color w:val="auto"/>
              </w:rPr>
            </w:pPr>
            <w:r>
              <w:rPr>
                <w:rFonts w:ascii="Courier New" w:cs="Courier New" w:eastAsia="Courier New" w:hAnsi="Courier New"/>
                <w:sz w:val="14"/>
                <w:szCs w:val="14"/>
                <w:color w:val="auto"/>
              </w:rPr>
              <w:t>San Antonio, TX</w:t>
            </w:r>
          </w:p>
        </w:tc>
        <w:tc>
          <w:tcPr>
            <w:tcW w:w="760" w:type="dxa"/>
            <w:vAlign w:val="bottom"/>
          </w:tcPr>
          <w:p>
            <w:pPr>
              <w:spacing w:after="0"/>
              <w:rPr>
                <w:sz w:val="14"/>
                <w:szCs w:val="14"/>
                <w:color w:val="auto"/>
              </w:rPr>
            </w:pPr>
          </w:p>
        </w:tc>
        <w:tc>
          <w:tcPr>
            <w:tcW w:w="5780" w:type="dxa"/>
            <w:vAlign w:val="bottom"/>
          </w:tcPr>
          <w:p>
            <w:pPr>
              <w:spacing w:after="0"/>
              <w:rPr>
                <w:sz w:val="14"/>
                <w:szCs w:val="14"/>
                <w:color w:val="auto"/>
              </w:rPr>
            </w:pPr>
          </w:p>
        </w:tc>
      </w:tr>
      <w:tr>
        <w:trPr>
          <w:trHeight w:val="166"/>
        </w:trPr>
        <w:tc>
          <w:tcPr>
            <w:tcW w:w="1800" w:type="dxa"/>
            <w:vAlign w:val="bottom"/>
          </w:tcPr>
          <w:p>
            <w:pPr>
              <w:spacing w:after="0"/>
              <w:rPr>
                <w:sz w:val="20"/>
                <w:szCs w:val="20"/>
                <w:color w:val="auto"/>
              </w:rPr>
            </w:pPr>
            <w:r>
              <w:rPr>
                <w:rFonts w:ascii="Courier New" w:cs="Courier New" w:eastAsia="Courier New" w:hAnsi="Courier New"/>
                <w:sz w:val="14"/>
                <w:szCs w:val="14"/>
                <w:color w:val="auto"/>
              </w:rPr>
              <w:t>Rockville Town Square</w:t>
            </w:r>
          </w:p>
        </w:tc>
        <w:tc>
          <w:tcPr>
            <w:tcW w:w="740" w:type="dxa"/>
            <w:vAlign w:val="bottom"/>
          </w:tcPr>
          <w:p>
            <w:pPr>
              <w:spacing w:after="0"/>
              <w:rPr>
                <w:sz w:val="14"/>
                <w:szCs w:val="14"/>
                <w:color w:val="auto"/>
              </w:rPr>
            </w:pPr>
          </w:p>
        </w:tc>
        <w:tc>
          <w:tcPr>
            <w:tcW w:w="2120" w:type="dxa"/>
            <w:vAlign w:val="bottom"/>
          </w:tcPr>
          <w:p>
            <w:pPr>
              <w:ind w:left="140"/>
              <w:spacing w:after="0"/>
              <w:rPr>
                <w:sz w:val="20"/>
                <w:szCs w:val="20"/>
                <w:color w:val="auto"/>
              </w:rPr>
            </w:pPr>
            <w:r>
              <w:rPr>
                <w:rFonts w:ascii="Courier New" w:cs="Courier New" w:eastAsia="Courier New" w:hAnsi="Courier New"/>
                <w:sz w:val="14"/>
                <w:szCs w:val="14"/>
                <w:color w:val="auto"/>
              </w:rPr>
              <w:t>Rockville, MD</w:t>
            </w:r>
          </w:p>
        </w:tc>
        <w:tc>
          <w:tcPr>
            <w:tcW w:w="760" w:type="dxa"/>
            <w:vAlign w:val="bottom"/>
          </w:tcPr>
          <w:p>
            <w:pPr>
              <w:spacing w:after="0"/>
              <w:rPr>
                <w:sz w:val="14"/>
                <w:szCs w:val="14"/>
                <w:color w:val="auto"/>
              </w:rPr>
            </w:pPr>
          </w:p>
        </w:tc>
        <w:tc>
          <w:tcPr>
            <w:tcW w:w="5780" w:type="dxa"/>
            <w:vAlign w:val="bottom"/>
          </w:tcPr>
          <w:p>
            <w:pPr>
              <w:spacing w:after="0"/>
              <w:rPr>
                <w:sz w:val="14"/>
                <w:szCs w:val="14"/>
                <w:color w:val="auto"/>
              </w:rPr>
            </w:pPr>
          </w:p>
        </w:tc>
      </w:tr>
      <w:tr>
        <w:trPr>
          <w:trHeight w:val="166"/>
        </w:trPr>
        <w:tc>
          <w:tcPr>
            <w:tcW w:w="1800" w:type="dxa"/>
            <w:vAlign w:val="bottom"/>
          </w:tcPr>
          <w:p>
            <w:pPr>
              <w:spacing w:after="0"/>
              <w:rPr>
                <w:sz w:val="20"/>
                <w:szCs w:val="20"/>
                <w:color w:val="auto"/>
              </w:rPr>
            </w:pPr>
            <w:r>
              <w:rPr>
                <w:rFonts w:ascii="Courier New" w:cs="Courier New" w:eastAsia="Courier New" w:hAnsi="Courier New"/>
                <w:sz w:val="14"/>
                <w:szCs w:val="14"/>
                <w:color w:val="auto"/>
              </w:rPr>
              <w:t>Rutgers Plaza</w:t>
            </w:r>
          </w:p>
        </w:tc>
        <w:tc>
          <w:tcPr>
            <w:tcW w:w="740" w:type="dxa"/>
            <w:vAlign w:val="bottom"/>
          </w:tcPr>
          <w:p>
            <w:pPr>
              <w:spacing w:after="0"/>
              <w:rPr>
                <w:sz w:val="14"/>
                <w:szCs w:val="14"/>
                <w:color w:val="auto"/>
              </w:rPr>
            </w:pPr>
          </w:p>
        </w:tc>
        <w:tc>
          <w:tcPr>
            <w:tcW w:w="2120" w:type="dxa"/>
            <w:vAlign w:val="bottom"/>
          </w:tcPr>
          <w:p>
            <w:pPr>
              <w:ind w:left="140"/>
              <w:spacing w:after="0"/>
              <w:rPr>
                <w:sz w:val="20"/>
                <w:szCs w:val="20"/>
                <w:color w:val="auto"/>
              </w:rPr>
            </w:pPr>
            <w:r>
              <w:rPr>
                <w:rFonts w:ascii="Courier New" w:cs="Courier New" w:eastAsia="Courier New" w:hAnsi="Courier New"/>
                <w:sz w:val="14"/>
                <w:szCs w:val="14"/>
                <w:color w:val="auto"/>
              </w:rPr>
              <w:t>Franklin, NJ</w:t>
            </w:r>
          </w:p>
        </w:tc>
        <w:tc>
          <w:tcPr>
            <w:tcW w:w="760" w:type="dxa"/>
            <w:vAlign w:val="bottom"/>
          </w:tcPr>
          <w:p>
            <w:pPr>
              <w:spacing w:after="0"/>
              <w:rPr>
                <w:sz w:val="14"/>
                <w:szCs w:val="14"/>
                <w:color w:val="auto"/>
              </w:rPr>
            </w:pPr>
          </w:p>
        </w:tc>
        <w:tc>
          <w:tcPr>
            <w:tcW w:w="5780" w:type="dxa"/>
            <w:vAlign w:val="bottom"/>
          </w:tcPr>
          <w:p>
            <w:pPr>
              <w:spacing w:after="0"/>
              <w:rPr>
                <w:sz w:val="14"/>
                <w:szCs w:val="14"/>
                <w:color w:val="auto"/>
              </w:rPr>
            </w:pPr>
          </w:p>
        </w:tc>
      </w:tr>
      <w:tr>
        <w:trPr>
          <w:trHeight w:val="166"/>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Santana Row - Future Phases</w:t>
            </w:r>
          </w:p>
        </w:tc>
        <w:tc>
          <w:tcPr>
            <w:tcW w:w="2120" w:type="dxa"/>
            <w:vAlign w:val="bottom"/>
          </w:tcPr>
          <w:p>
            <w:pPr>
              <w:ind w:left="140"/>
              <w:spacing w:after="0"/>
              <w:rPr>
                <w:sz w:val="20"/>
                <w:szCs w:val="20"/>
                <w:color w:val="auto"/>
              </w:rPr>
            </w:pPr>
            <w:r>
              <w:rPr>
                <w:rFonts w:ascii="Courier New" w:cs="Courier New" w:eastAsia="Courier New" w:hAnsi="Courier New"/>
                <w:sz w:val="14"/>
                <w:szCs w:val="14"/>
                <w:color w:val="auto"/>
              </w:rPr>
              <w:t>San Jose, CA</w:t>
            </w:r>
          </w:p>
        </w:tc>
        <w:tc>
          <w:tcPr>
            <w:tcW w:w="760" w:type="dxa"/>
            <w:vAlign w:val="bottom"/>
          </w:tcPr>
          <w:p>
            <w:pPr>
              <w:spacing w:after="0"/>
              <w:rPr>
                <w:sz w:val="14"/>
                <w:szCs w:val="14"/>
                <w:color w:val="auto"/>
              </w:rPr>
            </w:pPr>
          </w:p>
        </w:tc>
        <w:tc>
          <w:tcPr>
            <w:tcW w:w="5780" w:type="dxa"/>
            <w:vAlign w:val="bottom"/>
          </w:tcPr>
          <w:p>
            <w:pPr>
              <w:spacing w:after="0"/>
              <w:rPr>
                <w:sz w:val="14"/>
                <w:szCs w:val="14"/>
                <w:color w:val="auto"/>
              </w:rPr>
            </w:pPr>
          </w:p>
        </w:tc>
      </w:tr>
      <w:tr>
        <w:trPr>
          <w:trHeight w:val="166"/>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The Village at Shirlington</w:t>
            </w:r>
          </w:p>
        </w:tc>
        <w:tc>
          <w:tcPr>
            <w:tcW w:w="2120" w:type="dxa"/>
            <w:vAlign w:val="bottom"/>
          </w:tcPr>
          <w:p>
            <w:pPr>
              <w:ind w:left="140"/>
              <w:spacing w:after="0"/>
              <w:rPr>
                <w:sz w:val="20"/>
                <w:szCs w:val="20"/>
                <w:color w:val="auto"/>
              </w:rPr>
            </w:pPr>
            <w:r>
              <w:rPr>
                <w:rFonts w:ascii="Courier New" w:cs="Courier New" w:eastAsia="Courier New" w:hAnsi="Courier New"/>
                <w:sz w:val="14"/>
                <w:szCs w:val="14"/>
                <w:color w:val="auto"/>
              </w:rPr>
              <w:t>Arlington, VA</w:t>
            </w:r>
          </w:p>
        </w:tc>
        <w:tc>
          <w:tcPr>
            <w:tcW w:w="760" w:type="dxa"/>
            <w:vAlign w:val="bottom"/>
          </w:tcPr>
          <w:p>
            <w:pPr>
              <w:spacing w:after="0"/>
              <w:rPr>
                <w:sz w:val="14"/>
                <w:szCs w:val="14"/>
                <w:color w:val="auto"/>
              </w:rPr>
            </w:pPr>
          </w:p>
        </w:tc>
        <w:tc>
          <w:tcPr>
            <w:tcW w:w="578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Current Redevelopment Opportunities  (1)  ($ millions)</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8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Projected</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Projected</w:t>
            </w:r>
          </w:p>
        </w:tc>
        <w:tc>
          <w:tcPr>
            <w:tcW w:w="10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Cost to</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Anticipated</w:t>
            </w:r>
          </w:p>
        </w:tc>
      </w:tr>
      <w:tr>
        <w:trPr>
          <w:trHeight w:val="166"/>
        </w:trPr>
        <w:tc>
          <w:tcPr>
            <w:tcW w:w="2420" w:type="dxa"/>
            <w:vAlign w:val="bottom"/>
          </w:tcPr>
          <w:p>
            <w:pPr>
              <w:ind w:left="340"/>
              <w:spacing w:after="0"/>
              <w:rPr>
                <w:sz w:val="20"/>
                <w:szCs w:val="20"/>
                <w:color w:val="auto"/>
              </w:rPr>
            </w:pPr>
            <w:r>
              <w:rPr>
                <w:rFonts w:ascii="Courier New" w:cs="Courier New" w:eastAsia="Courier New" w:hAnsi="Courier New"/>
                <w:sz w:val="14"/>
                <w:szCs w:val="14"/>
                <w:color w:val="auto"/>
              </w:rPr>
              <w:t>Property</w:t>
            </w:r>
          </w:p>
        </w:tc>
        <w:tc>
          <w:tcPr>
            <w:tcW w:w="2840" w:type="dxa"/>
            <w:vAlign w:val="bottom"/>
          </w:tcPr>
          <w:p>
            <w:pPr>
              <w:ind w:left="420"/>
              <w:spacing w:after="0"/>
              <w:rPr>
                <w:sz w:val="20"/>
                <w:szCs w:val="20"/>
                <w:color w:val="auto"/>
              </w:rPr>
            </w:pPr>
            <w:r>
              <w:rPr>
                <w:rFonts w:ascii="Courier New" w:cs="Courier New" w:eastAsia="Courier New" w:hAnsi="Courier New"/>
                <w:sz w:val="14"/>
                <w:szCs w:val="14"/>
                <w:color w:val="auto"/>
              </w:rPr>
              <w:t>Location</w:t>
            </w:r>
          </w:p>
        </w:tc>
        <w:tc>
          <w:tcPr>
            <w:tcW w:w="18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ROI (2)</w:t>
            </w:r>
          </w:p>
        </w:tc>
        <w:tc>
          <w:tcPr>
            <w:tcW w:w="360" w:type="dxa"/>
            <w:vAlign w:val="bottom"/>
          </w:tcPr>
          <w:p>
            <w:pPr>
              <w:spacing w:after="0"/>
              <w:rPr>
                <w:sz w:val="14"/>
                <w:szCs w:val="14"/>
                <w:color w:val="auto"/>
              </w:rPr>
            </w:pPr>
          </w:p>
        </w:tc>
        <w:tc>
          <w:tcPr>
            <w:tcW w:w="76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5"/>
              </w:rPr>
              <w:t>Cost</w:t>
            </w:r>
          </w:p>
        </w:tc>
        <w:tc>
          <w:tcPr>
            <w:tcW w:w="1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Date</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Stabilization (3)</w:t>
            </w:r>
          </w:p>
        </w:tc>
      </w:tr>
      <w:tr>
        <w:trPr>
          <w:trHeight w:val="166"/>
        </w:trPr>
        <w:tc>
          <w:tcPr>
            <w:tcW w:w="24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28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76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5"/>
              </w:rPr>
              <w:t>----</w:t>
            </w:r>
          </w:p>
        </w:tc>
        <w:tc>
          <w:tcPr>
            <w:tcW w:w="1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Congressional Plaza</w:t>
            </w:r>
          </w:p>
        </w:tc>
        <w:tc>
          <w:tcPr>
            <w:tcW w:w="2840" w:type="dxa"/>
            <w:vAlign w:val="bottom"/>
          </w:tcPr>
          <w:p>
            <w:pPr>
              <w:ind w:left="260"/>
              <w:spacing w:after="0"/>
              <w:rPr>
                <w:sz w:val="20"/>
                <w:szCs w:val="20"/>
                <w:color w:val="auto"/>
              </w:rPr>
            </w:pPr>
            <w:r>
              <w:rPr>
                <w:rFonts w:ascii="Courier New" w:cs="Courier New" w:eastAsia="Courier New" w:hAnsi="Courier New"/>
                <w:sz w:val="14"/>
                <w:szCs w:val="14"/>
                <w:color w:val="auto"/>
              </w:rPr>
              <w:t>Rockville, MD</w:t>
            </w:r>
          </w:p>
        </w:tc>
        <w:tc>
          <w:tcPr>
            <w:tcW w:w="18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11%</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8.9</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Third Street Promenade</w:t>
            </w:r>
          </w:p>
        </w:tc>
        <w:tc>
          <w:tcPr>
            <w:tcW w:w="2840" w:type="dxa"/>
            <w:vAlign w:val="bottom"/>
          </w:tcPr>
          <w:p>
            <w:pPr>
              <w:ind w:left="260"/>
              <w:spacing w:after="0"/>
              <w:rPr>
                <w:sz w:val="20"/>
                <w:szCs w:val="20"/>
                <w:color w:val="auto"/>
              </w:rPr>
            </w:pPr>
            <w:r>
              <w:rPr>
                <w:rFonts w:ascii="Courier New" w:cs="Courier New" w:eastAsia="Courier New" w:hAnsi="Courier New"/>
                <w:sz w:val="14"/>
                <w:szCs w:val="14"/>
                <w:color w:val="auto"/>
              </w:rPr>
              <w:t>Santa Monica, CA</w:t>
            </w:r>
          </w:p>
        </w:tc>
        <w:tc>
          <w:tcPr>
            <w:tcW w:w="18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Bethesda Row</w:t>
            </w:r>
          </w:p>
        </w:tc>
        <w:tc>
          <w:tcPr>
            <w:tcW w:w="2840" w:type="dxa"/>
            <w:vAlign w:val="bottom"/>
          </w:tcPr>
          <w:p>
            <w:pPr>
              <w:ind w:left="260"/>
              <w:spacing w:after="0"/>
              <w:rPr>
                <w:sz w:val="20"/>
                <w:szCs w:val="20"/>
                <w:color w:val="auto"/>
              </w:rPr>
            </w:pPr>
            <w:r>
              <w:rPr>
                <w:rFonts w:ascii="Courier New" w:cs="Courier New" w:eastAsia="Courier New" w:hAnsi="Courier New"/>
                <w:sz w:val="14"/>
                <w:szCs w:val="14"/>
                <w:color w:val="auto"/>
              </w:rPr>
              <w:t>Bethesda, MD</w:t>
            </w:r>
          </w:p>
        </w:tc>
        <w:tc>
          <w:tcPr>
            <w:tcW w:w="18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Garden Market</w:t>
            </w:r>
          </w:p>
        </w:tc>
        <w:tc>
          <w:tcPr>
            <w:tcW w:w="2840" w:type="dxa"/>
            <w:vAlign w:val="bottom"/>
          </w:tcPr>
          <w:p>
            <w:pPr>
              <w:ind w:left="260"/>
              <w:spacing w:after="0"/>
              <w:rPr>
                <w:sz w:val="20"/>
                <w:szCs w:val="20"/>
                <w:color w:val="auto"/>
              </w:rPr>
            </w:pPr>
            <w:r>
              <w:rPr>
                <w:rFonts w:ascii="Courier New" w:cs="Courier New" w:eastAsia="Courier New" w:hAnsi="Courier New"/>
                <w:sz w:val="14"/>
                <w:szCs w:val="14"/>
                <w:color w:val="auto"/>
              </w:rPr>
              <w:t>Western Springs, IL</w:t>
            </w:r>
          </w:p>
        </w:tc>
        <w:tc>
          <w:tcPr>
            <w:tcW w:w="18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11%</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Ellisburg Circle</w:t>
            </w:r>
          </w:p>
        </w:tc>
        <w:tc>
          <w:tcPr>
            <w:tcW w:w="2840" w:type="dxa"/>
            <w:vAlign w:val="bottom"/>
          </w:tcPr>
          <w:p>
            <w:pPr>
              <w:ind w:left="260"/>
              <w:spacing w:after="0"/>
              <w:rPr>
                <w:sz w:val="20"/>
                <w:szCs w:val="20"/>
                <w:color w:val="auto"/>
              </w:rPr>
            </w:pPr>
            <w:r>
              <w:rPr>
                <w:rFonts w:ascii="Courier New" w:cs="Courier New" w:eastAsia="Courier New" w:hAnsi="Courier New"/>
                <w:sz w:val="14"/>
                <w:szCs w:val="14"/>
                <w:color w:val="auto"/>
              </w:rPr>
              <w:t>Cherry Hill, NJ</w:t>
            </w:r>
          </w:p>
        </w:tc>
        <w:tc>
          <w:tcPr>
            <w:tcW w:w="18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Finley Square</w:t>
            </w:r>
          </w:p>
        </w:tc>
        <w:tc>
          <w:tcPr>
            <w:tcW w:w="2840" w:type="dxa"/>
            <w:vAlign w:val="bottom"/>
          </w:tcPr>
          <w:p>
            <w:pPr>
              <w:ind w:left="260"/>
              <w:spacing w:after="0"/>
              <w:rPr>
                <w:sz w:val="20"/>
                <w:szCs w:val="20"/>
                <w:color w:val="auto"/>
              </w:rPr>
            </w:pPr>
            <w:r>
              <w:rPr>
                <w:rFonts w:ascii="Courier New" w:cs="Courier New" w:eastAsia="Courier New" w:hAnsi="Courier New"/>
                <w:sz w:val="14"/>
                <w:szCs w:val="14"/>
                <w:color w:val="auto"/>
              </w:rPr>
              <w:t>Downers Grove, IL</w:t>
            </w:r>
          </w:p>
        </w:tc>
        <w:tc>
          <w:tcPr>
            <w:tcW w:w="18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15%</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Governor Plaza</w:t>
            </w:r>
          </w:p>
        </w:tc>
        <w:tc>
          <w:tcPr>
            <w:tcW w:w="2840" w:type="dxa"/>
            <w:vAlign w:val="bottom"/>
          </w:tcPr>
          <w:p>
            <w:pPr>
              <w:ind w:left="260"/>
              <w:spacing w:after="0"/>
              <w:rPr>
                <w:sz w:val="20"/>
                <w:szCs w:val="20"/>
                <w:color w:val="auto"/>
              </w:rPr>
            </w:pPr>
            <w:r>
              <w:rPr>
                <w:rFonts w:ascii="Courier New" w:cs="Courier New" w:eastAsia="Courier New" w:hAnsi="Courier New"/>
                <w:sz w:val="14"/>
                <w:szCs w:val="14"/>
                <w:color w:val="auto"/>
              </w:rPr>
              <w:t>Glen Burnie, MD</w:t>
            </w:r>
          </w:p>
        </w:tc>
        <w:tc>
          <w:tcPr>
            <w:tcW w:w="18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14%</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0.6</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Dedham Plaza</w:t>
            </w:r>
          </w:p>
        </w:tc>
        <w:tc>
          <w:tcPr>
            <w:tcW w:w="2840" w:type="dxa"/>
            <w:vAlign w:val="bottom"/>
          </w:tcPr>
          <w:p>
            <w:pPr>
              <w:ind w:left="260"/>
              <w:spacing w:after="0"/>
              <w:rPr>
                <w:sz w:val="20"/>
                <w:szCs w:val="20"/>
                <w:color w:val="auto"/>
              </w:rPr>
            </w:pPr>
            <w:r>
              <w:rPr>
                <w:rFonts w:ascii="Courier New" w:cs="Courier New" w:eastAsia="Courier New" w:hAnsi="Courier New"/>
                <w:sz w:val="14"/>
                <w:szCs w:val="14"/>
                <w:color w:val="auto"/>
              </w:rPr>
              <w:t>Dedham, MA</w:t>
            </w:r>
          </w:p>
        </w:tc>
        <w:tc>
          <w:tcPr>
            <w:tcW w:w="18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13%</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Willow Lawn</w:t>
            </w:r>
          </w:p>
        </w:tc>
        <w:tc>
          <w:tcPr>
            <w:tcW w:w="2840" w:type="dxa"/>
            <w:vAlign w:val="bottom"/>
          </w:tcPr>
          <w:p>
            <w:pPr>
              <w:ind w:left="260"/>
              <w:spacing w:after="0"/>
              <w:rPr>
                <w:sz w:val="20"/>
                <w:szCs w:val="20"/>
                <w:color w:val="auto"/>
              </w:rPr>
            </w:pPr>
            <w:r>
              <w:rPr>
                <w:rFonts w:ascii="Courier New" w:cs="Courier New" w:eastAsia="Courier New" w:hAnsi="Courier New"/>
                <w:sz w:val="14"/>
                <w:szCs w:val="14"/>
                <w:color w:val="auto"/>
              </w:rPr>
              <w:t>Richmond, VA</w:t>
            </w:r>
          </w:p>
        </w:tc>
        <w:tc>
          <w:tcPr>
            <w:tcW w:w="18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7%</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Quince Orchard</w:t>
            </w:r>
          </w:p>
        </w:tc>
        <w:tc>
          <w:tcPr>
            <w:tcW w:w="2840" w:type="dxa"/>
            <w:vAlign w:val="bottom"/>
          </w:tcPr>
          <w:p>
            <w:pPr>
              <w:ind w:left="260"/>
              <w:spacing w:after="0"/>
              <w:rPr>
                <w:sz w:val="20"/>
                <w:szCs w:val="20"/>
                <w:color w:val="auto"/>
              </w:rPr>
            </w:pPr>
            <w:r>
              <w:rPr>
                <w:rFonts w:ascii="Courier New" w:cs="Courier New" w:eastAsia="Courier New" w:hAnsi="Courier New"/>
                <w:sz w:val="14"/>
                <w:szCs w:val="14"/>
                <w:color w:val="auto"/>
              </w:rPr>
              <w:t>Gaithersburg, MD</w:t>
            </w:r>
          </w:p>
        </w:tc>
        <w:tc>
          <w:tcPr>
            <w:tcW w:w="18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41%</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Hauppauge Shopping Center</w:t>
            </w:r>
          </w:p>
        </w:tc>
        <w:tc>
          <w:tcPr>
            <w:tcW w:w="2840" w:type="dxa"/>
            <w:vAlign w:val="bottom"/>
          </w:tcPr>
          <w:p>
            <w:pPr>
              <w:ind w:left="260"/>
              <w:spacing w:after="0"/>
              <w:rPr>
                <w:sz w:val="20"/>
                <w:szCs w:val="20"/>
                <w:color w:val="auto"/>
              </w:rPr>
            </w:pPr>
            <w:r>
              <w:rPr>
                <w:rFonts w:ascii="Courier New" w:cs="Courier New" w:eastAsia="Courier New" w:hAnsi="Courier New"/>
                <w:sz w:val="14"/>
                <w:szCs w:val="14"/>
                <w:color w:val="auto"/>
              </w:rPr>
              <w:t>Hauppauge, NY</w:t>
            </w:r>
          </w:p>
        </w:tc>
        <w:tc>
          <w:tcPr>
            <w:tcW w:w="18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16%</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0.3</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2003</w:t>
            </w:r>
          </w:p>
        </w:tc>
      </w:tr>
    </w:tbl>
    <w:p>
      <w:pPr>
        <w:spacing w:after="0" w:line="4"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r>
      <w:tr>
        <w:trPr>
          <w:trHeight w:val="331"/>
        </w:trPr>
        <w:tc>
          <w:tcPr>
            <w:tcW w:w="1800" w:type="dxa"/>
            <w:vAlign w:val="bottom"/>
          </w:tcPr>
          <w:p>
            <w:pPr>
              <w:ind w:left="860"/>
              <w:spacing w:after="0"/>
              <w:rPr>
                <w:sz w:val="20"/>
                <w:szCs w:val="20"/>
                <w:color w:val="auto"/>
              </w:rPr>
            </w:pPr>
            <w:r>
              <w:rPr>
                <w:rFonts w:ascii="Courier New" w:cs="Courier New" w:eastAsia="Courier New" w:hAnsi="Courier New"/>
                <w:sz w:val="14"/>
                <w:szCs w:val="14"/>
                <w:color w:val="auto"/>
              </w:rPr>
              <w:t>Subtotal:</w:t>
            </w:r>
          </w:p>
        </w:tc>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Projects Anticipated to Stabilize in 2003</w:t>
            </w: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$ 36.8</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$26.2</w:t>
            </w:r>
          </w:p>
        </w:tc>
        <w:tc>
          <w:tcPr>
            <w:tcW w:w="860" w:type="dxa"/>
            <w:vAlign w:val="bottom"/>
          </w:tcPr>
          <w:p>
            <w:pPr>
              <w:spacing w:after="0"/>
              <w:rPr>
                <w:sz w:val="24"/>
                <w:szCs w:val="24"/>
                <w:color w:val="auto"/>
              </w:rPr>
            </w:pPr>
          </w:p>
        </w:tc>
      </w:tr>
      <w:tr>
        <w:trPr>
          <w:trHeight w:val="166"/>
        </w:trPr>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r>
      <w:tr>
        <w:trPr>
          <w:trHeight w:val="331"/>
        </w:trPr>
        <w:tc>
          <w:tcPr>
            <w:tcW w:w="1800" w:type="dxa"/>
            <w:vAlign w:val="bottom"/>
          </w:tcPr>
          <w:p>
            <w:pPr>
              <w:spacing w:after="0"/>
              <w:rPr>
                <w:sz w:val="20"/>
                <w:szCs w:val="20"/>
                <w:color w:val="auto"/>
              </w:rPr>
            </w:pPr>
            <w:r>
              <w:rPr>
                <w:rFonts w:ascii="Courier New" w:cs="Courier New" w:eastAsia="Courier New" w:hAnsi="Courier New"/>
                <w:sz w:val="14"/>
                <w:szCs w:val="14"/>
                <w:color w:val="auto"/>
              </w:rPr>
              <w:t>Santana Row Phase II</w:t>
            </w:r>
          </w:p>
        </w:tc>
        <w:tc>
          <w:tcPr>
            <w:tcW w:w="740" w:type="dxa"/>
            <w:vAlign w:val="bottom"/>
          </w:tcPr>
          <w:p>
            <w:pPr>
              <w:spacing w:after="0"/>
              <w:rPr>
                <w:sz w:val="24"/>
                <w:szCs w:val="24"/>
                <w:color w:val="auto"/>
              </w:rPr>
            </w:pP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San Jose, CA</w:t>
            </w:r>
          </w:p>
        </w:tc>
        <w:tc>
          <w:tcPr>
            <w:tcW w:w="62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$ 27.0</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r>
        <w:trPr>
          <w:trHeight w:val="166"/>
        </w:trPr>
        <w:tc>
          <w:tcPr>
            <w:tcW w:w="1800" w:type="dxa"/>
            <w:vAlign w:val="bottom"/>
          </w:tcPr>
          <w:p>
            <w:pPr>
              <w:spacing w:after="0"/>
              <w:rPr>
                <w:sz w:val="20"/>
                <w:szCs w:val="20"/>
                <w:color w:val="auto"/>
              </w:rPr>
            </w:pPr>
            <w:r>
              <w:rPr>
                <w:rFonts w:ascii="Courier New" w:cs="Courier New" w:eastAsia="Courier New" w:hAnsi="Courier New"/>
                <w:sz w:val="14"/>
                <w:szCs w:val="14"/>
                <w:color w:val="auto"/>
              </w:rPr>
              <w:t>Andorra</w:t>
            </w:r>
          </w:p>
        </w:tc>
        <w:tc>
          <w:tcPr>
            <w:tcW w:w="740" w:type="dxa"/>
            <w:vAlign w:val="bottom"/>
          </w:tcPr>
          <w:p>
            <w:pPr>
              <w:spacing w:after="0"/>
              <w:rPr>
                <w:sz w:val="14"/>
                <w:szCs w:val="14"/>
                <w:color w:val="auto"/>
              </w:rPr>
            </w:pP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Philadelphia, PA</w:t>
            </w:r>
          </w:p>
        </w:tc>
        <w:tc>
          <w:tcPr>
            <w:tcW w:w="62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r>
        <w:trPr>
          <w:trHeight w:val="166"/>
        </w:trPr>
        <w:tc>
          <w:tcPr>
            <w:tcW w:w="1800" w:type="dxa"/>
            <w:vAlign w:val="bottom"/>
          </w:tcPr>
          <w:p>
            <w:pPr>
              <w:spacing w:after="0"/>
              <w:rPr>
                <w:sz w:val="20"/>
                <w:szCs w:val="20"/>
                <w:color w:val="auto"/>
              </w:rPr>
            </w:pPr>
            <w:r>
              <w:rPr>
                <w:rFonts w:ascii="Courier New" w:cs="Courier New" w:eastAsia="Courier New" w:hAnsi="Courier New"/>
                <w:sz w:val="14"/>
                <w:szCs w:val="14"/>
                <w:color w:val="auto"/>
              </w:rPr>
              <w:t>Lawrence Park</w:t>
            </w:r>
          </w:p>
        </w:tc>
        <w:tc>
          <w:tcPr>
            <w:tcW w:w="740" w:type="dxa"/>
            <w:vAlign w:val="bottom"/>
          </w:tcPr>
          <w:p>
            <w:pPr>
              <w:spacing w:after="0"/>
              <w:rPr>
                <w:sz w:val="14"/>
                <w:szCs w:val="14"/>
                <w:color w:val="auto"/>
              </w:rPr>
            </w:pP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Broomall, PA</w:t>
            </w:r>
          </w:p>
        </w:tc>
        <w:tc>
          <w:tcPr>
            <w:tcW w:w="62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$ 0.1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r>
        <w:trPr>
          <w:trHeight w:val="166"/>
        </w:trPr>
        <w:tc>
          <w:tcPr>
            <w:tcW w:w="1800" w:type="dxa"/>
            <w:vAlign w:val="bottom"/>
          </w:tcPr>
          <w:p>
            <w:pPr>
              <w:spacing w:after="0"/>
              <w:rPr>
                <w:sz w:val="20"/>
                <w:szCs w:val="20"/>
                <w:color w:val="auto"/>
              </w:rPr>
            </w:pPr>
            <w:r>
              <w:rPr>
                <w:rFonts w:ascii="Courier New" w:cs="Courier New" w:eastAsia="Courier New" w:hAnsi="Courier New"/>
                <w:sz w:val="14"/>
                <w:szCs w:val="14"/>
                <w:color w:val="auto"/>
              </w:rPr>
              <w:t>Greenlawn Plaza</w:t>
            </w:r>
          </w:p>
        </w:tc>
        <w:tc>
          <w:tcPr>
            <w:tcW w:w="740" w:type="dxa"/>
            <w:vAlign w:val="bottom"/>
          </w:tcPr>
          <w:p>
            <w:pPr>
              <w:spacing w:after="0"/>
              <w:rPr>
                <w:sz w:val="14"/>
                <w:szCs w:val="14"/>
                <w:color w:val="auto"/>
              </w:rPr>
            </w:pP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Greenlawn, NY</w:t>
            </w:r>
          </w:p>
        </w:tc>
        <w:tc>
          <w:tcPr>
            <w:tcW w:w="62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0.9</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r>
        <w:trPr>
          <w:trHeight w:val="166"/>
        </w:trPr>
        <w:tc>
          <w:tcPr>
            <w:tcW w:w="1800" w:type="dxa"/>
            <w:vAlign w:val="bottom"/>
          </w:tcPr>
          <w:p>
            <w:pPr>
              <w:spacing w:after="0"/>
              <w:rPr>
                <w:sz w:val="20"/>
                <w:szCs w:val="20"/>
                <w:color w:val="auto"/>
              </w:rPr>
            </w:pPr>
            <w:r>
              <w:rPr>
                <w:rFonts w:ascii="Courier New" w:cs="Courier New" w:eastAsia="Courier New" w:hAnsi="Courier New"/>
                <w:sz w:val="14"/>
                <w:szCs w:val="14"/>
                <w:color w:val="auto"/>
              </w:rPr>
              <w:t>Laurel</w:t>
            </w:r>
          </w:p>
        </w:tc>
        <w:tc>
          <w:tcPr>
            <w:tcW w:w="740" w:type="dxa"/>
            <w:vAlign w:val="bottom"/>
          </w:tcPr>
          <w:p>
            <w:pPr>
              <w:spacing w:after="0"/>
              <w:rPr>
                <w:sz w:val="14"/>
                <w:szCs w:val="14"/>
                <w:color w:val="auto"/>
              </w:rPr>
            </w:pP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Laurel, MD</w:t>
            </w:r>
          </w:p>
        </w:tc>
        <w:tc>
          <w:tcPr>
            <w:tcW w:w="62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104%</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0.4</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$ 0.2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r>
        <w:trPr>
          <w:trHeight w:val="166"/>
        </w:trPr>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r>
      <w:tr>
        <w:trPr>
          <w:trHeight w:val="331"/>
        </w:trPr>
        <w:tc>
          <w:tcPr>
            <w:tcW w:w="1800" w:type="dxa"/>
            <w:vAlign w:val="bottom"/>
          </w:tcPr>
          <w:p>
            <w:pPr>
              <w:ind w:left="860"/>
              <w:spacing w:after="0"/>
              <w:rPr>
                <w:sz w:val="20"/>
                <w:szCs w:val="20"/>
                <w:color w:val="auto"/>
              </w:rPr>
            </w:pPr>
            <w:r>
              <w:rPr>
                <w:rFonts w:ascii="Courier New" w:cs="Courier New" w:eastAsia="Courier New" w:hAnsi="Courier New"/>
                <w:sz w:val="14"/>
                <w:szCs w:val="14"/>
                <w:color w:val="auto"/>
              </w:rPr>
              <w:t>Subtotal:</w:t>
            </w:r>
          </w:p>
        </w:tc>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Projects Anticipated to Stabilize in 2004</w:t>
            </w: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$ 33.6</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$ 0.3</w:t>
            </w:r>
          </w:p>
        </w:tc>
        <w:tc>
          <w:tcPr>
            <w:tcW w:w="860" w:type="dxa"/>
            <w:vAlign w:val="bottom"/>
          </w:tcPr>
          <w:p>
            <w:pPr>
              <w:spacing w:after="0"/>
              <w:rPr>
                <w:sz w:val="24"/>
                <w:szCs w:val="24"/>
                <w:color w:val="auto"/>
              </w:rPr>
            </w:pPr>
          </w:p>
        </w:tc>
      </w:tr>
      <w:tr>
        <w:trPr>
          <w:trHeight w:val="166"/>
        </w:trPr>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r>
      <w:tr>
        <w:trPr>
          <w:trHeight w:val="331"/>
        </w:trPr>
        <w:tc>
          <w:tcPr>
            <w:tcW w:w="5420" w:type="dxa"/>
            <w:vAlign w:val="bottom"/>
            <w:gridSpan w:val="3"/>
          </w:tcPr>
          <w:p>
            <w:pPr>
              <w:spacing w:after="0"/>
              <w:rPr>
                <w:sz w:val="20"/>
                <w:szCs w:val="20"/>
                <w:color w:val="auto"/>
              </w:rPr>
            </w:pPr>
            <w:r>
              <w:rPr>
                <w:rFonts w:ascii="Courier New" w:cs="Courier New" w:eastAsia="Courier New" w:hAnsi="Courier New"/>
                <w:sz w:val="14"/>
                <w:szCs w:val="14"/>
                <w:color w:val="auto"/>
              </w:rPr>
              <w:t>Potential Future Redevelopments Stabilizing After 2004  (5)</w:t>
            </w: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97"/>
        </w:trPr>
        <w:tc>
          <w:tcPr>
            <w:tcW w:w="1800" w:type="dxa"/>
            <w:vAlign w:val="bottom"/>
          </w:tcPr>
          <w:p>
            <w:pPr>
              <w:spacing w:after="0"/>
              <w:rPr>
                <w:sz w:val="20"/>
                <w:szCs w:val="20"/>
                <w:color w:val="auto"/>
              </w:rPr>
            </w:pPr>
            <w:r>
              <w:rPr>
                <w:rFonts w:ascii="Courier New" w:cs="Courier New" w:eastAsia="Courier New" w:hAnsi="Courier New"/>
                <w:sz w:val="14"/>
                <w:szCs w:val="14"/>
                <w:color w:val="auto"/>
              </w:rPr>
              <w:t>150 Post Street</w:t>
            </w:r>
          </w:p>
        </w:tc>
        <w:tc>
          <w:tcPr>
            <w:tcW w:w="740" w:type="dxa"/>
            <w:vAlign w:val="bottom"/>
          </w:tcPr>
          <w:p>
            <w:pPr>
              <w:spacing w:after="0"/>
              <w:rPr>
                <w:sz w:val="24"/>
                <w:szCs w:val="24"/>
                <w:color w:val="auto"/>
              </w:rPr>
            </w:pP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San Francisco, CA</w:t>
            </w: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1800" w:type="dxa"/>
            <w:vAlign w:val="bottom"/>
          </w:tcPr>
          <w:p>
            <w:pPr>
              <w:spacing w:after="0"/>
              <w:rPr>
                <w:sz w:val="20"/>
                <w:szCs w:val="20"/>
                <w:color w:val="auto"/>
              </w:rPr>
            </w:pPr>
            <w:r>
              <w:rPr>
                <w:rFonts w:ascii="Courier New" w:cs="Courier New" w:eastAsia="Courier New" w:hAnsi="Courier New"/>
                <w:sz w:val="14"/>
                <w:szCs w:val="14"/>
                <w:color w:val="auto"/>
              </w:rPr>
              <w:t>Bala Cynwyd</w:t>
            </w:r>
          </w:p>
        </w:tc>
        <w:tc>
          <w:tcPr>
            <w:tcW w:w="740" w:type="dxa"/>
            <w:vAlign w:val="bottom"/>
          </w:tcPr>
          <w:p>
            <w:pPr>
              <w:spacing w:after="0"/>
              <w:rPr>
                <w:sz w:val="14"/>
                <w:szCs w:val="14"/>
                <w:color w:val="auto"/>
              </w:rPr>
            </w:pP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Bala Cynwyd, PA</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Bethesda Row - Future Phases</w:t>
            </w: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Bethesda, MD</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Brunswick Shopping Center</w:t>
            </w: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North Brunswick, NJ</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800" w:type="dxa"/>
            <w:vAlign w:val="bottom"/>
          </w:tcPr>
          <w:p>
            <w:pPr>
              <w:spacing w:after="0"/>
              <w:rPr>
                <w:sz w:val="20"/>
                <w:szCs w:val="20"/>
                <w:color w:val="auto"/>
              </w:rPr>
            </w:pPr>
            <w:r>
              <w:rPr>
                <w:rFonts w:ascii="Courier New" w:cs="Courier New" w:eastAsia="Courier New" w:hAnsi="Courier New"/>
                <w:sz w:val="14"/>
                <w:szCs w:val="14"/>
                <w:color w:val="auto"/>
              </w:rPr>
              <w:t>Fresh Meadows</w:t>
            </w:r>
          </w:p>
        </w:tc>
        <w:tc>
          <w:tcPr>
            <w:tcW w:w="740" w:type="dxa"/>
            <w:vAlign w:val="bottom"/>
          </w:tcPr>
          <w:p>
            <w:pPr>
              <w:spacing w:after="0"/>
              <w:rPr>
                <w:sz w:val="14"/>
                <w:szCs w:val="14"/>
                <w:color w:val="auto"/>
              </w:rPr>
            </w:pP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Queens, NY</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800" w:type="dxa"/>
            <w:vAlign w:val="bottom"/>
          </w:tcPr>
          <w:p>
            <w:pPr>
              <w:spacing w:after="0"/>
              <w:rPr>
                <w:sz w:val="20"/>
                <w:szCs w:val="20"/>
                <w:color w:val="auto"/>
              </w:rPr>
            </w:pPr>
            <w:r>
              <w:rPr>
                <w:rFonts w:ascii="Courier New" w:cs="Courier New" w:eastAsia="Courier New" w:hAnsi="Courier New"/>
                <w:sz w:val="14"/>
                <w:szCs w:val="14"/>
                <w:color w:val="auto"/>
              </w:rPr>
              <w:t>Houston Street</w:t>
            </w:r>
          </w:p>
        </w:tc>
        <w:tc>
          <w:tcPr>
            <w:tcW w:w="740" w:type="dxa"/>
            <w:vAlign w:val="bottom"/>
          </w:tcPr>
          <w:p>
            <w:pPr>
              <w:spacing w:after="0"/>
              <w:rPr>
                <w:sz w:val="14"/>
                <w:szCs w:val="14"/>
                <w:color w:val="auto"/>
              </w:rPr>
            </w:pP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San Antonio, TX</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800" w:type="dxa"/>
            <w:vAlign w:val="bottom"/>
          </w:tcPr>
          <w:p>
            <w:pPr>
              <w:spacing w:after="0"/>
              <w:rPr>
                <w:sz w:val="20"/>
                <w:szCs w:val="20"/>
                <w:color w:val="auto"/>
              </w:rPr>
            </w:pPr>
            <w:r>
              <w:rPr>
                <w:rFonts w:ascii="Courier New" w:cs="Courier New" w:eastAsia="Courier New" w:hAnsi="Courier New"/>
                <w:sz w:val="14"/>
                <w:szCs w:val="14"/>
                <w:color w:val="auto"/>
              </w:rPr>
              <w:t>Rockville Town Square</w:t>
            </w:r>
          </w:p>
        </w:tc>
        <w:tc>
          <w:tcPr>
            <w:tcW w:w="740" w:type="dxa"/>
            <w:vAlign w:val="bottom"/>
          </w:tcPr>
          <w:p>
            <w:pPr>
              <w:spacing w:after="0"/>
              <w:rPr>
                <w:sz w:val="14"/>
                <w:szCs w:val="14"/>
                <w:color w:val="auto"/>
              </w:rPr>
            </w:pP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Rockville, MD</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800" w:type="dxa"/>
            <w:vAlign w:val="bottom"/>
          </w:tcPr>
          <w:p>
            <w:pPr>
              <w:spacing w:after="0"/>
              <w:rPr>
                <w:sz w:val="20"/>
                <w:szCs w:val="20"/>
                <w:color w:val="auto"/>
              </w:rPr>
            </w:pPr>
            <w:r>
              <w:rPr>
                <w:rFonts w:ascii="Courier New" w:cs="Courier New" w:eastAsia="Courier New" w:hAnsi="Courier New"/>
                <w:sz w:val="14"/>
                <w:szCs w:val="14"/>
                <w:color w:val="auto"/>
              </w:rPr>
              <w:t>Rutgers Plaza</w:t>
            </w:r>
          </w:p>
        </w:tc>
        <w:tc>
          <w:tcPr>
            <w:tcW w:w="740" w:type="dxa"/>
            <w:vAlign w:val="bottom"/>
          </w:tcPr>
          <w:p>
            <w:pPr>
              <w:spacing w:after="0"/>
              <w:rPr>
                <w:sz w:val="14"/>
                <w:szCs w:val="14"/>
                <w:color w:val="auto"/>
              </w:rPr>
            </w:pP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Franklin, NJ</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Santana Row - Future Phases</w:t>
            </w: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San Jose, CA</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The Village at Shirlington</w:t>
            </w: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Arlington, VA</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616" w:right="139" w:bottom="0" w:gutter="0" w:footer="0" w:header="0"/>
        </w:sectPr>
      </w:pPr>
    </w:p>
    <w:bookmarkStart w:id="16" w:name="page17"/>
    <w:bookmarkEnd w:id="16"/>
    <w:p>
      <w:pPr>
        <w:ind w:left="432" w:right="3419" w:hanging="432"/>
        <w:spacing w:after="0" w:line="250" w:lineRule="auto"/>
        <w:tabs>
          <w:tab w:leader="none" w:pos="432"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current redevelopment opportunities are being pursued by the Trust. There is no guaranty that the Trust will ultimately complete any or all of these opportunities, that the Projected ROI or Projected Costs will be the amounts shown or that stabilization will occur as anticipated. The projected ROI and Projected Cost are management's best estimate based on current information and may change over time.</w:t>
      </w:r>
    </w:p>
    <w:p>
      <w:pPr>
        <w:spacing w:after="0" w:line="2" w:lineRule="exact"/>
        <w:rPr>
          <w:rFonts w:ascii="Courier New" w:cs="Courier New" w:eastAsia="Courier New" w:hAnsi="Courier New"/>
          <w:sz w:val="14"/>
          <w:szCs w:val="14"/>
          <w:color w:val="auto"/>
        </w:rPr>
      </w:pPr>
    </w:p>
    <w:p>
      <w:pPr>
        <w:ind w:left="432" w:right="3339" w:hanging="432"/>
        <w:spacing w:after="0" w:line="250" w:lineRule="auto"/>
        <w:tabs>
          <w:tab w:leader="none" w:pos="432"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Projected ROI reflects only the deal specific cash, unleveraged Incremental Net Operating Income (NOI) generated by the redevelopment and is calculated as Incremental NOI divided by cost. Incremental NOI is the NOI generated by the redevelopment after deducting rent previously in place for the redevelopment space or space taken out of service as a result of the redevelopment. Projected ROI does NOT include peripheral impacts, such as the impact on future lease rollovers at the property or the impact on the long-term value of the property.</w:t>
      </w:r>
    </w:p>
    <w:p>
      <w:pPr>
        <w:spacing w:after="0" w:line="3" w:lineRule="exact"/>
        <w:rPr>
          <w:rFonts w:ascii="Courier New" w:cs="Courier New" w:eastAsia="Courier New" w:hAnsi="Courier New"/>
          <w:sz w:val="14"/>
          <w:szCs w:val="14"/>
          <w:color w:val="auto"/>
        </w:rPr>
      </w:pPr>
    </w:p>
    <w:p>
      <w:pPr>
        <w:ind w:left="432" w:right="3419" w:hanging="432"/>
        <w:spacing w:after="0" w:line="250" w:lineRule="auto"/>
        <w:tabs>
          <w:tab w:leader="none" w:pos="432"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year in which 95% occupancy of the redeveloped space is anticipated to be achieved</w:t>
      </w:r>
    </w:p>
    <w:p>
      <w:pPr>
        <w:ind w:left="432" w:hanging="432"/>
        <w:spacing w:after="0"/>
        <w:tabs>
          <w:tab w:leader="none" w:pos="432"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subtotals and totals reflect cost weighted-average ROIs</w:t>
      </w:r>
    </w:p>
    <w:p>
      <w:pPr>
        <w:spacing w:after="0" w:line="7" w:lineRule="exact"/>
        <w:rPr>
          <w:rFonts w:ascii="Courier New" w:cs="Courier New" w:eastAsia="Courier New" w:hAnsi="Courier New"/>
          <w:sz w:val="14"/>
          <w:szCs w:val="14"/>
          <w:color w:val="auto"/>
        </w:rPr>
      </w:pPr>
    </w:p>
    <w:p>
      <w:pPr>
        <w:ind w:left="432" w:right="3419" w:hanging="432"/>
        <w:spacing w:after="0" w:line="252" w:lineRule="auto"/>
        <w:tabs>
          <w:tab w:leader="none" w:pos="432"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future redevelopment opportunities are being explored by the Trust. There is no guaranty that the Trust will ultimately pursue or complete any or all of these opportunities.</w:t>
      </w:r>
    </w:p>
    <w:p>
      <w:pPr>
        <w:sectPr>
          <w:pgSz w:w="11900" w:h="16838" w:orient="portrait"/>
          <w:cols w:equalWidth="0" w:num="1">
            <w:col w:w="10231"/>
          </w:cols>
          <w:pgMar w:left="228" w:top="307"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Recent Redevelopments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2002</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Redevelopments Stabilized 1999 to 2002  ($ millions)</w:t>
      </w:r>
    </w:p>
    <w:p>
      <w:pPr>
        <w:spacing w:after="0" w:line="33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720" w:type="dxa"/>
            <w:vAlign w:val="bottom"/>
          </w:tcPr>
          <w:p>
            <w:pPr>
              <w:ind w:left="520"/>
              <w:spacing w:after="0"/>
              <w:rPr>
                <w:sz w:val="20"/>
                <w:szCs w:val="20"/>
                <w:color w:val="auto"/>
              </w:rPr>
            </w:pPr>
            <w:r>
              <w:rPr>
                <w:rFonts w:ascii="Courier New" w:cs="Courier New" w:eastAsia="Courier New" w:hAnsi="Courier New"/>
                <w:sz w:val="14"/>
                <w:szCs w:val="14"/>
                <w:color w:val="auto"/>
              </w:rPr>
              <w:t>Property</w:t>
            </w:r>
          </w:p>
        </w:tc>
        <w:tc>
          <w:tcPr>
            <w:tcW w:w="400" w:type="dxa"/>
            <w:vAlign w:val="bottom"/>
          </w:tcPr>
          <w:p>
            <w:pPr>
              <w:spacing w:after="0"/>
              <w:rPr>
                <w:sz w:val="14"/>
                <w:szCs w:val="14"/>
                <w:color w:val="auto"/>
              </w:rPr>
            </w:pPr>
          </w:p>
        </w:tc>
        <w:tc>
          <w:tcPr>
            <w:tcW w:w="2100" w:type="dxa"/>
            <w:vAlign w:val="bottom"/>
          </w:tcPr>
          <w:p>
            <w:pPr>
              <w:ind w:left="720"/>
              <w:spacing w:after="0"/>
              <w:rPr>
                <w:sz w:val="20"/>
                <w:szCs w:val="20"/>
                <w:color w:val="auto"/>
              </w:rPr>
            </w:pPr>
            <w:r>
              <w:rPr>
                <w:rFonts w:ascii="Courier New" w:cs="Courier New" w:eastAsia="Courier New" w:hAnsi="Courier New"/>
                <w:sz w:val="14"/>
                <w:szCs w:val="14"/>
                <w:color w:val="auto"/>
              </w:rPr>
              <w:t>Location</w:t>
            </w:r>
          </w:p>
        </w:tc>
        <w:tc>
          <w:tcPr>
            <w:tcW w:w="1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20" w:type="dxa"/>
            <w:vAlign w:val="bottom"/>
          </w:tcPr>
          <w:p>
            <w:pPr>
              <w:spacing w:after="0"/>
              <w:rPr>
                <w:sz w:val="20"/>
                <w:szCs w:val="20"/>
                <w:color w:val="auto"/>
              </w:rPr>
            </w:pPr>
            <w:r>
              <w:rPr>
                <w:rFonts w:ascii="Courier New" w:cs="Courier New" w:eastAsia="Courier New" w:hAnsi="Courier New"/>
                <w:sz w:val="14"/>
                <w:szCs w:val="14"/>
                <w:color w:val="auto"/>
              </w:rPr>
              <w:t>Opportunity</w:t>
            </w:r>
          </w:p>
        </w:tc>
      </w:tr>
      <w:tr>
        <w:trPr>
          <w:trHeight w:val="166"/>
        </w:trPr>
        <w:tc>
          <w:tcPr>
            <w:tcW w:w="17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2100" w:type="dxa"/>
            <w:vAlign w:val="bottom"/>
          </w:tcPr>
          <w:p>
            <w:pPr>
              <w:ind w:left="72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2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331"/>
        </w:trPr>
        <w:tc>
          <w:tcPr>
            <w:tcW w:w="2120" w:type="dxa"/>
            <w:vAlign w:val="bottom"/>
            <w:gridSpan w:val="2"/>
          </w:tcPr>
          <w:p>
            <w:pPr>
              <w:spacing w:after="0"/>
              <w:rPr>
                <w:sz w:val="20"/>
                <w:szCs w:val="20"/>
                <w:color w:val="auto"/>
              </w:rPr>
            </w:pPr>
            <w:r>
              <w:rPr>
                <w:rFonts w:ascii="Courier New" w:cs="Courier New" w:eastAsia="Courier New" w:hAnsi="Courier New"/>
                <w:sz w:val="14"/>
                <w:szCs w:val="14"/>
                <w:color w:val="auto"/>
              </w:rPr>
              <w:t>Third Street Promenade</w:t>
            </w:r>
          </w:p>
        </w:tc>
        <w:tc>
          <w:tcPr>
            <w:tcW w:w="2100" w:type="dxa"/>
            <w:vAlign w:val="bottom"/>
          </w:tcPr>
          <w:p>
            <w:pPr>
              <w:ind w:left="200"/>
              <w:spacing w:after="0"/>
              <w:rPr>
                <w:sz w:val="20"/>
                <w:szCs w:val="20"/>
                <w:color w:val="auto"/>
              </w:rPr>
            </w:pPr>
            <w:r>
              <w:rPr>
                <w:rFonts w:ascii="Courier New" w:cs="Courier New" w:eastAsia="Courier New" w:hAnsi="Courier New"/>
                <w:sz w:val="14"/>
                <w:szCs w:val="14"/>
                <w:color w:val="auto"/>
              </w:rPr>
              <w:t>Santa Monica, CA</w:t>
            </w:r>
          </w:p>
        </w:tc>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Redevelopment and</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re-tenanting</w:t>
            </w:r>
          </w:p>
        </w:tc>
        <w:tc>
          <w:tcPr>
            <w:tcW w:w="4220" w:type="dxa"/>
            <w:vAlign w:val="bottom"/>
          </w:tcPr>
          <w:p>
            <w:pPr>
              <w:ind w:left="80"/>
              <w:spacing w:after="0"/>
              <w:rPr>
                <w:sz w:val="20"/>
                <w:szCs w:val="20"/>
                <w:color w:val="auto"/>
              </w:rPr>
            </w:pPr>
            <w:r>
              <w:rPr>
                <w:rFonts w:ascii="Courier New" w:cs="Courier New" w:eastAsia="Courier New" w:hAnsi="Courier New"/>
                <w:sz w:val="14"/>
                <w:szCs w:val="14"/>
                <w:color w:val="auto"/>
              </w:rPr>
              <w:t>(includes Banana Republic, J. Crew and Rockport)</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Brick Plaza</w:t>
            </w:r>
          </w:p>
        </w:tc>
        <w:tc>
          <w:tcPr>
            <w:tcW w:w="400" w:type="dxa"/>
            <w:vAlign w:val="bottom"/>
          </w:tcPr>
          <w:p>
            <w:pPr>
              <w:spacing w:after="0"/>
              <w:rPr>
                <w:sz w:val="14"/>
                <w:szCs w:val="14"/>
                <w:color w:val="auto"/>
              </w:rPr>
            </w:pPr>
          </w:p>
        </w:tc>
        <w:tc>
          <w:tcPr>
            <w:tcW w:w="2100" w:type="dxa"/>
            <w:vAlign w:val="bottom"/>
          </w:tcPr>
          <w:p>
            <w:pPr>
              <w:ind w:left="200"/>
              <w:spacing w:after="0"/>
              <w:rPr>
                <w:sz w:val="20"/>
                <w:szCs w:val="20"/>
                <w:color w:val="auto"/>
              </w:rPr>
            </w:pPr>
            <w:r>
              <w:rPr>
                <w:rFonts w:ascii="Courier New" w:cs="Courier New" w:eastAsia="Courier New" w:hAnsi="Courier New"/>
                <w:sz w:val="14"/>
                <w:szCs w:val="14"/>
                <w:color w:val="auto"/>
              </w:rPr>
              <w:t>Brick, NJ</w:t>
            </w:r>
          </w:p>
        </w:tc>
        <w:tc>
          <w:tcPr>
            <w:tcW w:w="69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Grocery expansion, new pad sites, re-tenanting and common area improvements</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Gratiot Plaza</w:t>
            </w:r>
          </w:p>
        </w:tc>
        <w:tc>
          <w:tcPr>
            <w:tcW w:w="400" w:type="dxa"/>
            <w:vAlign w:val="bottom"/>
          </w:tcPr>
          <w:p>
            <w:pPr>
              <w:spacing w:after="0"/>
              <w:rPr>
                <w:sz w:val="14"/>
                <w:szCs w:val="14"/>
                <w:color w:val="auto"/>
              </w:rPr>
            </w:pPr>
          </w:p>
        </w:tc>
        <w:tc>
          <w:tcPr>
            <w:tcW w:w="2100" w:type="dxa"/>
            <w:vAlign w:val="bottom"/>
          </w:tcPr>
          <w:p>
            <w:pPr>
              <w:ind w:left="200"/>
              <w:spacing w:after="0"/>
              <w:rPr>
                <w:sz w:val="20"/>
                <w:szCs w:val="20"/>
                <w:color w:val="auto"/>
              </w:rPr>
            </w:pPr>
            <w:r>
              <w:rPr>
                <w:rFonts w:ascii="Courier New" w:cs="Courier New" w:eastAsia="Courier New" w:hAnsi="Courier New"/>
                <w:sz w:val="14"/>
                <w:szCs w:val="14"/>
                <w:color w:val="auto"/>
              </w:rPr>
              <w:t>Roseville, MI</w:t>
            </w:r>
          </w:p>
        </w:tc>
        <w:tc>
          <w:tcPr>
            <w:tcW w:w="69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New pad sites, re-tenanting and common area improvements</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Troy Hills</w:t>
            </w:r>
          </w:p>
        </w:tc>
        <w:tc>
          <w:tcPr>
            <w:tcW w:w="400" w:type="dxa"/>
            <w:vAlign w:val="bottom"/>
          </w:tcPr>
          <w:p>
            <w:pPr>
              <w:spacing w:after="0"/>
              <w:rPr>
                <w:sz w:val="14"/>
                <w:szCs w:val="14"/>
                <w:color w:val="auto"/>
              </w:rPr>
            </w:pPr>
          </w:p>
        </w:tc>
        <w:tc>
          <w:tcPr>
            <w:tcW w:w="2100" w:type="dxa"/>
            <w:vAlign w:val="bottom"/>
          </w:tcPr>
          <w:p>
            <w:pPr>
              <w:ind w:left="200"/>
              <w:spacing w:after="0"/>
              <w:rPr>
                <w:sz w:val="20"/>
                <w:szCs w:val="20"/>
                <w:color w:val="auto"/>
              </w:rPr>
            </w:pPr>
            <w:r>
              <w:rPr>
                <w:rFonts w:ascii="Courier New" w:cs="Courier New" w:eastAsia="Courier New" w:hAnsi="Courier New"/>
                <w:sz w:val="14"/>
                <w:szCs w:val="14"/>
                <w:color w:val="auto"/>
              </w:rPr>
              <w:t>Parsippany, NJ</w:t>
            </w:r>
          </w:p>
        </w:tc>
        <w:tc>
          <w:tcPr>
            <w:tcW w:w="69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Grocery expansion, re-tenanting and common area improvements</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Falls Plaza</w:t>
            </w:r>
          </w:p>
        </w:tc>
        <w:tc>
          <w:tcPr>
            <w:tcW w:w="400" w:type="dxa"/>
            <w:vAlign w:val="bottom"/>
          </w:tcPr>
          <w:p>
            <w:pPr>
              <w:spacing w:after="0"/>
              <w:rPr>
                <w:sz w:val="14"/>
                <w:szCs w:val="14"/>
                <w:color w:val="auto"/>
              </w:rPr>
            </w:pPr>
          </w:p>
        </w:tc>
        <w:tc>
          <w:tcPr>
            <w:tcW w:w="2100" w:type="dxa"/>
            <w:vAlign w:val="bottom"/>
          </w:tcPr>
          <w:p>
            <w:pPr>
              <w:ind w:left="200"/>
              <w:spacing w:after="0"/>
              <w:rPr>
                <w:sz w:val="20"/>
                <w:szCs w:val="20"/>
                <w:color w:val="auto"/>
              </w:rPr>
            </w:pPr>
            <w:r>
              <w:rPr>
                <w:rFonts w:ascii="Courier New" w:cs="Courier New" w:eastAsia="Courier New" w:hAnsi="Courier New"/>
                <w:sz w:val="14"/>
                <w:szCs w:val="14"/>
                <w:color w:val="auto"/>
              </w:rPr>
              <w:t>Falls Church, VA</w:t>
            </w:r>
          </w:p>
        </w:tc>
        <w:tc>
          <w:tcPr>
            <w:tcW w:w="27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Grocery expansion, common area</w:t>
            </w:r>
          </w:p>
        </w:tc>
        <w:tc>
          <w:tcPr>
            <w:tcW w:w="4220" w:type="dxa"/>
            <w:vAlign w:val="bottom"/>
          </w:tcPr>
          <w:p>
            <w:pPr>
              <w:ind w:left="80"/>
              <w:spacing w:after="0"/>
              <w:rPr>
                <w:sz w:val="20"/>
                <w:szCs w:val="20"/>
                <w:color w:val="auto"/>
              </w:rPr>
            </w:pPr>
            <w:r>
              <w:rPr>
                <w:rFonts w:ascii="Courier New" w:cs="Courier New" w:eastAsia="Courier New" w:hAnsi="Courier New"/>
                <w:sz w:val="14"/>
                <w:szCs w:val="14"/>
                <w:color w:val="auto"/>
              </w:rPr>
              <w:t>improvements, new in-line space and pad site</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Langhorne Square</w:t>
            </w:r>
          </w:p>
        </w:tc>
        <w:tc>
          <w:tcPr>
            <w:tcW w:w="400" w:type="dxa"/>
            <w:vAlign w:val="bottom"/>
          </w:tcPr>
          <w:p>
            <w:pPr>
              <w:spacing w:after="0"/>
              <w:rPr>
                <w:sz w:val="14"/>
                <w:szCs w:val="14"/>
                <w:color w:val="auto"/>
              </w:rPr>
            </w:pPr>
          </w:p>
        </w:tc>
        <w:tc>
          <w:tcPr>
            <w:tcW w:w="2100" w:type="dxa"/>
            <w:vAlign w:val="bottom"/>
          </w:tcPr>
          <w:p>
            <w:pPr>
              <w:ind w:left="200"/>
              <w:spacing w:after="0"/>
              <w:rPr>
                <w:sz w:val="20"/>
                <w:szCs w:val="20"/>
                <w:color w:val="auto"/>
              </w:rPr>
            </w:pPr>
            <w:r>
              <w:rPr>
                <w:rFonts w:ascii="Courier New" w:cs="Courier New" w:eastAsia="Courier New" w:hAnsi="Courier New"/>
                <w:sz w:val="14"/>
                <w:szCs w:val="14"/>
                <w:color w:val="auto"/>
              </w:rPr>
              <w:t>Levittown, PA</w:t>
            </w:r>
          </w:p>
        </w:tc>
        <w:tc>
          <w:tcPr>
            <w:tcW w:w="69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New grocer in expanded leaseable area and new pad sites</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Fifth Avenue</w:t>
            </w:r>
          </w:p>
        </w:tc>
        <w:tc>
          <w:tcPr>
            <w:tcW w:w="400" w:type="dxa"/>
            <w:vAlign w:val="bottom"/>
          </w:tcPr>
          <w:p>
            <w:pPr>
              <w:spacing w:after="0"/>
              <w:rPr>
                <w:sz w:val="14"/>
                <w:szCs w:val="14"/>
                <w:color w:val="auto"/>
              </w:rPr>
            </w:pPr>
          </w:p>
        </w:tc>
        <w:tc>
          <w:tcPr>
            <w:tcW w:w="2100" w:type="dxa"/>
            <w:vAlign w:val="bottom"/>
          </w:tcPr>
          <w:p>
            <w:pPr>
              <w:ind w:left="200"/>
              <w:spacing w:after="0"/>
              <w:rPr>
                <w:sz w:val="20"/>
                <w:szCs w:val="20"/>
                <w:color w:val="auto"/>
              </w:rPr>
            </w:pPr>
            <w:r>
              <w:rPr>
                <w:rFonts w:ascii="Courier New" w:cs="Courier New" w:eastAsia="Courier New" w:hAnsi="Courier New"/>
                <w:sz w:val="14"/>
                <w:szCs w:val="14"/>
                <w:color w:val="auto"/>
              </w:rPr>
              <w:t>San Diego, CA</w:t>
            </w:r>
          </w:p>
        </w:tc>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Redevelopment and</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re-tenanting</w:t>
            </w:r>
          </w:p>
        </w:tc>
        <w:tc>
          <w:tcPr>
            <w:tcW w:w="4220" w:type="dxa"/>
            <w:vAlign w:val="bottom"/>
          </w:tcPr>
          <w:p>
            <w:pPr>
              <w:ind w:left="80"/>
              <w:spacing w:after="0"/>
              <w:rPr>
                <w:sz w:val="20"/>
                <w:szCs w:val="20"/>
                <w:color w:val="auto"/>
              </w:rPr>
            </w:pPr>
            <w:r>
              <w:rPr>
                <w:rFonts w:ascii="Courier New" w:cs="Courier New" w:eastAsia="Courier New" w:hAnsi="Courier New"/>
                <w:sz w:val="14"/>
                <w:szCs w:val="14"/>
                <w:color w:val="auto"/>
              </w:rPr>
              <w:t>(Urban Outfitters)</w:t>
            </w:r>
          </w:p>
        </w:tc>
      </w:tr>
      <w:tr>
        <w:trPr>
          <w:trHeight w:val="497"/>
        </w:trPr>
        <w:tc>
          <w:tcPr>
            <w:tcW w:w="1720" w:type="dxa"/>
            <w:vAlign w:val="bottom"/>
          </w:tcPr>
          <w:p>
            <w:pPr>
              <w:ind w:left="860"/>
              <w:spacing w:after="0"/>
              <w:rPr>
                <w:sz w:val="20"/>
                <w:szCs w:val="20"/>
                <w:color w:val="auto"/>
              </w:rPr>
            </w:pPr>
            <w:r>
              <w:rPr>
                <w:rFonts w:ascii="Courier New" w:cs="Courier New" w:eastAsia="Courier New" w:hAnsi="Courier New"/>
                <w:sz w:val="14"/>
                <w:szCs w:val="14"/>
                <w:color w:val="auto"/>
              </w:rPr>
              <w:t>Subtotal:</w:t>
            </w:r>
          </w:p>
        </w:tc>
        <w:tc>
          <w:tcPr>
            <w:tcW w:w="25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Projects Stabilized in 1999</w:t>
            </w:r>
          </w:p>
        </w:tc>
        <w:tc>
          <w:tcPr>
            <w:tcW w:w="1680" w:type="dxa"/>
            <w:vAlign w:val="bottom"/>
          </w:tcPr>
          <w:p>
            <w:pPr>
              <w:ind w:left="80"/>
              <w:spacing w:after="0"/>
              <w:rPr>
                <w:sz w:val="20"/>
                <w:szCs w:val="20"/>
                <w:color w:val="auto"/>
              </w:rPr>
            </w:pPr>
            <w:r>
              <w:rPr>
                <w:rFonts w:ascii="Courier New" w:cs="Courier New" w:eastAsia="Courier New" w:hAnsi="Courier New"/>
                <w:sz w:val="14"/>
                <w:szCs w:val="14"/>
                <w:color w:val="auto"/>
              </w:rPr>
              <w:t>(3)</w:t>
            </w:r>
          </w:p>
        </w:tc>
        <w:tc>
          <w:tcPr>
            <w:tcW w:w="108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497"/>
        </w:trPr>
        <w:tc>
          <w:tcPr>
            <w:tcW w:w="1720" w:type="dxa"/>
            <w:vAlign w:val="bottom"/>
          </w:tcPr>
          <w:p>
            <w:pPr>
              <w:spacing w:after="0"/>
              <w:rPr>
                <w:sz w:val="20"/>
                <w:szCs w:val="20"/>
                <w:color w:val="auto"/>
              </w:rPr>
            </w:pPr>
            <w:r>
              <w:rPr>
                <w:rFonts w:ascii="Courier New" w:cs="Courier New" w:eastAsia="Courier New" w:hAnsi="Courier New"/>
                <w:sz w:val="14"/>
                <w:szCs w:val="14"/>
                <w:color w:val="auto"/>
              </w:rPr>
              <w:t>Blue Star</w:t>
            </w:r>
          </w:p>
        </w:tc>
        <w:tc>
          <w:tcPr>
            <w:tcW w:w="400" w:type="dxa"/>
            <w:vAlign w:val="bottom"/>
          </w:tcPr>
          <w:p>
            <w:pPr>
              <w:spacing w:after="0"/>
              <w:rPr>
                <w:sz w:val="24"/>
                <w:szCs w:val="24"/>
                <w:color w:val="auto"/>
              </w:rPr>
            </w:pPr>
          </w:p>
        </w:tc>
        <w:tc>
          <w:tcPr>
            <w:tcW w:w="2100" w:type="dxa"/>
            <w:vAlign w:val="bottom"/>
          </w:tcPr>
          <w:p>
            <w:pPr>
              <w:ind w:left="200"/>
              <w:spacing w:after="0"/>
              <w:rPr>
                <w:sz w:val="20"/>
                <w:szCs w:val="20"/>
                <w:color w:val="auto"/>
              </w:rPr>
            </w:pPr>
            <w:r>
              <w:rPr>
                <w:rFonts w:ascii="Courier New" w:cs="Courier New" w:eastAsia="Courier New" w:hAnsi="Courier New"/>
                <w:sz w:val="14"/>
                <w:szCs w:val="14"/>
                <w:color w:val="auto"/>
              </w:rPr>
              <w:t>Watchung, NJ</w:t>
            </w:r>
          </w:p>
        </w:tc>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New pad sites and</w:t>
            </w:r>
          </w:p>
        </w:tc>
        <w:tc>
          <w:tcPr>
            <w:tcW w:w="5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common area improvements</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Fifth Avenue</w:t>
            </w:r>
          </w:p>
        </w:tc>
        <w:tc>
          <w:tcPr>
            <w:tcW w:w="400" w:type="dxa"/>
            <w:vAlign w:val="bottom"/>
          </w:tcPr>
          <w:p>
            <w:pPr>
              <w:spacing w:after="0"/>
              <w:rPr>
                <w:sz w:val="14"/>
                <w:szCs w:val="14"/>
                <w:color w:val="auto"/>
              </w:rPr>
            </w:pPr>
          </w:p>
        </w:tc>
        <w:tc>
          <w:tcPr>
            <w:tcW w:w="2100" w:type="dxa"/>
            <w:vAlign w:val="bottom"/>
          </w:tcPr>
          <w:p>
            <w:pPr>
              <w:ind w:left="200"/>
              <w:spacing w:after="0"/>
              <w:rPr>
                <w:sz w:val="20"/>
                <w:szCs w:val="20"/>
                <w:color w:val="auto"/>
              </w:rPr>
            </w:pPr>
            <w:r>
              <w:rPr>
                <w:rFonts w:ascii="Courier New" w:cs="Courier New" w:eastAsia="Courier New" w:hAnsi="Courier New"/>
                <w:sz w:val="14"/>
                <w:szCs w:val="14"/>
                <w:color w:val="auto"/>
              </w:rPr>
              <w:t>San Diego, CA</w:t>
            </w:r>
          </w:p>
        </w:tc>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Redevelopment and</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re-tenanting</w:t>
            </w:r>
          </w:p>
        </w:tc>
        <w:tc>
          <w:tcPr>
            <w:tcW w:w="4220" w:type="dxa"/>
            <w:vAlign w:val="bottom"/>
          </w:tcPr>
          <w:p>
            <w:pPr>
              <w:spacing w:after="0"/>
              <w:rPr>
                <w:sz w:val="14"/>
                <w:szCs w:val="14"/>
                <w:color w:val="auto"/>
              </w:rPr>
            </w:pPr>
          </w:p>
        </w:tc>
      </w:tr>
      <w:tr>
        <w:trPr>
          <w:trHeight w:val="331"/>
        </w:trPr>
        <w:tc>
          <w:tcPr>
            <w:tcW w:w="1720" w:type="dxa"/>
            <w:vAlign w:val="bottom"/>
          </w:tcPr>
          <w:p>
            <w:pPr>
              <w:ind w:left="860"/>
              <w:spacing w:after="0"/>
              <w:rPr>
                <w:sz w:val="20"/>
                <w:szCs w:val="20"/>
                <w:color w:val="auto"/>
              </w:rPr>
            </w:pPr>
            <w:r>
              <w:rPr>
                <w:rFonts w:ascii="Courier New" w:cs="Courier New" w:eastAsia="Courier New" w:hAnsi="Courier New"/>
                <w:sz w:val="14"/>
                <w:szCs w:val="14"/>
                <w:color w:val="auto"/>
              </w:rPr>
              <w:t>Subtotal:</w:t>
            </w:r>
          </w:p>
        </w:tc>
        <w:tc>
          <w:tcPr>
            <w:tcW w:w="25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Projects Stabilized in 2000</w:t>
            </w:r>
          </w:p>
        </w:tc>
        <w:tc>
          <w:tcPr>
            <w:tcW w:w="1680" w:type="dxa"/>
            <w:vAlign w:val="bottom"/>
          </w:tcPr>
          <w:p>
            <w:pPr>
              <w:ind w:left="80"/>
              <w:spacing w:after="0"/>
              <w:rPr>
                <w:sz w:val="20"/>
                <w:szCs w:val="20"/>
                <w:color w:val="auto"/>
              </w:rPr>
            </w:pPr>
            <w:r>
              <w:rPr>
                <w:rFonts w:ascii="Courier New" w:cs="Courier New" w:eastAsia="Courier New" w:hAnsi="Courier New"/>
                <w:sz w:val="14"/>
                <w:szCs w:val="14"/>
                <w:color w:val="auto"/>
              </w:rPr>
              <w:t>(3)</w:t>
            </w:r>
          </w:p>
        </w:tc>
        <w:tc>
          <w:tcPr>
            <w:tcW w:w="108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497"/>
        </w:trPr>
        <w:tc>
          <w:tcPr>
            <w:tcW w:w="1720" w:type="dxa"/>
            <w:vAlign w:val="bottom"/>
          </w:tcPr>
          <w:p>
            <w:pPr>
              <w:spacing w:after="0"/>
              <w:rPr>
                <w:sz w:val="20"/>
                <w:szCs w:val="20"/>
                <w:color w:val="auto"/>
              </w:rPr>
            </w:pPr>
            <w:r>
              <w:rPr>
                <w:rFonts w:ascii="Courier New" w:cs="Courier New" w:eastAsia="Courier New" w:hAnsi="Courier New"/>
                <w:sz w:val="14"/>
                <w:szCs w:val="14"/>
                <w:color w:val="auto"/>
              </w:rPr>
              <w:t>Wynnewood</w:t>
            </w:r>
          </w:p>
        </w:tc>
        <w:tc>
          <w:tcPr>
            <w:tcW w:w="400" w:type="dxa"/>
            <w:vAlign w:val="bottom"/>
          </w:tcPr>
          <w:p>
            <w:pPr>
              <w:spacing w:after="0"/>
              <w:rPr>
                <w:sz w:val="24"/>
                <w:szCs w:val="24"/>
                <w:color w:val="auto"/>
              </w:rPr>
            </w:pPr>
          </w:p>
        </w:tc>
        <w:tc>
          <w:tcPr>
            <w:tcW w:w="2100" w:type="dxa"/>
            <w:vAlign w:val="bottom"/>
          </w:tcPr>
          <w:p>
            <w:pPr>
              <w:ind w:left="200"/>
              <w:spacing w:after="0"/>
              <w:rPr>
                <w:sz w:val="20"/>
                <w:szCs w:val="20"/>
                <w:color w:val="auto"/>
              </w:rPr>
            </w:pPr>
            <w:r>
              <w:rPr>
                <w:rFonts w:ascii="Courier New" w:cs="Courier New" w:eastAsia="Courier New" w:hAnsi="Courier New"/>
                <w:sz w:val="14"/>
                <w:szCs w:val="14"/>
                <w:color w:val="auto"/>
              </w:rPr>
              <w:t>Wynnewood, PA</w:t>
            </w:r>
          </w:p>
        </w:tc>
        <w:tc>
          <w:tcPr>
            <w:tcW w:w="69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Grocery expansion, re-tenanting and common area improvements</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Old Town Pasadena</w:t>
            </w:r>
          </w:p>
        </w:tc>
        <w:tc>
          <w:tcPr>
            <w:tcW w:w="400" w:type="dxa"/>
            <w:vAlign w:val="bottom"/>
          </w:tcPr>
          <w:p>
            <w:pPr>
              <w:spacing w:after="0"/>
              <w:rPr>
                <w:sz w:val="14"/>
                <w:szCs w:val="14"/>
                <w:color w:val="auto"/>
              </w:rPr>
            </w:pPr>
          </w:p>
        </w:tc>
        <w:tc>
          <w:tcPr>
            <w:tcW w:w="2100" w:type="dxa"/>
            <w:vAlign w:val="bottom"/>
          </w:tcPr>
          <w:p>
            <w:pPr>
              <w:ind w:left="200"/>
              <w:spacing w:after="0"/>
              <w:rPr>
                <w:sz w:val="20"/>
                <w:szCs w:val="20"/>
                <w:color w:val="auto"/>
              </w:rPr>
            </w:pPr>
            <w:r>
              <w:rPr>
                <w:rFonts w:ascii="Courier New" w:cs="Courier New" w:eastAsia="Courier New" w:hAnsi="Courier New"/>
                <w:sz w:val="14"/>
                <w:szCs w:val="14"/>
                <w:color w:val="auto"/>
              </w:rPr>
              <w:t>Pasadena, CA</w:t>
            </w:r>
          </w:p>
        </w:tc>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Redevelopment and</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re-tenanting</w:t>
            </w:r>
          </w:p>
        </w:tc>
        <w:tc>
          <w:tcPr>
            <w:tcW w:w="4220" w:type="dxa"/>
            <w:vAlign w:val="bottom"/>
          </w:tcPr>
          <w:p>
            <w:pPr>
              <w:ind w:left="80"/>
              <w:spacing w:after="0"/>
              <w:rPr>
                <w:sz w:val="20"/>
                <w:szCs w:val="20"/>
                <w:color w:val="auto"/>
              </w:rPr>
            </w:pPr>
            <w:r>
              <w:rPr>
                <w:rFonts w:ascii="Courier New" w:cs="Courier New" w:eastAsia="Courier New" w:hAnsi="Courier New"/>
                <w:sz w:val="14"/>
                <w:szCs w:val="14"/>
                <w:color w:val="auto"/>
              </w:rPr>
              <w:t>of two buildings</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Brunswick</w:t>
            </w:r>
          </w:p>
        </w:tc>
        <w:tc>
          <w:tcPr>
            <w:tcW w:w="400" w:type="dxa"/>
            <w:vAlign w:val="bottom"/>
          </w:tcPr>
          <w:p>
            <w:pPr>
              <w:spacing w:after="0"/>
              <w:rPr>
                <w:sz w:val="14"/>
                <w:szCs w:val="14"/>
                <w:color w:val="auto"/>
              </w:rPr>
            </w:pPr>
          </w:p>
        </w:tc>
        <w:tc>
          <w:tcPr>
            <w:tcW w:w="2100" w:type="dxa"/>
            <w:vAlign w:val="bottom"/>
          </w:tcPr>
          <w:p>
            <w:pPr>
              <w:ind w:left="200"/>
              <w:spacing w:after="0"/>
              <w:rPr>
                <w:sz w:val="20"/>
                <w:szCs w:val="20"/>
                <w:color w:val="auto"/>
              </w:rPr>
            </w:pPr>
            <w:r>
              <w:rPr>
                <w:rFonts w:ascii="Courier New" w:cs="Courier New" w:eastAsia="Courier New" w:hAnsi="Courier New"/>
                <w:sz w:val="14"/>
                <w:szCs w:val="14"/>
                <w:color w:val="auto"/>
              </w:rPr>
              <w:t>North Brunswick, NJ</w:t>
            </w:r>
          </w:p>
        </w:tc>
        <w:tc>
          <w:tcPr>
            <w:tcW w:w="69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Grocery expansion, re-tenanting, new pad site and renovation</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Federal Plaza</w:t>
            </w:r>
          </w:p>
        </w:tc>
        <w:tc>
          <w:tcPr>
            <w:tcW w:w="400" w:type="dxa"/>
            <w:vAlign w:val="bottom"/>
          </w:tcPr>
          <w:p>
            <w:pPr>
              <w:spacing w:after="0"/>
              <w:rPr>
                <w:sz w:val="14"/>
                <w:szCs w:val="14"/>
                <w:color w:val="auto"/>
              </w:rPr>
            </w:pPr>
          </w:p>
        </w:tc>
        <w:tc>
          <w:tcPr>
            <w:tcW w:w="2100" w:type="dxa"/>
            <w:vAlign w:val="bottom"/>
          </w:tcPr>
          <w:p>
            <w:pPr>
              <w:ind w:left="200"/>
              <w:spacing w:after="0"/>
              <w:rPr>
                <w:sz w:val="20"/>
                <w:szCs w:val="20"/>
                <w:color w:val="auto"/>
              </w:rPr>
            </w:pPr>
            <w:r>
              <w:rPr>
                <w:rFonts w:ascii="Courier New" w:cs="Courier New" w:eastAsia="Courier New" w:hAnsi="Courier New"/>
                <w:sz w:val="14"/>
                <w:szCs w:val="14"/>
                <w:color w:val="auto"/>
              </w:rPr>
              <w:t>Rockville, MD</w:t>
            </w:r>
          </w:p>
        </w:tc>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New pad site</w:t>
            </w:r>
          </w:p>
        </w:tc>
        <w:tc>
          <w:tcPr>
            <w:tcW w:w="1080" w:type="dxa"/>
            <w:vAlign w:val="bottom"/>
          </w:tcPr>
          <w:p>
            <w:pPr>
              <w:spacing w:after="0"/>
              <w:rPr>
                <w:sz w:val="14"/>
                <w:szCs w:val="14"/>
                <w:color w:val="auto"/>
              </w:rPr>
            </w:pPr>
          </w:p>
        </w:tc>
        <w:tc>
          <w:tcPr>
            <w:tcW w:w="4220" w:type="dxa"/>
            <w:vAlign w:val="bottom"/>
          </w:tcPr>
          <w:p>
            <w:pPr>
              <w:spacing w:after="0"/>
              <w:rPr>
                <w:sz w:val="14"/>
                <w:szCs w:val="14"/>
                <w:color w:val="auto"/>
              </w:rPr>
            </w:pPr>
          </w:p>
        </w:tc>
      </w:tr>
      <w:tr>
        <w:trPr>
          <w:trHeight w:val="497"/>
        </w:trPr>
        <w:tc>
          <w:tcPr>
            <w:tcW w:w="1720" w:type="dxa"/>
            <w:vAlign w:val="bottom"/>
          </w:tcPr>
          <w:p>
            <w:pPr>
              <w:ind w:left="860"/>
              <w:spacing w:after="0"/>
              <w:rPr>
                <w:sz w:val="20"/>
                <w:szCs w:val="20"/>
                <w:color w:val="auto"/>
              </w:rPr>
            </w:pPr>
            <w:r>
              <w:rPr>
                <w:rFonts w:ascii="Courier New" w:cs="Courier New" w:eastAsia="Courier New" w:hAnsi="Courier New"/>
                <w:sz w:val="14"/>
                <w:szCs w:val="14"/>
                <w:color w:val="auto"/>
              </w:rPr>
              <w:t>Subtotal:</w:t>
            </w:r>
          </w:p>
        </w:tc>
        <w:tc>
          <w:tcPr>
            <w:tcW w:w="25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Projects Stabilized in 2001</w:t>
            </w:r>
          </w:p>
        </w:tc>
        <w:tc>
          <w:tcPr>
            <w:tcW w:w="1680" w:type="dxa"/>
            <w:vAlign w:val="bottom"/>
          </w:tcPr>
          <w:p>
            <w:pPr>
              <w:ind w:left="80"/>
              <w:spacing w:after="0"/>
              <w:rPr>
                <w:sz w:val="20"/>
                <w:szCs w:val="20"/>
                <w:color w:val="auto"/>
              </w:rPr>
            </w:pPr>
            <w:r>
              <w:rPr>
                <w:rFonts w:ascii="Courier New" w:cs="Courier New" w:eastAsia="Courier New" w:hAnsi="Courier New"/>
                <w:sz w:val="14"/>
                <w:szCs w:val="14"/>
                <w:color w:val="auto"/>
              </w:rPr>
              <w:t>(3)</w:t>
            </w:r>
          </w:p>
        </w:tc>
        <w:tc>
          <w:tcPr>
            <w:tcW w:w="108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497"/>
        </w:trPr>
        <w:tc>
          <w:tcPr>
            <w:tcW w:w="2120" w:type="dxa"/>
            <w:vAlign w:val="bottom"/>
            <w:gridSpan w:val="2"/>
          </w:tcPr>
          <w:p>
            <w:pPr>
              <w:spacing w:after="0"/>
              <w:rPr>
                <w:sz w:val="20"/>
                <w:szCs w:val="20"/>
                <w:color w:val="auto"/>
              </w:rPr>
            </w:pPr>
            <w:r>
              <w:rPr>
                <w:rFonts w:ascii="Courier New" w:cs="Courier New" w:eastAsia="Courier New" w:hAnsi="Courier New"/>
                <w:sz w:val="14"/>
                <w:szCs w:val="14"/>
                <w:color w:val="auto"/>
              </w:rPr>
              <w:t>Third Street Promenade</w:t>
            </w:r>
          </w:p>
        </w:tc>
        <w:tc>
          <w:tcPr>
            <w:tcW w:w="2100" w:type="dxa"/>
            <w:vAlign w:val="bottom"/>
          </w:tcPr>
          <w:p>
            <w:pPr>
              <w:ind w:left="200"/>
              <w:spacing w:after="0"/>
              <w:rPr>
                <w:sz w:val="20"/>
                <w:szCs w:val="20"/>
                <w:color w:val="auto"/>
              </w:rPr>
            </w:pPr>
            <w:r>
              <w:rPr>
                <w:rFonts w:ascii="Courier New" w:cs="Courier New" w:eastAsia="Courier New" w:hAnsi="Courier New"/>
                <w:sz w:val="14"/>
                <w:szCs w:val="14"/>
                <w:color w:val="auto"/>
              </w:rPr>
              <w:t>Santa Monica, CA</w:t>
            </w:r>
          </w:p>
        </w:tc>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Redevelopment and</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re-tenanting</w:t>
            </w:r>
          </w:p>
        </w:tc>
        <w:tc>
          <w:tcPr>
            <w:tcW w:w="4220" w:type="dxa"/>
            <w:vAlign w:val="bottom"/>
          </w:tcPr>
          <w:p>
            <w:pPr>
              <w:ind w:left="80"/>
              <w:spacing w:after="0"/>
              <w:rPr>
                <w:sz w:val="20"/>
                <w:szCs w:val="20"/>
                <w:color w:val="auto"/>
              </w:rPr>
            </w:pPr>
            <w:r>
              <w:rPr>
                <w:rFonts w:ascii="Courier New" w:cs="Courier New" w:eastAsia="Courier New" w:hAnsi="Courier New"/>
                <w:sz w:val="14"/>
                <w:szCs w:val="14"/>
                <w:color w:val="auto"/>
              </w:rPr>
              <w:t>(Old Navy and others)</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Fifth Avenue</w:t>
            </w:r>
          </w:p>
        </w:tc>
        <w:tc>
          <w:tcPr>
            <w:tcW w:w="400" w:type="dxa"/>
            <w:vAlign w:val="bottom"/>
          </w:tcPr>
          <w:p>
            <w:pPr>
              <w:spacing w:after="0"/>
              <w:rPr>
                <w:sz w:val="14"/>
                <w:szCs w:val="14"/>
                <w:color w:val="auto"/>
              </w:rPr>
            </w:pPr>
          </w:p>
        </w:tc>
        <w:tc>
          <w:tcPr>
            <w:tcW w:w="2100" w:type="dxa"/>
            <w:vAlign w:val="bottom"/>
          </w:tcPr>
          <w:p>
            <w:pPr>
              <w:ind w:left="200"/>
              <w:spacing w:after="0"/>
              <w:rPr>
                <w:sz w:val="20"/>
                <w:szCs w:val="20"/>
                <w:color w:val="auto"/>
              </w:rPr>
            </w:pPr>
            <w:r>
              <w:rPr>
                <w:rFonts w:ascii="Courier New" w:cs="Courier New" w:eastAsia="Courier New" w:hAnsi="Courier New"/>
                <w:sz w:val="14"/>
                <w:szCs w:val="14"/>
                <w:color w:val="auto"/>
              </w:rPr>
              <w:t>San Diego, CA</w:t>
            </w:r>
          </w:p>
        </w:tc>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Redevelopment and</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re-tenanting</w:t>
            </w:r>
          </w:p>
        </w:tc>
        <w:tc>
          <w:tcPr>
            <w:tcW w:w="4220" w:type="dxa"/>
            <w:vAlign w:val="bottom"/>
          </w:tcPr>
          <w:p>
            <w:pPr>
              <w:ind w:left="80"/>
              <w:spacing w:after="0"/>
              <w:rPr>
                <w:sz w:val="20"/>
                <w:szCs w:val="20"/>
                <w:color w:val="auto"/>
              </w:rPr>
            </w:pPr>
            <w:r>
              <w:rPr>
                <w:rFonts w:ascii="Courier New" w:cs="Courier New" w:eastAsia="Courier New" w:hAnsi="Courier New"/>
                <w:sz w:val="14"/>
                <w:szCs w:val="14"/>
                <w:color w:val="auto"/>
              </w:rPr>
              <w:t>of retail and residential buildings</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Hermosa Avenue</w:t>
            </w:r>
          </w:p>
        </w:tc>
        <w:tc>
          <w:tcPr>
            <w:tcW w:w="400" w:type="dxa"/>
            <w:vAlign w:val="bottom"/>
          </w:tcPr>
          <w:p>
            <w:pPr>
              <w:spacing w:after="0"/>
              <w:rPr>
                <w:sz w:val="14"/>
                <w:szCs w:val="14"/>
                <w:color w:val="auto"/>
              </w:rPr>
            </w:pPr>
          </w:p>
        </w:tc>
        <w:tc>
          <w:tcPr>
            <w:tcW w:w="2100" w:type="dxa"/>
            <w:vAlign w:val="bottom"/>
          </w:tcPr>
          <w:p>
            <w:pPr>
              <w:ind w:left="200"/>
              <w:spacing w:after="0"/>
              <w:rPr>
                <w:sz w:val="20"/>
                <w:szCs w:val="20"/>
                <w:color w:val="auto"/>
              </w:rPr>
            </w:pPr>
            <w:r>
              <w:rPr>
                <w:rFonts w:ascii="Courier New" w:cs="Courier New" w:eastAsia="Courier New" w:hAnsi="Courier New"/>
                <w:sz w:val="14"/>
                <w:szCs w:val="14"/>
                <w:color w:val="auto"/>
              </w:rPr>
              <w:t>Hermosa Beach, CA</w:t>
            </w:r>
          </w:p>
        </w:tc>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Redevelopment and</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re-tenanting</w:t>
            </w:r>
          </w:p>
        </w:tc>
        <w:tc>
          <w:tcPr>
            <w:tcW w:w="4220" w:type="dxa"/>
            <w:vAlign w:val="bottom"/>
          </w:tcPr>
          <w:p>
            <w:pPr>
              <w:ind w:left="80"/>
              <w:spacing w:after="0"/>
              <w:rPr>
                <w:sz w:val="20"/>
                <w:szCs w:val="20"/>
                <w:color w:val="auto"/>
              </w:rPr>
            </w:pPr>
            <w:r>
              <w:rPr>
                <w:rFonts w:ascii="Courier New" w:cs="Courier New" w:eastAsia="Courier New" w:hAnsi="Courier New"/>
                <w:sz w:val="14"/>
                <w:szCs w:val="14"/>
                <w:color w:val="auto"/>
              </w:rPr>
              <w:t>of retail and office</w:t>
            </w:r>
          </w:p>
        </w:tc>
      </w:tr>
    </w:tbl>
    <w:p>
      <w:pPr>
        <w:spacing w:after="0" w:line="335" w:lineRule="exact"/>
        <w:rPr>
          <w:sz w:val="20"/>
          <w:szCs w:val="20"/>
          <w:color w:val="auto"/>
        </w:rPr>
      </w:pPr>
    </w:p>
    <w:p>
      <w:pPr>
        <w:ind w:left="1120"/>
        <w:spacing w:after="0"/>
        <w:tabs>
          <w:tab w:leader="none" w:pos="2060" w:val="left"/>
          <w:tab w:leader="none" w:pos="4560" w:val="left"/>
        </w:tabs>
        <w:rPr>
          <w:sz w:val="20"/>
          <w:szCs w:val="20"/>
          <w:color w:val="auto"/>
        </w:rPr>
      </w:pPr>
      <w:r>
        <w:rPr>
          <w:rFonts w:ascii="Courier New" w:cs="Courier New" w:eastAsia="Courier New" w:hAnsi="Courier New"/>
          <w:sz w:val="14"/>
          <w:szCs w:val="14"/>
          <w:color w:val="auto"/>
        </w:rPr>
        <w:t>Subtotal:</w:t>
        <w:tab/>
        <w:t>Projects Stabilized in 2002</w:t>
        <w:tab/>
        <w:t>(3)</w:t>
      </w:r>
    </w:p>
    <w:p>
      <w:pPr>
        <w:spacing w:after="0" w:line="338" w:lineRule="exact"/>
        <w:rPr>
          <w:sz w:val="20"/>
          <w:szCs w:val="20"/>
          <w:color w:val="auto"/>
        </w:rPr>
      </w:pPr>
    </w:p>
    <w:p>
      <w:pPr>
        <w:ind w:left="1120"/>
        <w:spacing w:after="0"/>
        <w:tabs>
          <w:tab w:leader="none" w:pos="4980" w:val="left"/>
        </w:tabs>
        <w:rPr>
          <w:sz w:val="20"/>
          <w:szCs w:val="20"/>
          <w:color w:val="auto"/>
        </w:rPr>
      </w:pPr>
      <w:r>
        <w:rPr>
          <w:rFonts w:ascii="Courier New" w:cs="Courier New" w:eastAsia="Courier New" w:hAnsi="Courier New"/>
          <w:sz w:val="14"/>
          <w:szCs w:val="14"/>
          <w:color w:val="auto"/>
        </w:rPr>
        <w:t>Total Projects Stabilized 1999 through 2002</w:t>
        <w:tab/>
        <w:t>(3)</w:t>
      </w:r>
    </w:p>
    <w:p>
      <w:pPr>
        <w:spacing w:after="0" w:line="7" w:lineRule="exact"/>
        <w:rPr>
          <w:sz w:val="20"/>
          <w:szCs w:val="20"/>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Redevelopments Stabilized 1999 to 2002  ($ millions)</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0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Completed</w:t>
            </w:r>
          </w:p>
        </w:tc>
        <w:tc>
          <w:tcPr>
            <w:tcW w:w="1640" w:type="dxa"/>
            <w:vAlign w:val="bottom"/>
          </w:tcPr>
          <w:p>
            <w:pPr>
              <w:spacing w:after="0"/>
              <w:rPr>
                <w:sz w:val="14"/>
                <w:szCs w:val="14"/>
                <w:color w:val="auto"/>
              </w:rPr>
            </w:pPr>
          </w:p>
        </w:tc>
      </w:tr>
      <w:tr>
        <w:trPr>
          <w:trHeight w:val="166"/>
        </w:trPr>
        <w:tc>
          <w:tcPr>
            <w:tcW w:w="2120" w:type="dxa"/>
            <w:vAlign w:val="bottom"/>
          </w:tcPr>
          <w:p>
            <w:pPr>
              <w:ind w:left="520"/>
              <w:spacing w:after="0"/>
              <w:rPr>
                <w:sz w:val="20"/>
                <w:szCs w:val="20"/>
                <w:color w:val="auto"/>
              </w:rPr>
            </w:pPr>
            <w:r>
              <w:rPr>
                <w:rFonts w:ascii="Courier New" w:cs="Courier New" w:eastAsia="Courier New" w:hAnsi="Courier New"/>
                <w:sz w:val="14"/>
                <w:szCs w:val="14"/>
                <w:color w:val="auto"/>
              </w:rPr>
              <w:t>Property</w:t>
            </w:r>
          </w:p>
        </w:tc>
        <w:tc>
          <w:tcPr>
            <w:tcW w:w="3000" w:type="dxa"/>
            <w:vAlign w:val="bottom"/>
          </w:tcPr>
          <w:p>
            <w:pPr>
              <w:ind w:left="720"/>
              <w:spacing w:after="0"/>
              <w:rPr>
                <w:sz w:val="20"/>
                <w:szCs w:val="20"/>
                <w:color w:val="auto"/>
              </w:rPr>
            </w:pPr>
            <w:r>
              <w:rPr>
                <w:rFonts w:ascii="Courier New" w:cs="Courier New" w:eastAsia="Courier New" w:hAnsi="Courier New"/>
                <w:sz w:val="14"/>
                <w:szCs w:val="14"/>
                <w:color w:val="auto"/>
              </w:rPr>
              <w:t>Location</w:t>
            </w:r>
          </w:p>
        </w:tc>
        <w:tc>
          <w:tcPr>
            <w:tcW w:w="2640" w:type="dxa"/>
            <w:vAlign w:val="bottom"/>
          </w:tcPr>
          <w:p>
            <w:pPr>
              <w:ind w:left="1420"/>
              <w:spacing w:after="0"/>
              <w:rPr>
                <w:sz w:val="20"/>
                <w:szCs w:val="20"/>
                <w:color w:val="auto"/>
              </w:rPr>
            </w:pPr>
            <w:r>
              <w:rPr>
                <w:rFonts w:ascii="Courier New" w:cs="Courier New" w:eastAsia="Courier New" w:hAnsi="Courier New"/>
                <w:sz w:val="14"/>
                <w:szCs w:val="14"/>
                <w:color w:val="auto"/>
              </w:rPr>
              <w:t>ROI (1)</w:t>
            </w:r>
          </w:p>
        </w:tc>
        <w:tc>
          <w:tcPr>
            <w:tcW w:w="680" w:type="dxa"/>
            <w:vAlign w:val="bottom"/>
          </w:tcPr>
          <w:p>
            <w:pPr>
              <w:spacing w:after="0"/>
              <w:rPr>
                <w:sz w:val="14"/>
                <w:szCs w:val="14"/>
                <w:color w:val="auto"/>
              </w:rPr>
            </w:pP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Cost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Stabilized (2)</w:t>
            </w:r>
          </w:p>
        </w:tc>
      </w:tr>
      <w:tr>
        <w:trPr>
          <w:trHeight w:val="166"/>
        </w:trPr>
        <w:tc>
          <w:tcPr>
            <w:tcW w:w="21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3000" w:type="dxa"/>
            <w:vAlign w:val="bottom"/>
          </w:tcPr>
          <w:p>
            <w:pPr>
              <w:ind w:left="720"/>
              <w:spacing w:after="0"/>
              <w:rPr>
                <w:sz w:val="20"/>
                <w:szCs w:val="20"/>
                <w:color w:val="auto"/>
              </w:rPr>
            </w:pPr>
            <w:r>
              <w:rPr>
                <w:rFonts w:ascii="Courier New" w:cs="Courier New" w:eastAsia="Courier New" w:hAnsi="Courier New"/>
                <w:sz w:val="14"/>
                <w:szCs w:val="14"/>
                <w:color w:val="auto"/>
              </w:rPr>
              <w:t>--------</w:t>
            </w:r>
          </w:p>
        </w:tc>
        <w:tc>
          <w:tcPr>
            <w:tcW w:w="2640" w:type="dxa"/>
            <w:vAlign w:val="bottom"/>
          </w:tcPr>
          <w:p>
            <w:pPr>
              <w:jc w:val="center"/>
              <w:ind w:left="7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w w:val="99"/>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Third Street Promenade</w:t>
            </w:r>
          </w:p>
        </w:tc>
        <w:tc>
          <w:tcPr>
            <w:tcW w:w="3000" w:type="dxa"/>
            <w:vAlign w:val="bottom"/>
          </w:tcPr>
          <w:p>
            <w:pPr>
              <w:ind w:left="200"/>
              <w:spacing w:after="0"/>
              <w:rPr>
                <w:sz w:val="20"/>
                <w:szCs w:val="20"/>
                <w:color w:val="auto"/>
              </w:rPr>
            </w:pPr>
            <w:r>
              <w:rPr>
                <w:rFonts w:ascii="Courier New" w:cs="Courier New" w:eastAsia="Courier New" w:hAnsi="Courier New"/>
                <w:sz w:val="14"/>
                <w:szCs w:val="14"/>
                <w:color w:val="auto"/>
              </w:rPr>
              <w:t>Santa Monica, CA</w:t>
            </w:r>
          </w:p>
        </w:tc>
        <w:tc>
          <w:tcPr>
            <w:tcW w:w="2640" w:type="dxa"/>
            <w:vAlign w:val="bottom"/>
          </w:tcPr>
          <w:p>
            <w:pPr>
              <w:jc w:val="center"/>
              <w:ind w:left="748"/>
              <w:spacing w:after="0"/>
              <w:rPr>
                <w:sz w:val="20"/>
                <w:szCs w:val="20"/>
                <w:color w:val="auto"/>
              </w:rPr>
            </w:pPr>
            <w:r>
              <w:rPr>
                <w:rFonts w:ascii="Courier New" w:cs="Courier New" w:eastAsia="Courier New" w:hAnsi="Courier New"/>
                <w:sz w:val="14"/>
                <w:szCs w:val="14"/>
                <w:color w:val="auto"/>
              </w:rPr>
              <w:t>13%</w:t>
            </w:r>
          </w:p>
        </w:tc>
        <w:tc>
          <w:tcPr>
            <w:tcW w:w="680" w:type="dxa"/>
            <w:vAlign w:val="bottom"/>
          </w:tcPr>
          <w:p>
            <w:pPr>
              <w:ind w:left="6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23.9</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Brick Plaza</w:t>
            </w:r>
          </w:p>
        </w:tc>
        <w:tc>
          <w:tcPr>
            <w:tcW w:w="3000" w:type="dxa"/>
            <w:vAlign w:val="bottom"/>
          </w:tcPr>
          <w:p>
            <w:pPr>
              <w:ind w:left="200"/>
              <w:spacing w:after="0"/>
              <w:rPr>
                <w:sz w:val="20"/>
                <w:szCs w:val="20"/>
                <w:color w:val="auto"/>
              </w:rPr>
            </w:pPr>
            <w:r>
              <w:rPr>
                <w:rFonts w:ascii="Courier New" w:cs="Courier New" w:eastAsia="Courier New" w:hAnsi="Courier New"/>
                <w:sz w:val="14"/>
                <w:szCs w:val="14"/>
                <w:color w:val="auto"/>
              </w:rPr>
              <w:t>Brick, NJ</w:t>
            </w:r>
          </w:p>
        </w:tc>
        <w:tc>
          <w:tcPr>
            <w:tcW w:w="2640" w:type="dxa"/>
            <w:vAlign w:val="bottom"/>
          </w:tcPr>
          <w:p>
            <w:pPr>
              <w:jc w:val="center"/>
              <w:ind w:left="748"/>
              <w:spacing w:after="0"/>
              <w:rPr>
                <w:sz w:val="20"/>
                <w:szCs w:val="20"/>
                <w:color w:val="auto"/>
              </w:rPr>
            </w:pPr>
            <w:r>
              <w:rPr>
                <w:rFonts w:ascii="Courier New" w:cs="Courier New" w:eastAsia="Courier New" w:hAnsi="Courier New"/>
                <w:sz w:val="14"/>
                <w:szCs w:val="14"/>
                <w:color w:val="auto"/>
              </w:rPr>
              <w:t>11%</w:t>
            </w:r>
          </w:p>
        </w:tc>
        <w:tc>
          <w:tcPr>
            <w:tcW w:w="680" w:type="dxa"/>
            <w:vAlign w:val="bottom"/>
          </w:tcPr>
          <w:p>
            <w:pPr>
              <w:ind w:left="6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20.8</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Gratiot Plaza</w:t>
            </w:r>
          </w:p>
        </w:tc>
        <w:tc>
          <w:tcPr>
            <w:tcW w:w="3000" w:type="dxa"/>
            <w:vAlign w:val="bottom"/>
          </w:tcPr>
          <w:p>
            <w:pPr>
              <w:ind w:left="200"/>
              <w:spacing w:after="0"/>
              <w:rPr>
                <w:sz w:val="20"/>
                <w:szCs w:val="20"/>
                <w:color w:val="auto"/>
              </w:rPr>
            </w:pPr>
            <w:r>
              <w:rPr>
                <w:rFonts w:ascii="Courier New" w:cs="Courier New" w:eastAsia="Courier New" w:hAnsi="Courier New"/>
                <w:sz w:val="14"/>
                <w:szCs w:val="14"/>
                <w:color w:val="auto"/>
              </w:rPr>
              <w:t>Roseville, MI</w:t>
            </w:r>
          </w:p>
        </w:tc>
        <w:tc>
          <w:tcPr>
            <w:tcW w:w="2640" w:type="dxa"/>
            <w:vAlign w:val="bottom"/>
          </w:tcPr>
          <w:p>
            <w:pPr>
              <w:jc w:val="center"/>
              <w:ind w:left="748"/>
              <w:spacing w:after="0"/>
              <w:rPr>
                <w:sz w:val="20"/>
                <w:szCs w:val="20"/>
                <w:color w:val="auto"/>
              </w:rPr>
            </w:pPr>
            <w:r>
              <w:rPr>
                <w:rFonts w:ascii="Courier New" w:cs="Courier New" w:eastAsia="Courier New" w:hAnsi="Courier New"/>
                <w:sz w:val="14"/>
                <w:szCs w:val="14"/>
                <w:color w:val="auto"/>
              </w:rPr>
              <w:t>14%</w:t>
            </w:r>
          </w:p>
        </w:tc>
        <w:tc>
          <w:tcPr>
            <w:tcW w:w="680" w:type="dxa"/>
            <w:vAlign w:val="bottom"/>
          </w:tcPr>
          <w:p>
            <w:pPr>
              <w:ind w:left="6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12.4</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Troy Hills</w:t>
            </w:r>
          </w:p>
        </w:tc>
        <w:tc>
          <w:tcPr>
            <w:tcW w:w="3000" w:type="dxa"/>
            <w:vAlign w:val="bottom"/>
          </w:tcPr>
          <w:p>
            <w:pPr>
              <w:ind w:left="200"/>
              <w:spacing w:after="0"/>
              <w:rPr>
                <w:sz w:val="20"/>
                <w:szCs w:val="20"/>
                <w:color w:val="auto"/>
              </w:rPr>
            </w:pPr>
            <w:r>
              <w:rPr>
                <w:rFonts w:ascii="Courier New" w:cs="Courier New" w:eastAsia="Courier New" w:hAnsi="Courier New"/>
                <w:sz w:val="14"/>
                <w:szCs w:val="14"/>
                <w:color w:val="auto"/>
              </w:rPr>
              <w:t>Parsippany, NJ</w:t>
            </w:r>
          </w:p>
        </w:tc>
        <w:tc>
          <w:tcPr>
            <w:tcW w:w="2640" w:type="dxa"/>
            <w:vAlign w:val="bottom"/>
          </w:tcPr>
          <w:p>
            <w:pPr>
              <w:jc w:val="center"/>
              <w:ind w:left="748"/>
              <w:spacing w:after="0"/>
              <w:rPr>
                <w:sz w:val="20"/>
                <w:szCs w:val="20"/>
                <w:color w:val="auto"/>
              </w:rPr>
            </w:pPr>
            <w:r>
              <w:rPr>
                <w:rFonts w:ascii="Courier New" w:cs="Courier New" w:eastAsia="Courier New" w:hAnsi="Courier New"/>
                <w:sz w:val="14"/>
                <w:szCs w:val="14"/>
                <w:color w:val="auto"/>
              </w:rPr>
              <w:t>13%</w:t>
            </w:r>
          </w:p>
        </w:tc>
        <w:tc>
          <w:tcPr>
            <w:tcW w:w="680" w:type="dxa"/>
            <w:vAlign w:val="bottom"/>
          </w:tcPr>
          <w:p>
            <w:pPr>
              <w:ind w:left="6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8.9</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Falls Plaza</w:t>
            </w:r>
          </w:p>
        </w:tc>
        <w:tc>
          <w:tcPr>
            <w:tcW w:w="3000" w:type="dxa"/>
            <w:vAlign w:val="bottom"/>
          </w:tcPr>
          <w:p>
            <w:pPr>
              <w:ind w:left="200"/>
              <w:spacing w:after="0"/>
              <w:rPr>
                <w:sz w:val="20"/>
                <w:szCs w:val="20"/>
                <w:color w:val="auto"/>
              </w:rPr>
            </w:pPr>
            <w:r>
              <w:rPr>
                <w:rFonts w:ascii="Courier New" w:cs="Courier New" w:eastAsia="Courier New" w:hAnsi="Courier New"/>
                <w:sz w:val="14"/>
                <w:szCs w:val="14"/>
                <w:color w:val="auto"/>
              </w:rPr>
              <w:t>Falls Church, VA</w:t>
            </w:r>
          </w:p>
        </w:tc>
        <w:tc>
          <w:tcPr>
            <w:tcW w:w="2640" w:type="dxa"/>
            <w:vAlign w:val="bottom"/>
          </w:tcPr>
          <w:p>
            <w:pPr>
              <w:jc w:val="center"/>
              <w:ind w:left="748"/>
              <w:spacing w:after="0"/>
              <w:rPr>
                <w:sz w:val="20"/>
                <w:szCs w:val="20"/>
                <w:color w:val="auto"/>
              </w:rPr>
            </w:pPr>
            <w:r>
              <w:rPr>
                <w:rFonts w:ascii="Courier New" w:cs="Courier New" w:eastAsia="Courier New" w:hAnsi="Courier New"/>
                <w:sz w:val="14"/>
                <w:szCs w:val="14"/>
                <w:color w:val="auto"/>
              </w:rPr>
              <w:t>16%</w:t>
            </w:r>
          </w:p>
        </w:tc>
        <w:tc>
          <w:tcPr>
            <w:tcW w:w="680" w:type="dxa"/>
            <w:vAlign w:val="bottom"/>
          </w:tcPr>
          <w:p>
            <w:pPr>
              <w:ind w:left="6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6.0</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Langhorne Square</w:t>
            </w:r>
          </w:p>
        </w:tc>
        <w:tc>
          <w:tcPr>
            <w:tcW w:w="3000" w:type="dxa"/>
            <w:vAlign w:val="bottom"/>
          </w:tcPr>
          <w:p>
            <w:pPr>
              <w:ind w:left="200"/>
              <w:spacing w:after="0"/>
              <w:rPr>
                <w:sz w:val="20"/>
                <w:szCs w:val="20"/>
                <w:color w:val="auto"/>
              </w:rPr>
            </w:pPr>
            <w:r>
              <w:rPr>
                <w:rFonts w:ascii="Courier New" w:cs="Courier New" w:eastAsia="Courier New" w:hAnsi="Courier New"/>
                <w:sz w:val="14"/>
                <w:szCs w:val="14"/>
                <w:color w:val="auto"/>
              </w:rPr>
              <w:t>Levittown, PA</w:t>
            </w:r>
          </w:p>
        </w:tc>
        <w:tc>
          <w:tcPr>
            <w:tcW w:w="2640" w:type="dxa"/>
            <w:vAlign w:val="bottom"/>
          </w:tcPr>
          <w:p>
            <w:pPr>
              <w:jc w:val="center"/>
              <w:ind w:left="748"/>
              <w:spacing w:after="0"/>
              <w:rPr>
                <w:sz w:val="20"/>
                <w:szCs w:val="20"/>
                <w:color w:val="auto"/>
              </w:rPr>
            </w:pPr>
            <w:r>
              <w:rPr>
                <w:rFonts w:ascii="Courier New" w:cs="Courier New" w:eastAsia="Courier New" w:hAnsi="Courier New"/>
                <w:sz w:val="14"/>
                <w:szCs w:val="14"/>
                <w:color w:val="auto"/>
              </w:rPr>
              <w:t>12%</w:t>
            </w:r>
          </w:p>
        </w:tc>
        <w:tc>
          <w:tcPr>
            <w:tcW w:w="680" w:type="dxa"/>
            <w:vAlign w:val="bottom"/>
          </w:tcPr>
          <w:p>
            <w:pPr>
              <w:ind w:left="6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5.9</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Fifth Avenue</w:t>
            </w:r>
          </w:p>
        </w:tc>
        <w:tc>
          <w:tcPr>
            <w:tcW w:w="3000" w:type="dxa"/>
            <w:vAlign w:val="bottom"/>
          </w:tcPr>
          <w:p>
            <w:pPr>
              <w:ind w:left="200"/>
              <w:spacing w:after="0"/>
              <w:rPr>
                <w:sz w:val="20"/>
                <w:szCs w:val="20"/>
                <w:color w:val="auto"/>
              </w:rPr>
            </w:pPr>
            <w:r>
              <w:rPr>
                <w:rFonts w:ascii="Courier New" w:cs="Courier New" w:eastAsia="Courier New" w:hAnsi="Courier New"/>
                <w:sz w:val="14"/>
                <w:szCs w:val="14"/>
                <w:color w:val="auto"/>
              </w:rPr>
              <w:t>San Diego, CA</w:t>
            </w:r>
          </w:p>
        </w:tc>
        <w:tc>
          <w:tcPr>
            <w:tcW w:w="2640" w:type="dxa"/>
            <w:vAlign w:val="bottom"/>
          </w:tcPr>
          <w:p>
            <w:pPr>
              <w:jc w:val="center"/>
              <w:ind w:left="748"/>
              <w:spacing w:after="0"/>
              <w:rPr>
                <w:sz w:val="20"/>
                <w:szCs w:val="20"/>
                <w:color w:val="auto"/>
              </w:rPr>
            </w:pPr>
            <w:r>
              <w:rPr>
                <w:rFonts w:ascii="Courier New" w:cs="Courier New" w:eastAsia="Courier New" w:hAnsi="Courier New"/>
                <w:sz w:val="14"/>
                <w:szCs w:val="14"/>
                <w:color w:val="auto"/>
              </w:rPr>
              <w:t>12%</w:t>
            </w:r>
          </w:p>
        </w:tc>
        <w:tc>
          <w:tcPr>
            <w:tcW w:w="680" w:type="dxa"/>
            <w:vAlign w:val="bottom"/>
          </w:tcPr>
          <w:p>
            <w:pPr>
              <w:ind w:left="60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2.1</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r>
    </w:tbl>
    <w:p>
      <w:pPr>
        <w:spacing w:after="0" w:line="4"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r>
      <w:tr>
        <w:trPr>
          <w:trHeight w:val="331"/>
        </w:trPr>
        <w:tc>
          <w:tcPr>
            <w:tcW w:w="1720" w:type="dxa"/>
            <w:vAlign w:val="bottom"/>
          </w:tcPr>
          <w:p>
            <w:pPr>
              <w:ind w:left="860"/>
              <w:spacing w:after="0"/>
              <w:rPr>
                <w:sz w:val="20"/>
                <w:szCs w:val="20"/>
                <w:color w:val="auto"/>
              </w:rPr>
            </w:pPr>
            <w:r>
              <w:rPr>
                <w:rFonts w:ascii="Courier New" w:cs="Courier New" w:eastAsia="Courier New" w:hAnsi="Courier New"/>
                <w:sz w:val="14"/>
                <w:szCs w:val="14"/>
                <w:color w:val="auto"/>
              </w:rPr>
              <w:t>Subtotal:</w:t>
            </w:r>
          </w:p>
        </w:tc>
        <w:tc>
          <w:tcPr>
            <w:tcW w:w="25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Projects Stabilized in 1999</w:t>
            </w:r>
          </w:p>
        </w:tc>
        <w:tc>
          <w:tcPr>
            <w:tcW w:w="13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(3)</w:t>
            </w:r>
          </w:p>
        </w:tc>
        <w:tc>
          <w:tcPr>
            <w:tcW w:w="20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13%</w:t>
            </w:r>
          </w:p>
        </w:tc>
        <w:tc>
          <w:tcPr>
            <w:tcW w:w="194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$ 80.0</w:t>
            </w:r>
          </w:p>
        </w:tc>
        <w:tc>
          <w:tcPr>
            <w:tcW w:w="1080" w:type="dxa"/>
            <w:vAlign w:val="bottom"/>
          </w:tcPr>
          <w:p>
            <w:pPr>
              <w:spacing w:after="0"/>
              <w:rPr>
                <w:sz w:val="24"/>
                <w:szCs w:val="24"/>
                <w:color w:val="auto"/>
              </w:rPr>
            </w:pPr>
          </w:p>
        </w:tc>
      </w:tr>
      <w:tr>
        <w:trPr>
          <w:trHeight w:val="166"/>
        </w:trPr>
        <w:tc>
          <w:tcPr>
            <w:tcW w:w="1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r>
      <w:tr>
        <w:trPr>
          <w:trHeight w:val="497"/>
        </w:trPr>
        <w:tc>
          <w:tcPr>
            <w:tcW w:w="1720" w:type="dxa"/>
            <w:vAlign w:val="bottom"/>
          </w:tcPr>
          <w:p>
            <w:pPr>
              <w:spacing w:after="0"/>
              <w:rPr>
                <w:sz w:val="20"/>
                <w:szCs w:val="20"/>
                <w:color w:val="auto"/>
              </w:rPr>
            </w:pPr>
            <w:r>
              <w:rPr>
                <w:rFonts w:ascii="Courier New" w:cs="Courier New" w:eastAsia="Courier New" w:hAnsi="Courier New"/>
                <w:sz w:val="14"/>
                <w:szCs w:val="14"/>
                <w:color w:val="auto"/>
              </w:rPr>
              <w:t>Blue Star</w:t>
            </w:r>
          </w:p>
        </w:tc>
        <w:tc>
          <w:tcPr>
            <w:tcW w:w="400" w:type="dxa"/>
            <w:vAlign w:val="bottom"/>
          </w:tcPr>
          <w:p>
            <w:pPr>
              <w:spacing w:after="0"/>
              <w:rPr>
                <w:sz w:val="24"/>
                <w:szCs w:val="24"/>
                <w:color w:val="auto"/>
              </w:rPr>
            </w:pPr>
          </w:p>
        </w:tc>
        <w:tc>
          <w:tcPr>
            <w:tcW w:w="2100" w:type="dxa"/>
            <w:vAlign w:val="bottom"/>
          </w:tcPr>
          <w:p>
            <w:pPr>
              <w:ind w:left="200"/>
              <w:spacing w:after="0"/>
              <w:rPr>
                <w:sz w:val="20"/>
                <w:szCs w:val="20"/>
                <w:color w:val="auto"/>
              </w:rPr>
            </w:pPr>
            <w:r>
              <w:rPr>
                <w:rFonts w:ascii="Courier New" w:cs="Courier New" w:eastAsia="Courier New" w:hAnsi="Courier New"/>
                <w:sz w:val="14"/>
                <w:szCs w:val="14"/>
                <w:color w:val="auto"/>
              </w:rPr>
              <w:t>Watchung, NJ</w:t>
            </w:r>
          </w:p>
        </w:tc>
        <w:tc>
          <w:tcPr>
            <w:tcW w:w="1380" w:type="dxa"/>
            <w:vAlign w:val="bottom"/>
          </w:tcPr>
          <w:p>
            <w:pPr>
              <w:spacing w:after="0"/>
              <w:rPr>
                <w:sz w:val="24"/>
                <w:szCs w:val="24"/>
                <w:color w:val="auto"/>
              </w:rPr>
            </w:pPr>
          </w:p>
        </w:tc>
        <w:tc>
          <w:tcPr>
            <w:tcW w:w="20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6.5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Fifth Avenue</w:t>
            </w:r>
          </w:p>
        </w:tc>
        <w:tc>
          <w:tcPr>
            <w:tcW w:w="400" w:type="dxa"/>
            <w:vAlign w:val="bottom"/>
          </w:tcPr>
          <w:p>
            <w:pPr>
              <w:spacing w:after="0"/>
              <w:rPr>
                <w:sz w:val="14"/>
                <w:szCs w:val="14"/>
                <w:color w:val="auto"/>
              </w:rPr>
            </w:pPr>
          </w:p>
        </w:tc>
        <w:tc>
          <w:tcPr>
            <w:tcW w:w="2100" w:type="dxa"/>
            <w:vAlign w:val="bottom"/>
          </w:tcPr>
          <w:p>
            <w:pPr>
              <w:ind w:left="200"/>
              <w:spacing w:after="0"/>
              <w:rPr>
                <w:sz w:val="20"/>
                <w:szCs w:val="20"/>
                <w:color w:val="auto"/>
              </w:rPr>
            </w:pPr>
            <w:r>
              <w:rPr>
                <w:rFonts w:ascii="Courier New" w:cs="Courier New" w:eastAsia="Courier New" w:hAnsi="Courier New"/>
                <w:sz w:val="14"/>
                <w:szCs w:val="14"/>
                <w:color w:val="auto"/>
              </w:rPr>
              <w:t>San Diego, CA</w:t>
            </w:r>
          </w:p>
        </w:tc>
        <w:tc>
          <w:tcPr>
            <w:tcW w:w="1380" w:type="dxa"/>
            <w:vAlign w:val="bottom"/>
          </w:tcPr>
          <w:p>
            <w:pPr>
              <w:spacing w:after="0"/>
              <w:rPr>
                <w:sz w:val="14"/>
                <w:szCs w:val="14"/>
                <w:color w:val="auto"/>
              </w:rPr>
            </w:pPr>
          </w:p>
        </w:tc>
        <w:tc>
          <w:tcPr>
            <w:tcW w:w="20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1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r>
      <w:tr>
        <w:trPr>
          <w:trHeight w:val="331"/>
        </w:trPr>
        <w:tc>
          <w:tcPr>
            <w:tcW w:w="1720" w:type="dxa"/>
            <w:vAlign w:val="bottom"/>
          </w:tcPr>
          <w:p>
            <w:pPr>
              <w:ind w:left="860"/>
              <w:spacing w:after="0"/>
              <w:rPr>
                <w:sz w:val="20"/>
                <w:szCs w:val="20"/>
                <w:color w:val="auto"/>
              </w:rPr>
            </w:pPr>
            <w:r>
              <w:rPr>
                <w:rFonts w:ascii="Courier New" w:cs="Courier New" w:eastAsia="Courier New" w:hAnsi="Courier New"/>
                <w:sz w:val="14"/>
                <w:szCs w:val="14"/>
                <w:color w:val="auto"/>
              </w:rPr>
              <w:t>Subtotal:</w:t>
            </w:r>
          </w:p>
        </w:tc>
        <w:tc>
          <w:tcPr>
            <w:tcW w:w="25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Projects Stabilized in 2000</w:t>
            </w:r>
          </w:p>
        </w:tc>
        <w:tc>
          <w:tcPr>
            <w:tcW w:w="13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(3)</w:t>
            </w:r>
          </w:p>
        </w:tc>
        <w:tc>
          <w:tcPr>
            <w:tcW w:w="20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9.4</w:t>
            </w:r>
          </w:p>
        </w:tc>
        <w:tc>
          <w:tcPr>
            <w:tcW w:w="1080" w:type="dxa"/>
            <w:vAlign w:val="bottom"/>
          </w:tcPr>
          <w:p>
            <w:pPr>
              <w:spacing w:after="0"/>
              <w:rPr>
                <w:sz w:val="24"/>
                <w:szCs w:val="24"/>
                <w:color w:val="auto"/>
              </w:rPr>
            </w:pPr>
          </w:p>
        </w:tc>
      </w:tr>
      <w:tr>
        <w:trPr>
          <w:trHeight w:val="166"/>
        </w:trPr>
        <w:tc>
          <w:tcPr>
            <w:tcW w:w="1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r>
      <w:tr>
        <w:trPr>
          <w:trHeight w:val="331"/>
        </w:trPr>
        <w:tc>
          <w:tcPr>
            <w:tcW w:w="1720" w:type="dxa"/>
            <w:vAlign w:val="bottom"/>
          </w:tcPr>
          <w:p>
            <w:pPr>
              <w:spacing w:after="0"/>
              <w:rPr>
                <w:sz w:val="20"/>
                <w:szCs w:val="20"/>
                <w:color w:val="auto"/>
              </w:rPr>
            </w:pPr>
            <w:r>
              <w:rPr>
                <w:rFonts w:ascii="Courier New" w:cs="Courier New" w:eastAsia="Courier New" w:hAnsi="Courier New"/>
                <w:sz w:val="14"/>
                <w:szCs w:val="14"/>
                <w:color w:val="auto"/>
              </w:rPr>
              <w:t>Wynnewood</w:t>
            </w:r>
          </w:p>
        </w:tc>
        <w:tc>
          <w:tcPr>
            <w:tcW w:w="400" w:type="dxa"/>
            <w:vAlign w:val="bottom"/>
          </w:tcPr>
          <w:p>
            <w:pPr>
              <w:spacing w:after="0"/>
              <w:rPr>
                <w:sz w:val="24"/>
                <w:szCs w:val="24"/>
                <w:color w:val="auto"/>
              </w:rPr>
            </w:pPr>
          </w:p>
        </w:tc>
        <w:tc>
          <w:tcPr>
            <w:tcW w:w="2100" w:type="dxa"/>
            <w:vAlign w:val="bottom"/>
          </w:tcPr>
          <w:p>
            <w:pPr>
              <w:ind w:left="200"/>
              <w:spacing w:after="0"/>
              <w:rPr>
                <w:sz w:val="20"/>
                <w:szCs w:val="20"/>
                <w:color w:val="auto"/>
              </w:rPr>
            </w:pPr>
            <w:r>
              <w:rPr>
                <w:rFonts w:ascii="Courier New" w:cs="Courier New" w:eastAsia="Courier New" w:hAnsi="Courier New"/>
                <w:sz w:val="14"/>
                <w:szCs w:val="14"/>
                <w:color w:val="auto"/>
              </w:rPr>
              <w:t>Wynnewood, PA</w:t>
            </w:r>
          </w:p>
        </w:tc>
        <w:tc>
          <w:tcPr>
            <w:tcW w:w="1380" w:type="dxa"/>
            <w:vAlign w:val="bottom"/>
          </w:tcPr>
          <w:p>
            <w:pPr>
              <w:spacing w:after="0"/>
              <w:rPr>
                <w:sz w:val="24"/>
                <w:szCs w:val="24"/>
                <w:color w:val="auto"/>
              </w:rPr>
            </w:pPr>
          </w:p>
        </w:tc>
        <w:tc>
          <w:tcPr>
            <w:tcW w:w="20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17%</w:t>
            </w:r>
          </w:p>
        </w:tc>
        <w:tc>
          <w:tcPr>
            <w:tcW w:w="194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$ 14.1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Old Town Pasadena</w:t>
            </w:r>
          </w:p>
        </w:tc>
        <w:tc>
          <w:tcPr>
            <w:tcW w:w="400" w:type="dxa"/>
            <w:vAlign w:val="bottom"/>
          </w:tcPr>
          <w:p>
            <w:pPr>
              <w:spacing w:after="0"/>
              <w:rPr>
                <w:sz w:val="14"/>
                <w:szCs w:val="14"/>
                <w:color w:val="auto"/>
              </w:rPr>
            </w:pPr>
          </w:p>
        </w:tc>
        <w:tc>
          <w:tcPr>
            <w:tcW w:w="2100" w:type="dxa"/>
            <w:vAlign w:val="bottom"/>
          </w:tcPr>
          <w:p>
            <w:pPr>
              <w:ind w:left="200"/>
              <w:spacing w:after="0"/>
              <w:rPr>
                <w:sz w:val="20"/>
                <w:szCs w:val="20"/>
                <w:color w:val="auto"/>
              </w:rPr>
            </w:pPr>
            <w:r>
              <w:rPr>
                <w:rFonts w:ascii="Courier New" w:cs="Courier New" w:eastAsia="Courier New" w:hAnsi="Courier New"/>
                <w:sz w:val="14"/>
                <w:szCs w:val="14"/>
                <w:color w:val="auto"/>
              </w:rPr>
              <w:t>Pasadena, CA</w:t>
            </w:r>
          </w:p>
        </w:tc>
        <w:tc>
          <w:tcPr>
            <w:tcW w:w="1380" w:type="dxa"/>
            <w:vAlign w:val="bottom"/>
          </w:tcPr>
          <w:p>
            <w:pPr>
              <w:spacing w:after="0"/>
              <w:rPr>
                <w:sz w:val="14"/>
                <w:szCs w:val="14"/>
                <w:color w:val="auto"/>
              </w:rPr>
            </w:pPr>
          </w:p>
        </w:tc>
        <w:tc>
          <w:tcPr>
            <w:tcW w:w="20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8.8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Brunswick</w:t>
            </w:r>
          </w:p>
        </w:tc>
        <w:tc>
          <w:tcPr>
            <w:tcW w:w="400" w:type="dxa"/>
            <w:vAlign w:val="bottom"/>
          </w:tcPr>
          <w:p>
            <w:pPr>
              <w:spacing w:after="0"/>
              <w:rPr>
                <w:sz w:val="14"/>
                <w:szCs w:val="14"/>
                <w:color w:val="auto"/>
              </w:rPr>
            </w:pPr>
          </w:p>
        </w:tc>
        <w:tc>
          <w:tcPr>
            <w:tcW w:w="2100" w:type="dxa"/>
            <w:vAlign w:val="bottom"/>
          </w:tcPr>
          <w:p>
            <w:pPr>
              <w:ind w:left="200"/>
              <w:spacing w:after="0"/>
              <w:rPr>
                <w:sz w:val="20"/>
                <w:szCs w:val="20"/>
                <w:color w:val="auto"/>
              </w:rPr>
            </w:pPr>
            <w:r>
              <w:rPr>
                <w:rFonts w:ascii="Courier New" w:cs="Courier New" w:eastAsia="Courier New" w:hAnsi="Courier New"/>
                <w:sz w:val="14"/>
                <w:szCs w:val="14"/>
                <w:color w:val="auto"/>
              </w:rPr>
              <w:t>North Brunswick, NJ</w:t>
            </w:r>
          </w:p>
        </w:tc>
        <w:tc>
          <w:tcPr>
            <w:tcW w:w="1380" w:type="dxa"/>
            <w:vAlign w:val="bottom"/>
          </w:tcPr>
          <w:p>
            <w:pPr>
              <w:spacing w:after="0"/>
              <w:rPr>
                <w:sz w:val="14"/>
                <w:szCs w:val="14"/>
                <w:color w:val="auto"/>
              </w:rPr>
            </w:pPr>
          </w:p>
        </w:tc>
        <w:tc>
          <w:tcPr>
            <w:tcW w:w="20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8.2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Federal Plaza</w:t>
            </w:r>
          </w:p>
        </w:tc>
        <w:tc>
          <w:tcPr>
            <w:tcW w:w="400" w:type="dxa"/>
            <w:vAlign w:val="bottom"/>
          </w:tcPr>
          <w:p>
            <w:pPr>
              <w:spacing w:after="0"/>
              <w:rPr>
                <w:sz w:val="14"/>
                <w:szCs w:val="14"/>
                <w:color w:val="auto"/>
              </w:rPr>
            </w:pPr>
          </w:p>
        </w:tc>
        <w:tc>
          <w:tcPr>
            <w:tcW w:w="2100" w:type="dxa"/>
            <w:vAlign w:val="bottom"/>
          </w:tcPr>
          <w:p>
            <w:pPr>
              <w:ind w:left="200"/>
              <w:spacing w:after="0"/>
              <w:rPr>
                <w:sz w:val="20"/>
                <w:szCs w:val="20"/>
                <w:color w:val="auto"/>
              </w:rPr>
            </w:pPr>
            <w:r>
              <w:rPr>
                <w:rFonts w:ascii="Courier New" w:cs="Courier New" w:eastAsia="Courier New" w:hAnsi="Courier New"/>
                <w:sz w:val="14"/>
                <w:szCs w:val="14"/>
                <w:color w:val="auto"/>
              </w:rPr>
              <w:t>Rockville, MD</w:t>
            </w:r>
          </w:p>
        </w:tc>
        <w:tc>
          <w:tcPr>
            <w:tcW w:w="1380" w:type="dxa"/>
            <w:vAlign w:val="bottom"/>
          </w:tcPr>
          <w:p>
            <w:pPr>
              <w:spacing w:after="0"/>
              <w:rPr>
                <w:sz w:val="14"/>
                <w:szCs w:val="14"/>
                <w:color w:val="auto"/>
              </w:rPr>
            </w:pPr>
          </w:p>
        </w:tc>
        <w:tc>
          <w:tcPr>
            <w:tcW w:w="20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1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r>
      <w:tr>
        <w:trPr>
          <w:trHeight w:val="331"/>
        </w:trPr>
        <w:tc>
          <w:tcPr>
            <w:tcW w:w="1720" w:type="dxa"/>
            <w:vAlign w:val="bottom"/>
          </w:tcPr>
          <w:p>
            <w:pPr>
              <w:ind w:left="860"/>
              <w:spacing w:after="0"/>
              <w:rPr>
                <w:sz w:val="20"/>
                <w:szCs w:val="20"/>
                <w:color w:val="auto"/>
              </w:rPr>
            </w:pPr>
            <w:r>
              <w:rPr>
                <w:rFonts w:ascii="Courier New" w:cs="Courier New" w:eastAsia="Courier New" w:hAnsi="Courier New"/>
                <w:sz w:val="14"/>
                <w:szCs w:val="14"/>
                <w:color w:val="auto"/>
              </w:rPr>
              <w:t>Subtotal:</w:t>
            </w:r>
          </w:p>
        </w:tc>
        <w:tc>
          <w:tcPr>
            <w:tcW w:w="25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Projects Stabilized in 2001</w:t>
            </w:r>
          </w:p>
        </w:tc>
        <w:tc>
          <w:tcPr>
            <w:tcW w:w="13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(3)</w:t>
            </w:r>
          </w:p>
        </w:tc>
        <w:tc>
          <w:tcPr>
            <w:tcW w:w="20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14%</w:t>
            </w:r>
          </w:p>
        </w:tc>
        <w:tc>
          <w:tcPr>
            <w:tcW w:w="194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$ 31.8</w:t>
            </w:r>
          </w:p>
        </w:tc>
        <w:tc>
          <w:tcPr>
            <w:tcW w:w="1080" w:type="dxa"/>
            <w:vAlign w:val="bottom"/>
          </w:tcPr>
          <w:p>
            <w:pPr>
              <w:spacing w:after="0"/>
              <w:rPr>
                <w:sz w:val="24"/>
                <w:szCs w:val="24"/>
                <w:color w:val="auto"/>
              </w:rPr>
            </w:pPr>
          </w:p>
        </w:tc>
      </w:tr>
      <w:tr>
        <w:trPr>
          <w:trHeight w:val="166"/>
        </w:trPr>
        <w:tc>
          <w:tcPr>
            <w:tcW w:w="1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r>
      <w:tr>
        <w:trPr>
          <w:trHeight w:val="497"/>
        </w:trPr>
        <w:tc>
          <w:tcPr>
            <w:tcW w:w="2120" w:type="dxa"/>
            <w:vAlign w:val="bottom"/>
            <w:gridSpan w:val="2"/>
          </w:tcPr>
          <w:p>
            <w:pPr>
              <w:spacing w:after="0"/>
              <w:rPr>
                <w:sz w:val="20"/>
                <w:szCs w:val="20"/>
                <w:color w:val="auto"/>
              </w:rPr>
            </w:pPr>
            <w:r>
              <w:rPr>
                <w:rFonts w:ascii="Courier New" w:cs="Courier New" w:eastAsia="Courier New" w:hAnsi="Courier New"/>
                <w:sz w:val="14"/>
                <w:szCs w:val="14"/>
                <w:color w:val="auto"/>
              </w:rPr>
              <w:t>Third Street Promenade</w:t>
            </w:r>
          </w:p>
        </w:tc>
        <w:tc>
          <w:tcPr>
            <w:tcW w:w="2100" w:type="dxa"/>
            <w:vAlign w:val="bottom"/>
          </w:tcPr>
          <w:p>
            <w:pPr>
              <w:ind w:left="200"/>
              <w:spacing w:after="0"/>
              <w:rPr>
                <w:sz w:val="20"/>
                <w:szCs w:val="20"/>
                <w:color w:val="auto"/>
              </w:rPr>
            </w:pPr>
            <w:r>
              <w:rPr>
                <w:rFonts w:ascii="Courier New" w:cs="Courier New" w:eastAsia="Courier New" w:hAnsi="Courier New"/>
                <w:sz w:val="14"/>
                <w:szCs w:val="14"/>
                <w:color w:val="auto"/>
              </w:rPr>
              <w:t>Santa Monica, CA</w:t>
            </w:r>
          </w:p>
        </w:tc>
        <w:tc>
          <w:tcPr>
            <w:tcW w:w="1380" w:type="dxa"/>
            <w:vAlign w:val="bottom"/>
          </w:tcPr>
          <w:p>
            <w:pPr>
              <w:spacing w:after="0"/>
              <w:rPr>
                <w:sz w:val="24"/>
                <w:szCs w:val="24"/>
                <w:color w:val="auto"/>
              </w:rPr>
            </w:pPr>
          </w:p>
        </w:tc>
        <w:tc>
          <w:tcPr>
            <w:tcW w:w="20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13%</w:t>
            </w:r>
          </w:p>
        </w:tc>
        <w:tc>
          <w:tcPr>
            <w:tcW w:w="194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$ 10.5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Fifth Avenue</w:t>
            </w:r>
          </w:p>
        </w:tc>
        <w:tc>
          <w:tcPr>
            <w:tcW w:w="400" w:type="dxa"/>
            <w:vAlign w:val="bottom"/>
          </w:tcPr>
          <w:p>
            <w:pPr>
              <w:spacing w:after="0"/>
              <w:rPr>
                <w:sz w:val="14"/>
                <w:szCs w:val="14"/>
                <w:color w:val="auto"/>
              </w:rPr>
            </w:pPr>
          </w:p>
        </w:tc>
        <w:tc>
          <w:tcPr>
            <w:tcW w:w="2100" w:type="dxa"/>
            <w:vAlign w:val="bottom"/>
          </w:tcPr>
          <w:p>
            <w:pPr>
              <w:ind w:left="200"/>
              <w:spacing w:after="0"/>
              <w:rPr>
                <w:sz w:val="20"/>
                <w:szCs w:val="20"/>
                <w:color w:val="auto"/>
              </w:rPr>
            </w:pPr>
            <w:r>
              <w:rPr>
                <w:rFonts w:ascii="Courier New" w:cs="Courier New" w:eastAsia="Courier New" w:hAnsi="Courier New"/>
                <w:sz w:val="14"/>
                <w:szCs w:val="14"/>
                <w:color w:val="auto"/>
              </w:rPr>
              <w:t>San Diego, CA</w:t>
            </w:r>
          </w:p>
        </w:tc>
        <w:tc>
          <w:tcPr>
            <w:tcW w:w="1380" w:type="dxa"/>
            <w:vAlign w:val="bottom"/>
          </w:tcPr>
          <w:p>
            <w:pPr>
              <w:spacing w:after="0"/>
              <w:rPr>
                <w:sz w:val="14"/>
                <w:szCs w:val="14"/>
                <w:color w:val="auto"/>
              </w:rPr>
            </w:pPr>
          </w:p>
        </w:tc>
        <w:tc>
          <w:tcPr>
            <w:tcW w:w="20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6.4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r>
      <w:tr>
        <w:trPr>
          <w:trHeight w:val="166"/>
        </w:trPr>
        <w:tc>
          <w:tcPr>
            <w:tcW w:w="1720" w:type="dxa"/>
            <w:vAlign w:val="bottom"/>
          </w:tcPr>
          <w:p>
            <w:pPr>
              <w:spacing w:after="0"/>
              <w:rPr>
                <w:sz w:val="20"/>
                <w:szCs w:val="20"/>
                <w:color w:val="auto"/>
              </w:rPr>
            </w:pPr>
            <w:r>
              <w:rPr>
                <w:rFonts w:ascii="Courier New" w:cs="Courier New" w:eastAsia="Courier New" w:hAnsi="Courier New"/>
                <w:sz w:val="14"/>
                <w:szCs w:val="14"/>
                <w:color w:val="auto"/>
              </w:rPr>
              <w:t>Hermosa Avenue</w:t>
            </w:r>
          </w:p>
        </w:tc>
        <w:tc>
          <w:tcPr>
            <w:tcW w:w="400" w:type="dxa"/>
            <w:vAlign w:val="bottom"/>
          </w:tcPr>
          <w:p>
            <w:pPr>
              <w:spacing w:after="0"/>
              <w:rPr>
                <w:sz w:val="14"/>
                <w:szCs w:val="14"/>
                <w:color w:val="auto"/>
              </w:rPr>
            </w:pPr>
          </w:p>
        </w:tc>
        <w:tc>
          <w:tcPr>
            <w:tcW w:w="2100" w:type="dxa"/>
            <w:vAlign w:val="bottom"/>
          </w:tcPr>
          <w:p>
            <w:pPr>
              <w:ind w:left="200"/>
              <w:spacing w:after="0"/>
              <w:rPr>
                <w:sz w:val="20"/>
                <w:szCs w:val="20"/>
                <w:color w:val="auto"/>
              </w:rPr>
            </w:pPr>
            <w:r>
              <w:rPr>
                <w:rFonts w:ascii="Courier New" w:cs="Courier New" w:eastAsia="Courier New" w:hAnsi="Courier New"/>
                <w:sz w:val="14"/>
                <w:szCs w:val="14"/>
                <w:color w:val="auto"/>
              </w:rPr>
              <w:t>Hermosa Beach, CA</w:t>
            </w:r>
          </w:p>
        </w:tc>
        <w:tc>
          <w:tcPr>
            <w:tcW w:w="1380" w:type="dxa"/>
            <w:vAlign w:val="bottom"/>
          </w:tcPr>
          <w:p>
            <w:pPr>
              <w:spacing w:after="0"/>
              <w:rPr>
                <w:sz w:val="14"/>
                <w:szCs w:val="14"/>
                <w:color w:val="auto"/>
              </w:rPr>
            </w:pPr>
          </w:p>
        </w:tc>
        <w:tc>
          <w:tcPr>
            <w:tcW w:w="20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4.3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2002</w:t>
            </w:r>
          </w:p>
        </w:tc>
      </w:tr>
      <w:tr>
        <w:trPr>
          <w:trHeight w:val="166"/>
        </w:trPr>
        <w:tc>
          <w:tcPr>
            <w:tcW w:w="1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r>
      <w:tr>
        <w:trPr>
          <w:trHeight w:val="331"/>
        </w:trPr>
        <w:tc>
          <w:tcPr>
            <w:tcW w:w="1720" w:type="dxa"/>
            <w:vAlign w:val="bottom"/>
          </w:tcPr>
          <w:p>
            <w:pPr>
              <w:ind w:left="860"/>
              <w:spacing w:after="0"/>
              <w:rPr>
                <w:sz w:val="20"/>
                <w:szCs w:val="20"/>
                <w:color w:val="auto"/>
              </w:rPr>
            </w:pPr>
            <w:r>
              <w:rPr>
                <w:rFonts w:ascii="Courier New" w:cs="Courier New" w:eastAsia="Courier New" w:hAnsi="Courier New"/>
                <w:sz w:val="14"/>
                <w:szCs w:val="14"/>
                <w:color w:val="auto"/>
              </w:rPr>
              <w:t>Subtotal:</w:t>
            </w:r>
          </w:p>
        </w:tc>
        <w:tc>
          <w:tcPr>
            <w:tcW w:w="25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Projects Stabilized in 2002</w:t>
            </w:r>
          </w:p>
        </w:tc>
        <w:tc>
          <w:tcPr>
            <w:tcW w:w="13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(3)</w:t>
            </w:r>
          </w:p>
        </w:tc>
        <w:tc>
          <w:tcPr>
            <w:tcW w:w="20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w:t>
            </w:r>
          </w:p>
        </w:tc>
        <w:tc>
          <w:tcPr>
            <w:tcW w:w="194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$ 21.3</w:t>
            </w:r>
          </w:p>
        </w:tc>
        <w:tc>
          <w:tcPr>
            <w:tcW w:w="1080" w:type="dxa"/>
            <w:vAlign w:val="bottom"/>
          </w:tcPr>
          <w:p>
            <w:pPr>
              <w:spacing w:after="0"/>
              <w:rPr>
                <w:sz w:val="24"/>
                <w:szCs w:val="24"/>
                <w:color w:val="auto"/>
              </w:rPr>
            </w:pPr>
          </w:p>
        </w:tc>
      </w:tr>
      <w:tr>
        <w:trPr>
          <w:trHeight w:val="166"/>
        </w:trPr>
        <w:tc>
          <w:tcPr>
            <w:tcW w:w="1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r>
    </w:tbl>
    <w:p>
      <w:pPr>
        <w:sectPr>
          <w:pgSz w:w="11900" w:h="16838" w:orient="portrait"/>
          <w:cols w:equalWidth="0" w:num="1">
            <w:col w:w="11540"/>
          </w:cols>
          <w:pgMar w:left="220" w:top="616" w:right="139" w:bottom="0" w:gutter="0" w:footer="0" w:header="0"/>
        </w:sectPr>
      </w:pPr>
    </w:p>
    <w:bookmarkStart w:id="18" w:name="page19"/>
    <w:bookmarkEnd w:id="18"/>
    <w:p>
      <w:pPr>
        <w:ind w:left="1040"/>
        <w:spacing w:after="0"/>
        <w:rPr>
          <w:sz w:val="20"/>
          <w:szCs w:val="20"/>
          <w:color w:val="auto"/>
        </w:rPr>
      </w:pPr>
      <w:r>
        <w:rPr>
          <w:rFonts w:ascii="Courier New" w:cs="Courier New" w:eastAsia="Courier New" w:hAnsi="Courier New"/>
          <w:sz w:val="14"/>
          <w:szCs w:val="14"/>
          <w:color w:val="auto"/>
        </w:rPr>
        <w:t>Total Projects Stabilized 1999 through 2002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12%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4">
            <w:col w:w="4740" w:space="180"/>
            <w:col w:w="1180" w:space="720"/>
            <w:col w:w="1000" w:space="720"/>
            <w:col w:w="3000"/>
          </w:cols>
          <w:pgMar w:left="220" w:top="307" w:right="139" w:bottom="1440" w:gutter="0" w:footer="0" w:header="0"/>
        </w:sect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440" w:right="4720" w:hanging="432"/>
        <w:spacing w:after="0" w:line="250" w:lineRule="auto"/>
        <w:tabs>
          <w:tab w:leader="none" w:pos="4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ROI reflects only the deal specific cash, unleveraged Incremental Net Operating Income (NOI) generated by the redevelopment and is calculated as Incremental NOI divided by cost. Incremental NOI is the NOI generated by the redevelopment after deducting rent previously in place for the redevelopment space or space taken out of service as a result of the redevelopment. ROI does NOT include peripheral impacts, such as the impact on future lease rollovers at the property or the impact on the long-term value of the property.</w:t>
      </w:r>
    </w:p>
    <w:p>
      <w:pPr>
        <w:spacing w:after="0" w:line="3"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year in which 95% occupancy of the redeveloped space has been achieved</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subtotals and totals reflect cost weighted-average ROIs</w:t>
      </w:r>
    </w:p>
    <w:p>
      <w:pPr>
        <w:sectPr>
          <w:pgSz w:w="11900" w:h="16838" w:orient="portrait"/>
          <w:cols w:equalWidth="0" w:num="1">
            <w:col w:w="11540"/>
          </w:cols>
          <w:pgMar w:left="220" w:top="307" w:right="139" w:bottom="1440" w:gutter="0" w:footer="0" w:header="0"/>
          <w:type w:val="continuous"/>
        </w:sectPr>
      </w:pPr>
    </w:p>
    <w:bookmarkStart w:id="19" w:name="page20"/>
    <w:bookmarkEnd w:id="19"/>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Santana Row Summary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2002</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0" w:type="dxa"/>
            <w:vAlign w:val="bottom"/>
            <w:gridSpan w:val="7"/>
          </w:tcPr>
          <w:p>
            <w:pPr>
              <w:spacing w:after="0"/>
              <w:rPr>
                <w:sz w:val="20"/>
                <w:szCs w:val="20"/>
                <w:color w:val="auto"/>
              </w:rPr>
            </w:pPr>
            <w:r>
              <w:rPr>
                <w:rFonts w:ascii="Courier New" w:cs="Courier New" w:eastAsia="Courier New" w:hAnsi="Courier New"/>
                <w:sz w:val="14"/>
                <w:szCs w:val="14"/>
                <w:color w:val="auto"/>
              </w:rPr>
              <w:t>- --------------------------------------------------------------------------------</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2860" w:type="dxa"/>
            <w:vAlign w:val="bottom"/>
            <w:gridSpan w:val="3"/>
          </w:tcPr>
          <w:p>
            <w:pPr>
              <w:spacing w:after="0"/>
              <w:rPr>
                <w:sz w:val="20"/>
                <w:szCs w:val="20"/>
                <w:color w:val="auto"/>
              </w:rPr>
            </w:pPr>
            <w:r>
              <w:rPr>
                <w:rFonts w:ascii="Courier New" w:cs="Courier New" w:eastAsia="Courier New" w:hAnsi="Courier New"/>
                <w:sz w:val="14"/>
                <w:szCs w:val="14"/>
                <w:color w:val="auto"/>
              </w:rPr>
              <w:t>Property Description</w:t>
            </w:r>
          </w:p>
        </w:tc>
        <w:tc>
          <w:tcPr>
            <w:tcW w:w="434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A multi-phased, mixed-use development built on</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620" w:type="dxa"/>
            <w:vAlign w:val="bottom"/>
            <w:gridSpan w:val="2"/>
          </w:tcPr>
          <w:p>
            <w:pPr>
              <w:spacing w:after="0"/>
              <w:rPr>
                <w:sz w:val="20"/>
                <w:szCs w:val="20"/>
                <w:color w:val="auto"/>
              </w:rPr>
            </w:pPr>
            <w:r>
              <w:rPr>
                <w:rFonts w:ascii="Courier New" w:cs="Courier New" w:eastAsia="Courier New" w:hAnsi="Courier New"/>
                <w:sz w:val="6"/>
                <w:szCs w:val="6"/>
                <w:color w:val="auto"/>
                <w:w w:val="75"/>
              </w:rPr>
              <w:t>- --------------------</w:t>
            </w:r>
          </w:p>
        </w:tc>
        <w:tc>
          <w:tcPr>
            <w:tcW w:w="2240" w:type="dxa"/>
            <w:vAlign w:val="bottom"/>
          </w:tcPr>
          <w:p>
            <w:pPr>
              <w:spacing w:after="0"/>
              <w:rPr>
                <w:sz w:val="14"/>
                <w:szCs w:val="14"/>
                <w:color w:val="auto"/>
              </w:rPr>
            </w:pP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42 acres in</w:t>
            </w:r>
          </w:p>
        </w:tc>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San Jose, California, in the heart</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34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of the Silicon Valley. Phase I of the property</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consists of a</w:t>
            </w:r>
          </w:p>
        </w:tc>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1,500 foot long "main street"</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34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and eight buildings comprising approximately</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34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444,000 square feet of retail, 255 residential</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34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units, and a 213-room boutique hotel. Phase II</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34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consists of two pad sites comprising</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approximately</w:t>
            </w:r>
          </w:p>
        </w:tc>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84,000 square feet of retail</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space and 275</w:t>
            </w:r>
          </w:p>
        </w:tc>
        <w:tc>
          <w:tcPr>
            <w:tcW w:w="3060" w:type="dxa"/>
            <w:vAlign w:val="bottom"/>
            <w:gridSpan w:val="2"/>
          </w:tcPr>
          <w:p>
            <w:pPr>
              <w:spacing w:after="0"/>
              <w:rPr>
                <w:sz w:val="20"/>
                <w:szCs w:val="20"/>
                <w:color w:val="auto"/>
              </w:rPr>
            </w:pPr>
            <w:r>
              <w:rPr>
                <w:rFonts w:ascii="Courier New" w:cs="Courier New" w:eastAsia="Courier New" w:hAnsi="Courier New"/>
                <w:sz w:val="14"/>
                <w:szCs w:val="14"/>
                <w:color w:val="auto"/>
              </w:rPr>
              <w:t>additional parking spaces. Phase</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34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II is 95% pre-leased to Best Buy and The</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8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Container Store.</w:t>
            </w: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663"/>
        </w:trPr>
        <w:tc>
          <w:tcPr>
            <w:tcW w:w="2860" w:type="dxa"/>
            <w:vAlign w:val="bottom"/>
            <w:gridSpan w:val="3"/>
          </w:tcPr>
          <w:p>
            <w:pPr>
              <w:spacing w:after="0"/>
              <w:rPr>
                <w:sz w:val="20"/>
                <w:szCs w:val="20"/>
                <w:color w:val="auto"/>
              </w:rPr>
            </w:pPr>
            <w:r>
              <w:rPr>
                <w:rFonts w:ascii="Courier New" w:cs="Courier New" w:eastAsia="Courier New" w:hAnsi="Courier New"/>
                <w:sz w:val="14"/>
                <w:szCs w:val="14"/>
                <w:color w:val="auto"/>
              </w:rPr>
              <w:t>Retail Summary (1)</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286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663"/>
        </w:trPr>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520" w:type="dxa"/>
            <w:vAlign w:val="bottom"/>
            <w:gridSpan w:val="8"/>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0" w:type="dxa"/>
            <w:vAlign w:val="bottom"/>
            <w:gridSpan w:val="3"/>
          </w:tcPr>
          <w:p>
            <w:pPr>
              <w:jc w:val="center"/>
              <w:ind w:right="228"/>
              <w:spacing w:after="0"/>
              <w:rPr>
                <w:sz w:val="20"/>
                <w:szCs w:val="20"/>
                <w:color w:val="auto"/>
              </w:rPr>
            </w:pPr>
            <w:r>
              <w:rPr>
                <w:rFonts w:ascii="Courier New" w:cs="Courier New" w:eastAsia="Courier New" w:hAnsi="Courier New"/>
                <w:sz w:val="14"/>
                <w:szCs w:val="14"/>
                <w:color w:val="auto"/>
              </w:rPr>
              <w:t>Total Retail Square Footage</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Occupied</w:t>
            </w:r>
          </w:p>
        </w:tc>
        <w:tc>
          <w:tcPr>
            <w:tcW w:w="138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Building/Description</w:t>
            </w:r>
          </w:p>
        </w:tc>
        <w:tc>
          <w:tcPr>
            <w:tcW w:w="34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Stores</w:t>
            </w:r>
          </w:p>
        </w:tc>
        <w:tc>
          <w:tcPr>
            <w:tcW w:w="156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Square Feet</w:t>
            </w:r>
          </w:p>
        </w:tc>
        <w:tc>
          <w:tcPr>
            <w:tcW w:w="1500" w:type="dxa"/>
            <w:vAlign w:val="bottom"/>
          </w:tcPr>
          <w:p>
            <w:pPr>
              <w:ind w:left="340"/>
              <w:spacing w:after="0"/>
              <w:rPr>
                <w:sz w:val="20"/>
                <w:szCs w:val="20"/>
                <w:color w:val="auto"/>
              </w:rPr>
            </w:pPr>
            <w:r>
              <w:rPr>
                <w:rFonts w:ascii="Courier New" w:cs="Courier New" w:eastAsia="Courier New" w:hAnsi="Courier New"/>
                <w:sz w:val="14"/>
                <w:szCs w:val="14"/>
                <w:color w:val="auto"/>
              </w:rPr>
              <w:t>% Leased</w:t>
            </w:r>
          </w:p>
        </w:tc>
        <w:tc>
          <w:tcPr>
            <w:tcW w:w="220" w:type="dxa"/>
            <w:vAlign w:val="bottom"/>
          </w:tcPr>
          <w:p>
            <w:pPr>
              <w:spacing w:after="0"/>
              <w:rPr>
                <w:sz w:val="14"/>
                <w:szCs w:val="14"/>
                <w:color w:val="auto"/>
              </w:rPr>
            </w:pPr>
          </w:p>
        </w:tc>
        <w:tc>
          <w:tcPr>
            <w:tcW w:w="8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Stores</w:t>
            </w:r>
          </w:p>
        </w:tc>
        <w:tc>
          <w:tcPr>
            <w:tcW w:w="1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Square Feet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of Total</w:t>
            </w:r>
          </w:p>
        </w:tc>
      </w:tr>
      <w:tr>
        <w:trPr>
          <w:trHeight w:val="166"/>
        </w:trPr>
        <w:tc>
          <w:tcPr>
            <w:tcW w:w="260" w:type="dxa"/>
            <w:vAlign w:val="bottom"/>
          </w:tcPr>
          <w:p>
            <w:pPr>
              <w:spacing w:after="0"/>
              <w:rPr>
                <w:sz w:val="14"/>
                <w:szCs w:val="14"/>
                <w:color w:val="auto"/>
              </w:rPr>
            </w:pPr>
          </w:p>
        </w:tc>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w:t>
            </w:r>
          </w:p>
        </w:tc>
        <w:tc>
          <w:tcPr>
            <w:tcW w:w="156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26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2240" w:type="dxa"/>
            <w:vAlign w:val="bottom"/>
          </w:tcPr>
          <w:p>
            <w:pPr>
              <w:spacing w:after="0"/>
              <w:rPr>
                <w:sz w:val="20"/>
                <w:szCs w:val="20"/>
                <w:color w:val="auto"/>
              </w:rPr>
            </w:pPr>
            <w:r>
              <w:rPr>
                <w:rFonts w:ascii="Courier New" w:cs="Courier New" w:eastAsia="Courier New" w:hAnsi="Courier New"/>
                <w:sz w:val="14"/>
                <w:szCs w:val="14"/>
                <w:color w:val="auto"/>
              </w:rPr>
              <w:t>(Crate &amp; Barrel)</w:t>
            </w:r>
          </w:p>
        </w:tc>
        <w:tc>
          <w:tcPr>
            <w:tcW w:w="34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40,000</w:t>
            </w:r>
          </w:p>
        </w:tc>
        <w:tc>
          <w:tcPr>
            <w:tcW w:w="1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2240" w:type="dxa"/>
            <w:vAlign w:val="bottom"/>
          </w:tcPr>
          <w:p>
            <w:pPr>
              <w:spacing w:after="0"/>
              <w:rPr>
                <w:sz w:val="20"/>
                <w:szCs w:val="20"/>
                <w:color w:val="auto"/>
              </w:rPr>
            </w:pPr>
            <w:r>
              <w:rPr>
                <w:rFonts w:ascii="Courier New" w:cs="Courier New" w:eastAsia="Courier New" w:hAnsi="Courier New"/>
                <w:sz w:val="14"/>
                <w:szCs w:val="14"/>
                <w:color w:val="auto"/>
              </w:rPr>
              <w:t>(Primarily luxury)</w:t>
            </w:r>
          </w:p>
        </w:tc>
        <w:tc>
          <w:tcPr>
            <w:tcW w:w="3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39,489</w:t>
            </w:r>
          </w:p>
        </w:tc>
        <w:tc>
          <w:tcPr>
            <w:tcW w:w="1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73.0%</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27,250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69.0%</w:t>
            </w:r>
          </w:p>
        </w:tc>
      </w:tr>
      <w:tr>
        <w:trPr>
          <w:trHeight w:val="166"/>
        </w:trPr>
        <w:tc>
          <w:tcPr>
            <w:tcW w:w="2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2240" w:type="dxa"/>
            <w:vAlign w:val="bottom"/>
          </w:tcPr>
          <w:p>
            <w:pPr>
              <w:spacing w:after="0"/>
              <w:rPr>
                <w:sz w:val="20"/>
                <w:szCs w:val="20"/>
                <w:color w:val="auto"/>
              </w:rPr>
            </w:pPr>
            <w:r>
              <w:rPr>
                <w:rFonts w:ascii="Courier New" w:cs="Courier New" w:eastAsia="Courier New" w:hAnsi="Courier New"/>
                <w:sz w:val="14"/>
                <w:szCs w:val="14"/>
                <w:color w:val="auto"/>
              </w:rPr>
              <w:t>(Primarily luxury)</w:t>
            </w:r>
          </w:p>
        </w:tc>
        <w:tc>
          <w:tcPr>
            <w:tcW w:w="3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33,612</w:t>
            </w:r>
          </w:p>
        </w:tc>
        <w:tc>
          <w:tcPr>
            <w:tcW w:w="1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26,631</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79.2%</w:t>
            </w:r>
          </w:p>
        </w:tc>
      </w:tr>
      <w:tr>
        <w:trPr>
          <w:trHeight w:val="166"/>
        </w:trPr>
        <w:tc>
          <w:tcPr>
            <w:tcW w:w="2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2240" w:type="dxa"/>
            <w:vAlign w:val="bottom"/>
          </w:tcPr>
          <w:p>
            <w:pPr>
              <w:spacing w:after="0"/>
              <w:rPr>
                <w:sz w:val="20"/>
                <w:szCs w:val="20"/>
                <w:color w:val="auto"/>
              </w:rPr>
            </w:pPr>
            <w:r>
              <w:rPr>
                <w:rFonts w:ascii="Courier New" w:cs="Courier New" w:eastAsia="Courier New" w:hAnsi="Courier New"/>
                <w:sz w:val="14"/>
                <w:szCs w:val="14"/>
                <w:color w:val="auto"/>
              </w:rPr>
              <w:t>(Hotel and lifestyle)</w:t>
            </w:r>
          </w:p>
        </w:tc>
        <w:tc>
          <w:tcPr>
            <w:tcW w:w="3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56,929</w:t>
            </w:r>
          </w:p>
        </w:tc>
        <w:tc>
          <w:tcPr>
            <w:tcW w:w="1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63.8%</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16,756</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29.4%</w:t>
            </w:r>
          </w:p>
        </w:tc>
      </w:tr>
      <w:tr>
        <w:trPr>
          <w:trHeight w:val="166"/>
        </w:trPr>
        <w:tc>
          <w:tcPr>
            <w:tcW w:w="2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Courier New" w:cs="Courier New" w:eastAsia="Courier New" w:hAnsi="Courier New"/>
                <w:sz w:val="14"/>
                <w:szCs w:val="14"/>
                <w:color w:val="auto"/>
              </w:rPr>
              <w:t>6</w:t>
            </w:r>
          </w:p>
        </w:tc>
        <w:tc>
          <w:tcPr>
            <w:tcW w:w="2240" w:type="dxa"/>
            <w:vAlign w:val="bottom"/>
          </w:tcPr>
          <w:p>
            <w:pPr>
              <w:spacing w:after="0"/>
              <w:rPr>
                <w:sz w:val="20"/>
                <w:szCs w:val="20"/>
                <w:color w:val="auto"/>
              </w:rPr>
            </w:pPr>
            <w:r>
              <w:rPr>
                <w:rFonts w:ascii="Courier New" w:cs="Courier New" w:eastAsia="Courier New" w:hAnsi="Courier New"/>
                <w:sz w:val="14"/>
                <w:szCs w:val="14"/>
                <w:color w:val="auto"/>
              </w:rPr>
              <w:t>(Lifestyle)</w:t>
            </w:r>
          </w:p>
        </w:tc>
        <w:tc>
          <w:tcPr>
            <w:tcW w:w="3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49,415</w:t>
            </w:r>
          </w:p>
        </w:tc>
        <w:tc>
          <w:tcPr>
            <w:tcW w:w="1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85.9%</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42,444</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85.9%</w:t>
            </w:r>
          </w:p>
        </w:tc>
      </w:tr>
      <w:tr>
        <w:trPr>
          <w:trHeight w:val="166"/>
        </w:trPr>
        <w:tc>
          <w:tcPr>
            <w:tcW w:w="2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2240" w:type="dxa"/>
            <w:vAlign w:val="bottom"/>
          </w:tcPr>
          <w:p>
            <w:pPr>
              <w:spacing w:after="0"/>
              <w:rPr>
                <w:sz w:val="20"/>
                <w:szCs w:val="20"/>
                <w:color w:val="auto"/>
              </w:rPr>
            </w:pPr>
            <w:r>
              <w:rPr>
                <w:rFonts w:ascii="Courier New" w:cs="Courier New" w:eastAsia="Courier New" w:hAnsi="Courier New"/>
                <w:sz w:val="14"/>
                <w:szCs w:val="14"/>
                <w:color w:val="auto"/>
              </w:rPr>
              <w:t>(Lifestyle)</w:t>
            </w:r>
          </w:p>
        </w:tc>
        <w:tc>
          <w:tcPr>
            <w:tcW w:w="3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87,386</w:t>
            </w:r>
          </w:p>
        </w:tc>
        <w:tc>
          <w:tcPr>
            <w:tcW w:w="1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86.1%</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w:t>
            </w:r>
          </w:p>
        </w:tc>
      </w:tr>
      <w:tr>
        <w:trPr>
          <w:trHeight w:val="166"/>
        </w:trPr>
        <w:tc>
          <w:tcPr>
            <w:tcW w:w="2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Courier New" w:cs="Courier New" w:eastAsia="Courier New" w:hAnsi="Courier New"/>
                <w:sz w:val="14"/>
                <w:szCs w:val="14"/>
                <w:color w:val="auto"/>
              </w:rPr>
              <w:t>8</w:t>
            </w:r>
          </w:p>
        </w:tc>
        <w:tc>
          <w:tcPr>
            <w:tcW w:w="2240" w:type="dxa"/>
            <w:vAlign w:val="bottom"/>
          </w:tcPr>
          <w:p>
            <w:pPr>
              <w:spacing w:after="0"/>
              <w:rPr>
                <w:sz w:val="20"/>
                <w:szCs w:val="20"/>
                <w:color w:val="auto"/>
              </w:rPr>
            </w:pPr>
            <w:r>
              <w:rPr>
                <w:rFonts w:ascii="Courier New" w:cs="Courier New" w:eastAsia="Courier New" w:hAnsi="Courier New"/>
                <w:sz w:val="14"/>
                <w:szCs w:val="14"/>
                <w:color w:val="auto"/>
              </w:rPr>
              <w:t>(Lifestyle)</w:t>
            </w:r>
          </w:p>
        </w:tc>
        <w:tc>
          <w:tcPr>
            <w:tcW w:w="3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39,974</w:t>
            </w:r>
          </w:p>
        </w:tc>
        <w:tc>
          <w:tcPr>
            <w:tcW w:w="1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33,391</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83.5%</w:t>
            </w:r>
          </w:p>
        </w:tc>
      </w:tr>
      <w:tr>
        <w:trPr>
          <w:trHeight w:val="166"/>
        </w:trPr>
        <w:tc>
          <w:tcPr>
            <w:tcW w:w="2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Courier New" w:cs="Courier New" w:eastAsia="Courier New" w:hAnsi="Courier New"/>
                <w:sz w:val="14"/>
                <w:szCs w:val="14"/>
                <w:color w:val="auto"/>
              </w:rPr>
              <w:t>13</w:t>
            </w:r>
          </w:p>
        </w:tc>
        <w:tc>
          <w:tcPr>
            <w:tcW w:w="2240" w:type="dxa"/>
            <w:vAlign w:val="bottom"/>
          </w:tcPr>
          <w:p>
            <w:pPr>
              <w:spacing w:after="0"/>
              <w:rPr>
                <w:sz w:val="20"/>
                <w:szCs w:val="20"/>
                <w:color w:val="auto"/>
              </w:rPr>
            </w:pPr>
            <w:r>
              <w:rPr>
                <w:rFonts w:ascii="Courier New" w:cs="Courier New" w:eastAsia="Courier New" w:hAnsi="Courier New"/>
                <w:sz w:val="14"/>
                <w:szCs w:val="14"/>
                <w:color w:val="auto"/>
              </w:rPr>
              <w:t>(Restaurants &amp; lifestyle)</w:t>
            </w:r>
          </w:p>
        </w:tc>
        <w:tc>
          <w:tcPr>
            <w:tcW w:w="3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95,897</w:t>
            </w:r>
          </w:p>
        </w:tc>
        <w:tc>
          <w:tcPr>
            <w:tcW w:w="1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26.3%</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14,826</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15.5%</w:t>
            </w:r>
          </w:p>
        </w:tc>
      </w:tr>
      <w:tr>
        <w:trPr>
          <w:trHeight w:val="166"/>
        </w:trPr>
        <w:tc>
          <w:tcPr>
            <w:tcW w:w="260" w:type="dxa"/>
            <w:vAlign w:val="bottom"/>
          </w:tcPr>
          <w:p>
            <w:pPr>
              <w:spacing w:after="0"/>
              <w:rPr>
                <w:sz w:val="14"/>
                <w:szCs w:val="14"/>
                <w:color w:val="auto"/>
              </w:rPr>
            </w:pPr>
          </w:p>
        </w:tc>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Kiosks and Carts</w:t>
            </w:r>
          </w:p>
        </w:tc>
        <w:tc>
          <w:tcPr>
            <w:tcW w:w="3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1,570</w:t>
            </w:r>
          </w:p>
        </w:tc>
        <w:tc>
          <w:tcPr>
            <w:tcW w:w="1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69.2%</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1,086</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69.2%</w:t>
            </w:r>
          </w:p>
        </w:tc>
      </w:tr>
      <w:tr>
        <w:trPr>
          <w:trHeight w:val="166"/>
        </w:trPr>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gridSpan w:val="3"/>
          </w:tcPr>
          <w:p>
            <w:pPr>
              <w:spacing w:after="0"/>
              <w:rPr>
                <w:sz w:val="20"/>
                <w:szCs w:val="20"/>
                <w:color w:val="auto"/>
              </w:rPr>
            </w:pPr>
            <w:r>
              <w:rPr>
                <w:rFonts w:ascii="Courier New" w:cs="Courier New" w:eastAsia="Courier New" w:hAnsi="Courier New"/>
                <w:sz w:val="14"/>
                <w:szCs w:val="14"/>
                <w:color w:val="auto"/>
              </w:rPr>
              <w:t>Total Phase I Retail</w:t>
            </w:r>
          </w:p>
        </w:tc>
        <w:tc>
          <w:tcPr>
            <w:tcW w:w="3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444,272</w:t>
            </w:r>
          </w:p>
        </w:tc>
        <w:tc>
          <w:tcPr>
            <w:tcW w:w="1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72.7%</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202,384</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45.6%</w:t>
            </w:r>
          </w:p>
        </w:tc>
      </w:tr>
      <w:tr>
        <w:trPr>
          <w:trHeight w:val="166"/>
        </w:trPr>
        <w:tc>
          <w:tcPr>
            <w:tcW w:w="2860" w:type="dxa"/>
            <w:vAlign w:val="bottom"/>
            <w:gridSpan w:val="3"/>
          </w:tcPr>
          <w:p>
            <w:pPr>
              <w:spacing w:after="0"/>
              <w:rPr>
                <w:sz w:val="20"/>
                <w:szCs w:val="20"/>
                <w:color w:val="auto"/>
              </w:rPr>
            </w:pPr>
            <w:r>
              <w:rPr>
                <w:rFonts w:ascii="Courier New" w:cs="Courier New" w:eastAsia="Courier New" w:hAnsi="Courier New"/>
                <w:sz w:val="14"/>
                <w:szCs w:val="14"/>
                <w:color w:val="auto"/>
              </w:rPr>
              <w:t>Phase II Retail</w:t>
            </w:r>
          </w:p>
        </w:tc>
        <w:tc>
          <w:tcPr>
            <w:tcW w:w="3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84,171</w:t>
            </w:r>
          </w:p>
        </w:tc>
        <w:tc>
          <w:tcPr>
            <w:tcW w:w="1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95.5%</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w:t>
            </w:r>
          </w:p>
        </w:tc>
      </w:tr>
      <w:tr>
        <w:trPr>
          <w:trHeight w:val="166"/>
        </w:trPr>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gridSpan w:val="3"/>
          </w:tcPr>
          <w:p>
            <w:pPr>
              <w:spacing w:after="0"/>
              <w:rPr>
                <w:sz w:val="20"/>
                <w:szCs w:val="20"/>
                <w:color w:val="auto"/>
              </w:rPr>
            </w:pPr>
            <w:r>
              <w:rPr>
                <w:rFonts w:ascii="Courier New" w:cs="Courier New" w:eastAsia="Courier New" w:hAnsi="Courier New"/>
                <w:sz w:val="14"/>
                <w:szCs w:val="14"/>
                <w:color w:val="auto"/>
              </w:rPr>
              <w:t>Total Santana Row Retail</w:t>
            </w:r>
          </w:p>
        </w:tc>
        <w:tc>
          <w:tcPr>
            <w:tcW w:w="3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528,443</w:t>
            </w:r>
          </w:p>
        </w:tc>
        <w:tc>
          <w:tcPr>
            <w:tcW w:w="1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76.3%</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202,384</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38.3%</w:t>
            </w:r>
          </w:p>
        </w:tc>
      </w:tr>
      <w:tr>
        <w:trPr>
          <w:trHeight w:val="166"/>
        </w:trPr>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520" w:type="dxa"/>
            <w:vAlign w:val="bottom"/>
            <w:gridSpan w:val="8"/>
          </w:tcPr>
          <w:p>
            <w:pPr>
              <w:ind w:left="80"/>
              <w:spacing w:after="0"/>
              <w:rPr>
                <w:sz w:val="20"/>
                <w:szCs w:val="20"/>
                <w:color w:val="auto"/>
              </w:rPr>
            </w:pPr>
            <w:r>
              <w:rPr>
                <w:rFonts w:ascii="Courier New" w:cs="Courier New" w:eastAsia="Courier New" w:hAnsi="Courier New"/>
                <w:sz w:val="14"/>
                <w:szCs w:val="14"/>
                <w:color w:val="auto"/>
              </w:rPr>
              <w:t>--------------------------------------------------------------------------------------------------</w:t>
            </w:r>
          </w:p>
        </w:tc>
      </w:tr>
      <w:tr>
        <w:trPr>
          <w:trHeight w:val="497"/>
        </w:trPr>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520" w:type="dxa"/>
            <w:vAlign w:val="bottom"/>
            <w:gridSpan w:val="8"/>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60" w:type="dxa"/>
            <w:vAlign w:val="bottom"/>
            <w:gridSpan w:val="2"/>
          </w:tcPr>
          <w:p>
            <w:pPr>
              <w:jc w:val="center"/>
              <w:ind w:right="1188"/>
              <w:spacing w:after="0"/>
              <w:rPr>
                <w:sz w:val="20"/>
                <w:szCs w:val="20"/>
                <w:color w:val="auto"/>
              </w:rPr>
            </w:pPr>
            <w:r>
              <w:rPr>
                <w:rFonts w:ascii="Courier New" w:cs="Courier New" w:eastAsia="Courier New" w:hAnsi="Courier New"/>
                <w:sz w:val="14"/>
                <w:szCs w:val="14"/>
                <w:color w:val="auto"/>
              </w:rPr>
              <w:t>Leased (Unoccupied)</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100" w:type="dxa"/>
            <w:vAlign w:val="bottom"/>
            <w:gridSpan w:val="2"/>
          </w:tcPr>
          <w:p>
            <w:pPr>
              <w:jc w:val="right"/>
              <w:ind w:right="1128"/>
              <w:spacing w:after="0"/>
              <w:rPr>
                <w:sz w:val="20"/>
                <w:szCs w:val="20"/>
                <w:color w:val="auto"/>
              </w:rPr>
            </w:pPr>
            <w:r>
              <w:rPr>
                <w:rFonts w:ascii="Courier New" w:cs="Courier New" w:eastAsia="Courier New" w:hAnsi="Courier New"/>
                <w:sz w:val="14"/>
                <w:szCs w:val="14"/>
                <w:color w:val="auto"/>
              </w:rPr>
              <w:t>Available to Lease</w:t>
            </w:r>
          </w:p>
        </w:tc>
      </w:tr>
      <w:tr>
        <w:trPr>
          <w:trHeight w:val="166"/>
        </w:trPr>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60" w:type="dxa"/>
            <w:vAlign w:val="bottom"/>
            <w:gridSpan w:val="2"/>
          </w:tcPr>
          <w:p>
            <w:pPr>
              <w:jc w:val="center"/>
              <w:ind w:right="1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100" w:type="dxa"/>
            <w:vAlign w:val="bottom"/>
            <w:gridSpan w:val="2"/>
          </w:tcPr>
          <w:p>
            <w:pPr>
              <w:jc w:val="right"/>
              <w:ind w:right="11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 w:type="dxa"/>
            <w:vAlign w:val="bottom"/>
          </w:tcPr>
          <w:p>
            <w:pPr>
              <w:spacing w:after="0"/>
              <w:rPr>
                <w:sz w:val="14"/>
                <w:szCs w:val="14"/>
                <w:color w:val="auto"/>
              </w:rPr>
            </w:pPr>
          </w:p>
        </w:tc>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Building/Description</w:t>
            </w:r>
          </w:p>
        </w:tc>
        <w:tc>
          <w:tcPr>
            <w:tcW w:w="34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Stores</w:t>
            </w:r>
          </w:p>
        </w:tc>
        <w:tc>
          <w:tcPr>
            <w:tcW w:w="156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Square Feet</w:t>
            </w:r>
          </w:p>
        </w:tc>
        <w:tc>
          <w:tcPr>
            <w:tcW w:w="1500" w:type="dxa"/>
            <w:vAlign w:val="bottom"/>
          </w:tcPr>
          <w:p>
            <w:pPr>
              <w:ind w:left="340"/>
              <w:spacing w:after="0"/>
              <w:rPr>
                <w:sz w:val="20"/>
                <w:szCs w:val="20"/>
                <w:color w:val="auto"/>
              </w:rPr>
            </w:pPr>
            <w:r>
              <w:rPr>
                <w:rFonts w:ascii="Courier New" w:cs="Courier New" w:eastAsia="Courier New" w:hAnsi="Courier New"/>
                <w:sz w:val="14"/>
                <w:szCs w:val="14"/>
                <w:color w:val="auto"/>
              </w:rPr>
              <w:t>% of Total</w:t>
            </w:r>
          </w:p>
        </w:tc>
        <w:tc>
          <w:tcPr>
            <w:tcW w:w="220" w:type="dxa"/>
            <w:vAlign w:val="bottom"/>
          </w:tcPr>
          <w:p>
            <w:pPr>
              <w:spacing w:after="0"/>
              <w:rPr>
                <w:sz w:val="14"/>
                <w:szCs w:val="14"/>
                <w:color w:val="auto"/>
              </w:rPr>
            </w:pPr>
          </w:p>
        </w:tc>
        <w:tc>
          <w:tcPr>
            <w:tcW w:w="8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Stores</w:t>
            </w:r>
          </w:p>
        </w:tc>
        <w:tc>
          <w:tcPr>
            <w:tcW w:w="1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Square Feet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of Total</w:t>
            </w:r>
          </w:p>
        </w:tc>
      </w:tr>
      <w:tr>
        <w:trPr>
          <w:trHeight w:val="166"/>
        </w:trPr>
        <w:tc>
          <w:tcPr>
            <w:tcW w:w="260" w:type="dxa"/>
            <w:vAlign w:val="bottom"/>
          </w:tcPr>
          <w:p>
            <w:pPr>
              <w:spacing w:after="0"/>
              <w:rPr>
                <w:sz w:val="14"/>
                <w:szCs w:val="14"/>
                <w:color w:val="auto"/>
              </w:rPr>
            </w:pPr>
          </w:p>
        </w:tc>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w:t>
            </w:r>
          </w:p>
        </w:tc>
        <w:tc>
          <w:tcPr>
            <w:tcW w:w="156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26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2240" w:type="dxa"/>
            <w:vAlign w:val="bottom"/>
          </w:tcPr>
          <w:p>
            <w:pPr>
              <w:spacing w:after="0"/>
              <w:rPr>
                <w:sz w:val="20"/>
                <w:szCs w:val="20"/>
                <w:color w:val="auto"/>
              </w:rPr>
            </w:pPr>
            <w:r>
              <w:rPr>
                <w:rFonts w:ascii="Courier New" w:cs="Courier New" w:eastAsia="Courier New" w:hAnsi="Courier New"/>
                <w:sz w:val="14"/>
                <w:szCs w:val="14"/>
                <w:color w:val="auto"/>
              </w:rPr>
              <w:t>(Crate &amp; Barrel)</w:t>
            </w:r>
          </w:p>
        </w:tc>
        <w:tc>
          <w:tcPr>
            <w:tcW w:w="34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w:t>
            </w:r>
          </w:p>
        </w:tc>
      </w:tr>
      <w:tr>
        <w:trPr>
          <w:trHeight w:val="166"/>
        </w:trPr>
        <w:tc>
          <w:tcPr>
            <w:tcW w:w="2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2240" w:type="dxa"/>
            <w:vAlign w:val="bottom"/>
          </w:tcPr>
          <w:p>
            <w:pPr>
              <w:spacing w:after="0"/>
              <w:rPr>
                <w:sz w:val="20"/>
                <w:szCs w:val="20"/>
                <w:color w:val="auto"/>
              </w:rPr>
            </w:pPr>
            <w:r>
              <w:rPr>
                <w:rFonts w:ascii="Courier New" w:cs="Courier New" w:eastAsia="Courier New" w:hAnsi="Courier New"/>
                <w:sz w:val="14"/>
                <w:szCs w:val="14"/>
                <w:color w:val="auto"/>
              </w:rPr>
              <w:t>(Primarily luxury)</w:t>
            </w:r>
          </w:p>
        </w:tc>
        <w:tc>
          <w:tcPr>
            <w:tcW w:w="3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1,568</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10,671</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27.0%</w:t>
            </w:r>
          </w:p>
        </w:tc>
      </w:tr>
      <w:tr>
        <w:trPr>
          <w:trHeight w:val="166"/>
        </w:trPr>
        <w:tc>
          <w:tcPr>
            <w:tcW w:w="2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Courier New" w:cs="Courier New" w:eastAsia="Courier New" w:hAnsi="Courier New"/>
                <w:sz w:val="14"/>
                <w:szCs w:val="14"/>
                <w:color w:val="auto"/>
              </w:rPr>
              <w:t>4</w:t>
            </w:r>
          </w:p>
        </w:tc>
        <w:tc>
          <w:tcPr>
            <w:tcW w:w="2240" w:type="dxa"/>
            <w:vAlign w:val="bottom"/>
          </w:tcPr>
          <w:p>
            <w:pPr>
              <w:spacing w:after="0"/>
              <w:rPr>
                <w:sz w:val="20"/>
                <w:szCs w:val="20"/>
                <w:color w:val="auto"/>
              </w:rPr>
            </w:pPr>
            <w:r>
              <w:rPr>
                <w:rFonts w:ascii="Courier New" w:cs="Courier New" w:eastAsia="Courier New" w:hAnsi="Courier New"/>
                <w:sz w:val="14"/>
                <w:szCs w:val="14"/>
                <w:color w:val="auto"/>
              </w:rPr>
              <w:t>(Primarily luxury)</w:t>
            </w:r>
          </w:p>
        </w:tc>
        <w:tc>
          <w:tcPr>
            <w:tcW w:w="3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6,981</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20.8%</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w:t>
            </w:r>
          </w:p>
        </w:tc>
      </w:tr>
      <w:tr>
        <w:trPr>
          <w:trHeight w:val="166"/>
        </w:trPr>
        <w:tc>
          <w:tcPr>
            <w:tcW w:w="2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2240" w:type="dxa"/>
            <w:vAlign w:val="bottom"/>
          </w:tcPr>
          <w:p>
            <w:pPr>
              <w:spacing w:after="0"/>
              <w:rPr>
                <w:sz w:val="20"/>
                <w:szCs w:val="20"/>
                <w:color w:val="auto"/>
              </w:rPr>
            </w:pPr>
            <w:r>
              <w:rPr>
                <w:rFonts w:ascii="Courier New" w:cs="Courier New" w:eastAsia="Courier New" w:hAnsi="Courier New"/>
                <w:sz w:val="14"/>
                <w:szCs w:val="14"/>
                <w:color w:val="auto"/>
              </w:rPr>
              <w:t>(Hotel and lifestyle)</w:t>
            </w:r>
          </w:p>
        </w:tc>
        <w:tc>
          <w:tcPr>
            <w:tcW w:w="3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19,576</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34.4%</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20,597</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36.2%</w:t>
            </w:r>
          </w:p>
        </w:tc>
      </w:tr>
      <w:tr>
        <w:trPr>
          <w:trHeight w:val="166"/>
        </w:trPr>
        <w:tc>
          <w:tcPr>
            <w:tcW w:w="2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Courier New" w:cs="Courier New" w:eastAsia="Courier New" w:hAnsi="Courier New"/>
                <w:sz w:val="14"/>
                <w:szCs w:val="14"/>
                <w:color w:val="auto"/>
              </w:rPr>
              <w:t>6</w:t>
            </w:r>
          </w:p>
        </w:tc>
        <w:tc>
          <w:tcPr>
            <w:tcW w:w="2240" w:type="dxa"/>
            <w:vAlign w:val="bottom"/>
          </w:tcPr>
          <w:p>
            <w:pPr>
              <w:spacing w:after="0"/>
              <w:rPr>
                <w:sz w:val="20"/>
                <w:szCs w:val="20"/>
                <w:color w:val="auto"/>
              </w:rPr>
            </w:pPr>
            <w:r>
              <w:rPr>
                <w:rFonts w:ascii="Courier New" w:cs="Courier New" w:eastAsia="Courier New" w:hAnsi="Courier New"/>
                <w:sz w:val="14"/>
                <w:szCs w:val="14"/>
                <w:color w:val="auto"/>
              </w:rPr>
              <w:t>(Lifestyle)</w:t>
            </w:r>
          </w:p>
        </w:tc>
        <w:tc>
          <w:tcPr>
            <w:tcW w:w="3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6,971</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14.1%</w:t>
            </w:r>
          </w:p>
        </w:tc>
      </w:tr>
      <w:tr>
        <w:trPr>
          <w:trHeight w:val="166"/>
        </w:trPr>
        <w:tc>
          <w:tcPr>
            <w:tcW w:w="2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2240" w:type="dxa"/>
            <w:vAlign w:val="bottom"/>
          </w:tcPr>
          <w:p>
            <w:pPr>
              <w:spacing w:after="0"/>
              <w:rPr>
                <w:sz w:val="20"/>
                <w:szCs w:val="20"/>
                <w:color w:val="auto"/>
              </w:rPr>
            </w:pPr>
            <w:r>
              <w:rPr>
                <w:rFonts w:ascii="Courier New" w:cs="Courier New" w:eastAsia="Courier New" w:hAnsi="Courier New"/>
                <w:sz w:val="14"/>
                <w:szCs w:val="14"/>
                <w:color w:val="auto"/>
              </w:rPr>
              <w:t>(Lifestyle)</w:t>
            </w:r>
          </w:p>
        </w:tc>
        <w:tc>
          <w:tcPr>
            <w:tcW w:w="3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75,267</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86.1%</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12,119</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13.9%</w:t>
            </w:r>
          </w:p>
        </w:tc>
      </w:tr>
      <w:tr>
        <w:trPr>
          <w:trHeight w:val="166"/>
        </w:trPr>
        <w:tc>
          <w:tcPr>
            <w:tcW w:w="2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Courier New" w:cs="Courier New" w:eastAsia="Courier New" w:hAnsi="Courier New"/>
                <w:sz w:val="14"/>
                <w:szCs w:val="14"/>
                <w:color w:val="auto"/>
              </w:rPr>
              <w:t>8</w:t>
            </w:r>
          </w:p>
        </w:tc>
        <w:tc>
          <w:tcPr>
            <w:tcW w:w="2240" w:type="dxa"/>
            <w:vAlign w:val="bottom"/>
          </w:tcPr>
          <w:p>
            <w:pPr>
              <w:spacing w:after="0"/>
              <w:rPr>
                <w:sz w:val="20"/>
                <w:szCs w:val="20"/>
                <w:color w:val="auto"/>
              </w:rPr>
            </w:pPr>
            <w:r>
              <w:rPr>
                <w:rFonts w:ascii="Courier New" w:cs="Courier New" w:eastAsia="Courier New" w:hAnsi="Courier New"/>
                <w:sz w:val="14"/>
                <w:szCs w:val="14"/>
                <w:color w:val="auto"/>
              </w:rPr>
              <w:t>(Lifestyle)</w:t>
            </w:r>
          </w:p>
        </w:tc>
        <w:tc>
          <w:tcPr>
            <w:tcW w:w="3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6,583</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16.5%</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w:t>
            </w:r>
          </w:p>
        </w:tc>
      </w:tr>
      <w:tr>
        <w:trPr>
          <w:trHeight w:val="166"/>
        </w:trPr>
        <w:tc>
          <w:tcPr>
            <w:tcW w:w="2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Courier New" w:cs="Courier New" w:eastAsia="Courier New" w:hAnsi="Courier New"/>
                <w:sz w:val="14"/>
                <w:szCs w:val="14"/>
                <w:color w:val="auto"/>
              </w:rPr>
              <w:t>13</w:t>
            </w:r>
          </w:p>
        </w:tc>
        <w:tc>
          <w:tcPr>
            <w:tcW w:w="2240" w:type="dxa"/>
            <w:vAlign w:val="bottom"/>
          </w:tcPr>
          <w:p>
            <w:pPr>
              <w:spacing w:after="0"/>
              <w:rPr>
                <w:sz w:val="20"/>
                <w:szCs w:val="20"/>
                <w:color w:val="auto"/>
              </w:rPr>
            </w:pPr>
            <w:r>
              <w:rPr>
                <w:rFonts w:ascii="Courier New" w:cs="Courier New" w:eastAsia="Courier New" w:hAnsi="Courier New"/>
                <w:sz w:val="14"/>
                <w:szCs w:val="14"/>
                <w:color w:val="auto"/>
              </w:rPr>
              <w:t>(Restaurants &amp; lifestyle)</w:t>
            </w:r>
          </w:p>
        </w:tc>
        <w:tc>
          <w:tcPr>
            <w:tcW w:w="3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10,418</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10.9%</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70,653</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73.7%</w:t>
            </w:r>
          </w:p>
        </w:tc>
      </w:tr>
      <w:tr>
        <w:trPr>
          <w:trHeight w:val="166"/>
        </w:trPr>
        <w:tc>
          <w:tcPr>
            <w:tcW w:w="260" w:type="dxa"/>
            <w:vAlign w:val="bottom"/>
          </w:tcPr>
          <w:p>
            <w:pPr>
              <w:spacing w:after="0"/>
              <w:rPr>
                <w:sz w:val="14"/>
                <w:szCs w:val="14"/>
                <w:color w:val="auto"/>
              </w:rPr>
            </w:pPr>
          </w:p>
        </w:tc>
        <w:tc>
          <w:tcPr>
            <w:tcW w:w="2600" w:type="dxa"/>
            <w:vAlign w:val="bottom"/>
            <w:gridSpan w:val="2"/>
          </w:tcPr>
          <w:p>
            <w:pPr>
              <w:spacing w:after="0"/>
              <w:rPr>
                <w:sz w:val="20"/>
                <w:szCs w:val="20"/>
                <w:color w:val="auto"/>
              </w:rPr>
            </w:pPr>
            <w:r>
              <w:rPr>
                <w:rFonts w:ascii="Courier New" w:cs="Courier New" w:eastAsia="Courier New" w:hAnsi="Courier New"/>
                <w:sz w:val="14"/>
                <w:szCs w:val="14"/>
                <w:color w:val="auto"/>
              </w:rPr>
              <w:t>Kiosks and Carts</w:t>
            </w:r>
          </w:p>
        </w:tc>
        <w:tc>
          <w:tcPr>
            <w:tcW w:w="3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484</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30.8%</w:t>
            </w:r>
          </w:p>
        </w:tc>
      </w:tr>
      <w:tr>
        <w:trPr>
          <w:trHeight w:val="166"/>
        </w:trPr>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gridSpan w:val="3"/>
          </w:tcPr>
          <w:p>
            <w:pPr>
              <w:spacing w:after="0"/>
              <w:rPr>
                <w:sz w:val="20"/>
                <w:szCs w:val="20"/>
                <w:color w:val="auto"/>
              </w:rPr>
            </w:pPr>
            <w:r>
              <w:rPr>
                <w:rFonts w:ascii="Courier New" w:cs="Courier New" w:eastAsia="Courier New" w:hAnsi="Courier New"/>
                <w:sz w:val="14"/>
                <w:szCs w:val="14"/>
                <w:color w:val="auto"/>
              </w:rPr>
              <w:t>Total Phase I Retail</w:t>
            </w:r>
          </w:p>
        </w:tc>
        <w:tc>
          <w:tcPr>
            <w:tcW w:w="3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120,393</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27.1%</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121,495</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27.3%</w:t>
            </w:r>
          </w:p>
        </w:tc>
      </w:tr>
      <w:tr>
        <w:trPr>
          <w:trHeight w:val="166"/>
        </w:trPr>
        <w:tc>
          <w:tcPr>
            <w:tcW w:w="2860" w:type="dxa"/>
            <w:vAlign w:val="bottom"/>
            <w:gridSpan w:val="3"/>
          </w:tcPr>
          <w:p>
            <w:pPr>
              <w:spacing w:after="0"/>
              <w:rPr>
                <w:sz w:val="20"/>
                <w:szCs w:val="20"/>
                <w:color w:val="auto"/>
              </w:rPr>
            </w:pPr>
            <w:r>
              <w:rPr>
                <w:rFonts w:ascii="Courier New" w:cs="Courier New" w:eastAsia="Courier New" w:hAnsi="Courier New"/>
                <w:sz w:val="14"/>
                <w:szCs w:val="14"/>
                <w:color w:val="auto"/>
              </w:rPr>
              <w:t>Phase II Retail</w:t>
            </w:r>
          </w:p>
        </w:tc>
        <w:tc>
          <w:tcPr>
            <w:tcW w:w="3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80,371</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95.5%</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w:t>
            </w:r>
          </w:p>
        </w:tc>
      </w:tr>
      <w:tr>
        <w:trPr>
          <w:trHeight w:val="166"/>
        </w:trPr>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gridSpan w:val="3"/>
          </w:tcPr>
          <w:p>
            <w:pPr>
              <w:spacing w:after="0"/>
              <w:rPr>
                <w:sz w:val="20"/>
                <w:szCs w:val="20"/>
                <w:color w:val="auto"/>
              </w:rPr>
            </w:pPr>
            <w:r>
              <w:rPr>
                <w:rFonts w:ascii="Courier New" w:cs="Courier New" w:eastAsia="Courier New" w:hAnsi="Courier New"/>
                <w:sz w:val="14"/>
                <w:szCs w:val="14"/>
                <w:color w:val="auto"/>
              </w:rPr>
              <w:t>Total Santana Row Retail</w:t>
            </w:r>
          </w:p>
        </w:tc>
        <w:tc>
          <w:tcPr>
            <w:tcW w:w="3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200,764</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38.0%</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125,295</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23.7%</w:t>
            </w:r>
          </w:p>
        </w:tc>
      </w:tr>
      <w:tr>
        <w:trPr>
          <w:trHeight w:val="166"/>
        </w:trPr>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520" w:type="dxa"/>
            <w:vAlign w:val="bottom"/>
            <w:gridSpan w:val="8"/>
          </w:tcPr>
          <w:p>
            <w:pPr>
              <w:ind w:left="80"/>
              <w:spacing w:after="0"/>
              <w:rPr>
                <w:sz w:val="20"/>
                <w:szCs w:val="20"/>
                <w:color w:val="auto"/>
              </w:rPr>
            </w:pPr>
            <w:r>
              <w:rPr>
                <w:rFonts w:ascii="Courier New" w:cs="Courier New" w:eastAsia="Courier New" w:hAnsi="Courier New"/>
                <w:sz w:val="14"/>
                <w:szCs w:val="14"/>
                <w:color w:val="auto"/>
              </w:rPr>
              <w:t>--------------------------------------------------------------------------------------------------</w:t>
            </w:r>
          </w:p>
        </w:tc>
      </w:tr>
      <w:tr>
        <w:trPr>
          <w:trHeight w:val="497"/>
        </w:trPr>
        <w:tc>
          <w:tcPr>
            <w:tcW w:w="2860" w:type="dxa"/>
            <w:vAlign w:val="bottom"/>
            <w:gridSpan w:val="3"/>
          </w:tcPr>
          <w:p>
            <w:pPr>
              <w:spacing w:after="0"/>
              <w:rPr>
                <w:sz w:val="20"/>
                <w:szCs w:val="20"/>
                <w:color w:val="auto"/>
              </w:rPr>
            </w:pPr>
            <w:r>
              <w:rPr>
                <w:rFonts w:ascii="Courier New" w:cs="Courier New" w:eastAsia="Courier New" w:hAnsi="Courier New"/>
                <w:sz w:val="14"/>
                <w:szCs w:val="14"/>
                <w:color w:val="auto"/>
              </w:rPr>
              <w:t>Residential Summary (1)</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286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663"/>
        </w:trPr>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520" w:type="dxa"/>
            <w:vAlign w:val="bottom"/>
            <w:gridSpan w:val="8"/>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Residential Units</w:t>
            </w: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Occupied</w:t>
            </w:r>
          </w:p>
        </w:tc>
        <w:tc>
          <w:tcPr>
            <w:tcW w:w="138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2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Building</w:t>
            </w:r>
          </w:p>
        </w:tc>
        <w:tc>
          <w:tcPr>
            <w:tcW w:w="12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Rent (2)</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Units</w:t>
            </w:r>
          </w:p>
        </w:tc>
        <w:tc>
          <w:tcPr>
            <w:tcW w:w="1500" w:type="dxa"/>
            <w:vAlign w:val="bottom"/>
          </w:tcPr>
          <w:p>
            <w:pPr>
              <w:jc w:val="right"/>
              <w:ind w:right="748"/>
              <w:spacing w:after="0"/>
              <w:rPr>
                <w:sz w:val="20"/>
                <w:szCs w:val="20"/>
                <w:color w:val="auto"/>
              </w:rPr>
            </w:pPr>
            <w:r>
              <w:rPr>
                <w:rFonts w:ascii="Courier New" w:cs="Courier New" w:eastAsia="Courier New" w:hAnsi="Courier New"/>
                <w:sz w:val="14"/>
                <w:szCs w:val="14"/>
                <w:color w:val="auto"/>
                <w:w w:val="98"/>
              </w:rPr>
              <w:t>% Leased</w:t>
            </w:r>
          </w:p>
        </w:tc>
        <w:tc>
          <w:tcPr>
            <w:tcW w:w="220" w:type="dxa"/>
            <w:vAlign w:val="bottom"/>
          </w:tcPr>
          <w:p>
            <w:pPr>
              <w:spacing w:after="0"/>
              <w:rPr>
                <w:sz w:val="14"/>
                <w:szCs w:val="14"/>
                <w:color w:val="auto"/>
              </w:rPr>
            </w:pPr>
          </w:p>
        </w:tc>
        <w:tc>
          <w:tcPr>
            <w:tcW w:w="8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Rent (3)</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Units</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of Total</w:t>
            </w:r>
          </w:p>
        </w:tc>
      </w:tr>
      <w:tr>
        <w:trPr>
          <w:trHeight w:val="166"/>
        </w:trPr>
        <w:tc>
          <w:tcPr>
            <w:tcW w:w="260" w:type="dxa"/>
            <w:vAlign w:val="bottom"/>
          </w:tcPr>
          <w:p>
            <w:pPr>
              <w:spacing w:after="0"/>
              <w:rPr>
                <w:sz w:val="14"/>
                <w:szCs w:val="14"/>
                <w:color w:val="auto"/>
              </w:rPr>
            </w:pPr>
          </w:p>
        </w:tc>
        <w:tc>
          <w:tcPr>
            <w:tcW w:w="2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748"/>
              <w:spacing w:after="0"/>
              <w:rPr>
                <w:sz w:val="20"/>
                <w:szCs w:val="20"/>
                <w:color w:val="auto"/>
              </w:rPr>
            </w:pPr>
            <w:r>
              <w:rPr>
                <w:rFonts w:ascii="Courier New" w:cs="Courier New" w:eastAsia="Courier New" w:hAnsi="Courier New"/>
                <w:sz w:val="14"/>
                <w:szCs w:val="14"/>
                <w:color w:val="auto"/>
                <w:w w:val="98"/>
              </w:rPr>
              <w:t>--------</w:t>
            </w:r>
          </w:p>
        </w:tc>
        <w:tc>
          <w:tcPr>
            <w:tcW w:w="10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1"/>
        </w:trPr>
        <w:tc>
          <w:tcPr>
            <w:tcW w:w="26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3</w:t>
            </w:r>
          </w:p>
        </w:tc>
        <w:tc>
          <w:tcPr>
            <w:tcW w:w="2240" w:type="dxa"/>
            <w:vAlign w:val="bottom"/>
          </w:tcPr>
          <w:p>
            <w:pPr>
              <w:ind w:left="160"/>
              <w:spacing w:after="0"/>
              <w:rPr>
                <w:sz w:val="20"/>
                <w:szCs w:val="20"/>
                <w:color w:val="auto"/>
              </w:rPr>
            </w:pPr>
            <w:r>
              <w:rPr>
                <w:rFonts w:ascii="Courier New" w:cs="Courier New" w:eastAsia="Courier New" w:hAnsi="Courier New"/>
                <w:sz w:val="14"/>
                <w:szCs w:val="14"/>
                <w:color w:val="auto"/>
              </w:rPr>
              <w:t>(Lofts)</w:t>
            </w:r>
          </w:p>
        </w:tc>
        <w:tc>
          <w:tcPr>
            <w:tcW w:w="340" w:type="dxa"/>
            <w:vAlign w:val="bottom"/>
          </w:tcPr>
          <w:p>
            <w:pPr>
              <w:ind w:left="24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2.02</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98</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57.1%</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1.89</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49.0%</w:t>
            </w:r>
          </w:p>
        </w:tc>
      </w:tr>
      <w:tr>
        <w:trPr>
          <w:trHeight w:val="166"/>
        </w:trPr>
        <w:tc>
          <w:tcPr>
            <w:tcW w:w="260" w:type="dxa"/>
            <w:vAlign w:val="bottom"/>
          </w:tcPr>
          <w:p>
            <w:pPr>
              <w:spacing w:after="0"/>
              <w:rPr>
                <w:sz w:val="14"/>
                <w:szCs w:val="14"/>
                <w:color w:val="auto"/>
              </w:rPr>
            </w:pP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4</w:t>
            </w:r>
          </w:p>
        </w:tc>
        <w:tc>
          <w:tcPr>
            <w:tcW w:w="2240" w:type="dxa"/>
            <w:vAlign w:val="bottom"/>
          </w:tcPr>
          <w:p>
            <w:pPr>
              <w:ind w:left="160"/>
              <w:spacing w:after="0"/>
              <w:rPr>
                <w:sz w:val="20"/>
                <w:szCs w:val="20"/>
                <w:color w:val="auto"/>
              </w:rPr>
            </w:pPr>
            <w:r>
              <w:rPr>
                <w:rFonts w:ascii="Courier New" w:cs="Courier New" w:eastAsia="Courier New" w:hAnsi="Courier New"/>
                <w:sz w:val="14"/>
                <w:szCs w:val="14"/>
                <w:color w:val="auto"/>
              </w:rPr>
              <w:t>(Lofts)</w:t>
            </w:r>
          </w:p>
        </w:tc>
        <w:tc>
          <w:tcPr>
            <w:tcW w:w="340" w:type="dxa"/>
            <w:vAlign w:val="bottom"/>
          </w:tcPr>
          <w:p>
            <w:pPr>
              <w:ind w:left="24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2.35</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57.0%</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42.0%</w:t>
            </w:r>
          </w:p>
        </w:tc>
      </w:tr>
      <w:tr>
        <w:trPr>
          <w:trHeight w:val="166"/>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(5)</w:t>
            </w: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6</w:t>
            </w:r>
          </w:p>
        </w:tc>
        <w:tc>
          <w:tcPr>
            <w:tcW w:w="2240" w:type="dxa"/>
            <w:vAlign w:val="bottom"/>
          </w:tcPr>
          <w:p>
            <w:pPr>
              <w:ind w:left="160"/>
              <w:spacing w:after="0"/>
              <w:rPr>
                <w:sz w:val="20"/>
                <w:szCs w:val="20"/>
                <w:color w:val="auto"/>
              </w:rPr>
            </w:pPr>
            <w:r>
              <w:rPr>
                <w:rFonts w:ascii="Courier New" w:cs="Courier New" w:eastAsia="Courier New" w:hAnsi="Courier New"/>
                <w:sz w:val="14"/>
                <w:szCs w:val="14"/>
                <w:color w:val="auto"/>
              </w:rPr>
              <w:t>(Villas)</w:t>
            </w:r>
          </w:p>
        </w:tc>
        <w:tc>
          <w:tcPr>
            <w:tcW w:w="340" w:type="dxa"/>
            <w:vAlign w:val="bottom"/>
          </w:tcPr>
          <w:p>
            <w:pPr>
              <w:ind w:left="24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2.47</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9.5%</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w:t>
            </w:r>
          </w:p>
        </w:tc>
      </w:tr>
      <w:tr>
        <w:trPr>
          <w:trHeight w:val="166"/>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(5)</w:t>
            </w:r>
          </w:p>
        </w:tc>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8</w:t>
            </w:r>
          </w:p>
        </w:tc>
        <w:tc>
          <w:tcPr>
            <w:tcW w:w="2240" w:type="dxa"/>
            <w:vAlign w:val="bottom"/>
          </w:tcPr>
          <w:p>
            <w:pPr>
              <w:ind w:left="160"/>
              <w:spacing w:after="0"/>
              <w:rPr>
                <w:sz w:val="20"/>
                <w:szCs w:val="20"/>
                <w:color w:val="auto"/>
              </w:rPr>
            </w:pPr>
            <w:r>
              <w:rPr>
                <w:rFonts w:ascii="Courier New" w:cs="Courier New" w:eastAsia="Courier New" w:hAnsi="Courier New"/>
                <w:sz w:val="14"/>
                <w:szCs w:val="14"/>
                <w:color w:val="auto"/>
              </w:rPr>
              <w:t>(Townhouses)</w:t>
            </w:r>
          </w:p>
        </w:tc>
        <w:tc>
          <w:tcPr>
            <w:tcW w:w="340" w:type="dxa"/>
            <w:vAlign w:val="bottom"/>
          </w:tcPr>
          <w:p>
            <w:pPr>
              <w:ind w:left="24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2.20</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0.0%</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0.0%</w:t>
            </w:r>
          </w:p>
        </w:tc>
      </w:tr>
      <w:tr>
        <w:trPr>
          <w:trHeight w:val="166"/>
        </w:trPr>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8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w w:val="99"/>
              </w:rPr>
              <w:t>----------</w:t>
            </w:r>
          </w:p>
        </w:tc>
        <w:tc>
          <w:tcPr>
            <w:tcW w:w="10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2860" w:type="dxa"/>
            <w:vAlign w:val="bottom"/>
            <w:gridSpan w:val="3"/>
          </w:tcPr>
          <w:p>
            <w:pPr>
              <w:spacing w:after="0"/>
              <w:rPr>
                <w:sz w:val="20"/>
                <w:szCs w:val="20"/>
                <w:color w:val="auto"/>
              </w:rPr>
            </w:pPr>
            <w:r>
              <w:rPr>
                <w:rFonts w:ascii="Courier New" w:cs="Courier New" w:eastAsia="Courier New" w:hAnsi="Courier New"/>
                <w:sz w:val="14"/>
                <w:szCs w:val="14"/>
                <w:color w:val="auto"/>
              </w:rPr>
              <w:t>Total Phase I Residential</w:t>
            </w:r>
          </w:p>
        </w:tc>
        <w:tc>
          <w:tcPr>
            <w:tcW w:w="340" w:type="dxa"/>
            <w:vAlign w:val="bottom"/>
          </w:tcPr>
          <w:p>
            <w:pPr>
              <w:ind w:left="24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2.22</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255</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45.1%</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1.96</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35.3%</w:t>
            </w:r>
          </w:p>
        </w:tc>
      </w:tr>
      <w:tr>
        <w:trPr>
          <w:trHeight w:val="166"/>
        </w:trPr>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8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w w:val="99"/>
              </w:rPr>
              <w:t>==========</w:t>
            </w:r>
          </w:p>
        </w:tc>
        <w:tc>
          <w:tcPr>
            <w:tcW w:w="10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520" w:type="dxa"/>
            <w:vAlign w:val="bottom"/>
            <w:gridSpan w:val="8"/>
          </w:tcPr>
          <w:p>
            <w:pPr>
              <w:ind w:left="80"/>
              <w:spacing w:after="0"/>
              <w:rPr>
                <w:sz w:val="20"/>
                <w:szCs w:val="20"/>
                <w:color w:val="auto"/>
              </w:rPr>
            </w:pPr>
            <w:r>
              <w:rPr>
                <w:rFonts w:ascii="Courier New" w:cs="Courier New" w:eastAsia="Courier New" w:hAnsi="Courier New"/>
                <w:sz w:val="14"/>
                <w:szCs w:val="14"/>
                <w:color w:val="auto"/>
              </w:rPr>
              <w:t>--------------------------------------------------------------------------------------------------</w:t>
            </w:r>
          </w:p>
        </w:tc>
      </w:tr>
      <w:tr>
        <w:trPr>
          <w:trHeight w:val="497"/>
        </w:trPr>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520" w:type="dxa"/>
            <w:vAlign w:val="bottom"/>
            <w:gridSpan w:val="8"/>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Leased (Unoccupied)</w:t>
            </w: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Available to Lease</w:t>
            </w:r>
          </w:p>
        </w:tc>
        <w:tc>
          <w:tcPr>
            <w:tcW w:w="1380" w:type="dxa"/>
            <w:vAlign w:val="bottom"/>
          </w:tcPr>
          <w:p>
            <w:pPr>
              <w:spacing w:after="0"/>
              <w:rPr>
                <w:sz w:val="14"/>
                <w:szCs w:val="14"/>
                <w:color w:val="auto"/>
              </w:rPr>
            </w:pPr>
          </w:p>
        </w:tc>
      </w:tr>
    </w:tbl>
    <w:p>
      <w:pPr>
        <w:sectPr>
          <w:pgSz w:w="11900" w:h="16880" w:orient="portrait"/>
          <w:cols w:equalWidth="0" w:num="1">
            <w:col w:w="11380"/>
          </w:cols>
          <w:pgMar w:left="220" w:top="616" w:right="29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r>
      <w:tr>
        <w:trPr>
          <w:trHeight w:val="166"/>
        </w:trPr>
        <w:tc>
          <w:tcPr>
            <w:tcW w:w="360" w:type="dxa"/>
            <w:vAlign w:val="bottom"/>
          </w:tcPr>
          <w:p>
            <w:pPr>
              <w:spacing w:after="0"/>
              <w:rPr>
                <w:sz w:val="14"/>
                <w:szCs w:val="14"/>
                <w:color w:val="auto"/>
              </w:rPr>
            </w:pPr>
          </w:p>
        </w:tc>
        <w:tc>
          <w:tcPr>
            <w:tcW w:w="22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Building</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rPr>
              <w:t>Rent</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(3)</w:t>
            </w:r>
          </w:p>
        </w:tc>
        <w:tc>
          <w:tcPr>
            <w:tcW w:w="17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Units</w:t>
            </w:r>
          </w:p>
        </w:tc>
        <w:tc>
          <w:tcPr>
            <w:tcW w:w="1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of Total</w:t>
            </w:r>
          </w:p>
        </w:tc>
        <w:tc>
          <w:tcPr>
            <w:tcW w:w="12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Rent (4)</w:t>
            </w:r>
          </w:p>
        </w:tc>
        <w:tc>
          <w:tcPr>
            <w:tcW w:w="17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Units</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of Total</w:t>
            </w:r>
          </w:p>
        </w:tc>
      </w:tr>
      <w:tr>
        <w:trPr>
          <w:trHeight w:val="166"/>
        </w:trPr>
        <w:tc>
          <w:tcPr>
            <w:tcW w:w="360" w:type="dxa"/>
            <w:vAlign w:val="bottom"/>
          </w:tcPr>
          <w:p>
            <w:pPr>
              <w:spacing w:after="0"/>
              <w:rPr>
                <w:sz w:val="14"/>
                <w:szCs w:val="14"/>
                <w:color w:val="auto"/>
              </w:rPr>
            </w:pPr>
          </w:p>
        </w:tc>
        <w:tc>
          <w:tcPr>
            <w:tcW w:w="22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360" w:type="dxa"/>
            <w:vAlign w:val="bottom"/>
          </w:tcPr>
          <w:p>
            <w:pPr>
              <w:spacing w:after="0"/>
              <w:rPr>
                <w:sz w:val="24"/>
                <w:szCs w:val="2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3</w:t>
            </w:r>
          </w:p>
        </w:tc>
        <w:tc>
          <w:tcPr>
            <w:tcW w:w="1860" w:type="dxa"/>
            <w:vAlign w:val="bottom"/>
          </w:tcPr>
          <w:p>
            <w:pPr>
              <w:spacing w:after="0"/>
              <w:rPr>
                <w:sz w:val="20"/>
                <w:szCs w:val="20"/>
                <w:color w:val="auto"/>
              </w:rPr>
            </w:pPr>
            <w:r>
              <w:rPr>
                <w:rFonts w:ascii="Courier New" w:cs="Courier New" w:eastAsia="Courier New" w:hAnsi="Courier New"/>
                <w:sz w:val="14"/>
                <w:szCs w:val="14"/>
                <w:color w:val="auto"/>
              </w:rPr>
              <w:t>(Lofts)</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2.04</w:t>
            </w:r>
          </w:p>
        </w:tc>
        <w:tc>
          <w:tcPr>
            <w:tcW w:w="17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w:t>
            </w:r>
          </w:p>
        </w:tc>
        <w:tc>
          <w:tcPr>
            <w:tcW w:w="13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w:t>
            </w:r>
          </w:p>
        </w:tc>
        <w:tc>
          <w:tcPr>
            <w:tcW w:w="6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1.96</w:t>
            </w:r>
          </w:p>
        </w:tc>
        <w:tc>
          <w:tcPr>
            <w:tcW w:w="17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42.9%</w:t>
            </w:r>
          </w:p>
        </w:tc>
      </w:tr>
      <w:tr>
        <w:trPr>
          <w:trHeight w:val="166"/>
        </w:trPr>
        <w:tc>
          <w:tcPr>
            <w:tcW w:w="36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4</w:t>
            </w:r>
          </w:p>
        </w:tc>
        <w:tc>
          <w:tcPr>
            <w:tcW w:w="1860" w:type="dxa"/>
            <w:vAlign w:val="bottom"/>
          </w:tcPr>
          <w:p>
            <w:pPr>
              <w:spacing w:after="0"/>
              <w:rPr>
                <w:sz w:val="20"/>
                <w:szCs w:val="20"/>
                <w:color w:val="auto"/>
              </w:rPr>
            </w:pPr>
            <w:r>
              <w:rPr>
                <w:rFonts w:ascii="Courier New" w:cs="Courier New" w:eastAsia="Courier New" w:hAnsi="Courier New"/>
                <w:sz w:val="14"/>
                <w:szCs w:val="14"/>
                <w:color w:val="auto"/>
              </w:rPr>
              <w:t>(Lofts)</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2.08</w:t>
            </w:r>
          </w:p>
        </w:tc>
        <w:tc>
          <w:tcPr>
            <w:tcW w:w="17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w:t>
            </w:r>
          </w:p>
        </w:tc>
        <w:tc>
          <w:tcPr>
            <w:tcW w:w="13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15.0%</w:t>
            </w:r>
          </w:p>
        </w:tc>
        <w:tc>
          <w:tcPr>
            <w:tcW w:w="6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2.21</w:t>
            </w:r>
          </w:p>
        </w:tc>
        <w:tc>
          <w:tcPr>
            <w:tcW w:w="17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43.0%</w:t>
            </w:r>
          </w:p>
        </w:tc>
      </w:tr>
      <w:tr>
        <w:trPr>
          <w:trHeight w:val="166"/>
        </w:trPr>
        <w:tc>
          <w:tcPr>
            <w:tcW w:w="36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6</w:t>
            </w:r>
          </w:p>
        </w:tc>
        <w:tc>
          <w:tcPr>
            <w:tcW w:w="1860" w:type="dxa"/>
            <w:vAlign w:val="bottom"/>
          </w:tcPr>
          <w:p>
            <w:pPr>
              <w:spacing w:after="0"/>
              <w:rPr>
                <w:sz w:val="20"/>
                <w:szCs w:val="20"/>
                <w:color w:val="auto"/>
              </w:rPr>
            </w:pPr>
            <w:r>
              <w:rPr>
                <w:rFonts w:ascii="Courier New" w:cs="Courier New" w:eastAsia="Courier New" w:hAnsi="Courier New"/>
                <w:sz w:val="14"/>
                <w:szCs w:val="14"/>
                <w:color w:val="auto"/>
              </w:rPr>
              <w:t>(Villas)</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2.71</w:t>
            </w:r>
          </w:p>
        </w:tc>
        <w:tc>
          <w:tcPr>
            <w:tcW w:w="17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w:t>
            </w:r>
          </w:p>
        </w:tc>
        <w:tc>
          <w:tcPr>
            <w:tcW w:w="13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9.5%</w:t>
            </w:r>
          </w:p>
        </w:tc>
        <w:tc>
          <w:tcPr>
            <w:tcW w:w="6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2.83</w:t>
            </w:r>
          </w:p>
        </w:tc>
        <w:tc>
          <w:tcPr>
            <w:tcW w:w="17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90.5%</w:t>
            </w:r>
          </w:p>
        </w:tc>
      </w:tr>
      <w:tr>
        <w:trPr>
          <w:trHeight w:val="166"/>
        </w:trPr>
        <w:tc>
          <w:tcPr>
            <w:tcW w:w="36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420" w:type="dxa"/>
            <w:vAlign w:val="bottom"/>
          </w:tcPr>
          <w:p>
            <w:pPr>
              <w:ind w:left="80"/>
              <w:spacing w:after="0"/>
              <w:rPr>
                <w:sz w:val="20"/>
                <w:szCs w:val="20"/>
                <w:color w:val="auto"/>
              </w:rPr>
            </w:pPr>
            <w:r>
              <w:rPr>
                <w:rFonts w:ascii="Courier New" w:cs="Courier New" w:eastAsia="Courier New" w:hAnsi="Courier New"/>
                <w:sz w:val="14"/>
                <w:szCs w:val="14"/>
                <w:color w:val="auto"/>
              </w:rPr>
              <w:t>8</w:t>
            </w:r>
          </w:p>
        </w:tc>
        <w:tc>
          <w:tcPr>
            <w:tcW w:w="1860" w:type="dxa"/>
            <w:vAlign w:val="bottom"/>
          </w:tcPr>
          <w:p>
            <w:pPr>
              <w:spacing w:after="0"/>
              <w:rPr>
                <w:sz w:val="20"/>
                <w:szCs w:val="20"/>
                <w:color w:val="auto"/>
              </w:rPr>
            </w:pPr>
            <w:r>
              <w:rPr>
                <w:rFonts w:ascii="Courier New" w:cs="Courier New" w:eastAsia="Courier New" w:hAnsi="Courier New"/>
                <w:sz w:val="14"/>
                <w:szCs w:val="14"/>
                <w:color w:val="auto"/>
              </w:rPr>
              <w:t>(Townhouses)</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w:t>
            </w:r>
          </w:p>
        </w:tc>
        <w:tc>
          <w:tcPr>
            <w:tcW w:w="6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2.34</w:t>
            </w:r>
          </w:p>
        </w:tc>
        <w:tc>
          <w:tcPr>
            <w:tcW w:w="17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8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640" w:type="dxa"/>
            <w:vAlign w:val="bottom"/>
            <w:gridSpan w:val="3"/>
          </w:tcPr>
          <w:p>
            <w:pPr>
              <w:spacing w:after="0"/>
              <w:rPr>
                <w:sz w:val="20"/>
                <w:szCs w:val="20"/>
                <w:color w:val="auto"/>
              </w:rPr>
            </w:pPr>
            <w:r>
              <w:rPr>
                <w:rFonts w:ascii="Courier New" w:cs="Courier New" w:eastAsia="Courier New" w:hAnsi="Courier New"/>
                <w:sz w:val="14"/>
                <w:szCs w:val="14"/>
                <w:color w:val="auto"/>
              </w:rPr>
              <w:t>Total Phase I Residential</w:t>
            </w:r>
          </w:p>
        </w:tc>
        <w:tc>
          <w:tcPr>
            <w:tcW w:w="900" w:type="dxa"/>
            <w:vAlign w:val="bottom"/>
          </w:tcPr>
          <w:p>
            <w:pPr>
              <w:ind w:left="460"/>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2.12</w:t>
            </w:r>
          </w:p>
        </w:tc>
        <w:tc>
          <w:tcPr>
            <w:tcW w:w="17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w:t>
            </w:r>
          </w:p>
        </w:tc>
        <w:tc>
          <w:tcPr>
            <w:tcW w:w="13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w:t>
            </w:r>
          </w:p>
        </w:tc>
        <w:tc>
          <w:tcPr>
            <w:tcW w:w="6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2.32</w:t>
            </w:r>
          </w:p>
        </w:tc>
        <w:tc>
          <w:tcPr>
            <w:tcW w:w="17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54.9%</w:t>
            </w:r>
          </w:p>
        </w:tc>
      </w:tr>
      <w:tr>
        <w:trPr>
          <w:trHeight w:val="166"/>
        </w:trPr>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8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ectPr>
          <w:pgSz w:w="11900" w:h="16838" w:orient="portrait"/>
          <w:cols w:equalWidth="0" w:num="1">
            <w:col w:w="11380"/>
          </w:cols>
          <w:pgMar w:left="220" w:top="141" w:right="299" w:bottom="1440" w:gutter="0" w:footer="0" w:header="0"/>
        </w:sectPr>
      </w:pPr>
    </w:p>
    <w:p>
      <w:pPr>
        <w:ind w:left="29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380"/>
          </w:cols>
          <w:pgMar w:left="220" w:top="141" w:right="299"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Hotel Summary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 213 room boutique hotel owned and operated by the Valencia Group. Opening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currently scheduled for second quarter 2003.</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Summary (as of December 31, 2002):</w:t>
      </w:r>
    </w:p>
    <w:p>
      <w:pPr>
        <w:sectPr>
          <w:pgSz w:w="11900" w:h="16838" w:orient="portrait"/>
          <w:cols w:equalWidth="0" w:num="1">
            <w:col w:w="11380"/>
          </w:cols>
          <w:pgMar w:left="220" w:top="141" w:right="29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tabs>
          <w:tab w:leader="none" w:pos="3860" w:val="left"/>
        </w:tabs>
        <w:rPr>
          <w:sz w:val="20"/>
          <w:szCs w:val="20"/>
          <w:color w:val="auto"/>
        </w:rPr>
      </w:pPr>
      <w:r>
        <w:rPr>
          <w:rFonts w:ascii="Courier New" w:cs="Courier New" w:eastAsia="Courier New" w:hAnsi="Courier New"/>
          <w:sz w:val="14"/>
          <w:szCs w:val="14"/>
          <w:color w:val="auto"/>
        </w:rPr>
        <w:t>All amounts $ million</w:t>
      </w:r>
      <w:r>
        <w:rPr>
          <w:sz w:val="20"/>
          <w:szCs w:val="20"/>
          <w:color w:val="auto"/>
        </w:rPr>
        <w:tab/>
      </w:r>
      <w:r>
        <w:rPr>
          <w:rFonts w:ascii="Courier New" w:cs="Courier New" w:eastAsia="Courier New" w:hAnsi="Courier New"/>
          <w:sz w:val="14"/>
          <w:szCs w:val="14"/>
          <w:color w:val="auto"/>
        </w:rPr>
        <w:t>Projected</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Cost (6)</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Anticipated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Stabilized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Yield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Stabilized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4">
            <w:col w:w="4660" w:space="520"/>
            <w:col w:w="680" w:space="520"/>
            <w:col w:w="1120" w:space="180"/>
            <w:col w:w="3700"/>
          </w:cols>
          <w:pgMar w:left="220" w:top="141" w:right="299"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Santana Row Phase I</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Santana Row Phase 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both"/>
        <w:spacing w:after="0"/>
        <w:tabs>
          <w:tab w:leader="none" w:pos="680" w:val="left"/>
        </w:tabs>
        <w:rPr>
          <w:sz w:val="20"/>
          <w:szCs w:val="20"/>
          <w:color w:val="auto"/>
        </w:rPr>
      </w:pPr>
      <w:r>
        <w:rPr>
          <w:rFonts w:ascii="Courier New" w:cs="Courier New" w:eastAsia="Courier New" w:hAnsi="Courier New"/>
          <w:sz w:val="14"/>
          <w:szCs w:val="14"/>
          <w:color w:val="auto"/>
        </w:rPr>
        <w:t>445</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jc w:val="both"/>
        <w:ind w:left="80"/>
        <w:spacing w:after="0"/>
        <w:tabs>
          <w:tab w:leader="none" w:pos="680" w:val="left"/>
        </w:tabs>
        <w:rPr>
          <w:sz w:val="20"/>
          <w:szCs w:val="20"/>
          <w:color w:val="auto"/>
        </w:rPr>
      </w:pPr>
      <w:r>
        <w:rPr>
          <w:rFonts w:ascii="Courier New" w:cs="Courier New" w:eastAsia="Courier New" w:hAnsi="Courier New"/>
          <w:sz w:val="14"/>
          <w:szCs w:val="14"/>
          <w:color w:val="auto"/>
        </w:rPr>
        <w:t>27</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500"/>
        <w:spacing w:after="0"/>
        <w:rPr>
          <w:sz w:val="20"/>
          <w:szCs w:val="20"/>
          <w:color w:val="auto"/>
        </w:rPr>
      </w:pPr>
      <w:r>
        <w:rPr>
          <w:rFonts w:ascii="Courier New" w:cs="Courier New" w:eastAsia="Courier New" w:hAnsi="Courier New"/>
          <w:sz w:val="14"/>
          <w:szCs w:val="14"/>
          <w:color w:val="auto"/>
        </w:rPr>
        <w:t>434</w:t>
      </w:r>
    </w:p>
    <w:p>
      <w:pPr>
        <w:spacing w:after="0" w:line="7" w:lineRule="exact"/>
        <w:rPr>
          <w:sz w:val="20"/>
          <w:szCs w:val="20"/>
          <w:color w:val="auto"/>
        </w:rPr>
      </w:pPr>
    </w:p>
    <w:p>
      <w:pPr>
        <w:jc w:val="right"/>
        <w:ind w:right="5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3"/>
          <w:szCs w:val="13"/>
          <w:color w:val="auto"/>
        </w:rPr>
        <w:t>5%</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2004</w:t>
      </w:r>
    </w:p>
    <w:p>
      <w:pPr>
        <w:spacing w:after="0" w:line="200" w:lineRule="exact"/>
        <w:rPr>
          <w:sz w:val="20"/>
          <w:szCs w:val="20"/>
          <w:color w:val="auto"/>
        </w:rPr>
      </w:pPr>
    </w:p>
    <w:p>
      <w:pPr>
        <w:sectPr>
          <w:pgSz w:w="11900" w:h="16838" w:orient="portrait"/>
          <w:cols w:equalWidth="0" w:num="6">
            <w:col w:w="3160" w:space="720"/>
            <w:col w:w="100" w:space="420"/>
            <w:col w:w="780" w:space="420"/>
            <w:col w:w="760" w:space="720"/>
            <w:col w:w="560" w:space="720"/>
            <w:col w:w="3020"/>
          </w:cols>
          <w:pgMar w:left="220" w:top="141" w:right="299" w:bottom="1440" w:gutter="0" w:footer="0" w:header="0"/>
          <w:type w:val="continuous"/>
        </w:sect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hanging="432"/>
        <w:spacing w:after="0"/>
        <w:tabs>
          <w:tab w:leader="none" w:pos="4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Retail and residential leasing summaries are as of February 4, 2003</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Budgeted rents to meet Phase I stabilized yield target</w:t>
      </w:r>
    </w:p>
    <w:p>
      <w:pPr>
        <w:spacing w:after="0" w:line="7" w:lineRule="exact"/>
        <w:rPr>
          <w:rFonts w:ascii="Courier New" w:cs="Courier New" w:eastAsia="Courier New" w:hAnsi="Courier New"/>
          <w:sz w:val="14"/>
          <w:szCs w:val="14"/>
          <w:color w:val="auto"/>
        </w:rPr>
      </w:pPr>
    </w:p>
    <w:p>
      <w:pPr>
        <w:ind w:left="440" w:right="4740" w:hanging="432"/>
        <w:spacing w:after="0" w:line="250" w:lineRule="auto"/>
        <w:tabs>
          <w:tab w:leader="none" w:pos="4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Gross rents, though market conditions have dictated concessions of up to one month on a 12 month lease</w:t>
      </w:r>
    </w:p>
    <w:p>
      <w:pPr>
        <w:ind w:left="440" w:right="5080" w:hanging="432"/>
        <w:spacing w:after="0" w:line="250" w:lineRule="auto"/>
        <w:tabs>
          <w:tab w:leader="none" w:pos="4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Gross market rents for Buildings 3 and 4, and gross asking rents for Buildings 6 and 8</w:t>
      </w:r>
    </w:p>
    <w:p>
      <w:pPr>
        <w:ind w:left="440" w:right="4820" w:hanging="432"/>
        <w:spacing w:after="0" w:line="250" w:lineRule="auto"/>
        <w:tabs>
          <w:tab w:leader="none" w:pos="4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Villas in Building 6 and Townhouses in Building 8 will be available for occupancy in March 2003</w:t>
      </w:r>
    </w:p>
    <w:p>
      <w:pPr>
        <w:ind w:left="440" w:right="4740" w:hanging="432"/>
        <w:spacing w:after="0" w:line="250" w:lineRule="auto"/>
        <w:tabs>
          <w:tab w:leader="none" w:pos="4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Phase I includes the cost of all land and substantial infrastructure for future phases, net of anticipated fire insurance proceeds.</w:t>
      </w:r>
    </w:p>
    <w:p>
      <w:pPr>
        <w:ind w:left="440" w:right="4820" w:hanging="432"/>
        <w:spacing w:after="0" w:line="255" w:lineRule="auto"/>
        <w:tabs>
          <w:tab w:leader="none" w:pos="4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Phase I Cost to Date includes costs associated with the Building 7 fire and clean-up, before any insurance reimbursements.</w:t>
      </w:r>
    </w:p>
    <w:p>
      <w:pPr>
        <w:sectPr>
          <w:pgSz w:w="11900" w:h="16838" w:orient="portrait"/>
          <w:cols w:equalWidth="0" w:num="1">
            <w:col w:w="11380"/>
          </w:cols>
          <w:pgMar w:left="220" w:top="141" w:right="299" w:bottom="1440" w:gutter="0" w:footer="0" w:header="0"/>
          <w:type w:val="continuous"/>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Acquisitions and Dispositions - Year to 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Acquisitions</w:t>
      </w:r>
    </w:p>
    <w:p>
      <w:pPr>
        <w:spacing w:after="0" w:line="7" w:lineRule="exact"/>
        <w:rPr>
          <w:sz w:val="20"/>
          <w:szCs w:val="20"/>
          <w:color w:val="auto"/>
        </w:r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Dispositions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spacing w:after="0"/>
        <w:tabs>
          <w:tab w:leader="none" w:pos="1460" w:val="left"/>
          <w:tab w:leader="none" w:pos="3780" w:val="left"/>
          <w:tab w:leader="none" w:pos="5680" w:val="left"/>
          <w:tab w:leader="none" w:pos="6280" w:val="left"/>
          <w:tab w:leader="none" w:pos="7400" w:val="left"/>
          <w:tab w:leader="none" w:pos="8680" w:val="left"/>
        </w:tabs>
        <w:rPr>
          <w:sz w:val="20"/>
          <w:szCs w:val="20"/>
          <w:color w:val="auto"/>
        </w:rPr>
      </w:pP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Property</w:t>
      </w:r>
      <w:r>
        <w:rPr>
          <w:sz w:val="20"/>
          <w:szCs w:val="20"/>
          <w:color w:val="auto"/>
        </w:rPr>
        <w:tab/>
      </w:r>
      <w:r>
        <w:rPr>
          <w:rFonts w:ascii="Courier New" w:cs="Courier New" w:eastAsia="Courier New" w:hAnsi="Courier New"/>
          <w:sz w:val="14"/>
          <w:szCs w:val="14"/>
          <w:color w:val="auto"/>
        </w:rPr>
        <w:t>City / State</w:t>
      </w:r>
      <w:r>
        <w:rPr>
          <w:sz w:val="20"/>
          <w:szCs w:val="20"/>
          <w:color w:val="auto"/>
        </w:rPr>
        <w:tab/>
      </w:r>
      <w:r>
        <w:rPr>
          <w:rFonts w:ascii="Courier New" w:cs="Courier New" w:eastAsia="Courier New" w:hAnsi="Courier New"/>
          <w:sz w:val="14"/>
          <w:szCs w:val="14"/>
          <w:color w:val="auto"/>
        </w:rPr>
        <w:t>GLA</w:t>
      </w:r>
      <w:r>
        <w:rPr>
          <w:sz w:val="20"/>
          <w:szCs w:val="20"/>
          <w:color w:val="auto"/>
        </w:rPr>
        <w:tab/>
      </w:r>
      <w:r>
        <w:rPr>
          <w:rFonts w:ascii="Courier New" w:cs="Courier New" w:eastAsia="Courier New" w:hAnsi="Courier New"/>
          <w:sz w:val="14"/>
          <w:szCs w:val="14"/>
          <w:color w:val="auto"/>
        </w:rPr>
        <w:t>Sales price</w:t>
        <w:tab/>
        <w:t>Cap rate (1)</w:t>
      </w:r>
      <w:r>
        <w:rPr>
          <w:sz w:val="20"/>
          <w:szCs w:val="20"/>
          <w:color w:val="auto"/>
        </w:rPr>
        <w:tab/>
      </w:r>
      <w:r>
        <w:rPr>
          <w:rFonts w:ascii="Courier New" w:cs="Courier New" w:eastAsia="Courier New" w:hAnsi="Courier New"/>
          <w:sz w:val="14"/>
          <w:szCs w:val="14"/>
          <w:color w:val="auto"/>
        </w:rPr>
        <w:t>Anchor tenant</w:t>
      </w:r>
    </w:p>
    <w:p>
      <w:pPr>
        <w:spacing w:after="0" w:line="7" w:lineRule="exact"/>
        <w:rPr>
          <w:sz w:val="20"/>
          <w:szCs w:val="20"/>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tcPr>
          <w:p>
            <w:pPr>
              <w:spacing w:after="0"/>
              <w:rPr>
                <w:sz w:val="20"/>
                <w:szCs w:val="20"/>
                <w:color w:val="auto"/>
              </w:rPr>
            </w:pPr>
            <w:r>
              <w:rPr>
                <w:rFonts w:ascii="Courier New" w:cs="Courier New" w:eastAsia="Courier New" w:hAnsi="Courier New"/>
                <w:sz w:val="14"/>
                <w:szCs w:val="14"/>
                <w:color w:val="auto"/>
              </w:rPr>
              <w:t>April 11, 2002</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252</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- 264 Greenwich Ave</w:t>
            </w: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Greenwich, CT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24,000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$ 16,500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7.30%</w:t>
            </w:r>
          </w:p>
        </w:tc>
        <w:tc>
          <w:tcPr>
            <w:tcW w:w="3060" w:type="dxa"/>
            <w:vAlign w:val="bottom"/>
          </w:tcPr>
          <w:p>
            <w:pPr>
              <w:ind w:left="380"/>
              <w:spacing w:after="0"/>
              <w:rPr>
                <w:sz w:val="20"/>
                <w:szCs w:val="20"/>
                <w:color w:val="auto"/>
              </w:rPr>
            </w:pPr>
            <w:r>
              <w:rPr>
                <w:rFonts w:ascii="Courier New" w:cs="Courier New" w:eastAsia="Courier New" w:hAnsi="Courier New"/>
                <w:sz w:val="14"/>
                <w:szCs w:val="14"/>
                <w:color w:val="auto"/>
              </w:rPr>
              <w:t>Banana Republic, Gap Kids</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April 30, 2002</w:t>
            </w:r>
          </w:p>
        </w:tc>
        <w:tc>
          <w:tcPr>
            <w:tcW w:w="440" w:type="dxa"/>
            <w:vAlign w:val="bottom"/>
          </w:tcPr>
          <w:p>
            <w:pPr>
              <w:ind w:left="140"/>
              <w:spacing w:after="0"/>
              <w:rPr>
                <w:sz w:val="20"/>
                <w:szCs w:val="20"/>
                <w:color w:val="auto"/>
              </w:rPr>
            </w:pPr>
            <w:r>
              <w:rPr>
                <w:rFonts w:ascii="Courier New" w:cs="Courier New" w:eastAsia="Courier New" w:hAnsi="Courier New"/>
                <w:sz w:val="14"/>
                <w:szCs w:val="14"/>
                <w:color w:val="auto"/>
              </w:rPr>
              <w:t>138</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Central Ave</w:t>
            </w: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Westfield, NJ</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11,000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8.10%</w:t>
            </w:r>
          </w:p>
        </w:tc>
        <w:tc>
          <w:tcPr>
            <w:tcW w:w="3060" w:type="dxa"/>
            <w:vAlign w:val="bottom"/>
          </w:tcPr>
          <w:p>
            <w:pPr>
              <w:ind w:left="380"/>
              <w:spacing w:after="0"/>
              <w:rPr>
                <w:sz w:val="20"/>
                <w:szCs w:val="20"/>
                <w:color w:val="auto"/>
              </w:rPr>
            </w:pPr>
            <w:r>
              <w:rPr>
                <w:rFonts w:ascii="Courier New" w:cs="Courier New" w:eastAsia="Courier New" w:hAnsi="Courier New"/>
                <w:sz w:val="14"/>
                <w:szCs w:val="14"/>
                <w:color w:val="auto"/>
              </w:rPr>
              <w:t>Legg Mason, Toys R Us</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April 30, 2002</w:t>
            </w:r>
          </w:p>
        </w:tc>
        <w:tc>
          <w:tcPr>
            <w:tcW w:w="22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Ships Building</w:t>
            </w: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Westport, CT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16,000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7.60%</w:t>
            </w:r>
          </w:p>
        </w:tc>
        <w:tc>
          <w:tcPr>
            <w:tcW w:w="3060" w:type="dxa"/>
            <w:vAlign w:val="bottom"/>
          </w:tcPr>
          <w:p>
            <w:pPr>
              <w:ind w:left="380"/>
              <w:spacing w:after="0"/>
              <w:rPr>
                <w:sz w:val="20"/>
                <w:szCs w:val="20"/>
                <w:color w:val="auto"/>
              </w:rPr>
            </w:pPr>
            <w:r>
              <w:rPr>
                <w:rFonts w:ascii="Courier New" w:cs="Courier New" w:eastAsia="Courier New" w:hAnsi="Courier New"/>
                <w:sz w:val="14"/>
                <w:szCs w:val="14"/>
                <w:color w:val="auto"/>
              </w:rPr>
              <w:t>Eddie Bauer</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April 30, 2002</w:t>
            </w:r>
          </w:p>
        </w:tc>
        <w:tc>
          <w:tcPr>
            <w:tcW w:w="22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27 Main Street</w:t>
            </w: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Westport, CT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7.30%</w:t>
            </w:r>
          </w:p>
        </w:tc>
        <w:tc>
          <w:tcPr>
            <w:tcW w:w="3060" w:type="dxa"/>
            <w:vAlign w:val="bottom"/>
          </w:tcPr>
          <w:p>
            <w:pPr>
              <w:ind w:left="380"/>
              <w:spacing w:after="0"/>
              <w:rPr>
                <w:sz w:val="20"/>
                <w:szCs w:val="20"/>
                <w:color w:val="auto"/>
              </w:rPr>
            </w:pPr>
            <w:r>
              <w:rPr>
                <w:rFonts w:ascii="Courier New" w:cs="Courier New" w:eastAsia="Courier New" w:hAnsi="Courier New"/>
                <w:sz w:val="14"/>
                <w:szCs w:val="14"/>
                <w:color w:val="auto"/>
              </w:rPr>
              <w:t>Pottery Barn</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June 6, 2002</w:t>
            </w:r>
          </w:p>
        </w:tc>
        <w:tc>
          <w:tcPr>
            <w:tcW w:w="22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Uptown Shopping Center</w:t>
            </w: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Portland, OR</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100,000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20,800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8.40%</w:t>
            </w:r>
          </w:p>
        </w:tc>
        <w:tc>
          <w:tcPr>
            <w:tcW w:w="3060" w:type="dxa"/>
            <w:vAlign w:val="bottom"/>
          </w:tcPr>
          <w:p>
            <w:pPr>
              <w:ind w:left="380"/>
              <w:spacing w:after="0"/>
              <w:rPr>
                <w:sz w:val="20"/>
                <w:szCs w:val="20"/>
                <w:color w:val="auto"/>
              </w:rPr>
            </w:pPr>
            <w:r>
              <w:rPr>
                <w:rFonts w:ascii="Courier New" w:cs="Courier New" w:eastAsia="Courier New" w:hAnsi="Courier New"/>
                <w:sz w:val="14"/>
                <w:szCs w:val="14"/>
                <w:color w:val="auto"/>
              </w:rPr>
              <w:t>Zupan's Market, Elephant's Deli</w:t>
            </w:r>
          </w:p>
        </w:tc>
      </w:tr>
      <w:tr>
        <w:trPr>
          <w:trHeight w:val="331"/>
        </w:trPr>
        <w:tc>
          <w:tcPr>
            <w:tcW w:w="1340" w:type="dxa"/>
            <w:vAlign w:val="bottom"/>
          </w:tcPr>
          <w:p>
            <w:pPr>
              <w:spacing w:after="0"/>
              <w:rPr>
                <w:sz w:val="20"/>
                <w:szCs w:val="20"/>
                <w:color w:val="auto"/>
              </w:rPr>
            </w:pPr>
            <w:r>
              <w:rPr>
                <w:rFonts w:ascii="Courier New" w:cs="Courier New" w:eastAsia="Courier New" w:hAnsi="Courier New"/>
                <w:sz w:val="14"/>
                <w:szCs w:val="14"/>
                <w:color w:val="auto"/>
              </w:rPr>
              <w:t>June 18, 2002</w:t>
            </w:r>
          </w:p>
        </w:tc>
        <w:tc>
          <w:tcPr>
            <w:tcW w:w="22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6410 Hollywood Blvd</w:t>
            </w: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Hollywood, CA</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12,000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4.30%</w:t>
            </w:r>
          </w:p>
        </w:tc>
        <w:tc>
          <w:tcPr>
            <w:tcW w:w="3060" w:type="dxa"/>
            <w:vAlign w:val="bottom"/>
          </w:tcPr>
          <w:p>
            <w:pPr>
              <w:ind w:left="380"/>
              <w:spacing w:after="0"/>
              <w:rPr>
                <w:sz w:val="20"/>
                <w:szCs w:val="20"/>
                <w:color w:val="auto"/>
              </w:rPr>
            </w:pPr>
            <w:r>
              <w:rPr>
                <w:rFonts w:ascii="Courier New" w:cs="Courier New" w:eastAsia="Courier New" w:hAnsi="Courier New"/>
                <w:sz w:val="14"/>
                <w:szCs w:val="14"/>
                <w:color w:val="auto"/>
              </w:rPr>
              <w:t>Hollywood Suit Outlet</w:t>
            </w:r>
          </w:p>
        </w:tc>
      </w:tr>
      <w:tr>
        <w:trPr>
          <w:trHeight w:val="166"/>
        </w:trPr>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60" w:type="dxa"/>
            <w:vAlign w:val="bottom"/>
          </w:tcPr>
          <w:p>
            <w:pPr>
              <w:spacing w:after="0"/>
              <w:rPr>
                <w:sz w:val="14"/>
                <w:szCs w:val="14"/>
                <w:color w:val="auto"/>
              </w:rPr>
            </w:pPr>
          </w:p>
        </w:tc>
      </w:tr>
      <w:tr>
        <w:trPr>
          <w:trHeight w:val="331"/>
        </w:trPr>
        <w:tc>
          <w:tcPr>
            <w:tcW w:w="1340" w:type="dxa"/>
            <w:vAlign w:val="bottom"/>
          </w:tcPr>
          <w:p>
            <w:pPr>
              <w:spacing w:after="0"/>
              <w:rPr>
                <w:sz w:val="24"/>
                <w:szCs w:val="24"/>
                <w:color w:val="auto"/>
              </w:rPr>
            </w:pPr>
          </w:p>
        </w:tc>
        <w:tc>
          <w:tcPr>
            <w:tcW w:w="22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Total dispositions</w:t>
            </w:r>
          </w:p>
        </w:tc>
        <w:tc>
          <w:tcPr>
            <w:tcW w:w="1560" w:type="dxa"/>
            <w:vAlign w:val="bottom"/>
          </w:tcPr>
          <w:p>
            <w:pPr>
              <w:spacing w:after="0"/>
              <w:rPr>
                <w:sz w:val="24"/>
                <w:szCs w:val="2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173,000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$ 58,800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7.67%</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(2)</w:t>
            </w:r>
          </w:p>
        </w:tc>
      </w:tr>
      <w:tr>
        <w:trPr>
          <w:trHeight w:val="166"/>
        </w:trPr>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6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right="4980" w:hanging="432"/>
        <w:spacing w:after="0" w:line="250" w:lineRule="auto"/>
        <w:tabs>
          <w:tab w:leader="none" w:pos="4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12 month forward net operating income (NOI), as estimated by management, divided by sales price.</w:t>
      </w:r>
    </w:p>
    <w:p>
      <w:pPr>
        <w:ind w:left="440" w:hanging="432"/>
        <w:spacing w:after="0"/>
        <w:tabs>
          <w:tab w:leader="none" w:pos="4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 rate for total dispositions is based on a sales price weighted average.</w:t>
      </w:r>
    </w:p>
    <w:p>
      <w:pPr>
        <w:sectPr>
          <w:pgSz w:w="11900" w:h="16838" w:orient="portrait"/>
          <w:cols w:equalWidth="0" w:num="1">
            <w:col w:w="11540"/>
          </w:cols>
          <w:pgMar w:left="220" w:top="616" w:right="139" w:bottom="1440" w:gutter="0" w:footer="0" w:header="0"/>
        </w:sectPr>
      </w:pPr>
    </w:p>
    <w:bookmarkStart w:id="22" w:name="page23"/>
    <w:bookmarkEnd w:id="22"/>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 Status Report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2002</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640"/>
        <w:spacing w:after="0"/>
        <w:tabs>
          <w:tab w:leader="none" w:pos="8000" w:val="left"/>
          <w:tab w:leader="none" w:pos="8780" w:val="left"/>
        </w:tabs>
        <w:rPr>
          <w:sz w:val="20"/>
          <w:szCs w:val="20"/>
          <w:color w:val="auto"/>
        </w:rPr>
      </w:pP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Ownership</w:t>
      </w:r>
    </w:p>
    <w:p>
      <w:pPr>
        <w:spacing w:after="0" w:line="7" w:lineRule="exact"/>
        <w:rPr>
          <w:sz w:val="20"/>
          <w:szCs w:val="20"/>
          <w:color w:val="auto"/>
        </w:rPr>
      </w:pPr>
    </w:p>
    <w:p>
      <w:pPr>
        <w:spacing w:after="0"/>
        <w:tabs>
          <w:tab w:leader="none" w:pos="2740" w:val="left"/>
          <w:tab w:leader="none" w:pos="3520" w:val="left"/>
          <w:tab w:leader="none" w:pos="6280" w:val="left"/>
          <w:tab w:leader="none" w:pos="7560" w:val="left"/>
          <w:tab w:leader="none" w:pos="8680" w:val="left"/>
          <w:tab w:leader="none" w:pos="9900" w:val="left"/>
          <w:tab w:leader="none" w:pos="10660" w:val="left"/>
        </w:tabs>
        <w:rPr>
          <w:sz w:val="20"/>
          <w:szCs w:val="20"/>
          <w:color w:val="auto"/>
        </w:rPr>
      </w:pPr>
      <w:r>
        <w:rPr>
          <w:rFonts w:ascii="Courier New" w:cs="Courier New" w:eastAsia="Courier New" w:hAnsi="Courier New"/>
          <w:sz w:val="14"/>
          <w:szCs w:val="14"/>
          <w:color w:val="auto"/>
        </w:rPr>
        <w:t>Property Name</w:t>
      </w:r>
      <w:r>
        <w:rPr>
          <w:sz w:val="20"/>
          <w:szCs w:val="20"/>
          <w:color w:val="auto"/>
        </w:rPr>
        <w:tab/>
      </w:r>
      <w:r>
        <w:rPr>
          <w:rFonts w:ascii="Courier New" w:cs="Courier New" w:eastAsia="Courier New" w:hAnsi="Courier New"/>
          <w:sz w:val="14"/>
          <w:szCs w:val="14"/>
          <w:color w:val="auto"/>
        </w:rPr>
        <w:t>Type(1)</w:t>
        <w:tab/>
        <w:t>MSA Description</w:t>
      </w:r>
      <w:r>
        <w:rPr>
          <w:sz w:val="20"/>
          <w:szCs w:val="20"/>
          <w:color w:val="auto"/>
        </w:rPr>
        <w:tab/>
      </w:r>
      <w:r>
        <w:rPr>
          <w:rFonts w:ascii="Courier New" w:cs="Courier New" w:eastAsia="Courier New" w:hAnsi="Courier New"/>
          <w:sz w:val="14"/>
          <w:szCs w:val="14"/>
          <w:color w:val="auto"/>
        </w:rPr>
        <w:t>Acquired</w:t>
      </w:r>
      <w:r>
        <w:rPr>
          <w:sz w:val="20"/>
          <w:szCs w:val="20"/>
          <w:color w:val="auto"/>
        </w:rPr>
        <w:tab/>
      </w:r>
      <w:r>
        <w:rPr>
          <w:rFonts w:ascii="Courier New" w:cs="Courier New" w:eastAsia="Courier New" w:hAnsi="Courier New"/>
          <w:sz w:val="14"/>
          <w:szCs w:val="14"/>
          <w:color w:val="auto"/>
        </w:rPr>
        <w:t>Investment</w:t>
      </w:r>
      <w:r>
        <w:rPr>
          <w:sz w:val="20"/>
          <w:szCs w:val="20"/>
          <w:color w:val="auto"/>
        </w:rPr>
        <w:tab/>
      </w:r>
      <w:r>
        <w:rPr>
          <w:rFonts w:ascii="Courier New" w:cs="Courier New" w:eastAsia="Courier New" w:hAnsi="Courier New"/>
          <w:sz w:val="14"/>
          <w:szCs w:val="14"/>
          <w:color w:val="auto"/>
        </w:rPr>
        <w:t>Percentage</w:t>
      </w:r>
      <w:r>
        <w:rPr>
          <w:sz w:val="20"/>
          <w:szCs w:val="20"/>
          <w:color w:val="auto"/>
        </w:rPr>
        <w:tab/>
      </w:r>
      <w:r>
        <w:rPr>
          <w:rFonts w:ascii="Courier New" w:cs="Courier New" w:eastAsia="Courier New" w:hAnsi="Courier New"/>
          <w:sz w:val="14"/>
          <w:szCs w:val="14"/>
          <w:color w:val="auto"/>
        </w:rPr>
        <w:t>GLA (2)</w:t>
        <w:tab/>
        <w:t>% Leased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 thousands)</w:t>
            </w: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Mid-Atlantic Region</w:t>
            </w:r>
          </w:p>
        </w:tc>
        <w:tc>
          <w:tcPr>
            <w:tcW w:w="4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28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Washington Metropolitan Area</w:t>
            </w:r>
          </w:p>
        </w:tc>
        <w:tc>
          <w:tcPr>
            <w:tcW w:w="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8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97"/>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Bethesda Row</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SR</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Washington, DC-MD-VA-WV</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1993-98</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78,312</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457,000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98.6%</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Congressional Plaza</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Washington, DC-MD-VA-WV</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1965</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60,229</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55.8%</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339,000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94.9%</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Courthouse Center</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Washington, DC-MD-VA-WV</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1997</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4,192</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93.6%</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Falls Plaza</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Washington, DC-MD-VA-WV</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1967</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8,145</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97.6%</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Falls Plaza-East</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Washington, DC-MD-VA-WV</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1972</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3,351</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Federal Plaza</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Washington, DC-MD-VA-WV</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1989</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61,768</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247,000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98.4%</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Friendship Center</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SR</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Washington, DC-MD-VA-WV</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2001</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33,452</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119,000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Gaithersburg Square</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Washington, DC-MD-VA-WV</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1993</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23,578</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219,000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97.7%</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Idylwood Plaza</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Washington, DC-MD-VA-WV</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1994</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14,809</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Laurel</w:t>
            </w:r>
          </w:p>
        </w:tc>
        <w:tc>
          <w:tcPr>
            <w:tcW w:w="208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Washington, DC-MD-VA-WV</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1986</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45,480</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99.9%</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384,000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97.2%</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Leesburg Plaza</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Washington, DC-MD-VA-WV</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1998</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20,343</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247,000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Loehmann's Plaza</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Washington, DC-MD-VA-WV</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1983</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25,132</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242,000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99.0%</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Magruder's Center</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Washington, DC-MD-VA-WV</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1997</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10,388</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Mid-Pike Plaza</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Washington, DC-MD-VA-WV</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1982</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16,983</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306,000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98.7%</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Old Keene Mill</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Washington, DC-MD-VA-WV</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1976</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5,044</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92,000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Pan Am</w:t>
            </w:r>
          </w:p>
        </w:tc>
        <w:tc>
          <w:tcPr>
            <w:tcW w:w="208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Washington, DC-MD-VA-WV</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1993</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24,797</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218,000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99.0%</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Pentagon Row</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SR</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Washington, DC-MD-VA-WV</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1999</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85,565</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296,000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98.0%</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Pike 7</w:t>
            </w:r>
          </w:p>
        </w:tc>
        <w:tc>
          <w:tcPr>
            <w:tcW w:w="208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Washington, DC-MD-VA-WV</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1997</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33,370</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164,000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Quince Orchard</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Washington, DC-MD-VA-WV</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1993</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18,960</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237,000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96.5%</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Rollingwood Apartments</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SR</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Washington, DC-MD-VA-WV</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1971</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6,683</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N/A</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98.9%</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Sam's Park &amp; Shop</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SR</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Washington, DC-MD-VA-WV</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1995</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11,736</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Tower</w:t>
            </w:r>
          </w:p>
        </w:tc>
        <w:tc>
          <w:tcPr>
            <w:tcW w:w="208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Washington, DC-MD-VA-WV</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1998</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18,093</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88.1%</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Tyson's Station</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Washington, DC-MD-VA-WV</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1978</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3,323</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Village of Shirlington</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SR</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Washington, DC-MD-VA-WV</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1995</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32,115</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204,000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94.5%</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Wildwood</w:t>
            </w:r>
          </w:p>
        </w:tc>
        <w:tc>
          <w:tcPr>
            <w:tcW w:w="208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Washington, DC-MD-VA-WV</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1969</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16,016</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7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661,864</w:t>
            </w:r>
          </w:p>
        </w:tc>
        <w:tc>
          <w:tcPr>
            <w:tcW w:w="86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4,428,000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97.9%</w:t>
            </w:r>
          </w:p>
        </w:tc>
      </w:tr>
      <w:tr>
        <w:trPr>
          <w:trHeight w:val="331"/>
        </w:trPr>
        <w:tc>
          <w:tcPr>
            <w:tcW w:w="28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Mid-Atlantic Region - Other</w:t>
            </w:r>
          </w:p>
        </w:tc>
        <w:tc>
          <w:tcPr>
            <w:tcW w:w="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8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780" w:type="dxa"/>
            <w:vAlign w:val="bottom"/>
          </w:tcPr>
          <w:p>
            <w:pPr>
              <w:spacing w:after="0"/>
              <w:rPr>
                <w:sz w:val="20"/>
                <w:szCs w:val="20"/>
                <w:color w:val="auto"/>
              </w:rPr>
            </w:pPr>
            <w:r>
              <w:rPr>
                <w:rFonts w:ascii="Courier New" w:cs="Courier New" w:eastAsia="Courier New" w:hAnsi="Courier New"/>
                <w:sz w:val="14"/>
                <w:szCs w:val="14"/>
                <w:color w:val="auto"/>
              </w:rPr>
              <w:t>Governor</w:t>
            </w:r>
          </w:p>
        </w:tc>
        <w:tc>
          <w:tcPr>
            <w:tcW w:w="2080" w:type="dxa"/>
            <w:vAlign w:val="bottom"/>
          </w:tcPr>
          <w:p>
            <w:pPr>
              <w:spacing w:after="0"/>
              <w:rPr>
                <w:sz w:val="20"/>
                <w:szCs w:val="20"/>
                <w:color w:val="auto"/>
              </w:rPr>
            </w:pPr>
            <w:r>
              <w:rPr>
                <w:rFonts w:ascii="Courier New" w:cs="Courier New" w:eastAsia="Courier New" w:hAnsi="Courier New"/>
                <w:sz w:val="14"/>
                <w:szCs w:val="14"/>
                <w:color w:val="auto"/>
              </w:rPr>
              <w:t>Plaza</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Baltimore, MD</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1985</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17,903</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99.9%</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252,000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Perring</w:t>
            </w:r>
          </w:p>
        </w:tc>
        <w:tc>
          <w:tcPr>
            <w:tcW w:w="2080" w:type="dxa"/>
            <w:vAlign w:val="bottom"/>
          </w:tcPr>
          <w:p>
            <w:pPr>
              <w:spacing w:after="0"/>
              <w:rPr>
                <w:sz w:val="20"/>
                <w:szCs w:val="20"/>
                <w:color w:val="auto"/>
              </w:rPr>
            </w:pPr>
            <w:r>
              <w:rPr>
                <w:rFonts w:ascii="Courier New" w:cs="Courier New" w:eastAsia="Courier New" w:hAnsi="Courier New"/>
                <w:sz w:val="14"/>
                <w:szCs w:val="14"/>
                <w:color w:val="auto"/>
              </w:rPr>
              <w:t>Plaza</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Baltimore, MD</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1985</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23,975</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99.9%</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412,000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87.5%</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Barracks Road</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Charlottesville, VA</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1985</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39,508</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484,000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Winter Park</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SR</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Orlando, FL</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1996</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6,875</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90.3%</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Eastgate</w:t>
            </w:r>
          </w:p>
        </w:tc>
        <w:tc>
          <w:tcPr>
            <w:tcW w:w="208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Raleigh-Durham-Chapel Hill, NC</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1986</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14,644</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159,000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98.6%</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Shops at Willow Lawn</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Richmond-Petersburg, VA</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1983</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62,321</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99.9%</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503,000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86.9%</w:t>
            </w:r>
          </w:p>
        </w:tc>
      </w:tr>
      <w:tr>
        <w:trPr>
          <w:trHeight w:val="166"/>
        </w:trPr>
        <w:tc>
          <w:tcPr>
            <w:tcW w:w="7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165,226</w:t>
            </w:r>
          </w:p>
        </w:tc>
        <w:tc>
          <w:tcPr>
            <w:tcW w:w="86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1,838,000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93.3%</w:t>
            </w:r>
          </w:p>
        </w:tc>
      </w:tr>
      <w:tr>
        <w:trPr>
          <w:trHeight w:val="331"/>
        </w:trPr>
        <w:tc>
          <w:tcPr>
            <w:tcW w:w="7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Total Mid-Atlantic Region</w:t>
            </w:r>
          </w:p>
        </w:tc>
        <w:tc>
          <w:tcPr>
            <w:tcW w:w="780" w:type="dxa"/>
            <w:vAlign w:val="bottom"/>
          </w:tcPr>
          <w:p>
            <w:pPr>
              <w:spacing w:after="0"/>
              <w:rPr>
                <w:sz w:val="24"/>
                <w:szCs w:val="24"/>
                <w:color w:val="auto"/>
              </w:rPr>
            </w:pP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827,090</w:t>
            </w:r>
          </w:p>
        </w:tc>
        <w:tc>
          <w:tcPr>
            <w:tcW w:w="860" w:type="dxa"/>
            <w:vAlign w:val="bottom"/>
          </w:tcPr>
          <w:p>
            <w:pPr>
              <w:spacing w:after="0"/>
              <w:rPr>
                <w:sz w:val="24"/>
                <w:szCs w:val="2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6,266,000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96.5%</w:t>
            </w:r>
          </w:p>
        </w:tc>
      </w:tr>
      <w:tr>
        <w:trPr>
          <w:trHeight w:val="331"/>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Northeast Region</w:t>
            </w:r>
          </w:p>
        </w:tc>
        <w:tc>
          <w:tcPr>
            <w:tcW w:w="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28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Philadelphia Metropolitan Area</w:t>
            </w:r>
          </w:p>
        </w:tc>
        <w:tc>
          <w:tcPr>
            <w:tcW w:w="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8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780" w:type="dxa"/>
            <w:vAlign w:val="bottom"/>
          </w:tcPr>
          <w:p>
            <w:pPr>
              <w:spacing w:after="0"/>
              <w:rPr>
                <w:sz w:val="20"/>
                <w:szCs w:val="20"/>
                <w:color w:val="auto"/>
              </w:rPr>
            </w:pPr>
            <w:r>
              <w:rPr>
                <w:rFonts w:ascii="Courier New" w:cs="Courier New" w:eastAsia="Courier New" w:hAnsi="Courier New"/>
                <w:sz w:val="14"/>
                <w:szCs w:val="14"/>
                <w:color w:val="auto"/>
              </w:rPr>
              <w:t>Andorra</w:t>
            </w:r>
          </w:p>
        </w:tc>
        <w:tc>
          <w:tcPr>
            <w:tcW w:w="208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Philadelphia, PA-NJ</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1988</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19,086</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99.9%</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259,000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94.9%</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Bala Cynwyd</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Philadelphia, PA-NJ</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1993</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23,896</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281,000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Ellisburg Circle</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Philadelphia, PA-NJ</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1992</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26,001</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259,000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98.7%</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Feasterville</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Philadelphia, PA-NJ</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1980</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11,570</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116,000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95.5%</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Flourtown</w:t>
            </w:r>
          </w:p>
        </w:tc>
        <w:tc>
          <w:tcPr>
            <w:tcW w:w="208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Philadelphia, PA-NJ</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1980</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8,698</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191,000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Langhorne Square</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Philadelphia, PA-NJ</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1985</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17,542</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216,000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93.1%</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Lawrence Park</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Philadelphia, PA-NJ</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1980</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23,602</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326,000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98.6%</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208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Philadelphia, PA-NJ</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1983</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21,444</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292,000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95.4%</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Willow Grove</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Philadelphia, PA-NJ</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1984</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25,875</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215,000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Wynnewood</w:t>
            </w:r>
          </w:p>
        </w:tc>
        <w:tc>
          <w:tcPr>
            <w:tcW w:w="208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Philadelphia, PA-NJ</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1996</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35,134</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255,000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99.1%</w:t>
            </w:r>
          </w:p>
        </w:tc>
      </w:tr>
      <w:tr>
        <w:trPr>
          <w:trHeight w:val="166"/>
        </w:trPr>
        <w:tc>
          <w:tcPr>
            <w:tcW w:w="7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212,848</w:t>
            </w:r>
          </w:p>
        </w:tc>
        <w:tc>
          <w:tcPr>
            <w:tcW w:w="86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2,410,000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97.6%</w:t>
            </w:r>
          </w:p>
        </w:tc>
      </w:tr>
      <w:tr>
        <w:trPr>
          <w:trHeight w:val="166"/>
        </w:trPr>
        <w:tc>
          <w:tcPr>
            <w:tcW w:w="28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New York / New Jersey</w:t>
            </w:r>
          </w:p>
        </w:tc>
        <w:tc>
          <w:tcPr>
            <w:tcW w:w="4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8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780" w:type="dxa"/>
            <w:vAlign w:val="bottom"/>
          </w:tcPr>
          <w:p>
            <w:pPr>
              <w:spacing w:after="0"/>
              <w:rPr>
                <w:sz w:val="20"/>
                <w:szCs w:val="20"/>
                <w:color w:val="auto"/>
              </w:rPr>
            </w:pPr>
            <w:r>
              <w:rPr>
                <w:rFonts w:ascii="Courier New" w:cs="Courier New" w:eastAsia="Courier New" w:hAnsi="Courier New"/>
                <w:sz w:val="14"/>
                <w:szCs w:val="14"/>
                <w:color w:val="auto"/>
              </w:rPr>
              <w:t>Allwood</w:t>
            </w:r>
          </w:p>
        </w:tc>
        <w:tc>
          <w:tcPr>
            <w:tcW w:w="2080" w:type="dxa"/>
            <w:vAlign w:val="bottom"/>
          </w:tcPr>
          <w:p>
            <w:pPr>
              <w:spacing w:after="0"/>
              <w:rPr>
                <w:sz w:val="24"/>
                <w:szCs w:val="24"/>
                <w:color w:val="auto"/>
              </w:rPr>
            </w:pP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Bergen-Passaic, NJ</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1988</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4,265</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Clifton</w:t>
            </w:r>
          </w:p>
        </w:tc>
        <w:tc>
          <w:tcPr>
            <w:tcW w:w="208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Bergen-Passaic, NJ</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1988</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4,936</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93.1%</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Blue Star</w:t>
            </w:r>
          </w:p>
        </w:tc>
        <w:tc>
          <w:tcPr>
            <w:tcW w:w="208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Middlesex-Somerset-Hunterdon, NJ</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1988</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38,871</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407,000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96.1%</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Brunswick</w:t>
            </w:r>
          </w:p>
        </w:tc>
        <w:tc>
          <w:tcPr>
            <w:tcW w:w="208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Middlesex-Somerset-Hunterdon, NJ</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1988</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21,072</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318,000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69.1%</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Rutgers</w:t>
            </w:r>
          </w:p>
        </w:tc>
        <w:tc>
          <w:tcPr>
            <w:tcW w:w="208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Middlesex-Somerset-Hunterdon, NJ</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1988</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15,915</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217,000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89.0%</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Brick Plaza</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Monmouth-Ocean, NJ</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1989</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53,735</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409,000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Greenlawn Plaza</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Nassau-Suffolk, NY</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2000</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10,584</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92,000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94.9%</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Hauppauge</w:t>
            </w:r>
          </w:p>
        </w:tc>
        <w:tc>
          <w:tcPr>
            <w:tcW w:w="208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Nassau-Suffolk, NY</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1998</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26,182</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131,000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Huntington</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Nassau-Suffolk, NY</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1988</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22,521</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279,000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Forest Hills</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SR</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New York, NY</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1997</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23,965</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86,000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Fresh Meadows</w:t>
            </w: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New York, NY</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1997</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64,381</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408,000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94.4%</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Troy</w:t>
            </w:r>
          </w:p>
        </w:tc>
        <w:tc>
          <w:tcPr>
            <w:tcW w:w="208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Newark, NJ</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1980</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20,446</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202,000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Hamilton</w:t>
            </w:r>
          </w:p>
        </w:tc>
        <w:tc>
          <w:tcPr>
            <w:tcW w:w="208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Courier New" w:cs="Courier New" w:eastAsia="Courier New" w:hAnsi="Courier New"/>
                <w:sz w:val="14"/>
                <w:szCs w:val="14"/>
                <w:color w:val="auto"/>
              </w:rPr>
              <w:t>SC</w:t>
            </w:r>
          </w:p>
        </w:tc>
        <w:tc>
          <w:tcPr>
            <w:tcW w:w="3020" w:type="dxa"/>
            <w:vAlign w:val="bottom"/>
          </w:tcPr>
          <w:p>
            <w:pPr>
              <w:ind w:left="220"/>
              <w:spacing w:after="0"/>
              <w:rPr>
                <w:sz w:val="20"/>
                <w:szCs w:val="20"/>
                <w:color w:val="auto"/>
              </w:rPr>
            </w:pPr>
            <w:r>
              <w:rPr>
                <w:rFonts w:ascii="Courier New" w:cs="Courier New" w:eastAsia="Courier New" w:hAnsi="Courier New"/>
                <w:sz w:val="14"/>
                <w:szCs w:val="14"/>
                <w:color w:val="auto"/>
              </w:rPr>
              <w:t>Trenton, NJ</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1988</w:t>
            </w: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7,662</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190,000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7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314,535</w:t>
            </w:r>
          </w:p>
        </w:tc>
        <w:tc>
          <w:tcPr>
            <w:tcW w:w="86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2,871,000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94.0%</w:t>
            </w:r>
          </w:p>
        </w:tc>
      </w:tr>
    </w:tbl>
    <w:p>
      <w:pPr>
        <w:sectPr>
          <w:pgSz w:w="11900" w:h="16880" w:orient="portrait"/>
          <w:cols w:equalWidth="0" w:num="1">
            <w:col w:w="11540"/>
          </w:cols>
          <w:pgMar w:left="220" w:top="616" w:right="139" w:bottom="0" w:gutter="0" w:footer="0" w:header="0"/>
        </w:sectPr>
      </w:pPr>
    </w:p>
    <w:bookmarkStart w:id="23" w:name="page24"/>
    <w:bookmarkEnd w:id="23"/>
    <w:p>
      <w:pPr>
        <w:ind w:left="180" w:hanging="172"/>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Mortage or   Grocery</w:t>
      </w:r>
    </w:p>
    <w:p>
      <w:pPr>
        <w:spacing w:after="0" w:line="7" w:lineRule="exact"/>
        <w:rPr>
          <w:sz w:val="20"/>
          <w:szCs w:val="20"/>
          <w:color w:val="auto"/>
        </w:rPr>
      </w:pPr>
    </w:p>
    <w:p>
      <w:pPr>
        <w:ind w:left="2940"/>
        <w:spacing w:after="0"/>
        <w:tabs>
          <w:tab w:leader="none" w:pos="4380" w:val="left"/>
        </w:tabs>
        <w:rPr>
          <w:sz w:val="20"/>
          <w:szCs w:val="20"/>
          <w:color w:val="auto"/>
        </w:rPr>
      </w:pPr>
      <w:r>
        <w:rPr>
          <w:rFonts w:ascii="Courier New" w:cs="Courier New" w:eastAsia="Courier New" w:hAnsi="Courier New"/>
          <w:sz w:val="14"/>
          <w:szCs w:val="14"/>
          <w:color w:val="auto"/>
        </w:rPr>
        <w:t>Capital Lease</w:t>
      </w:r>
      <w:r>
        <w:rPr>
          <w:sz w:val="20"/>
          <w:szCs w:val="20"/>
          <w:color w:val="auto"/>
        </w:rPr>
        <w:tab/>
      </w:r>
      <w:r>
        <w:rPr>
          <w:rFonts w:ascii="Courier New" w:cs="Courier New" w:eastAsia="Courier New" w:hAnsi="Courier New"/>
          <w:sz w:val="14"/>
          <w:szCs w:val="14"/>
          <w:color w:val="auto"/>
        </w:rPr>
        <w:t>Anchor</w:t>
      </w:r>
    </w:p>
    <w:p>
      <w:pPr>
        <w:spacing w:after="0" w:line="7" w:lineRule="exact"/>
        <w:rPr>
          <w:sz w:val="20"/>
          <w:szCs w:val="20"/>
          <w:color w:val="auto"/>
        </w:rPr>
      </w:pPr>
    </w:p>
    <w:p>
      <w:pPr>
        <w:spacing w:after="0"/>
        <w:tabs>
          <w:tab w:leader="none" w:pos="3180" w:val="left"/>
          <w:tab w:leader="none" w:pos="4380" w:val="left"/>
          <w:tab w:leader="none" w:pos="5160" w:val="left"/>
          <w:tab w:leader="none" w:pos="7560" w:val="left"/>
        </w:tabs>
        <w:rPr>
          <w:sz w:val="20"/>
          <w:szCs w:val="20"/>
          <w:color w:val="auto"/>
        </w:rPr>
      </w:pPr>
      <w:r>
        <w:rPr>
          <w:rFonts w:ascii="Courier New" w:cs="Courier New" w:eastAsia="Courier New" w:hAnsi="Courier New"/>
          <w:sz w:val="14"/>
          <w:szCs w:val="14"/>
          <w:color w:val="auto"/>
        </w:rPr>
        <w:t>Property Name</w:t>
      </w:r>
      <w:r>
        <w:rPr>
          <w:sz w:val="20"/>
          <w:szCs w:val="20"/>
          <w:color w:val="auto"/>
        </w:rPr>
        <w:tab/>
      </w:r>
      <w:r>
        <w:rPr>
          <w:rFonts w:ascii="Courier New" w:cs="Courier New" w:eastAsia="Courier New" w:hAnsi="Courier New"/>
          <w:sz w:val="14"/>
          <w:szCs w:val="14"/>
          <w:color w:val="auto"/>
        </w:rPr>
        <w:t>Obligation</w:t>
      </w:r>
      <w:r>
        <w:rPr>
          <w:sz w:val="20"/>
          <w:szCs w:val="20"/>
          <w:color w:val="auto"/>
        </w:rPr>
        <w:tab/>
      </w:r>
      <w:r>
        <w:rPr>
          <w:rFonts w:ascii="Courier New" w:cs="Courier New" w:eastAsia="Courier New" w:hAnsi="Courier New"/>
          <w:sz w:val="14"/>
          <w:szCs w:val="14"/>
          <w:color w:val="auto"/>
        </w:rPr>
        <w:t>GLA (3)</w:t>
        <w:tab/>
        <w:t>Grocery Anchor (3)</w:t>
      </w:r>
      <w:r>
        <w:rPr>
          <w:sz w:val="20"/>
          <w:szCs w:val="20"/>
          <w:color w:val="auto"/>
        </w:rPr>
        <w:tab/>
      </w:r>
      <w:r>
        <w:rPr>
          <w:rFonts w:ascii="Courier New" w:cs="Courier New" w:eastAsia="Courier New" w:hAnsi="Courier New"/>
          <w:sz w:val="14"/>
          <w:szCs w:val="14"/>
          <w:color w:val="auto"/>
        </w:rPr>
        <w:t>Other Principal Tenants</w:t>
      </w:r>
    </w:p>
    <w:p>
      <w:pPr>
        <w:spacing w:after="0" w:line="7" w:lineRule="exact"/>
        <w:rPr>
          <w:sz w:val="20"/>
          <w:szCs w:val="20"/>
          <w:color w:val="auto"/>
        </w:rPr>
      </w:pPr>
    </w:p>
    <w:p>
      <w:pPr>
        <w:ind w:left="180" w:hanging="172"/>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thousands)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Mid-Atlantic Region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Washington Metropolitan Area</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Bethesda Row</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37,025</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40,000</w:t>
            </w:r>
          </w:p>
        </w:tc>
        <w:tc>
          <w:tcPr>
            <w:tcW w:w="2200" w:type="dxa"/>
            <w:vAlign w:val="bottom"/>
          </w:tcPr>
          <w:p>
            <w:pPr>
              <w:ind w:left="140"/>
              <w:spacing w:after="0"/>
              <w:rPr>
                <w:sz w:val="20"/>
                <w:szCs w:val="20"/>
                <w:color w:val="auto"/>
              </w:rPr>
            </w:pPr>
            <w:r>
              <w:rPr>
                <w:rFonts w:ascii="Courier New" w:cs="Courier New" w:eastAsia="Courier New" w:hAnsi="Courier New"/>
                <w:sz w:val="14"/>
                <w:szCs w:val="14"/>
                <w:color w:val="auto"/>
              </w:rPr>
              <w:t>Giant Food</w:t>
            </w:r>
          </w:p>
        </w:tc>
        <w:tc>
          <w:tcPr>
            <w:tcW w:w="4400" w:type="dxa"/>
            <w:vAlign w:val="bottom"/>
          </w:tcPr>
          <w:p>
            <w:pPr>
              <w:ind w:left="340"/>
              <w:spacing w:after="0"/>
              <w:rPr>
                <w:sz w:val="20"/>
                <w:szCs w:val="20"/>
                <w:color w:val="auto"/>
              </w:rPr>
            </w:pPr>
            <w:r>
              <w:rPr>
                <w:rFonts w:ascii="Courier New" w:cs="Courier New" w:eastAsia="Courier New" w:hAnsi="Courier New"/>
                <w:sz w:val="14"/>
                <w:szCs w:val="14"/>
                <w:color w:val="auto"/>
              </w:rPr>
              <w:t>Barnes &amp; Noble / Landmark Theater</w:t>
            </w:r>
          </w:p>
        </w:tc>
      </w:tr>
      <w:tr>
        <w:trPr>
          <w:trHeight w:val="166"/>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Congressional Plaza</w:t>
            </w:r>
          </w:p>
        </w:tc>
        <w:tc>
          <w:tcPr>
            <w:tcW w:w="10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28,258</w:t>
            </w:r>
          </w:p>
        </w:tc>
        <w:tc>
          <w:tcPr>
            <w:tcW w:w="2200" w:type="dxa"/>
            <w:vAlign w:val="bottom"/>
          </w:tcPr>
          <w:p>
            <w:pPr>
              <w:ind w:left="140"/>
              <w:spacing w:after="0"/>
              <w:rPr>
                <w:sz w:val="20"/>
                <w:szCs w:val="20"/>
                <w:color w:val="auto"/>
              </w:rPr>
            </w:pPr>
            <w:r>
              <w:rPr>
                <w:rFonts w:ascii="Courier New" w:cs="Courier New" w:eastAsia="Courier New" w:hAnsi="Courier New"/>
                <w:sz w:val="14"/>
                <w:szCs w:val="14"/>
                <w:color w:val="auto"/>
              </w:rPr>
              <w:t>Fresh Fields</w:t>
            </w:r>
          </w:p>
        </w:tc>
        <w:tc>
          <w:tcPr>
            <w:tcW w:w="4400" w:type="dxa"/>
            <w:vAlign w:val="bottom"/>
          </w:tcPr>
          <w:p>
            <w:pPr>
              <w:ind w:left="340"/>
              <w:spacing w:after="0"/>
              <w:rPr>
                <w:sz w:val="20"/>
                <w:szCs w:val="20"/>
                <w:color w:val="auto"/>
              </w:rPr>
            </w:pPr>
            <w:r>
              <w:rPr>
                <w:rFonts w:ascii="Courier New" w:cs="Courier New" w:eastAsia="Courier New" w:hAnsi="Courier New"/>
                <w:sz w:val="14"/>
                <w:szCs w:val="14"/>
                <w:color w:val="auto"/>
              </w:rPr>
              <w:t>Buy Buy Baby / Container Store / Tower</w:t>
            </w:r>
          </w:p>
        </w:tc>
      </w:tr>
      <w:tr>
        <w:trPr>
          <w:trHeight w:val="166"/>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Courthouse Center</w:t>
            </w: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400" w:type="dxa"/>
            <w:vAlign w:val="bottom"/>
          </w:tcPr>
          <w:p>
            <w:pPr>
              <w:spacing w:after="0"/>
              <w:rPr>
                <w:sz w:val="14"/>
                <w:szCs w:val="14"/>
                <w:color w:val="auto"/>
              </w:rPr>
            </w:pPr>
          </w:p>
        </w:tc>
      </w:tr>
      <w:tr>
        <w:trPr>
          <w:trHeight w:val="166"/>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Falls Plaza</w:t>
            </w:r>
          </w:p>
        </w:tc>
        <w:tc>
          <w:tcPr>
            <w:tcW w:w="10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51,385</w:t>
            </w:r>
          </w:p>
        </w:tc>
        <w:tc>
          <w:tcPr>
            <w:tcW w:w="2200" w:type="dxa"/>
            <w:vAlign w:val="bottom"/>
          </w:tcPr>
          <w:p>
            <w:pPr>
              <w:ind w:left="140"/>
              <w:spacing w:after="0"/>
              <w:rPr>
                <w:sz w:val="20"/>
                <w:szCs w:val="20"/>
                <w:color w:val="auto"/>
              </w:rPr>
            </w:pPr>
            <w:r>
              <w:rPr>
                <w:rFonts w:ascii="Courier New" w:cs="Courier New" w:eastAsia="Courier New" w:hAnsi="Courier New"/>
                <w:sz w:val="14"/>
                <w:szCs w:val="14"/>
                <w:color w:val="auto"/>
              </w:rPr>
              <w:t>Giant Food</w:t>
            </w:r>
          </w:p>
        </w:tc>
        <w:tc>
          <w:tcPr>
            <w:tcW w:w="4400" w:type="dxa"/>
            <w:vAlign w:val="bottom"/>
          </w:tcPr>
          <w:p>
            <w:pPr>
              <w:spacing w:after="0"/>
              <w:rPr>
                <w:sz w:val="14"/>
                <w:szCs w:val="14"/>
                <w:color w:val="auto"/>
              </w:rPr>
            </w:pPr>
          </w:p>
        </w:tc>
      </w:tr>
      <w:tr>
        <w:trPr>
          <w:trHeight w:val="166"/>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Falls Plaza-East</w:t>
            </w: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400" w:type="dxa"/>
            <w:vAlign w:val="bottom"/>
          </w:tcPr>
          <w:p>
            <w:pPr>
              <w:ind w:left="340"/>
              <w:spacing w:after="0"/>
              <w:rPr>
                <w:sz w:val="20"/>
                <w:szCs w:val="20"/>
                <w:color w:val="auto"/>
              </w:rPr>
            </w:pPr>
            <w:r>
              <w:rPr>
                <w:rFonts w:ascii="Courier New" w:cs="Courier New" w:eastAsia="Courier New" w:hAnsi="Courier New"/>
                <w:sz w:val="14"/>
                <w:szCs w:val="14"/>
                <w:color w:val="auto"/>
              </w:rPr>
              <w:t>CVS / Staples</w:t>
            </w:r>
          </w:p>
        </w:tc>
      </w:tr>
      <w:tr>
        <w:trPr>
          <w:trHeight w:val="166"/>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Federal Plaza</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35,936</w:t>
            </w:r>
          </w:p>
        </w:tc>
        <w:tc>
          <w:tcPr>
            <w:tcW w:w="8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400" w:type="dxa"/>
            <w:vAlign w:val="bottom"/>
          </w:tcPr>
          <w:p>
            <w:pPr>
              <w:ind w:left="340"/>
              <w:spacing w:after="0"/>
              <w:rPr>
                <w:sz w:val="20"/>
                <w:szCs w:val="20"/>
                <w:color w:val="auto"/>
              </w:rPr>
            </w:pPr>
            <w:r>
              <w:rPr>
                <w:rFonts w:ascii="Courier New" w:cs="Courier New" w:eastAsia="Courier New" w:hAnsi="Courier New"/>
                <w:sz w:val="14"/>
                <w:szCs w:val="14"/>
                <w:color w:val="auto"/>
              </w:rPr>
              <w:t>TJ Maxx / CompUSA / Ross</w:t>
            </w:r>
          </w:p>
        </w:tc>
      </w:tr>
      <w:tr>
        <w:trPr>
          <w:trHeight w:val="166"/>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Friendship Center</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17,000</w:t>
            </w:r>
          </w:p>
        </w:tc>
        <w:tc>
          <w:tcPr>
            <w:tcW w:w="8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400" w:type="dxa"/>
            <w:vAlign w:val="bottom"/>
          </w:tcPr>
          <w:p>
            <w:pPr>
              <w:ind w:left="340"/>
              <w:spacing w:after="0"/>
              <w:rPr>
                <w:sz w:val="20"/>
                <w:szCs w:val="20"/>
                <w:color w:val="auto"/>
              </w:rPr>
            </w:pPr>
            <w:r>
              <w:rPr>
                <w:rFonts w:ascii="Courier New" w:cs="Courier New" w:eastAsia="Courier New" w:hAnsi="Courier New"/>
                <w:sz w:val="14"/>
                <w:szCs w:val="14"/>
                <w:color w:val="auto"/>
              </w:rPr>
              <w:t>Borders/Eddie Bauer/Linens 'n Things/Maggiano's</w:t>
            </w:r>
          </w:p>
        </w:tc>
      </w:tr>
      <w:tr>
        <w:trPr>
          <w:trHeight w:val="166"/>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Gaithersburg Square</w:t>
            </w: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400" w:type="dxa"/>
            <w:vAlign w:val="bottom"/>
          </w:tcPr>
          <w:p>
            <w:pPr>
              <w:ind w:left="340"/>
              <w:spacing w:after="0"/>
              <w:rPr>
                <w:sz w:val="20"/>
                <w:szCs w:val="20"/>
                <w:color w:val="auto"/>
              </w:rPr>
            </w:pPr>
            <w:r>
              <w:rPr>
                <w:rFonts w:ascii="Courier New" w:cs="Courier New" w:eastAsia="Courier New" w:hAnsi="Courier New"/>
                <w:sz w:val="14"/>
                <w:szCs w:val="14"/>
                <w:color w:val="auto"/>
              </w:rPr>
              <w:t>Bed, Bath &amp; Beyond / Borders / Ross</w:t>
            </w:r>
          </w:p>
        </w:tc>
      </w:tr>
      <w:tr>
        <w:trPr>
          <w:trHeight w:val="166"/>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Idylwood Plaza</w:t>
            </w:r>
          </w:p>
        </w:tc>
        <w:tc>
          <w:tcPr>
            <w:tcW w:w="10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29,556</w:t>
            </w:r>
          </w:p>
        </w:tc>
        <w:tc>
          <w:tcPr>
            <w:tcW w:w="2200" w:type="dxa"/>
            <w:vAlign w:val="bottom"/>
          </w:tcPr>
          <w:p>
            <w:pPr>
              <w:ind w:left="140"/>
              <w:spacing w:after="0"/>
              <w:rPr>
                <w:sz w:val="20"/>
                <w:szCs w:val="20"/>
                <w:color w:val="auto"/>
              </w:rPr>
            </w:pPr>
            <w:r>
              <w:rPr>
                <w:rFonts w:ascii="Courier New" w:cs="Courier New" w:eastAsia="Courier New" w:hAnsi="Courier New"/>
                <w:sz w:val="14"/>
                <w:szCs w:val="14"/>
                <w:color w:val="auto"/>
              </w:rPr>
              <w:t>Fresh Fields</w:t>
            </w:r>
          </w:p>
        </w:tc>
        <w:tc>
          <w:tcPr>
            <w:tcW w:w="440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Laurel</w:t>
            </w:r>
          </w:p>
        </w:tc>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39,500</w:t>
            </w:r>
          </w:p>
        </w:tc>
        <w:tc>
          <w:tcPr>
            <w:tcW w:w="2200" w:type="dxa"/>
            <w:vAlign w:val="bottom"/>
          </w:tcPr>
          <w:p>
            <w:pPr>
              <w:ind w:left="140"/>
              <w:spacing w:after="0"/>
              <w:rPr>
                <w:sz w:val="20"/>
                <w:szCs w:val="20"/>
                <w:color w:val="auto"/>
              </w:rPr>
            </w:pPr>
            <w:r>
              <w:rPr>
                <w:rFonts w:ascii="Courier New" w:cs="Courier New" w:eastAsia="Courier New" w:hAnsi="Courier New"/>
                <w:sz w:val="14"/>
                <w:szCs w:val="14"/>
                <w:color w:val="auto"/>
              </w:rPr>
              <w:t>Giant Food</w:t>
            </w:r>
          </w:p>
        </w:tc>
        <w:tc>
          <w:tcPr>
            <w:tcW w:w="4400" w:type="dxa"/>
            <w:vAlign w:val="bottom"/>
          </w:tcPr>
          <w:p>
            <w:pPr>
              <w:ind w:left="340"/>
              <w:spacing w:after="0"/>
              <w:rPr>
                <w:sz w:val="20"/>
                <w:szCs w:val="20"/>
                <w:color w:val="auto"/>
              </w:rPr>
            </w:pPr>
            <w:r>
              <w:rPr>
                <w:rFonts w:ascii="Courier New" w:cs="Courier New" w:eastAsia="Courier New" w:hAnsi="Courier New"/>
                <w:sz w:val="14"/>
                <w:szCs w:val="14"/>
                <w:color w:val="auto"/>
              </w:rPr>
              <w:t>Marshalls / Toys R Us</w:t>
            </w:r>
          </w:p>
        </w:tc>
      </w:tr>
      <w:tr>
        <w:trPr>
          <w:trHeight w:val="166"/>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Leesburg Plaza</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9,900</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55,330</w:t>
            </w:r>
          </w:p>
        </w:tc>
        <w:tc>
          <w:tcPr>
            <w:tcW w:w="2200" w:type="dxa"/>
            <w:vAlign w:val="bottom"/>
          </w:tcPr>
          <w:p>
            <w:pPr>
              <w:ind w:left="140"/>
              <w:spacing w:after="0"/>
              <w:rPr>
                <w:sz w:val="20"/>
                <w:szCs w:val="20"/>
                <w:color w:val="auto"/>
              </w:rPr>
            </w:pPr>
            <w:r>
              <w:rPr>
                <w:rFonts w:ascii="Courier New" w:cs="Courier New" w:eastAsia="Courier New" w:hAnsi="Courier New"/>
                <w:sz w:val="14"/>
                <w:szCs w:val="14"/>
                <w:color w:val="auto"/>
              </w:rPr>
              <w:t>Giant Food</w:t>
            </w:r>
          </w:p>
        </w:tc>
        <w:tc>
          <w:tcPr>
            <w:tcW w:w="4400" w:type="dxa"/>
            <w:vAlign w:val="bottom"/>
          </w:tcPr>
          <w:p>
            <w:pPr>
              <w:ind w:left="340"/>
              <w:spacing w:after="0"/>
              <w:rPr>
                <w:sz w:val="20"/>
                <w:szCs w:val="20"/>
                <w:color w:val="auto"/>
              </w:rPr>
            </w:pPr>
            <w:r>
              <w:rPr>
                <w:rFonts w:ascii="Courier New" w:cs="Courier New" w:eastAsia="Courier New" w:hAnsi="Courier New"/>
                <w:sz w:val="14"/>
                <w:szCs w:val="14"/>
                <w:color w:val="auto"/>
              </w:rPr>
              <w:t>Kmart / Peebles</w:t>
            </w:r>
          </w:p>
        </w:tc>
      </w:tr>
      <w:tr>
        <w:trPr>
          <w:trHeight w:val="166"/>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Loehmann's Plaza</w:t>
            </w: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400" w:type="dxa"/>
            <w:vAlign w:val="bottom"/>
          </w:tcPr>
          <w:p>
            <w:pPr>
              <w:ind w:left="340"/>
              <w:spacing w:after="0"/>
              <w:rPr>
                <w:sz w:val="20"/>
                <w:szCs w:val="20"/>
                <w:color w:val="auto"/>
              </w:rPr>
            </w:pPr>
            <w:r>
              <w:rPr>
                <w:rFonts w:ascii="Courier New" w:cs="Courier New" w:eastAsia="Courier New" w:hAnsi="Courier New"/>
                <w:sz w:val="14"/>
                <w:szCs w:val="14"/>
                <w:color w:val="auto"/>
              </w:rPr>
              <w:t>Bally's / Linens 'n Things / Loehmann's</w:t>
            </w:r>
          </w:p>
        </w:tc>
      </w:tr>
      <w:tr>
        <w:trPr>
          <w:trHeight w:val="166"/>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Magruder's Center</w:t>
            </w:r>
          </w:p>
        </w:tc>
        <w:tc>
          <w:tcPr>
            <w:tcW w:w="10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30,750</w:t>
            </w:r>
          </w:p>
        </w:tc>
        <w:tc>
          <w:tcPr>
            <w:tcW w:w="2200" w:type="dxa"/>
            <w:vAlign w:val="bottom"/>
          </w:tcPr>
          <w:p>
            <w:pPr>
              <w:ind w:left="140"/>
              <w:spacing w:after="0"/>
              <w:rPr>
                <w:sz w:val="20"/>
                <w:szCs w:val="20"/>
                <w:color w:val="auto"/>
              </w:rPr>
            </w:pPr>
            <w:r>
              <w:rPr>
                <w:rFonts w:ascii="Courier New" w:cs="Courier New" w:eastAsia="Courier New" w:hAnsi="Courier New"/>
                <w:sz w:val="14"/>
                <w:szCs w:val="14"/>
                <w:color w:val="auto"/>
              </w:rPr>
              <w:t>Magruders</w:t>
            </w:r>
          </w:p>
        </w:tc>
        <w:tc>
          <w:tcPr>
            <w:tcW w:w="4400" w:type="dxa"/>
            <w:vAlign w:val="bottom"/>
          </w:tcPr>
          <w:p>
            <w:pPr>
              <w:ind w:left="340"/>
              <w:spacing w:after="0"/>
              <w:rPr>
                <w:sz w:val="20"/>
                <w:szCs w:val="20"/>
                <w:color w:val="auto"/>
              </w:rPr>
            </w:pPr>
            <w:r>
              <w:rPr>
                <w:rFonts w:ascii="Courier New" w:cs="Courier New" w:eastAsia="Courier New" w:hAnsi="Courier New"/>
                <w:sz w:val="14"/>
                <w:szCs w:val="14"/>
                <w:color w:val="auto"/>
              </w:rPr>
              <w:t>Tuesday Morning</w:t>
            </w:r>
          </w:p>
        </w:tc>
      </w:tr>
      <w:tr>
        <w:trPr>
          <w:trHeight w:val="166"/>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Mid-Pike Plaza</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10,041</w:t>
            </w:r>
          </w:p>
        </w:tc>
        <w:tc>
          <w:tcPr>
            <w:tcW w:w="8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400" w:type="dxa"/>
            <w:vAlign w:val="bottom"/>
          </w:tcPr>
          <w:p>
            <w:pPr>
              <w:ind w:left="340"/>
              <w:spacing w:after="0"/>
              <w:rPr>
                <w:sz w:val="20"/>
                <w:szCs w:val="20"/>
                <w:color w:val="auto"/>
              </w:rPr>
            </w:pPr>
            <w:r>
              <w:rPr>
                <w:rFonts w:ascii="Courier New" w:cs="Courier New" w:eastAsia="Courier New" w:hAnsi="Courier New"/>
                <w:sz w:val="14"/>
                <w:szCs w:val="14"/>
                <w:color w:val="auto"/>
              </w:rPr>
              <w:t>Linens 'n Things/Toys R Us/Bally's/AC Moore</w:t>
            </w:r>
          </w:p>
        </w:tc>
      </w:tr>
      <w:tr>
        <w:trPr>
          <w:trHeight w:val="166"/>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Old Keene Mill</w:t>
            </w:r>
          </w:p>
        </w:tc>
        <w:tc>
          <w:tcPr>
            <w:tcW w:w="10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24,060</w:t>
            </w:r>
          </w:p>
        </w:tc>
        <w:tc>
          <w:tcPr>
            <w:tcW w:w="2200" w:type="dxa"/>
            <w:vAlign w:val="bottom"/>
          </w:tcPr>
          <w:p>
            <w:pPr>
              <w:ind w:left="140"/>
              <w:spacing w:after="0"/>
              <w:rPr>
                <w:sz w:val="20"/>
                <w:szCs w:val="20"/>
                <w:color w:val="auto"/>
              </w:rPr>
            </w:pPr>
            <w:r>
              <w:rPr>
                <w:rFonts w:ascii="Courier New" w:cs="Courier New" w:eastAsia="Courier New" w:hAnsi="Courier New"/>
                <w:sz w:val="14"/>
                <w:szCs w:val="14"/>
                <w:color w:val="auto"/>
              </w:rPr>
              <w:t>Fresh Fields</w:t>
            </w:r>
          </w:p>
        </w:tc>
        <w:tc>
          <w:tcPr>
            <w:tcW w:w="440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Pan Am</w:t>
            </w:r>
          </w:p>
        </w:tc>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32,725</w:t>
            </w:r>
          </w:p>
        </w:tc>
        <w:tc>
          <w:tcPr>
            <w:tcW w:w="2200" w:type="dxa"/>
            <w:vAlign w:val="bottom"/>
          </w:tcPr>
          <w:p>
            <w:pPr>
              <w:ind w:left="140"/>
              <w:spacing w:after="0"/>
              <w:rPr>
                <w:sz w:val="20"/>
                <w:szCs w:val="20"/>
                <w:color w:val="auto"/>
              </w:rPr>
            </w:pPr>
            <w:r>
              <w:rPr>
                <w:rFonts w:ascii="Courier New" w:cs="Courier New" w:eastAsia="Courier New" w:hAnsi="Courier New"/>
                <w:sz w:val="14"/>
                <w:szCs w:val="14"/>
                <w:color w:val="auto"/>
              </w:rPr>
              <w:t>Safeway</w:t>
            </w:r>
          </w:p>
        </w:tc>
        <w:tc>
          <w:tcPr>
            <w:tcW w:w="4400" w:type="dxa"/>
            <w:vAlign w:val="bottom"/>
          </w:tcPr>
          <w:p>
            <w:pPr>
              <w:ind w:left="340"/>
              <w:spacing w:after="0"/>
              <w:rPr>
                <w:sz w:val="20"/>
                <w:szCs w:val="20"/>
                <w:color w:val="auto"/>
              </w:rPr>
            </w:pPr>
            <w:r>
              <w:rPr>
                <w:rFonts w:ascii="Courier New" w:cs="Courier New" w:eastAsia="Courier New" w:hAnsi="Courier New"/>
                <w:sz w:val="14"/>
                <w:szCs w:val="14"/>
                <w:color w:val="auto"/>
              </w:rPr>
              <w:t>Micro Center / Michaels</w:t>
            </w:r>
          </w:p>
        </w:tc>
      </w:tr>
      <w:tr>
        <w:trPr>
          <w:trHeight w:val="166"/>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Pentagon Row</w:t>
            </w:r>
          </w:p>
        </w:tc>
        <w:tc>
          <w:tcPr>
            <w:tcW w:w="10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44,623</w:t>
            </w:r>
          </w:p>
        </w:tc>
        <w:tc>
          <w:tcPr>
            <w:tcW w:w="2200" w:type="dxa"/>
            <w:vAlign w:val="bottom"/>
          </w:tcPr>
          <w:p>
            <w:pPr>
              <w:ind w:left="140"/>
              <w:spacing w:after="0"/>
              <w:rPr>
                <w:sz w:val="20"/>
                <w:szCs w:val="20"/>
                <w:color w:val="auto"/>
              </w:rPr>
            </w:pPr>
            <w:r>
              <w:rPr>
                <w:rFonts w:ascii="Courier New" w:cs="Courier New" w:eastAsia="Courier New" w:hAnsi="Courier New"/>
                <w:sz w:val="14"/>
                <w:szCs w:val="14"/>
                <w:color w:val="auto"/>
              </w:rPr>
              <w:t>Harris Teeter</w:t>
            </w:r>
          </w:p>
        </w:tc>
        <w:tc>
          <w:tcPr>
            <w:tcW w:w="4400" w:type="dxa"/>
            <w:vAlign w:val="bottom"/>
          </w:tcPr>
          <w:p>
            <w:pPr>
              <w:ind w:left="340"/>
              <w:spacing w:after="0"/>
              <w:rPr>
                <w:sz w:val="20"/>
                <w:szCs w:val="20"/>
                <w:color w:val="auto"/>
              </w:rPr>
            </w:pPr>
            <w:r>
              <w:rPr>
                <w:rFonts w:ascii="Courier New" w:cs="Courier New" w:eastAsia="Courier New" w:hAnsi="Courier New"/>
                <w:sz w:val="14"/>
                <w:szCs w:val="14"/>
                <w:color w:val="auto"/>
              </w:rPr>
              <w:t>Bally's / Bed, Bath &amp; Beyond / DSW /Cost Plus</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Pike 7</w:t>
            </w:r>
          </w:p>
        </w:tc>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400" w:type="dxa"/>
            <w:vAlign w:val="bottom"/>
          </w:tcPr>
          <w:p>
            <w:pPr>
              <w:ind w:left="340"/>
              <w:spacing w:after="0"/>
              <w:rPr>
                <w:sz w:val="20"/>
                <w:szCs w:val="20"/>
                <w:color w:val="auto"/>
              </w:rPr>
            </w:pPr>
            <w:r>
              <w:rPr>
                <w:rFonts w:ascii="Courier New" w:cs="Courier New" w:eastAsia="Courier New" w:hAnsi="Courier New"/>
                <w:sz w:val="14"/>
                <w:szCs w:val="14"/>
                <w:color w:val="auto"/>
              </w:rPr>
              <w:t>Staples / TJ Maxx / Tower</w:t>
            </w:r>
          </w:p>
        </w:tc>
      </w:tr>
      <w:tr>
        <w:trPr>
          <w:trHeight w:val="166"/>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Quince Orchard</w:t>
            </w:r>
          </w:p>
        </w:tc>
        <w:tc>
          <w:tcPr>
            <w:tcW w:w="10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23,640</w:t>
            </w:r>
          </w:p>
        </w:tc>
        <w:tc>
          <w:tcPr>
            <w:tcW w:w="2200" w:type="dxa"/>
            <w:vAlign w:val="bottom"/>
          </w:tcPr>
          <w:p>
            <w:pPr>
              <w:ind w:left="140"/>
              <w:spacing w:after="0"/>
              <w:rPr>
                <w:sz w:val="20"/>
                <w:szCs w:val="20"/>
                <w:color w:val="auto"/>
              </w:rPr>
            </w:pPr>
            <w:r>
              <w:rPr>
                <w:rFonts w:ascii="Courier New" w:cs="Courier New" w:eastAsia="Courier New" w:hAnsi="Courier New"/>
                <w:sz w:val="14"/>
                <w:szCs w:val="14"/>
                <w:color w:val="auto"/>
              </w:rPr>
              <w:t>Magruders</w:t>
            </w:r>
          </w:p>
        </w:tc>
        <w:tc>
          <w:tcPr>
            <w:tcW w:w="4400" w:type="dxa"/>
            <w:vAlign w:val="bottom"/>
          </w:tcPr>
          <w:p>
            <w:pPr>
              <w:ind w:left="340"/>
              <w:spacing w:after="0"/>
              <w:rPr>
                <w:sz w:val="20"/>
                <w:szCs w:val="20"/>
                <w:color w:val="auto"/>
              </w:rPr>
            </w:pPr>
            <w:r>
              <w:rPr>
                <w:rFonts w:ascii="Courier New" w:cs="Courier New" w:eastAsia="Courier New" w:hAnsi="Courier New"/>
                <w:sz w:val="14"/>
                <w:szCs w:val="14"/>
                <w:color w:val="auto"/>
              </w:rPr>
              <w:t>Circuit City / Staples</w:t>
            </w:r>
          </w:p>
        </w:tc>
      </w:tr>
      <w:tr>
        <w:trPr>
          <w:trHeight w:val="166"/>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Rollingwood Apartments</w:t>
            </w: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400" w:type="dxa"/>
            <w:vAlign w:val="bottom"/>
          </w:tcPr>
          <w:p>
            <w:pPr>
              <w:spacing w:after="0"/>
              <w:rPr>
                <w:sz w:val="14"/>
                <w:szCs w:val="14"/>
                <w:color w:val="auto"/>
              </w:rPr>
            </w:pPr>
          </w:p>
        </w:tc>
      </w:tr>
      <w:tr>
        <w:trPr>
          <w:trHeight w:val="166"/>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Sam's Park &amp; Shop</w:t>
            </w: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400" w:type="dxa"/>
            <w:vAlign w:val="bottom"/>
          </w:tcPr>
          <w:p>
            <w:pPr>
              <w:ind w:left="340"/>
              <w:spacing w:after="0"/>
              <w:rPr>
                <w:sz w:val="20"/>
                <w:szCs w:val="20"/>
                <w:color w:val="auto"/>
              </w:rPr>
            </w:pPr>
            <w:r>
              <w:rPr>
                <w:rFonts w:ascii="Courier New" w:cs="Courier New" w:eastAsia="Courier New" w:hAnsi="Courier New"/>
                <w:sz w:val="14"/>
                <w:szCs w:val="14"/>
                <w:color w:val="auto"/>
              </w:rPr>
              <w:t>Petco</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Tower</w:t>
            </w:r>
          </w:p>
        </w:tc>
        <w:tc>
          <w:tcPr>
            <w:tcW w:w="2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400" w:type="dxa"/>
            <w:vAlign w:val="bottom"/>
          </w:tcPr>
          <w:p>
            <w:pPr>
              <w:ind w:left="340"/>
              <w:spacing w:after="0"/>
              <w:rPr>
                <w:sz w:val="20"/>
                <w:szCs w:val="20"/>
                <w:color w:val="auto"/>
              </w:rPr>
            </w:pPr>
            <w:r>
              <w:rPr>
                <w:rFonts w:ascii="Courier New" w:cs="Courier New" w:eastAsia="Courier New" w:hAnsi="Courier New"/>
                <w:sz w:val="14"/>
                <w:szCs w:val="14"/>
                <w:color w:val="auto"/>
              </w:rPr>
              <w:t>Virginia Fine Wine / Talbot</w:t>
            </w:r>
          </w:p>
        </w:tc>
      </w:tr>
      <w:tr>
        <w:trPr>
          <w:trHeight w:val="166"/>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Tyson's Station</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6,864</w:t>
            </w:r>
          </w:p>
        </w:tc>
        <w:tc>
          <w:tcPr>
            <w:tcW w:w="8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400" w:type="dxa"/>
            <w:vAlign w:val="bottom"/>
          </w:tcPr>
          <w:p>
            <w:pPr>
              <w:ind w:left="340"/>
              <w:spacing w:after="0"/>
              <w:rPr>
                <w:sz w:val="20"/>
                <w:szCs w:val="20"/>
                <w:color w:val="auto"/>
              </w:rPr>
            </w:pPr>
            <w:r>
              <w:rPr>
                <w:rFonts w:ascii="Courier New" w:cs="Courier New" w:eastAsia="Courier New" w:hAnsi="Courier New"/>
                <w:sz w:val="14"/>
                <w:szCs w:val="14"/>
                <w:color w:val="auto"/>
              </w:rPr>
              <w:t>Trader Joes</w:t>
            </w:r>
          </w:p>
        </w:tc>
      </w:tr>
      <w:tr>
        <w:trPr>
          <w:trHeight w:val="166"/>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Village of Shirlington</w:t>
            </w: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400" w:type="dxa"/>
            <w:vAlign w:val="bottom"/>
          </w:tcPr>
          <w:p>
            <w:pPr>
              <w:ind w:left="340"/>
              <w:spacing w:after="0"/>
              <w:rPr>
                <w:sz w:val="20"/>
                <w:szCs w:val="20"/>
                <w:color w:val="auto"/>
              </w:rPr>
            </w:pPr>
            <w:r>
              <w:rPr>
                <w:rFonts w:ascii="Courier New" w:cs="Courier New" w:eastAsia="Courier New" w:hAnsi="Courier New"/>
                <w:sz w:val="14"/>
                <w:szCs w:val="14"/>
                <w:color w:val="auto"/>
              </w:rPr>
              <w:t>Cineplex Odeon</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Wildwood</w:t>
            </w:r>
          </w:p>
        </w:tc>
        <w:tc>
          <w:tcPr>
            <w:tcW w:w="216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27,600</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20,000</w:t>
            </w:r>
          </w:p>
        </w:tc>
        <w:tc>
          <w:tcPr>
            <w:tcW w:w="2200" w:type="dxa"/>
            <w:vAlign w:val="bottom"/>
          </w:tcPr>
          <w:p>
            <w:pPr>
              <w:ind w:left="140"/>
              <w:spacing w:after="0"/>
              <w:rPr>
                <w:sz w:val="20"/>
                <w:szCs w:val="20"/>
                <w:color w:val="auto"/>
              </w:rPr>
            </w:pPr>
            <w:r>
              <w:rPr>
                <w:rFonts w:ascii="Courier New" w:cs="Courier New" w:eastAsia="Courier New" w:hAnsi="Courier New"/>
                <w:sz w:val="14"/>
                <w:szCs w:val="14"/>
                <w:color w:val="auto"/>
              </w:rPr>
              <w:t>Sutton Place Gourmet</w:t>
            </w:r>
          </w:p>
        </w:tc>
        <w:tc>
          <w:tcPr>
            <w:tcW w:w="4400" w:type="dxa"/>
            <w:vAlign w:val="bottom"/>
          </w:tcPr>
          <w:p>
            <w:pPr>
              <w:ind w:left="340"/>
              <w:spacing w:after="0"/>
              <w:rPr>
                <w:sz w:val="20"/>
                <w:szCs w:val="20"/>
                <w:color w:val="auto"/>
              </w:rPr>
            </w:pPr>
            <w:r>
              <w:rPr>
                <w:rFonts w:ascii="Courier New" w:cs="Courier New" w:eastAsia="Courier New" w:hAnsi="Courier New"/>
                <w:sz w:val="14"/>
                <w:szCs w:val="14"/>
                <w:color w:val="auto"/>
              </w:rPr>
              <w:t>CVS</w:t>
            </w:r>
          </w:p>
        </w:tc>
      </w:tr>
      <w:tr>
        <w:trPr>
          <w:trHeight w:val="663"/>
        </w:trPr>
        <w:tc>
          <w:tcPr>
            <w:tcW w:w="29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Mid-Atlantic Region - Other</w:t>
            </w: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166"/>
        </w:trPr>
        <w:tc>
          <w:tcPr>
            <w:tcW w:w="29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400" w:type="dxa"/>
            <w:vAlign w:val="bottom"/>
          </w:tcPr>
          <w:p>
            <w:pPr>
              <w:spacing w:after="0"/>
              <w:rPr>
                <w:sz w:val="14"/>
                <w:szCs w:val="14"/>
                <w:color w:val="auto"/>
              </w:rPr>
            </w:pP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Governor</w:t>
            </w:r>
          </w:p>
        </w:tc>
        <w:tc>
          <w:tcPr>
            <w:tcW w:w="2160" w:type="dxa"/>
            <w:vAlign w:val="bottom"/>
          </w:tcPr>
          <w:p>
            <w:pPr>
              <w:ind w:left="40"/>
              <w:spacing w:after="0"/>
              <w:rPr>
                <w:sz w:val="20"/>
                <w:szCs w:val="20"/>
                <w:color w:val="auto"/>
              </w:rPr>
            </w:pPr>
            <w:r>
              <w:rPr>
                <w:rFonts w:ascii="Courier New" w:cs="Courier New" w:eastAsia="Courier New" w:hAnsi="Courier New"/>
                <w:sz w:val="14"/>
                <w:szCs w:val="14"/>
                <w:color w:val="auto"/>
              </w:rPr>
              <w:t>Plaza</w:t>
            </w: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400" w:type="dxa"/>
            <w:vAlign w:val="bottom"/>
          </w:tcPr>
          <w:p>
            <w:pPr>
              <w:ind w:left="340"/>
              <w:spacing w:after="0"/>
              <w:rPr>
                <w:sz w:val="20"/>
                <w:szCs w:val="20"/>
                <w:color w:val="auto"/>
              </w:rPr>
            </w:pPr>
            <w:r>
              <w:rPr>
                <w:rFonts w:ascii="Courier New" w:cs="Courier New" w:eastAsia="Courier New" w:hAnsi="Courier New"/>
                <w:sz w:val="14"/>
                <w:szCs w:val="14"/>
                <w:color w:val="auto"/>
              </w:rPr>
              <w:t>Bally's / Comp USA / Syms / Office Depot</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Perring</w:t>
            </w:r>
          </w:p>
        </w:tc>
        <w:tc>
          <w:tcPr>
            <w:tcW w:w="2160" w:type="dxa"/>
            <w:vAlign w:val="bottom"/>
          </w:tcPr>
          <w:p>
            <w:pPr>
              <w:ind w:left="40"/>
              <w:spacing w:after="0"/>
              <w:rPr>
                <w:sz w:val="20"/>
                <w:szCs w:val="20"/>
                <w:color w:val="auto"/>
              </w:rPr>
            </w:pPr>
            <w:r>
              <w:rPr>
                <w:rFonts w:ascii="Courier New" w:cs="Courier New" w:eastAsia="Courier New" w:hAnsi="Courier New"/>
                <w:sz w:val="14"/>
                <w:szCs w:val="14"/>
                <w:color w:val="auto"/>
              </w:rPr>
              <w:t>Plaza</w:t>
            </w:r>
          </w:p>
        </w:tc>
        <w:tc>
          <w:tcPr>
            <w:tcW w:w="10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57,706</w:t>
            </w:r>
          </w:p>
        </w:tc>
        <w:tc>
          <w:tcPr>
            <w:tcW w:w="2200" w:type="dxa"/>
            <w:vAlign w:val="bottom"/>
          </w:tcPr>
          <w:p>
            <w:pPr>
              <w:ind w:left="140"/>
              <w:spacing w:after="0"/>
              <w:rPr>
                <w:sz w:val="20"/>
                <w:szCs w:val="20"/>
                <w:color w:val="auto"/>
              </w:rPr>
            </w:pPr>
            <w:r>
              <w:rPr>
                <w:rFonts w:ascii="Courier New" w:cs="Courier New" w:eastAsia="Courier New" w:hAnsi="Courier New"/>
                <w:sz w:val="14"/>
                <w:szCs w:val="14"/>
                <w:color w:val="auto"/>
              </w:rPr>
              <w:t>Metro Foods</w:t>
            </w:r>
          </w:p>
        </w:tc>
        <w:tc>
          <w:tcPr>
            <w:tcW w:w="4400" w:type="dxa"/>
            <w:vAlign w:val="bottom"/>
          </w:tcPr>
          <w:p>
            <w:pPr>
              <w:ind w:left="340"/>
              <w:spacing w:after="0"/>
              <w:rPr>
                <w:sz w:val="20"/>
                <w:szCs w:val="20"/>
                <w:color w:val="auto"/>
              </w:rPr>
            </w:pPr>
            <w:r>
              <w:rPr>
                <w:rFonts w:ascii="Courier New" w:cs="Courier New" w:eastAsia="Courier New" w:hAnsi="Courier New"/>
                <w:sz w:val="14"/>
                <w:szCs w:val="14"/>
                <w:color w:val="auto"/>
              </w:rPr>
              <w:t>Home Depot / Burlington Coat Factory</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Barracks</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Road</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44,300</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91,032</w:t>
            </w:r>
          </w:p>
        </w:tc>
        <w:tc>
          <w:tcPr>
            <w:tcW w:w="2120" w:type="dxa"/>
            <w:vAlign w:val="bottom"/>
          </w:tcPr>
          <w:p>
            <w:pPr>
              <w:ind w:left="140"/>
              <w:spacing w:after="0"/>
              <w:rPr>
                <w:sz w:val="20"/>
                <w:szCs w:val="20"/>
                <w:color w:val="auto"/>
              </w:rPr>
            </w:pPr>
            <w:r>
              <w:rPr>
                <w:rFonts w:ascii="Courier New" w:cs="Courier New" w:eastAsia="Courier New" w:hAnsi="Courier New"/>
                <w:sz w:val="14"/>
                <w:szCs w:val="14"/>
                <w:color w:val="auto"/>
              </w:rPr>
              <w:t>Harris Teeter / Kroger</w:t>
            </w:r>
          </w:p>
        </w:tc>
        <w:tc>
          <w:tcPr>
            <w:tcW w:w="1240" w:type="dxa"/>
            <w:vAlign w:val="bottom"/>
          </w:tcPr>
          <w:p>
            <w:pPr>
              <w:ind w:left="420"/>
              <w:spacing w:after="0"/>
              <w:rPr>
                <w:sz w:val="20"/>
                <w:szCs w:val="20"/>
                <w:color w:val="auto"/>
              </w:rPr>
            </w:pPr>
            <w:r>
              <w:rPr>
                <w:rFonts w:ascii="Courier New" w:cs="Courier New" w:eastAsia="Courier New" w:hAnsi="Courier New"/>
                <w:sz w:val="14"/>
                <w:szCs w:val="14"/>
                <w:color w:val="auto"/>
              </w:rPr>
              <w:t>Bed, Bath</w:t>
            </w:r>
          </w:p>
        </w:tc>
        <w:tc>
          <w:tcPr>
            <w:tcW w:w="2800" w:type="dxa"/>
            <w:vAlign w:val="bottom"/>
          </w:tcPr>
          <w:p>
            <w:pPr>
              <w:ind w:left="60"/>
              <w:spacing w:after="0"/>
              <w:rPr>
                <w:sz w:val="20"/>
                <w:szCs w:val="20"/>
                <w:color w:val="auto"/>
              </w:rPr>
            </w:pPr>
            <w:r>
              <w:rPr>
                <w:rFonts w:ascii="Courier New" w:cs="Courier New" w:eastAsia="Courier New" w:hAnsi="Courier New"/>
                <w:sz w:val="14"/>
                <w:szCs w:val="14"/>
                <w:color w:val="auto"/>
              </w:rPr>
              <w:t>&amp; Beyond/Barnes &amp; Noble/Old Navy</w:t>
            </w:r>
          </w:p>
        </w:tc>
      </w:tr>
      <w:tr>
        <w:trPr>
          <w:trHeight w:val="166"/>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Winter Park</w:t>
            </w:r>
          </w:p>
        </w:tc>
        <w:tc>
          <w:tcPr>
            <w:tcW w:w="1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Eastgate</w:t>
            </w:r>
          </w:p>
        </w:tc>
        <w:tc>
          <w:tcPr>
            <w:tcW w:w="1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22,938</w:t>
            </w:r>
          </w:p>
        </w:tc>
        <w:tc>
          <w:tcPr>
            <w:tcW w:w="2120" w:type="dxa"/>
            <w:vAlign w:val="bottom"/>
          </w:tcPr>
          <w:p>
            <w:pPr>
              <w:ind w:left="140"/>
              <w:spacing w:after="0"/>
              <w:rPr>
                <w:sz w:val="20"/>
                <w:szCs w:val="20"/>
                <w:color w:val="auto"/>
              </w:rPr>
            </w:pPr>
            <w:r>
              <w:rPr>
                <w:rFonts w:ascii="Courier New" w:cs="Courier New" w:eastAsia="Courier New" w:hAnsi="Courier New"/>
                <w:sz w:val="14"/>
                <w:szCs w:val="14"/>
                <w:color w:val="auto"/>
              </w:rPr>
              <w:t>Southern Season</w:t>
            </w:r>
          </w:p>
        </w:tc>
        <w:tc>
          <w:tcPr>
            <w:tcW w:w="12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(7)</w:t>
            </w:r>
          </w:p>
        </w:tc>
        <w:tc>
          <w:tcPr>
            <w:tcW w:w="280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Shops at</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Willow Lawn</w:t>
            </w:r>
          </w:p>
        </w:tc>
        <w:tc>
          <w:tcPr>
            <w:tcW w:w="14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44,607</w:t>
            </w:r>
          </w:p>
        </w:tc>
        <w:tc>
          <w:tcPr>
            <w:tcW w:w="2120" w:type="dxa"/>
            <w:vAlign w:val="bottom"/>
          </w:tcPr>
          <w:p>
            <w:pPr>
              <w:ind w:left="140"/>
              <w:spacing w:after="0"/>
              <w:rPr>
                <w:sz w:val="20"/>
                <w:szCs w:val="20"/>
                <w:color w:val="auto"/>
              </w:rPr>
            </w:pPr>
            <w:r>
              <w:rPr>
                <w:rFonts w:ascii="Courier New" w:cs="Courier New" w:eastAsia="Courier New" w:hAnsi="Courier New"/>
                <w:sz w:val="14"/>
                <w:szCs w:val="14"/>
                <w:color w:val="auto"/>
              </w:rPr>
              <w:t>Kroger</w:t>
            </w:r>
          </w:p>
        </w:tc>
        <w:tc>
          <w:tcPr>
            <w:tcW w:w="1240" w:type="dxa"/>
            <w:vAlign w:val="bottom"/>
          </w:tcPr>
          <w:p>
            <w:pPr>
              <w:ind w:left="420"/>
              <w:spacing w:after="0"/>
              <w:rPr>
                <w:sz w:val="20"/>
                <w:szCs w:val="20"/>
                <w:color w:val="auto"/>
              </w:rPr>
            </w:pPr>
            <w:r>
              <w:rPr>
                <w:rFonts w:ascii="Courier New" w:cs="Courier New" w:eastAsia="Courier New" w:hAnsi="Courier New"/>
                <w:sz w:val="14"/>
                <w:szCs w:val="14"/>
                <w:color w:val="auto"/>
              </w:rPr>
              <w:t>Dillard's</w:t>
            </w:r>
          </w:p>
        </w:tc>
        <w:tc>
          <w:tcPr>
            <w:tcW w:w="2800" w:type="dxa"/>
            <w:vAlign w:val="bottom"/>
          </w:tcPr>
          <w:p>
            <w:pPr>
              <w:ind w:left="60"/>
              <w:spacing w:after="0"/>
              <w:rPr>
                <w:sz w:val="20"/>
                <w:szCs w:val="20"/>
                <w:color w:val="auto"/>
              </w:rPr>
            </w:pPr>
            <w:r>
              <w:rPr>
                <w:rFonts w:ascii="Courier New" w:cs="Courier New" w:eastAsia="Courier New" w:hAnsi="Courier New"/>
                <w:sz w:val="14"/>
                <w:szCs w:val="14"/>
                <w:color w:val="auto"/>
              </w:rPr>
              <w:t>/ Old Navy / Tower Records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Northeast Region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Philadelphia Metropolitan Area</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Andorra</w:t>
            </w:r>
          </w:p>
        </w:tc>
        <w:tc>
          <w:tcPr>
            <w:tcW w:w="13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23,542</w:t>
            </w:r>
          </w:p>
        </w:tc>
        <w:tc>
          <w:tcPr>
            <w:tcW w:w="2200" w:type="dxa"/>
            <w:vAlign w:val="bottom"/>
          </w:tcPr>
          <w:p>
            <w:pPr>
              <w:ind w:left="140"/>
              <w:spacing w:after="0"/>
              <w:rPr>
                <w:sz w:val="20"/>
                <w:szCs w:val="20"/>
                <w:color w:val="auto"/>
              </w:rPr>
            </w:pPr>
            <w:r>
              <w:rPr>
                <w:rFonts w:ascii="Courier New" w:cs="Courier New" w:eastAsia="Courier New" w:hAnsi="Courier New"/>
                <w:sz w:val="14"/>
                <w:szCs w:val="14"/>
                <w:color w:val="auto"/>
              </w:rPr>
              <w:t>Acme Markets</w:t>
            </w:r>
          </w:p>
        </w:tc>
        <w:tc>
          <w:tcPr>
            <w:tcW w:w="4140" w:type="dxa"/>
            <w:vAlign w:val="bottom"/>
          </w:tcPr>
          <w:p>
            <w:pPr>
              <w:ind w:left="340"/>
              <w:spacing w:after="0"/>
              <w:rPr>
                <w:sz w:val="20"/>
                <w:szCs w:val="20"/>
                <w:color w:val="auto"/>
              </w:rPr>
            </w:pPr>
            <w:r>
              <w:rPr>
                <w:rFonts w:ascii="Courier New" w:cs="Courier New" w:eastAsia="Courier New" w:hAnsi="Courier New"/>
                <w:sz w:val="14"/>
                <w:szCs w:val="14"/>
                <w:color w:val="auto"/>
              </w:rPr>
              <w:t>Kohl's / Andorra Theatre</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Bala Cynwyd</w:t>
            </w:r>
          </w:p>
        </w:tc>
        <w:tc>
          <w:tcPr>
            <w:tcW w:w="13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45,000</w:t>
            </w:r>
          </w:p>
        </w:tc>
        <w:tc>
          <w:tcPr>
            <w:tcW w:w="2200" w:type="dxa"/>
            <w:vAlign w:val="bottom"/>
          </w:tcPr>
          <w:p>
            <w:pPr>
              <w:ind w:left="140"/>
              <w:spacing w:after="0"/>
              <w:rPr>
                <w:sz w:val="20"/>
                <w:szCs w:val="20"/>
                <w:color w:val="auto"/>
              </w:rPr>
            </w:pPr>
            <w:r>
              <w:rPr>
                <w:rFonts w:ascii="Courier New" w:cs="Courier New" w:eastAsia="Courier New" w:hAnsi="Courier New"/>
                <w:sz w:val="14"/>
                <w:szCs w:val="14"/>
                <w:color w:val="auto"/>
              </w:rPr>
              <w:t>Acme Markets</w:t>
            </w:r>
          </w:p>
        </w:tc>
        <w:tc>
          <w:tcPr>
            <w:tcW w:w="4140" w:type="dxa"/>
            <w:vAlign w:val="bottom"/>
          </w:tcPr>
          <w:p>
            <w:pPr>
              <w:ind w:left="340"/>
              <w:spacing w:after="0"/>
              <w:rPr>
                <w:sz w:val="20"/>
                <w:szCs w:val="20"/>
                <w:color w:val="auto"/>
              </w:rPr>
            </w:pPr>
            <w:r>
              <w:rPr>
                <w:rFonts w:ascii="Courier New" w:cs="Courier New" w:eastAsia="Courier New" w:hAnsi="Courier New"/>
                <w:sz w:val="14"/>
                <w:szCs w:val="14"/>
                <w:color w:val="auto"/>
              </w:rPr>
              <w:t>Lord &amp; Taylor</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Ellisburg Circle</w:t>
            </w:r>
          </w:p>
        </w:tc>
        <w:tc>
          <w:tcPr>
            <w:tcW w:w="13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47,600</w:t>
            </w:r>
          </w:p>
        </w:tc>
        <w:tc>
          <w:tcPr>
            <w:tcW w:w="2200" w:type="dxa"/>
            <w:vAlign w:val="bottom"/>
          </w:tcPr>
          <w:p>
            <w:pPr>
              <w:ind w:left="140"/>
              <w:spacing w:after="0"/>
              <w:rPr>
                <w:sz w:val="20"/>
                <w:szCs w:val="20"/>
                <w:color w:val="auto"/>
              </w:rPr>
            </w:pPr>
            <w:r>
              <w:rPr>
                <w:rFonts w:ascii="Courier New" w:cs="Courier New" w:eastAsia="Courier New" w:hAnsi="Courier New"/>
                <w:sz w:val="14"/>
                <w:szCs w:val="14"/>
                <w:color w:val="auto"/>
              </w:rPr>
              <w:t>Genuardi's</w:t>
            </w:r>
          </w:p>
        </w:tc>
        <w:tc>
          <w:tcPr>
            <w:tcW w:w="4140" w:type="dxa"/>
            <w:vAlign w:val="bottom"/>
          </w:tcPr>
          <w:p>
            <w:pPr>
              <w:spacing w:after="0"/>
              <w:rPr>
                <w:sz w:val="20"/>
                <w:szCs w:val="20"/>
                <w:color w:val="auto"/>
              </w:rPr>
            </w:pPr>
            <w:r>
              <w:rPr>
                <w:rFonts w:ascii="Courier New" w:cs="Courier New" w:eastAsia="Courier New" w:hAnsi="Courier New"/>
                <w:sz w:val="14"/>
                <w:szCs w:val="14"/>
                <w:color w:val="auto"/>
              </w:rPr>
              <w:t>(8) Bed, Bath &amp; Beyond / Ross</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Feasterville</w:t>
            </w:r>
          </w:p>
        </w:tc>
        <w:tc>
          <w:tcPr>
            <w:tcW w:w="13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52,694</w:t>
            </w:r>
          </w:p>
        </w:tc>
        <w:tc>
          <w:tcPr>
            <w:tcW w:w="2200" w:type="dxa"/>
            <w:vAlign w:val="bottom"/>
          </w:tcPr>
          <w:p>
            <w:pPr>
              <w:ind w:left="140"/>
              <w:spacing w:after="0"/>
              <w:rPr>
                <w:sz w:val="20"/>
                <w:szCs w:val="20"/>
                <w:color w:val="auto"/>
              </w:rPr>
            </w:pPr>
            <w:r>
              <w:rPr>
                <w:rFonts w:ascii="Courier New" w:cs="Courier New" w:eastAsia="Courier New" w:hAnsi="Courier New"/>
                <w:sz w:val="14"/>
                <w:szCs w:val="14"/>
                <w:color w:val="auto"/>
              </w:rPr>
              <w:t>Genuardi's</w:t>
            </w:r>
          </w:p>
        </w:tc>
        <w:tc>
          <w:tcPr>
            <w:tcW w:w="4140" w:type="dxa"/>
            <w:vAlign w:val="bottom"/>
          </w:tcPr>
          <w:p>
            <w:pPr>
              <w:ind w:left="340"/>
              <w:spacing w:after="0"/>
              <w:rPr>
                <w:sz w:val="20"/>
                <w:szCs w:val="20"/>
                <w:color w:val="auto"/>
              </w:rPr>
            </w:pPr>
            <w:r>
              <w:rPr>
                <w:rFonts w:ascii="Courier New" w:cs="Courier New" w:eastAsia="Courier New" w:hAnsi="Courier New"/>
                <w:sz w:val="14"/>
                <w:szCs w:val="14"/>
                <w:color w:val="auto"/>
              </w:rPr>
              <w:t>OfficeMax</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Flourtown</w:t>
            </w:r>
          </w:p>
        </w:tc>
        <w:tc>
          <w:tcPr>
            <w:tcW w:w="13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41,511</w:t>
            </w:r>
          </w:p>
        </w:tc>
        <w:tc>
          <w:tcPr>
            <w:tcW w:w="2200" w:type="dxa"/>
            <w:vAlign w:val="bottom"/>
          </w:tcPr>
          <w:p>
            <w:pPr>
              <w:ind w:left="140"/>
              <w:spacing w:after="0"/>
              <w:rPr>
                <w:sz w:val="20"/>
                <w:szCs w:val="20"/>
                <w:color w:val="auto"/>
              </w:rPr>
            </w:pPr>
            <w:r>
              <w:rPr>
                <w:rFonts w:ascii="Courier New" w:cs="Courier New" w:eastAsia="Courier New" w:hAnsi="Courier New"/>
                <w:sz w:val="14"/>
                <w:szCs w:val="14"/>
                <w:color w:val="auto"/>
              </w:rPr>
              <w:t>Genuardi's</w:t>
            </w:r>
          </w:p>
        </w:tc>
        <w:tc>
          <w:tcPr>
            <w:tcW w:w="4140" w:type="dxa"/>
            <w:vAlign w:val="bottom"/>
          </w:tcPr>
          <w:p>
            <w:pPr>
              <w:ind w:left="340"/>
              <w:spacing w:after="0"/>
              <w:rPr>
                <w:sz w:val="20"/>
                <w:szCs w:val="20"/>
                <w:color w:val="auto"/>
              </w:rPr>
            </w:pPr>
            <w:r>
              <w:rPr>
                <w:rFonts w:ascii="Courier New" w:cs="Courier New" w:eastAsia="Courier New" w:hAnsi="Courier New"/>
                <w:sz w:val="14"/>
                <w:szCs w:val="14"/>
                <w:color w:val="auto"/>
              </w:rPr>
              <w:t>Kmart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Langhorne Square</w:t>
            </w:r>
          </w:p>
        </w:tc>
        <w:tc>
          <w:tcPr>
            <w:tcW w:w="13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55,000</w:t>
            </w:r>
          </w:p>
        </w:tc>
        <w:tc>
          <w:tcPr>
            <w:tcW w:w="2200" w:type="dxa"/>
            <w:vAlign w:val="bottom"/>
          </w:tcPr>
          <w:p>
            <w:pPr>
              <w:ind w:left="140"/>
              <w:spacing w:after="0"/>
              <w:rPr>
                <w:sz w:val="20"/>
                <w:szCs w:val="20"/>
                <w:color w:val="auto"/>
              </w:rPr>
            </w:pPr>
            <w:r>
              <w:rPr>
                <w:rFonts w:ascii="Courier New" w:cs="Courier New" w:eastAsia="Courier New" w:hAnsi="Courier New"/>
                <w:sz w:val="14"/>
                <w:szCs w:val="14"/>
                <w:color w:val="auto"/>
              </w:rPr>
              <w:t>Redner's Warehouse Mkts.</w:t>
            </w:r>
          </w:p>
        </w:tc>
        <w:tc>
          <w:tcPr>
            <w:tcW w:w="4140" w:type="dxa"/>
            <w:vAlign w:val="bottom"/>
          </w:tcPr>
          <w:p>
            <w:pPr>
              <w:ind w:left="340"/>
              <w:spacing w:after="0"/>
              <w:rPr>
                <w:sz w:val="20"/>
                <w:szCs w:val="20"/>
                <w:color w:val="auto"/>
              </w:rPr>
            </w:pPr>
            <w:r>
              <w:rPr>
                <w:rFonts w:ascii="Courier New" w:cs="Courier New" w:eastAsia="Courier New" w:hAnsi="Courier New"/>
                <w:sz w:val="14"/>
                <w:szCs w:val="14"/>
                <w:color w:val="auto"/>
              </w:rPr>
              <w:t>Marshalls / Drug Emporium</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Lawrence Park</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31,400</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38,481</w:t>
            </w:r>
          </w:p>
        </w:tc>
        <w:tc>
          <w:tcPr>
            <w:tcW w:w="2200" w:type="dxa"/>
            <w:vAlign w:val="bottom"/>
          </w:tcPr>
          <w:p>
            <w:pPr>
              <w:ind w:left="140"/>
              <w:spacing w:after="0"/>
              <w:rPr>
                <w:sz w:val="20"/>
                <w:szCs w:val="20"/>
                <w:color w:val="auto"/>
              </w:rPr>
            </w:pPr>
            <w:r>
              <w:rPr>
                <w:rFonts w:ascii="Courier New" w:cs="Courier New" w:eastAsia="Courier New" w:hAnsi="Courier New"/>
                <w:sz w:val="14"/>
                <w:szCs w:val="14"/>
                <w:color w:val="auto"/>
              </w:rPr>
              <w:t>Acme Markets</w:t>
            </w:r>
          </w:p>
        </w:tc>
        <w:tc>
          <w:tcPr>
            <w:tcW w:w="4140" w:type="dxa"/>
            <w:vAlign w:val="bottom"/>
          </w:tcPr>
          <w:p>
            <w:pPr>
              <w:ind w:left="340"/>
              <w:spacing w:after="0"/>
              <w:rPr>
                <w:sz w:val="20"/>
                <w:szCs w:val="20"/>
                <w:color w:val="auto"/>
              </w:rPr>
            </w:pPr>
            <w:r>
              <w:rPr>
                <w:rFonts w:ascii="Courier New" w:cs="Courier New" w:eastAsia="Courier New" w:hAnsi="Courier New"/>
                <w:sz w:val="14"/>
                <w:szCs w:val="14"/>
                <w:color w:val="auto"/>
              </w:rPr>
              <w:t>CHI / TJ Maxx / Today's Man</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140" w:type="dxa"/>
            <w:vAlign w:val="bottom"/>
          </w:tcPr>
          <w:p>
            <w:pPr>
              <w:ind w:left="340"/>
              <w:spacing w:after="0"/>
              <w:rPr>
                <w:sz w:val="20"/>
                <w:szCs w:val="20"/>
                <w:color w:val="auto"/>
              </w:rPr>
            </w:pPr>
            <w:r>
              <w:rPr>
                <w:rFonts w:ascii="Courier New" w:cs="Courier New" w:eastAsia="Courier New" w:hAnsi="Courier New"/>
                <w:sz w:val="14"/>
                <w:szCs w:val="14"/>
                <w:color w:val="auto"/>
              </w:rPr>
              <w:t>Burlington Coat / Marshalls / Tower Records</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Willow Grove</w:t>
            </w: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140" w:type="dxa"/>
            <w:vAlign w:val="bottom"/>
          </w:tcPr>
          <w:p>
            <w:pPr>
              <w:ind w:left="340"/>
              <w:spacing w:after="0"/>
              <w:rPr>
                <w:sz w:val="20"/>
                <w:szCs w:val="20"/>
                <w:color w:val="auto"/>
              </w:rPr>
            </w:pPr>
            <w:r>
              <w:rPr>
                <w:rFonts w:ascii="Courier New" w:cs="Courier New" w:eastAsia="Courier New" w:hAnsi="Courier New"/>
                <w:sz w:val="14"/>
                <w:szCs w:val="14"/>
                <w:color w:val="auto"/>
              </w:rPr>
              <w:t>Barnes &amp; Noble / Marshalls / Toys R Us</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Wynnewood</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32,000</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98,000</w:t>
            </w:r>
          </w:p>
        </w:tc>
        <w:tc>
          <w:tcPr>
            <w:tcW w:w="2200" w:type="dxa"/>
            <w:vAlign w:val="bottom"/>
          </w:tcPr>
          <w:p>
            <w:pPr>
              <w:ind w:left="140"/>
              <w:spacing w:after="0"/>
              <w:rPr>
                <w:sz w:val="20"/>
                <w:szCs w:val="20"/>
                <w:color w:val="auto"/>
              </w:rPr>
            </w:pPr>
            <w:r>
              <w:rPr>
                <w:rFonts w:ascii="Courier New" w:cs="Courier New" w:eastAsia="Courier New" w:hAnsi="Courier New"/>
                <w:sz w:val="14"/>
                <w:szCs w:val="14"/>
                <w:color w:val="auto"/>
              </w:rPr>
              <w:t>Genuardi's</w:t>
            </w:r>
          </w:p>
        </w:tc>
        <w:tc>
          <w:tcPr>
            <w:tcW w:w="4140" w:type="dxa"/>
            <w:vAlign w:val="bottom"/>
          </w:tcPr>
          <w:p>
            <w:pPr>
              <w:ind w:left="340"/>
              <w:spacing w:after="0"/>
              <w:rPr>
                <w:sz w:val="20"/>
                <w:szCs w:val="20"/>
                <w:color w:val="auto"/>
              </w:rPr>
            </w:pPr>
            <w:r>
              <w:rPr>
                <w:rFonts w:ascii="Courier New" w:cs="Courier New" w:eastAsia="Courier New" w:hAnsi="Courier New"/>
                <w:sz w:val="14"/>
                <w:szCs w:val="14"/>
                <w:color w:val="auto"/>
              </w:rPr>
              <w:t>Bed, Bath &amp; Beyond / Borders / Old Navy</w:t>
            </w:r>
          </w:p>
        </w:tc>
      </w:tr>
      <w:tr>
        <w:trPr>
          <w:trHeight w:val="497"/>
        </w:trPr>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New York / New Jersey</w:t>
            </w: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166"/>
        </w:trPr>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140" w:type="dxa"/>
            <w:vAlign w:val="bottom"/>
          </w:tcPr>
          <w:p>
            <w:pPr>
              <w:spacing w:after="0"/>
              <w:rPr>
                <w:sz w:val="14"/>
                <w:szCs w:val="14"/>
                <w:color w:val="auto"/>
              </w:rPr>
            </w:pP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Allwood</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3,513</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25,025</w:t>
            </w:r>
          </w:p>
        </w:tc>
        <w:tc>
          <w:tcPr>
            <w:tcW w:w="2200" w:type="dxa"/>
            <w:vAlign w:val="bottom"/>
          </w:tcPr>
          <w:p>
            <w:pPr>
              <w:ind w:left="140"/>
              <w:spacing w:after="0"/>
              <w:rPr>
                <w:sz w:val="20"/>
                <w:szCs w:val="20"/>
                <w:color w:val="auto"/>
              </w:rPr>
            </w:pPr>
            <w:r>
              <w:rPr>
                <w:rFonts w:ascii="Courier New" w:cs="Courier New" w:eastAsia="Courier New" w:hAnsi="Courier New"/>
                <w:sz w:val="14"/>
                <w:szCs w:val="14"/>
                <w:color w:val="auto"/>
              </w:rPr>
              <w:t>Stop &amp; Shop</w:t>
            </w:r>
          </w:p>
        </w:tc>
        <w:tc>
          <w:tcPr>
            <w:tcW w:w="4140" w:type="dxa"/>
            <w:vAlign w:val="bottom"/>
          </w:tcPr>
          <w:p>
            <w:pPr>
              <w:ind w:left="340"/>
              <w:spacing w:after="0"/>
              <w:rPr>
                <w:sz w:val="20"/>
                <w:szCs w:val="20"/>
                <w:color w:val="auto"/>
              </w:rPr>
            </w:pPr>
            <w:r>
              <w:rPr>
                <w:rFonts w:ascii="Courier New" w:cs="Courier New" w:eastAsia="Courier New" w:hAnsi="Courier New"/>
                <w:sz w:val="14"/>
                <w:szCs w:val="14"/>
                <w:color w:val="auto"/>
              </w:rPr>
              <w:t>Mandee Shop</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Clifton</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3,267</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26,500</w:t>
            </w:r>
          </w:p>
        </w:tc>
        <w:tc>
          <w:tcPr>
            <w:tcW w:w="2200" w:type="dxa"/>
            <w:vAlign w:val="bottom"/>
          </w:tcPr>
          <w:p>
            <w:pPr>
              <w:ind w:left="140"/>
              <w:spacing w:after="0"/>
              <w:rPr>
                <w:sz w:val="20"/>
                <w:szCs w:val="20"/>
                <w:color w:val="auto"/>
              </w:rPr>
            </w:pPr>
            <w:r>
              <w:rPr>
                <w:rFonts w:ascii="Courier New" w:cs="Courier New" w:eastAsia="Courier New" w:hAnsi="Courier New"/>
                <w:sz w:val="14"/>
                <w:szCs w:val="14"/>
                <w:color w:val="auto"/>
              </w:rPr>
              <w:t>Acme Markets</w:t>
            </w:r>
          </w:p>
        </w:tc>
        <w:tc>
          <w:tcPr>
            <w:tcW w:w="4140" w:type="dxa"/>
            <w:vAlign w:val="bottom"/>
          </w:tcPr>
          <w:p>
            <w:pPr>
              <w:ind w:left="340"/>
              <w:spacing w:after="0"/>
              <w:rPr>
                <w:sz w:val="20"/>
                <w:szCs w:val="20"/>
                <w:color w:val="auto"/>
              </w:rPr>
            </w:pPr>
            <w:r>
              <w:rPr>
                <w:rFonts w:ascii="Courier New" w:cs="Courier New" w:eastAsia="Courier New" w:hAnsi="Courier New"/>
                <w:sz w:val="14"/>
                <w:szCs w:val="14"/>
                <w:color w:val="auto"/>
              </w:rPr>
              <w:t>Drug Fair / Dollar Express</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Blue Star</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26,812</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43,365</w:t>
            </w:r>
          </w:p>
        </w:tc>
        <w:tc>
          <w:tcPr>
            <w:tcW w:w="2200" w:type="dxa"/>
            <w:vAlign w:val="bottom"/>
          </w:tcPr>
          <w:p>
            <w:pPr>
              <w:ind w:left="140"/>
              <w:spacing w:after="0"/>
              <w:rPr>
                <w:sz w:val="20"/>
                <w:szCs w:val="20"/>
                <w:color w:val="auto"/>
              </w:rPr>
            </w:pPr>
            <w:r>
              <w:rPr>
                <w:rFonts w:ascii="Courier New" w:cs="Courier New" w:eastAsia="Courier New" w:hAnsi="Courier New"/>
                <w:sz w:val="14"/>
                <w:szCs w:val="14"/>
                <w:color w:val="auto"/>
              </w:rPr>
              <w:t>Shop Rite</w:t>
            </w:r>
          </w:p>
        </w:tc>
        <w:tc>
          <w:tcPr>
            <w:tcW w:w="4140" w:type="dxa"/>
            <w:vAlign w:val="bottom"/>
          </w:tcPr>
          <w:p>
            <w:pPr>
              <w:ind w:left="340"/>
              <w:spacing w:after="0"/>
              <w:rPr>
                <w:sz w:val="20"/>
                <w:szCs w:val="20"/>
                <w:color w:val="auto"/>
              </w:rPr>
            </w:pPr>
            <w:r>
              <w:rPr>
                <w:rFonts w:ascii="Courier New" w:cs="Courier New" w:eastAsia="Courier New" w:hAnsi="Courier New"/>
                <w:sz w:val="14"/>
                <w:szCs w:val="14"/>
                <w:color w:val="auto"/>
              </w:rPr>
              <w:t>Kohl's / Michaels / Toys R Us / Marshalls</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Brunswick</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11,162</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55,345</w:t>
            </w:r>
          </w:p>
        </w:tc>
        <w:tc>
          <w:tcPr>
            <w:tcW w:w="2200" w:type="dxa"/>
            <w:vAlign w:val="bottom"/>
          </w:tcPr>
          <w:p>
            <w:pPr>
              <w:ind w:left="140"/>
              <w:spacing w:after="0"/>
              <w:rPr>
                <w:sz w:val="20"/>
                <w:szCs w:val="20"/>
                <w:color w:val="auto"/>
              </w:rPr>
            </w:pPr>
            <w:r>
              <w:rPr>
                <w:rFonts w:ascii="Courier New" w:cs="Courier New" w:eastAsia="Courier New" w:hAnsi="Courier New"/>
                <w:sz w:val="14"/>
                <w:szCs w:val="14"/>
                <w:color w:val="auto"/>
              </w:rPr>
              <w:t>A&amp;P</w:t>
            </w:r>
          </w:p>
        </w:tc>
        <w:tc>
          <w:tcPr>
            <w:tcW w:w="4140" w:type="dxa"/>
            <w:vAlign w:val="bottom"/>
          </w:tcPr>
          <w:p>
            <w:pPr>
              <w:ind w:left="340"/>
              <w:spacing w:after="0"/>
              <w:rPr>
                <w:sz w:val="20"/>
                <w:szCs w:val="20"/>
                <w:color w:val="auto"/>
              </w:rPr>
            </w:pPr>
            <w:r>
              <w:rPr>
                <w:rFonts w:ascii="Courier New" w:cs="Courier New" w:eastAsia="Courier New" w:hAnsi="Courier New"/>
                <w:sz w:val="14"/>
                <w:szCs w:val="14"/>
                <w:color w:val="auto"/>
              </w:rPr>
              <w:t>Just Living Rooms</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Rutgers</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12,930</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44,456</w:t>
            </w:r>
          </w:p>
        </w:tc>
        <w:tc>
          <w:tcPr>
            <w:tcW w:w="2200" w:type="dxa"/>
            <w:vAlign w:val="bottom"/>
          </w:tcPr>
          <w:p>
            <w:pPr>
              <w:ind w:left="140"/>
              <w:spacing w:after="0"/>
              <w:rPr>
                <w:sz w:val="20"/>
                <w:szCs w:val="20"/>
                <w:color w:val="auto"/>
              </w:rPr>
            </w:pPr>
            <w:r>
              <w:rPr>
                <w:rFonts w:ascii="Courier New" w:cs="Courier New" w:eastAsia="Courier New" w:hAnsi="Courier New"/>
                <w:sz w:val="14"/>
                <w:szCs w:val="14"/>
                <w:color w:val="auto"/>
              </w:rPr>
              <w:t>Edwards Super Food</w:t>
            </w:r>
          </w:p>
        </w:tc>
        <w:tc>
          <w:tcPr>
            <w:tcW w:w="4140" w:type="dxa"/>
            <w:vAlign w:val="bottom"/>
          </w:tcPr>
          <w:p>
            <w:pPr>
              <w:ind w:left="340"/>
              <w:spacing w:after="0"/>
              <w:rPr>
                <w:sz w:val="20"/>
                <w:szCs w:val="20"/>
                <w:color w:val="auto"/>
              </w:rPr>
            </w:pPr>
            <w:r>
              <w:rPr>
                <w:rFonts w:ascii="Courier New" w:cs="Courier New" w:eastAsia="Courier New" w:hAnsi="Courier New"/>
                <w:sz w:val="14"/>
                <w:szCs w:val="14"/>
                <w:color w:val="auto"/>
              </w:rPr>
              <w:t>Kmart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Brick Plaza</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33,000</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66,110</w:t>
            </w:r>
          </w:p>
        </w:tc>
        <w:tc>
          <w:tcPr>
            <w:tcW w:w="2200" w:type="dxa"/>
            <w:vAlign w:val="bottom"/>
          </w:tcPr>
          <w:p>
            <w:pPr>
              <w:ind w:left="140"/>
              <w:spacing w:after="0"/>
              <w:rPr>
                <w:sz w:val="20"/>
                <w:szCs w:val="20"/>
                <w:color w:val="auto"/>
              </w:rPr>
            </w:pPr>
            <w:r>
              <w:rPr>
                <w:rFonts w:ascii="Courier New" w:cs="Courier New" w:eastAsia="Courier New" w:hAnsi="Courier New"/>
                <w:sz w:val="14"/>
                <w:szCs w:val="14"/>
                <w:color w:val="auto"/>
              </w:rPr>
              <w:t>A&amp;P</w:t>
            </w:r>
          </w:p>
        </w:tc>
        <w:tc>
          <w:tcPr>
            <w:tcW w:w="4140" w:type="dxa"/>
            <w:vAlign w:val="bottom"/>
          </w:tcPr>
          <w:p>
            <w:pPr>
              <w:ind w:left="340"/>
              <w:spacing w:after="0"/>
              <w:rPr>
                <w:sz w:val="20"/>
                <w:szCs w:val="20"/>
                <w:color w:val="auto"/>
              </w:rPr>
            </w:pPr>
            <w:r>
              <w:rPr>
                <w:rFonts w:ascii="Courier New" w:cs="Courier New" w:eastAsia="Courier New" w:hAnsi="Courier New"/>
                <w:sz w:val="14"/>
                <w:szCs w:val="14"/>
                <w:color w:val="auto"/>
              </w:rPr>
              <w:t>Loews Theatres/Barnes&amp;Noble/Sports Authority</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Greenlawn Plaza</w:t>
            </w:r>
          </w:p>
        </w:tc>
        <w:tc>
          <w:tcPr>
            <w:tcW w:w="13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45,958</w:t>
            </w:r>
          </w:p>
        </w:tc>
        <w:tc>
          <w:tcPr>
            <w:tcW w:w="2200" w:type="dxa"/>
            <w:vAlign w:val="bottom"/>
          </w:tcPr>
          <w:p>
            <w:pPr>
              <w:ind w:left="140"/>
              <w:spacing w:after="0"/>
              <w:rPr>
                <w:sz w:val="20"/>
                <w:szCs w:val="20"/>
                <w:color w:val="auto"/>
              </w:rPr>
            </w:pPr>
            <w:r>
              <w:rPr>
                <w:rFonts w:ascii="Courier New" w:cs="Courier New" w:eastAsia="Courier New" w:hAnsi="Courier New"/>
                <w:sz w:val="14"/>
                <w:szCs w:val="14"/>
                <w:color w:val="auto"/>
              </w:rPr>
              <w:t>Waldbaum's</w:t>
            </w:r>
          </w:p>
        </w:tc>
        <w:tc>
          <w:tcPr>
            <w:tcW w:w="4140" w:type="dxa"/>
            <w:vAlign w:val="bottom"/>
          </w:tcPr>
          <w:p>
            <w:pPr>
              <w:spacing w:after="0"/>
              <w:rPr>
                <w:sz w:val="14"/>
                <w:szCs w:val="14"/>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Hauppauge</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16,700</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60,791</w:t>
            </w:r>
          </w:p>
        </w:tc>
        <w:tc>
          <w:tcPr>
            <w:tcW w:w="2200" w:type="dxa"/>
            <w:vAlign w:val="bottom"/>
          </w:tcPr>
          <w:p>
            <w:pPr>
              <w:ind w:left="140"/>
              <w:spacing w:after="0"/>
              <w:rPr>
                <w:sz w:val="20"/>
                <w:szCs w:val="20"/>
                <w:color w:val="auto"/>
              </w:rPr>
            </w:pPr>
            <w:r>
              <w:rPr>
                <w:rFonts w:ascii="Courier New" w:cs="Courier New" w:eastAsia="Courier New" w:hAnsi="Courier New"/>
                <w:sz w:val="14"/>
                <w:szCs w:val="14"/>
                <w:color w:val="auto"/>
              </w:rPr>
              <w:t>Shop Rite</w:t>
            </w:r>
          </w:p>
        </w:tc>
        <w:tc>
          <w:tcPr>
            <w:tcW w:w="4140" w:type="dxa"/>
            <w:vAlign w:val="bottom"/>
          </w:tcPr>
          <w:p>
            <w:pPr>
              <w:spacing w:after="0"/>
              <w:rPr>
                <w:sz w:val="14"/>
                <w:szCs w:val="14"/>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Huntington</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14,344</w:t>
            </w:r>
          </w:p>
        </w:tc>
        <w:tc>
          <w:tcPr>
            <w:tcW w:w="8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140" w:type="dxa"/>
            <w:vAlign w:val="bottom"/>
          </w:tcPr>
          <w:p>
            <w:pPr>
              <w:ind w:left="340"/>
              <w:spacing w:after="0"/>
              <w:rPr>
                <w:sz w:val="20"/>
                <w:szCs w:val="20"/>
                <w:color w:val="auto"/>
              </w:rPr>
            </w:pPr>
            <w:r>
              <w:rPr>
                <w:rFonts w:ascii="Courier New" w:cs="Courier New" w:eastAsia="Courier New" w:hAnsi="Courier New"/>
                <w:sz w:val="14"/>
                <w:szCs w:val="14"/>
                <w:color w:val="auto"/>
              </w:rPr>
              <w:t>BuyBuyBaby/Toys R Us/Bed,Bath &amp; Beyond</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Forest Hills</w:t>
            </w: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140" w:type="dxa"/>
            <w:vAlign w:val="bottom"/>
          </w:tcPr>
          <w:p>
            <w:pPr>
              <w:ind w:left="340"/>
              <w:spacing w:after="0"/>
              <w:rPr>
                <w:sz w:val="20"/>
                <w:szCs w:val="20"/>
                <w:color w:val="auto"/>
              </w:rPr>
            </w:pPr>
            <w:r>
              <w:rPr>
                <w:rFonts w:ascii="Courier New" w:cs="Courier New" w:eastAsia="Courier New" w:hAnsi="Courier New"/>
                <w:sz w:val="14"/>
                <w:szCs w:val="14"/>
                <w:color w:val="auto"/>
              </w:rPr>
              <w:t>Midway Theatre / Duane Reade / Gap</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Fresh Meadows</w:t>
            </w: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140" w:type="dxa"/>
            <w:vAlign w:val="bottom"/>
          </w:tcPr>
          <w:p>
            <w:pPr>
              <w:ind w:left="340"/>
              <w:spacing w:after="0"/>
              <w:rPr>
                <w:sz w:val="20"/>
                <w:szCs w:val="20"/>
                <w:color w:val="auto"/>
              </w:rPr>
            </w:pPr>
            <w:r>
              <w:rPr>
                <w:rFonts w:ascii="Courier New" w:cs="Courier New" w:eastAsia="Courier New" w:hAnsi="Courier New"/>
                <w:sz w:val="14"/>
                <w:szCs w:val="14"/>
                <w:color w:val="auto"/>
              </w:rPr>
              <w:t>Value City / Kmart / Cineplex Odeon</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Troy</w:t>
            </w:r>
          </w:p>
        </w:tc>
        <w:tc>
          <w:tcPr>
            <w:tcW w:w="13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64,209</w:t>
            </w:r>
          </w:p>
        </w:tc>
        <w:tc>
          <w:tcPr>
            <w:tcW w:w="2200" w:type="dxa"/>
            <w:vAlign w:val="bottom"/>
          </w:tcPr>
          <w:p>
            <w:pPr>
              <w:ind w:left="140"/>
              <w:spacing w:after="0"/>
              <w:rPr>
                <w:sz w:val="20"/>
                <w:szCs w:val="20"/>
                <w:color w:val="auto"/>
              </w:rPr>
            </w:pPr>
            <w:r>
              <w:rPr>
                <w:rFonts w:ascii="Courier New" w:cs="Courier New" w:eastAsia="Courier New" w:hAnsi="Courier New"/>
                <w:sz w:val="14"/>
                <w:szCs w:val="14"/>
                <w:color w:val="auto"/>
              </w:rPr>
              <w:t>Pathmark</w:t>
            </w:r>
          </w:p>
        </w:tc>
        <w:tc>
          <w:tcPr>
            <w:tcW w:w="4140" w:type="dxa"/>
            <w:vAlign w:val="bottom"/>
          </w:tcPr>
          <w:p>
            <w:pPr>
              <w:ind w:left="340"/>
              <w:spacing w:after="0"/>
              <w:rPr>
                <w:sz w:val="20"/>
                <w:szCs w:val="20"/>
                <w:color w:val="auto"/>
              </w:rPr>
            </w:pPr>
            <w:r>
              <w:rPr>
                <w:rFonts w:ascii="Courier New" w:cs="Courier New" w:eastAsia="Courier New" w:hAnsi="Courier New"/>
                <w:sz w:val="14"/>
                <w:szCs w:val="14"/>
                <w:color w:val="auto"/>
              </w:rPr>
              <w:t>A.C.Moore / Comp USA / Toys R Us</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Hamilton</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4,843</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53,220</w:t>
            </w:r>
          </w:p>
        </w:tc>
        <w:tc>
          <w:tcPr>
            <w:tcW w:w="2200" w:type="dxa"/>
            <w:vAlign w:val="bottom"/>
          </w:tcPr>
          <w:p>
            <w:pPr>
              <w:ind w:left="140"/>
              <w:spacing w:after="0"/>
              <w:rPr>
                <w:sz w:val="20"/>
                <w:szCs w:val="20"/>
                <w:color w:val="auto"/>
              </w:rPr>
            </w:pPr>
            <w:r>
              <w:rPr>
                <w:rFonts w:ascii="Courier New" w:cs="Courier New" w:eastAsia="Courier New" w:hAnsi="Courier New"/>
                <w:sz w:val="14"/>
                <w:szCs w:val="14"/>
                <w:color w:val="auto"/>
              </w:rPr>
              <w:t>Shop Rite</w:t>
            </w:r>
          </w:p>
        </w:tc>
        <w:tc>
          <w:tcPr>
            <w:tcW w:w="4140" w:type="dxa"/>
            <w:vAlign w:val="bottom"/>
          </w:tcPr>
          <w:p>
            <w:pPr>
              <w:ind w:left="340"/>
              <w:spacing w:after="0"/>
              <w:rPr>
                <w:sz w:val="20"/>
                <w:szCs w:val="20"/>
                <w:color w:val="auto"/>
              </w:rPr>
            </w:pPr>
            <w:r>
              <w:rPr>
                <w:rFonts w:ascii="Courier New" w:cs="Courier New" w:eastAsia="Courier New" w:hAnsi="Courier New"/>
                <w:sz w:val="14"/>
                <w:szCs w:val="14"/>
                <w:color w:val="auto"/>
              </w:rPr>
              <w:t>A.C.Moore / Stevens Furniture</w:t>
            </w:r>
          </w:p>
        </w:tc>
      </w:tr>
    </w:tbl>
    <w:p>
      <w:pPr>
        <w:sectPr>
          <w:pgSz w:w="11900" w:h="16838" w:orient="portrait"/>
          <w:cols w:equalWidth="0" w:num="1">
            <w:col w:w="11540"/>
          </w:cols>
          <w:pgMar w:left="220" w:top="638" w:right="139" w:bottom="897" w:gutter="0" w:footer="0" w:header="0"/>
        </w:sectPr>
      </w:pPr>
    </w:p>
    <w:bookmarkStart w:id="24" w:name="page25"/>
    <w:bookmarkEnd w:id="24"/>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8020"/>
        <w:spacing w:after="0"/>
        <w:tabs>
          <w:tab w:leader="none" w:pos="8940" w:val="left"/>
          <w:tab w:leader="none" w:pos="9640" w:val="left"/>
        </w:tabs>
        <w:rPr>
          <w:sz w:val="20"/>
          <w:szCs w:val="20"/>
          <w:color w:val="auto"/>
        </w:rPr>
      </w:pP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Ownership</w:t>
      </w:r>
    </w:p>
    <w:p>
      <w:pPr>
        <w:spacing w:after="0" w:line="7" w:lineRule="exact"/>
        <w:rPr>
          <w:sz w:val="20"/>
          <w:szCs w:val="20"/>
          <w:color w:val="auto"/>
        </w:rPr>
      </w:pPr>
    </w:p>
    <w:p>
      <w:pPr>
        <w:spacing w:after="0"/>
        <w:tabs>
          <w:tab w:leader="none" w:pos="2480" w:val="left"/>
          <w:tab w:leader="none" w:pos="3260" w:val="left"/>
          <w:tab w:leader="none" w:pos="7660" w:val="left"/>
          <w:tab w:leader="none" w:pos="8520" w:val="left"/>
          <w:tab w:leader="none" w:pos="9540" w:val="left"/>
          <w:tab w:leader="none" w:pos="10760" w:val="left"/>
        </w:tabs>
        <w:rPr>
          <w:sz w:val="20"/>
          <w:szCs w:val="20"/>
          <w:color w:val="auto"/>
        </w:rPr>
      </w:pPr>
      <w:r>
        <w:rPr>
          <w:rFonts w:ascii="Courier New" w:cs="Courier New" w:eastAsia="Courier New" w:hAnsi="Courier New"/>
          <w:sz w:val="14"/>
          <w:szCs w:val="14"/>
          <w:color w:val="auto"/>
        </w:rPr>
        <w:t>Property Name</w:t>
      </w:r>
      <w:r>
        <w:rPr>
          <w:sz w:val="20"/>
          <w:szCs w:val="20"/>
          <w:color w:val="auto"/>
        </w:rPr>
        <w:tab/>
      </w:r>
      <w:r>
        <w:rPr>
          <w:rFonts w:ascii="Courier New" w:cs="Courier New" w:eastAsia="Courier New" w:hAnsi="Courier New"/>
          <w:sz w:val="14"/>
          <w:szCs w:val="14"/>
          <w:color w:val="auto"/>
        </w:rPr>
        <w:t>Type(1)</w:t>
        <w:tab/>
        <w:t>MSA Description</w:t>
      </w:r>
      <w:r>
        <w:rPr>
          <w:sz w:val="20"/>
          <w:szCs w:val="20"/>
          <w:color w:val="auto"/>
        </w:rPr>
        <w:tab/>
      </w:r>
      <w:r>
        <w:rPr>
          <w:rFonts w:ascii="Courier New" w:cs="Courier New" w:eastAsia="Courier New" w:hAnsi="Courier New"/>
          <w:sz w:val="14"/>
          <w:szCs w:val="14"/>
          <w:color w:val="auto"/>
        </w:rPr>
        <w:t>Acquired</w:t>
        <w:tab/>
        <w:t>Investment</w:t>
        <w:tab/>
        <w:t>Percentage</w:t>
      </w:r>
      <w:r>
        <w:rPr>
          <w:sz w:val="20"/>
          <w:szCs w:val="20"/>
          <w:color w:val="auto"/>
        </w:rPr>
        <w:tab/>
      </w:r>
      <w:r>
        <w:rPr>
          <w:rFonts w:ascii="Courier New" w:cs="Courier New" w:eastAsia="Courier New" w:hAnsi="Courier New"/>
          <w:sz w:val="14"/>
          <w:szCs w:val="14"/>
          <w:color w:val="auto"/>
        </w:rPr>
        <w:t>GLA (2)</w:t>
      </w:r>
    </w:p>
    <w:p>
      <w:pPr>
        <w:spacing w:after="0" w:line="7" w:lineRule="exact"/>
        <w:rPr>
          <w:sz w:val="20"/>
          <w:szCs w:val="20"/>
          <w:color w:val="auto"/>
        </w:rPr>
      </w:pPr>
    </w:p>
    <w:p>
      <w:pPr>
        <w:ind w:left="180" w:hanging="172"/>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2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thousands)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New England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Coolidge Corner</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SR</w:t>
            </w:r>
          </w:p>
        </w:tc>
        <w:tc>
          <w:tcPr>
            <w:tcW w:w="4260" w:type="dxa"/>
            <w:vAlign w:val="bottom"/>
          </w:tcPr>
          <w:p>
            <w:pPr>
              <w:ind w:left="220"/>
              <w:spacing w:after="0"/>
              <w:rPr>
                <w:sz w:val="20"/>
                <w:szCs w:val="20"/>
                <w:color w:val="auto"/>
              </w:rPr>
            </w:pPr>
            <w:r>
              <w:rPr>
                <w:rFonts w:ascii="Courier New" w:cs="Courier New" w:eastAsia="Courier New" w:hAnsi="Courier New"/>
                <w:sz w:val="14"/>
                <w:szCs w:val="14"/>
                <w:color w:val="auto"/>
              </w:rPr>
              <w:t>Boston-Worcester-Lawrence-Lowell-Brockton, MA</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1995</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4,022</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13,000</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Dedham Plaza</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SC</w:t>
            </w:r>
          </w:p>
        </w:tc>
        <w:tc>
          <w:tcPr>
            <w:tcW w:w="4260" w:type="dxa"/>
            <w:vAlign w:val="bottom"/>
          </w:tcPr>
          <w:p>
            <w:pPr>
              <w:ind w:left="220"/>
              <w:spacing w:after="0"/>
              <w:rPr>
                <w:sz w:val="20"/>
                <w:szCs w:val="20"/>
                <w:color w:val="auto"/>
              </w:rPr>
            </w:pPr>
            <w:r>
              <w:rPr>
                <w:rFonts w:ascii="Courier New" w:cs="Courier New" w:eastAsia="Courier New" w:hAnsi="Courier New"/>
                <w:sz w:val="14"/>
                <w:szCs w:val="14"/>
                <w:color w:val="auto"/>
              </w:rPr>
              <w:t>Boston-Worcester-Lawrence-Lowell-Brockton, MA</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1993</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29,284</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248,000</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Queen Anne Plaza</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SC</w:t>
            </w:r>
          </w:p>
        </w:tc>
        <w:tc>
          <w:tcPr>
            <w:tcW w:w="4260" w:type="dxa"/>
            <w:vAlign w:val="bottom"/>
          </w:tcPr>
          <w:p>
            <w:pPr>
              <w:ind w:left="220"/>
              <w:spacing w:after="0"/>
              <w:rPr>
                <w:sz w:val="20"/>
                <w:szCs w:val="20"/>
                <w:color w:val="auto"/>
              </w:rPr>
            </w:pPr>
            <w:r>
              <w:rPr>
                <w:rFonts w:ascii="Courier New" w:cs="Courier New" w:eastAsia="Courier New" w:hAnsi="Courier New"/>
                <w:sz w:val="14"/>
                <w:szCs w:val="14"/>
                <w:color w:val="auto"/>
              </w:rPr>
              <w:t>Boston-Worcester-Lawrence-Lowell-Brockton, MA</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1994</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14,642</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149,000</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Saugus Plaza</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SC</w:t>
            </w:r>
          </w:p>
        </w:tc>
        <w:tc>
          <w:tcPr>
            <w:tcW w:w="4260" w:type="dxa"/>
            <w:vAlign w:val="bottom"/>
          </w:tcPr>
          <w:p>
            <w:pPr>
              <w:ind w:left="220"/>
              <w:spacing w:after="0"/>
              <w:rPr>
                <w:sz w:val="20"/>
                <w:szCs w:val="20"/>
                <w:color w:val="auto"/>
              </w:rPr>
            </w:pPr>
            <w:r>
              <w:rPr>
                <w:rFonts w:ascii="Courier New" w:cs="Courier New" w:eastAsia="Courier New" w:hAnsi="Courier New"/>
                <w:sz w:val="14"/>
                <w:szCs w:val="14"/>
                <w:color w:val="auto"/>
              </w:rPr>
              <w:t>Boston-Worcester-Lawrence-Lowell-Brockton, MA</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13,069</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171,000</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Bristol Plaza</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SC</w:t>
            </w:r>
          </w:p>
        </w:tc>
        <w:tc>
          <w:tcPr>
            <w:tcW w:w="4260" w:type="dxa"/>
            <w:vAlign w:val="bottom"/>
          </w:tcPr>
          <w:p>
            <w:pPr>
              <w:ind w:left="220"/>
              <w:spacing w:after="0"/>
              <w:rPr>
                <w:sz w:val="20"/>
                <w:szCs w:val="20"/>
                <w:color w:val="auto"/>
              </w:rPr>
            </w:pPr>
            <w:r>
              <w:rPr>
                <w:rFonts w:ascii="Courier New" w:cs="Courier New" w:eastAsia="Courier New" w:hAnsi="Courier New"/>
                <w:sz w:val="14"/>
                <w:szCs w:val="14"/>
                <w:color w:val="auto"/>
              </w:rPr>
              <w:t>Hartford, CT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1995</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21,793</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296,000</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West Hartford</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SR</w:t>
            </w:r>
          </w:p>
        </w:tc>
        <w:tc>
          <w:tcPr>
            <w:tcW w:w="4260" w:type="dxa"/>
            <w:vAlign w:val="bottom"/>
          </w:tcPr>
          <w:p>
            <w:pPr>
              <w:ind w:left="220"/>
              <w:spacing w:after="0"/>
              <w:rPr>
                <w:sz w:val="20"/>
                <w:szCs w:val="20"/>
                <w:color w:val="auto"/>
              </w:rPr>
            </w:pPr>
            <w:r>
              <w:rPr>
                <w:rFonts w:ascii="Courier New" w:cs="Courier New" w:eastAsia="Courier New" w:hAnsi="Courier New"/>
                <w:sz w:val="14"/>
                <w:szCs w:val="14"/>
                <w:color w:val="auto"/>
              </w:rPr>
              <w:t>Hartford, CT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1994-1996</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16,137</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125,000</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Greenwich Avenue</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SR</w:t>
            </w:r>
          </w:p>
        </w:tc>
        <w:tc>
          <w:tcPr>
            <w:tcW w:w="4260" w:type="dxa"/>
            <w:vAlign w:val="bottom"/>
          </w:tcPr>
          <w:p>
            <w:pPr>
              <w:ind w:left="220"/>
              <w:spacing w:after="0"/>
              <w:rPr>
                <w:sz w:val="20"/>
                <w:szCs w:val="20"/>
                <w:color w:val="auto"/>
              </w:rPr>
            </w:pPr>
            <w:r>
              <w:rPr>
                <w:rFonts w:ascii="Courier New" w:cs="Courier New" w:eastAsia="Courier New" w:hAnsi="Courier New"/>
                <w:sz w:val="14"/>
                <w:szCs w:val="14"/>
                <w:color w:val="auto"/>
              </w:rPr>
              <w:t>New Haven-Bridgeport-Stamford-Waterbury</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1994-1996</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19,384</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57,000</w:t>
            </w:r>
          </w:p>
        </w:tc>
      </w:tr>
      <w:tr>
        <w:trPr>
          <w:trHeight w:val="166"/>
        </w:trPr>
        <w:tc>
          <w:tcPr>
            <w:tcW w:w="2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118,331</w:t>
            </w:r>
          </w:p>
        </w:tc>
        <w:tc>
          <w:tcPr>
            <w:tcW w:w="9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1,059,000</w:t>
            </w: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Chicago</w:t>
            </w:r>
          </w:p>
        </w:tc>
        <w:tc>
          <w:tcPr>
            <w:tcW w:w="6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Crossroads</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SC</w:t>
            </w:r>
          </w:p>
        </w:tc>
        <w:tc>
          <w:tcPr>
            <w:tcW w:w="4260" w:type="dxa"/>
            <w:vAlign w:val="bottom"/>
          </w:tcPr>
          <w:p>
            <w:pPr>
              <w:ind w:left="220"/>
              <w:spacing w:after="0"/>
              <w:rPr>
                <w:sz w:val="20"/>
                <w:szCs w:val="20"/>
                <w:color w:val="auto"/>
              </w:rPr>
            </w:pPr>
            <w:r>
              <w:rPr>
                <w:rFonts w:ascii="Courier New" w:cs="Courier New" w:eastAsia="Courier New" w:hAnsi="Courier New"/>
                <w:sz w:val="14"/>
                <w:szCs w:val="14"/>
                <w:color w:val="auto"/>
              </w:rPr>
              <w:t>Chicago, IL</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1993</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21,703</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173,000</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Finley Square</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SC</w:t>
            </w:r>
          </w:p>
        </w:tc>
        <w:tc>
          <w:tcPr>
            <w:tcW w:w="4260" w:type="dxa"/>
            <w:vAlign w:val="bottom"/>
          </w:tcPr>
          <w:p>
            <w:pPr>
              <w:ind w:left="220"/>
              <w:spacing w:after="0"/>
              <w:rPr>
                <w:sz w:val="20"/>
                <w:szCs w:val="20"/>
                <w:color w:val="auto"/>
              </w:rPr>
            </w:pPr>
            <w:r>
              <w:rPr>
                <w:rFonts w:ascii="Courier New" w:cs="Courier New" w:eastAsia="Courier New" w:hAnsi="Courier New"/>
                <w:sz w:val="14"/>
                <w:szCs w:val="14"/>
                <w:color w:val="auto"/>
              </w:rPr>
              <w:t>Chicago, IL</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1995</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26,109</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313,000</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Garden Market</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SC</w:t>
            </w:r>
          </w:p>
        </w:tc>
        <w:tc>
          <w:tcPr>
            <w:tcW w:w="4260" w:type="dxa"/>
            <w:vAlign w:val="bottom"/>
          </w:tcPr>
          <w:p>
            <w:pPr>
              <w:ind w:left="220"/>
              <w:spacing w:after="0"/>
              <w:rPr>
                <w:sz w:val="20"/>
                <w:szCs w:val="20"/>
                <w:color w:val="auto"/>
              </w:rPr>
            </w:pPr>
            <w:r>
              <w:rPr>
                <w:rFonts w:ascii="Courier New" w:cs="Courier New" w:eastAsia="Courier New" w:hAnsi="Courier New"/>
                <w:sz w:val="14"/>
                <w:szCs w:val="14"/>
                <w:color w:val="auto"/>
              </w:rPr>
              <w:t>Chicago, IL</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1994</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10,613</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142,000</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North Lake Commons</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SC</w:t>
            </w:r>
          </w:p>
        </w:tc>
        <w:tc>
          <w:tcPr>
            <w:tcW w:w="4260" w:type="dxa"/>
            <w:vAlign w:val="bottom"/>
          </w:tcPr>
          <w:p>
            <w:pPr>
              <w:ind w:left="220"/>
              <w:spacing w:after="0"/>
              <w:rPr>
                <w:sz w:val="20"/>
                <w:szCs w:val="20"/>
                <w:color w:val="auto"/>
              </w:rPr>
            </w:pPr>
            <w:r>
              <w:rPr>
                <w:rFonts w:ascii="Courier New" w:cs="Courier New" w:eastAsia="Courier New" w:hAnsi="Courier New"/>
                <w:sz w:val="14"/>
                <w:szCs w:val="14"/>
                <w:color w:val="auto"/>
              </w:rPr>
              <w:t>Chicago, IL</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1998</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12,954</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129,000</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Evanston</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SR</w:t>
            </w:r>
          </w:p>
        </w:tc>
        <w:tc>
          <w:tcPr>
            <w:tcW w:w="4260" w:type="dxa"/>
            <w:vAlign w:val="bottom"/>
          </w:tcPr>
          <w:p>
            <w:pPr>
              <w:ind w:left="220"/>
              <w:spacing w:after="0"/>
              <w:rPr>
                <w:sz w:val="20"/>
                <w:szCs w:val="20"/>
                <w:color w:val="auto"/>
              </w:rPr>
            </w:pPr>
            <w:r>
              <w:rPr>
                <w:rFonts w:ascii="Courier New" w:cs="Courier New" w:eastAsia="Courier New" w:hAnsi="Courier New"/>
                <w:sz w:val="14"/>
                <w:szCs w:val="14"/>
                <w:color w:val="auto"/>
              </w:rPr>
              <w:t>Chicago, IL</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1995</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4,277</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19,000</w:t>
            </w:r>
          </w:p>
        </w:tc>
      </w:tr>
      <w:tr>
        <w:trPr>
          <w:trHeight w:val="166"/>
        </w:trPr>
        <w:tc>
          <w:tcPr>
            <w:tcW w:w="2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75,656</w:t>
            </w:r>
          </w:p>
        </w:tc>
        <w:tc>
          <w:tcPr>
            <w:tcW w:w="9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776,000</w:t>
            </w: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Northeast Region - Other</w:t>
            </w:r>
          </w:p>
        </w:tc>
        <w:tc>
          <w:tcPr>
            <w:tcW w:w="6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Gratiot Plaza</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SC</w:t>
            </w:r>
          </w:p>
        </w:tc>
        <w:tc>
          <w:tcPr>
            <w:tcW w:w="4260" w:type="dxa"/>
            <w:vAlign w:val="bottom"/>
          </w:tcPr>
          <w:p>
            <w:pPr>
              <w:ind w:left="220"/>
              <w:spacing w:after="0"/>
              <w:rPr>
                <w:sz w:val="20"/>
                <w:szCs w:val="20"/>
                <w:color w:val="auto"/>
              </w:rPr>
            </w:pPr>
            <w:r>
              <w:rPr>
                <w:rFonts w:ascii="Courier New" w:cs="Courier New" w:eastAsia="Courier New" w:hAnsi="Courier New"/>
                <w:sz w:val="14"/>
                <w:szCs w:val="14"/>
                <w:color w:val="auto"/>
              </w:rPr>
              <w:t>Detroit, MI</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1973</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16,646</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218,000</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Lancaster</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SC</w:t>
            </w:r>
          </w:p>
        </w:tc>
        <w:tc>
          <w:tcPr>
            <w:tcW w:w="4260" w:type="dxa"/>
            <w:vAlign w:val="bottom"/>
          </w:tcPr>
          <w:p>
            <w:pPr>
              <w:ind w:left="220"/>
              <w:spacing w:after="0"/>
              <w:rPr>
                <w:sz w:val="20"/>
                <w:szCs w:val="20"/>
                <w:color w:val="auto"/>
              </w:rPr>
            </w:pPr>
            <w:r>
              <w:rPr>
                <w:rFonts w:ascii="Courier New" w:cs="Courier New" w:eastAsia="Courier New" w:hAnsi="Courier New"/>
                <w:sz w:val="14"/>
                <w:szCs w:val="14"/>
                <w:color w:val="auto"/>
              </w:rPr>
              <w:t>Lancaster, PA</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1980</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9,762</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107,000</w:t>
            </w:r>
          </w:p>
        </w:tc>
      </w:tr>
      <w:tr>
        <w:trPr>
          <w:trHeight w:val="166"/>
        </w:trPr>
        <w:tc>
          <w:tcPr>
            <w:tcW w:w="2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26,408</w:t>
            </w:r>
          </w:p>
        </w:tc>
        <w:tc>
          <w:tcPr>
            <w:tcW w:w="9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325,000</w:t>
            </w:r>
          </w:p>
        </w:tc>
      </w:tr>
      <w:tr>
        <w:trPr>
          <w:trHeight w:val="331"/>
        </w:trPr>
        <w:tc>
          <w:tcPr>
            <w:tcW w:w="2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60" w:type="dxa"/>
            <w:vAlign w:val="bottom"/>
          </w:tcPr>
          <w:p>
            <w:pPr>
              <w:ind w:left="220"/>
              <w:spacing w:after="0"/>
              <w:rPr>
                <w:sz w:val="20"/>
                <w:szCs w:val="20"/>
                <w:color w:val="auto"/>
              </w:rPr>
            </w:pPr>
            <w:r>
              <w:rPr>
                <w:rFonts w:ascii="Courier New" w:cs="Courier New" w:eastAsia="Courier New" w:hAnsi="Courier New"/>
                <w:sz w:val="14"/>
                <w:szCs w:val="14"/>
                <w:color w:val="auto"/>
              </w:rPr>
              <w:t>Total Northeast Region</w:t>
            </w:r>
          </w:p>
        </w:tc>
        <w:tc>
          <w:tcPr>
            <w:tcW w:w="1180" w:type="dxa"/>
            <w:vAlign w:val="bottom"/>
          </w:tcPr>
          <w:p>
            <w:pPr>
              <w:spacing w:after="0"/>
              <w:rPr>
                <w:sz w:val="24"/>
                <w:szCs w:val="2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747,778</w:t>
            </w:r>
          </w:p>
        </w:tc>
        <w:tc>
          <w:tcPr>
            <w:tcW w:w="9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7,441,000</w:t>
            </w: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West Region</w:t>
            </w:r>
          </w:p>
        </w:tc>
        <w:tc>
          <w:tcPr>
            <w:tcW w:w="6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California</w:t>
            </w:r>
          </w:p>
        </w:tc>
        <w:tc>
          <w:tcPr>
            <w:tcW w:w="6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Colorado Blvd</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SR</w:t>
            </w:r>
          </w:p>
        </w:tc>
        <w:tc>
          <w:tcPr>
            <w:tcW w:w="4260" w:type="dxa"/>
            <w:vAlign w:val="bottom"/>
          </w:tcPr>
          <w:p>
            <w:pPr>
              <w:ind w:left="220"/>
              <w:spacing w:after="0"/>
              <w:rPr>
                <w:sz w:val="20"/>
                <w:szCs w:val="20"/>
                <w:color w:val="auto"/>
              </w:rPr>
            </w:pPr>
            <w:r>
              <w:rPr>
                <w:rFonts w:ascii="Courier New" w:cs="Courier New" w:eastAsia="Courier New" w:hAnsi="Courier New"/>
                <w:sz w:val="14"/>
                <w:szCs w:val="14"/>
                <w:color w:val="auto"/>
              </w:rPr>
              <w:t>Los Angeles-Long Beach, CA</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1996-1998</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14,716</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69,000</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Hermosa Ave</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SR</w:t>
            </w:r>
          </w:p>
        </w:tc>
        <w:tc>
          <w:tcPr>
            <w:tcW w:w="4260" w:type="dxa"/>
            <w:vAlign w:val="bottom"/>
          </w:tcPr>
          <w:p>
            <w:pPr>
              <w:ind w:left="220"/>
              <w:spacing w:after="0"/>
              <w:rPr>
                <w:sz w:val="20"/>
                <w:szCs w:val="20"/>
                <w:color w:val="auto"/>
              </w:rPr>
            </w:pPr>
            <w:r>
              <w:rPr>
                <w:rFonts w:ascii="Courier New" w:cs="Courier New" w:eastAsia="Courier New" w:hAnsi="Courier New"/>
                <w:sz w:val="14"/>
                <w:szCs w:val="14"/>
                <w:color w:val="auto"/>
              </w:rPr>
              <w:t>Los Angeles-Long Beach, CA</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1997</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4,336</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23,000</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Hollywood Blvd</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SR</w:t>
            </w:r>
          </w:p>
        </w:tc>
        <w:tc>
          <w:tcPr>
            <w:tcW w:w="4260" w:type="dxa"/>
            <w:vAlign w:val="bottom"/>
          </w:tcPr>
          <w:p>
            <w:pPr>
              <w:ind w:left="220"/>
              <w:spacing w:after="0"/>
              <w:rPr>
                <w:sz w:val="20"/>
                <w:szCs w:val="20"/>
                <w:color w:val="auto"/>
              </w:rPr>
            </w:pPr>
            <w:r>
              <w:rPr>
                <w:rFonts w:ascii="Courier New" w:cs="Courier New" w:eastAsia="Courier New" w:hAnsi="Courier New"/>
                <w:sz w:val="14"/>
                <w:szCs w:val="14"/>
                <w:color w:val="auto"/>
              </w:rPr>
              <w:t>Los Angeles-Long Beach, CA</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1999</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25,907</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148,000</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Third St Promenade</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SR</w:t>
            </w:r>
          </w:p>
        </w:tc>
        <w:tc>
          <w:tcPr>
            <w:tcW w:w="4260" w:type="dxa"/>
            <w:vAlign w:val="bottom"/>
          </w:tcPr>
          <w:p>
            <w:pPr>
              <w:ind w:left="220"/>
              <w:spacing w:after="0"/>
              <w:rPr>
                <w:sz w:val="20"/>
                <w:szCs w:val="20"/>
                <w:color w:val="auto"/>
              </w:rPr>
            </w:pPr>
            <w:r>
              <w:rPr>
                <w:rFonts w:ascii="Courier New" w:cs="Courier New" w:eastAsia="Courier New" w:hAnsi="Courier New"/>
                <w:sz w:val="14"/>
                <w:szCs w:val="14"/>
                <w:color w:val="auto"/>
              </w:rPr>
              <w:t>Los Angeles-Long Beach, CA</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1996-2000</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71,278</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209,000</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Escondido</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SC</w:t>
            </w:r>
          </w:p>
        </w:tc>
        <w:tc>
          <w:tcPr>
            <w:tcW w:w="4260" w:type="dxa"/>
            <w:vAlign w:val="bottom"/>
          </w:tcPr>
          <w:p>
            <w:pPr>
              <w:ind w:left="220"/>
              <w:spacing w:after="0"/>
              <w:rPr>
                <w:sz w:val="20"/>
                <w:szCs w:val="20"/>
                <w:color w:val="auto"/>
              </w:rPr>
            </w:pPr>
            <w:r>
              <w:rPr>
                <w:rFonts w:ascii="Courier New" w:cs="Courier New" w:eastAsia="Courier New" w:hAnsi="Courier New"/>
                <w:sz w:val="14"/>
                <w:szCs w:val="14"/>
                <w:color w:val="auto"/>
              </w:rPr>
              <w:t>San Diego, CA</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24,624</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222,000</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Fifth Ave</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SR</w:t>
            </w:r>
          </w:p>
        </w:tc>
        <w:tc>
          <w:tcPr>
            <w:tcW w:w="4260" w:type="dxa"/>
            <w:vAlign w:val="bottom"/>
          </w:tcPr>
          <w:p>
            <w:pPr>
              <w:ind w:left="220"/>
              <w:spacing w:after="0"/>
              <w:rPr>
                <w:sz w:val="20"/>
                <w:szCs w:val="20"/>
                <w:color w:val="auto"/>
              </w:rPr>
            </w:pPr>
            <w:r>
              <w:rPr>
                <w:rFonts w:ascii="Courier New" w:cs="Courier New" w:eastAsia="Courier New" w:hAnsi="Courier New"/>
                <w:sz w:val="14"/>
                <w:szCs w:val="14"/>
                <w:color w:val="auto"/>
              </w:rPr>
              <w:t>San Diego, CA</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1996-1997</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12,090</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51,000</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150 Post Street</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SR</w:t>
            </w:r>
          </w:p>
        </w:tc>
        <w:tc>
          <w:tcPr>
            <w:tcW w:w="4260" w:type="dxa"/>
            <w:vAlign w:val="bottom"/>
          </w:tcPr>
          <w:p>
            <w:pPr>
              <w:ind w:left="220"/>
              <w:spacing w:after="0"/>
              <w:rPr>
                <w:sz w:val="20"/>
                <w:szCs w:val="20"/>
                <w:color w:val="auto"/>
              </w:rPr>
            </w:pPr>
            <w:r>
              <w:rPr>
                <w:rFonts w:ascii="Courier New" w:cs="Courier New" w:eastAsia="Courier New" w:hAnsi="Courier New"/>
                <w:sz w:val="14"/>
                <w:szCs w:val="14"/>
                <w:color w:val="auto"/>
              </w:rPr>
              <w:t>San Francisco, CA</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1997</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27,927</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103,000</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Kings Court</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SC</w:t>
            </w:r>
          </w:p>
        </w:tc>
        <w:tc>
          <w:tcPr>
            <w:tcW w:w="4260" w:type="dxa"/>
            <w:vAlign w:val="bottom"/>
          </w:tcPr>
          <w:p>
            <w:pPr>
              <w:ind w:left="220"/>
              <w:spacing w:after="0"/>
              <w:rPr>
                <w:sz w:val="20"/>
                <w:szCs w:val="20"/>
                <w:color w:val="auto"/>
              </w:rPr>
            </w:pPr>
            <w:r>
              <w:rPr>
                <w:rFonts w:ascii="Courier New" w:cs="Courier New" w:eastAsia="Courier New" w:hAnsi="Courier New"/>
                <w:sz w:val="14"/>
                <w:szCs w:val="14"/>
                <w:color w:val="auto"/>
              </w:rPr>
              <w:t>San Jose, CA</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1998</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10,921</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79,000</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Old Town</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SR</w:t>
            </w:r>
          </w:p>
        </w:tc>
        <w:tc>
          <w:tcPr>
            <w:tcW w:w="4260" w:type="dxa"/>
            <w:vAlign w:val="bottom"/>
          </w:tcPr>
          <w:p>
            <w:pPr>
              <w:ind w:left="220"/>
              <w:spacing w:after="0"/>
              <w:rPr>
                <w:sz w:val="20"/>
                <w:szCs w:val="20"/>
                <w:color w:val="auto"/>
              </w:rPr>
            </w:pPr>
            <w:r>
              <w:rPr>
                <w:rFonts w:ascii="Courier New" w:cs="Courier New" w:eastAsia="Courier New" w:hAnsi="Courier New"/>
                <w:sz w:val="14"/>
                <w:szCs w:val="14"/>
                <w:color w:val="auto"/>
              </w:rPr>
              <w:t>San Jose, CA</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1997</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32,500</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97,000</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Santana Row</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SR</w:t>
            </w:r>
          </w:p>
        </w:tc>
        <w:tc>
          <w:tcPr>
            <w:tcW w:w="4260" w:type="dxa"/>
            <w:vAlign w:val="bottom"/>
          </w:tcPr>
          <w:p>
            <w:pPr>
              <w:ind w:left="220"/>
              <w:spacing w:after="0"/>
              <w:rPr>
                <w:sz w:val="20"/>
                <w:szCs w:val="20"/>
                <w:color w:val="auto"/>
              </w:rPr>
            </w:pPr>
            <w:r>
              <w:rPr>
                <w:rFonts w:ascii="Courier New" w:cs="Courier New" w:eastAsia="Courier New" w:hAnsi="Courier New"/>
                <w:sz w:val="14"/>
                <w:szCs w:val="14"/>
                <w:color w:val="auto"/>
              </w:rPr>
              <w:t>San Jose, CA</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1997</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434,123</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444,000</w:t>
            </w:r>
          </w:p>
        </w:tc>
      </w:tr>
      <w:tr>
        <w:trPr>
          <w:trHeight w:val="166"/>
        </w:trPr>
        <w:tc>
          <w:tcPr>
            <w:tcW w:w="2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658,422</w:t>
            </w:r>
          </w:p>
        </w:tc>
        <w:tc>
          <w:tcPr>
            <w:tcW w:w="9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1,445,000</w:t>
            </w: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West Region - Other</w:t>
            </w:r>
          </w:p>
        </w:tc>
        <w:tc>
          <w:tcPr>
            <w:tcW w:w="6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Mill Avenue</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SR</w:t>
            </w:r>
          </w:p>
        </w:tc>
        <w:tc>
          <w:tcPr>
            <w:tcW w:w="4260" w:type="dxa"/>
            <w:vAlign w:val="bottom"/>
          </w:tcPr>
          <w:p>
            <w:pPr>
              <w:ind w:left="220"/>
              <w:spacing w:after="0"/>
              <w:rPr>
                <w:sz w:val="20"/>
                <w:szCs w:val="20"/>
                <w:color w:val="auto"/>
              </w:rPr>
            </w:pPr>
            <w:r>
              <w:rPr>
                <w:rFonts w:ascii="Courier New" w:cs="Courier New" w:eastAsia="Courier New" w:hAnsi="Courier New"/>
                <w:sz w:val="14"/>
                <w:szCs w:val="14"/>
                <w:color w:val="auto"/>
              </w:rPr>
              <w:t>Phoenix-Mesa, AZ</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1998</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11,036</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40,000</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Houston St</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SR</w:t>
            </w:r>
          </w:p>
        </w:tc>
        <w:tc>
          <w:tcPr>
            <w:tcW w:w="4260" w:type="dxa"/>
            <w:vAlign w:val="bottom"/>
          </w:tcPr>
          <w:p>
            <w:pPr>
              <w:ind w:left="220"/>
              <w:spacing w:after="0"/>
              <w:rPr>
                <w:sz w:val="20"/>
                <w:szCs w:val="20"/>
                <w:color w:val="auto"/>
              </w:rPr>
            </w:pPr>
            <w:r>
              <w:rPr>
                <w:rFonts w:ascii="Courier New" w:cs="Courier New" w:eastAsia="Courier New" w:hAnsi="Courier New"/>
                <w:sz w:val="14"/>
                <w:szCs w:val="14"/>
                <w:color w:val="auto"/>
              </w:rPr>
              <w:t>San Antonio, TX</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1998</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54,998</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53,000</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Tanasbourne</w:t>
            </w:r>
          </w:p>
        </w:tc>
        <w:tc>
          <w:tcPr>
            <w:tcW w:w="600" w:type="dxa"/>
            <w:vAlign w:val="bottom"/>
          </w:tcPr>
          <w:p>
            <w:pPr>
              <w:ind w:left="220"/>
              <w:spacing w:after="0"/>
              <w:rPr>
                <w:sz w:val="20"/>
                <w:szCs w:val="20"/>
                <w:color w:val="auto"/>
              </w:rPr>
            </w:pPr>
            <w:r>
              <w:rPr>
                <w:rFonts w:ascii="Courier New" w:cs="Courier New" w:eastAsia="Courier New" w:hAnsi="Courier New"/>
                <w:sz w:val="14"/>
                <w:szCs w:val="14"/>
                <w:color w:val="auto"/>
              </w:rPr>
              <w:t>SR</w:t>
            </w:r>
          </w:p>
        </w:tc>
        <w:tc>
          <w:tcPr>
            <w:tcW w:w="4260" w:type="dxa"/>
            <w:vAlign w:val="bottom"/>
          </w:tcPr>
          <w:p>
            <w:pPr>
              <w:ind w:left="220"/>
              <w:spacing w:after="0"/>
              <w:rPr>
                <w:sz w:val="20"/>
                <w:szCs w:val="20"/>
                <w:color w:val="auto"/>
              </w:rPr>
            </w:pPr>
            <w:r>
              <w:rPr>
                <w:rFonts w:ascii="Courier New" w:cs="Courier New" w:eastAsia="Courier New" w:hAnsi="Courier New"/>
                <w:sz w:val="14"/>
                <w:szCs w:val="14"/>
                <w:color w:val="auto"/>
              </w:rPr>
              <w:t>Portland, OR</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7,502</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166"/>
        </w:trPr>
        <w:tc>
          <w:tcPr>
            <w:tcW w:w="2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73,536</w:t>
            </w:r>
          </w:p>
        </w:tc>
        <w:tc>
          <w:tcPr>
            <w:tcW w:w="9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93,000</w:t>
            </w:r>
          </w:p>
        </w:tc>
      </w:tr>
      <w:tr>
        <w:trPr>
          <w:trHeight w:val="331"/>
        </w:trPr>
        <w:tc>
          <w:tcPr>
            <w:tcW w:w="2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60" w:type="dxa"/>
            <w:vAlign w:val="bottom"/>
          </w:tcPr>
          <w:p>
            <w:pPr>
              <w:ind w:left="220"/>
              <w:spacing w:after="0"/>
              <w:rPr>
                <w:sz w:val="20"/>
                <w:szCs w:val="20"/>
                <w:color w:val="auto"/>
              </w:rPr>
            </w:pPr>
            <w:r>
              <w:rPr>
                <w:rFonts w:ascii="Courier New" w:cs="Courier New" w:eastAsia="Courier New" w:hAnsi="Courier New"/>
                <w:sz w:val="14"/>
                <w:szCs w:val="14"/>
                <w:color w:val="auto"/>
              </w:rPr>
              <w:t>Total West Region</w:t>
            </w:r>
          </w:p>
        </w:tc>
        <w:tc>
          <w:tcPr>
            <w:tcW w:w="1180" w:type="dxa"/>
            <w:vAlign w:val="bottom"/>
          </w:tcPr>
          <w:p>
            <w:pPr>
              <w:spacing w:after="0"/>
              <w:rPr>
                <w:sz w:val="24"/>
                <w:szCs w:val="2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731,958</w:t>
            </w:r>
          </w:p>
        </w:tc>
        <w:tc>
          <w:tcPr>
            <w:tcW w:w="9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1,538,000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54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2,306,826</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15,245,000</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880"/>
        <w:spacing w:after="0"/>
        <w:tabs>
          <w:tab w:leader="none" w:pos="5160" w:val="left"/>
        </w:tabs>
        <w:rPr>
          <w:sz w:val="20"/>
          <w:szCs w:val="20"/>
          <w:color w:val="auto"/>
        </w:rPr>
      </w:pPr>
      <w:r>
        <w:rPr>
          <w:rFonts w:ascii="Courier New" w:cs="Courier New" w:eastAsia="Courier New" w:hAnsi="Courier New"/>
          <w:sz w:val="14"/>
          <w:szCs w:val="14"/>
          <w:color w:val="auto"/>
        </w:rPr>
        <w:t>Mortage or</w:t>
      </w:r>
      <w:r>
        <w:rPr>
          <w:sz w:val="20"/>
          <w:szCs w:val="20"/>
          <w:color w:val="auto"/>
        </w:rPr>
        <w:tab/>
      </w:r>
      <w:r>
        <w:rPr>
          <w:rFonts w:ascii="Courier New" w:cs="Courier New" w:eastAsia="Courier New" w:hAnsi="Courier New"/>
          <w:sz w:val="14"/>
          <w:szCs w:val="14"/>
          <w:color w:val="auto"/>
        </w:rPr>
        <w:t>Grocery</w:t>
      </w:r>
    </w:p>
    <w:p>
      <w:pPr>
        <w:spacing w:after="0" w:line="7" w:lineRule="exact"/>
        <w:rPr>
          <w:sz w:val="20"/>
          <w:szCs w:val="20"/>
          <w:color w:val="auto"/>
        </w:rPr>
      </w:pPr>
    </w:p>
    <w:p>
      <w:pPr>
        <w:ind w:left="3800"/>
        <w:spacing w:after="0"/>
        <w:tabs>
          <w:tab w:leader="none" w:pos="5240" w:val="left"/>
        </w:tabs>
        <w:rPr>
          <w:sz w:val="20"/>
          <w:szCs w:val="20"/>
          <w:color w:val="auto"/>
        </w:rPr>
      </w:pPr>
      <w:r>
        <w:rPr>
          <w:rFonts w:ascii="Courier New" w:cs="Courier New" w:eastAsia="Courier New" w:hAnsi="Courier New"/>
          <w:sz w:val="14"/>
          <w:szCs w:val="14"/>
          <w:color w:val="auto"/>
        </w:rPr>
        <w:t>Capital Lease</w:t>
      </w:r>
      <w:r>
        <w:rPr>
          <w:sz w:val="20"/>
          <w:szCs w:val="20"/>
          <w:color w:val="auto"/>
        </w:rPr>
        <w:tab/>
      </w:r>
      <w:r>
        <w:rPr>
          <w:rFonts w:ascii="Courier New" w:cs="Courier New" w:eastAsia="Courier New" w:hAnsi="Courier New"/>
          <w:sz w:val="14"/>
          <w:szCs w:val="14"/>
          <w:color w:val="auto"/>
        </w:rPr>
        <w:t>Anchor</w:t>
      </w:r>
    </w:p>
    <w:p>
      <w:pPr>
        <w:spacing w:after="0" w:line="7" w:lineRule="exact"/>
        <w:rPr>
          <w:sz w:val="20"/>
          <w:szCs w:val="20"/>
          <w:color w:val="auto"/>
        </w:rPr>
      </w:pPr>
    </w:p>
    <w:p>
      <w:pPr>
        <w:spacing w:after="0"/>
        <w:tabs>
          <w:tab w:leader="none" w:pos="2740" w:val="left"/>
          <w:tab w:leader="none" w:pos="3860" w:val="left"/>
          <w:tab w:leader="none" w:pos="5160" w:val="left"/>
          <w:tab w:leader="none" w:pos="6100" w:val="left"/>
          <w:tab w:leader="none" w:pos="8080" w:val="left"/>
        </w:tabs>
        <w:rPr>
          <w:sz w:val="20"/>
          <w:szCs w:val="20"/>
          <w:color w:val="auto"/>
        </w:rPr>
      </w:pPr>
      <w:r>
        <w:rPr>
          <w:rFonts w:ascii="Courier New" w:cs="Courier New" w:eastAsia="Courier New" w:hAnsi="Courier New"/>
          <w:sz w:val="14"/>
          <w:szCs w:val="14"/>
          <w:color w:val="auto"/>
        </w:rPr>
        <w:t>Property Name</w:t>
      </w:r>
      <w:r>
        <w:rPr>
          <w:sz w:val="20"/>
          <w:szCs w:val="20"/>
          <w:color w:val="auto"/>
        </w:rPr>
        <w:tab/>
      </w:r>
      <w:r>
        <w:rPr>
          <w:rFonts w:ascii="Courier New" w:cs="Courier New" w:eastAsia="Courier New" w:hAnsi="Courier New"/>
          <w:sz w:val="14"/>
          <w:szCs w:val="14"/>
          <w:color w:val="auto"/>
        </w:rPr>
        <w:t>% Leased</w:t>
      </w:r>
      <w:r>
        <w:rPr>
          <w:sz w:val="20"/>
          <w:szCs w:val="20"/>
          <w:color w:val="auto"/>
        </w:rPr>
        <w:tab/>
      </w:r>
      <w:r>
        <w:rPr>
          <w:rFonts w:ascii="Courier New" w:cs="Courier New" w:eastAsia="Courier New" w:hAnsi="Courier New"/>
          <w:sz w:val="14"/>
          <w:szCs w:val="14"/>
          <w:color w:val="auto"/>
        </w:rPr>
        <w:t>Obligation</w:t>
      </w:r>
      <w:r>
        <w:rPr>
          <w:sz w:val="20"/>
          <w:szCs w:val="20"/>
          <w:color w:val="auto"/>
        </w:rPr>
        <w:tab/>
      </w:r>
      <w:r>
        <w:rPr>
          <w:rFonts w:ascii="Courier New" w:cs="Courier New" w:eastAsia="Courier New" w:hAnsi="Courier New"/>
          <w:sz w:val="14"/>
          <w:szCs w:val="14"/>
          <w:color w:val="auto"/>
        </w:rPr>
        <w:t>GLA (3)</w:t>
      </w:r>
      <w:r>
        <w:rPr>
          <w:sz w:val="20"/>
          <w:szCs w:val="20"/>
          <w:color w:val="auto"/>
        </w:rPr>
        <w:tab/>
      </w:r>
      <w:r>
        <w:rPr>
          <w:rFonts w:ascii="Courier New" w:cs="Courier New" w:eastAsia="Courier New" w:hAnsi="Courier New"/>
          <w:sz w:val="14"/>
          <w:szCs w:val="14"/>
          <w:color w:val="auto"/>
        </w:rPr>
        <w:t>Grocery Anchor (3)</w:t>
      </w:r>
      <w:r>
        <w:rPr>
          <w:sz w:val="20"/>
          <w:szCs w:val="20"/>
          <w:color w:val="auto"/>
        </w:rPr>
        <w:tab/>
      </w:r>
      <w:r>
        <w:rPr>
          <w:rFonts w:ascii="Courier New" w:cs="Courier New" w:eastAsia="Courier New" w:hAnsi="Courier New"/>
          <w:sz w:val="14"/>
          <w:szCs w:val="14"/>
          <w:color w:val="auto"/>
        </w:rPr>
        <w:t>Other Principal Tenants</w:t>
      </w:r>
    </w:p>
    <w:p>
      <w:pPr>
        <w:spacing w:after="0" w:line="7" w:lineRule="exact"/>
        <w:rPr>
          <w:sz w:val="20"/>
          <w:szCs w:val="20"/>
          <w:color w:val="auto"/>
        </w:rPr>
      </w:pPr>
    </w:p>
    <w:p>
      <w:pPr>
        <w:ind w:left="180" w:hanging="172"/>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7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thousands)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New England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20"/>
                <w:szCs w:val="20"/>
                <w:color w:val="auto"/>
              </w:rPr>
            </w:pPr>
            <w:r>
              <w:rPr>
                <w:rFonts w:ascii="Courier New" w:cs="Courier New" w:eastAsia="Courier New" w:hAnsi="Courier New"/>
                <w:sz w:val="14"/>
                <w:szCs w:val="14"/>
                <w:color w:val="auto"/>
              </w:rPr>
              <w:t>Coolidge Corner</w:t>
            </w:r>
          </w:p>
        </w:tc>
        <w:tc>
          <w:tcPr>
            <w:tcW w:w="21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100.0%</w:t>
            </w:r>
          </w:p>
        </w:tc>
        <w:tc>
          <w:tcPr>
            <w:tcW w:w="1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Dedham Plaza</w:t>
            </w:r>
          </w:p>
        </w:tc>
        <w:tc>
          <w:tcPr>
            <w:tcW w:w="21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98.7%</w:t>
            </w:r>
          </w:p>
        </w:tc>
        <w:tc>
          <w:tcPr>
            <w:tcW w:w="1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Pier One</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Queen Anne Plaza</w:t>
            </w:r>
          </w:p>
        </w:tc>
        <w:tc>
          <w:tcPr>
            <w:tcW w:w="21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100.0%</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50,284</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Victory Supermarket</w:t>
            </w: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TJ Maxx</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Saugus Plaza</w:t>
            </w:r>
          </w:p>
        </w:tc>
        <w:tc>
          <w:tcPr>
            <w:tcW w:w="21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100.0%</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54,530</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Super Stop &amp; Shop</w:t>
            </w: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Kmart</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Bristol Plaza</w:t>
            </w:r>
          </w:p>
        </w:tc>
        <w:tc>
          <w:tcPr>
            <w:tcW w:w="21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92.4%</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56,634</w:t>
            </w:r>
          </w:p>
        </w:tc>
        <w:tc>
          <w:tcPr>
            <w:tcW w:w="2020" w:type="dxa"/>
            <w:vAlign w:val="bottom"/>
          </w:tcPr>
          <w:p>
            <w:pPr>
              <w:ind w:left="140"/>
              <w:spacing w:after="0"/>
              <w:rPr>
                <w:sz w:val="20"/>
                <w:szCs w:val="20"/>
                <w:color w:val="auto"/>
              </w:rPr>
            </w:pPr>
            <w:r>
              <w:rPr>
                <w:rFonts w:ascii="Courier New" w:cs="Courier New" w:eastAsia="Courier New" w:hAnsi="Courier New"/>
                <w:sz w:val="14"/>
                <w:szCs w:val="14"/>
                <w:color w:val="auto"/>
              </w:rPr>
              <w:t>Super Stop &amp; Shop</w:t>
            </w: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TJ Maxx</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West Hartford</w:t>
            </w:r>
          </w:p>
        </w:tc>
        <w:tc>
          <w:tcPr>
            <w:tcW w:w="21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78.0%</w:t>
            </w:r>
          </w:p>
        </w:tc>
        <w:tc>
          <w:tcPr>
            <w:tcW w:w="1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Greenwich Avenue</w:t>
            </w:r>
          </w:p>
        </w:tc>
        <w:tc>
          <w:tcPr>
            <w:tcW w:w="21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99.1%</w:t>
            </w:r>
          </w:p>
        </w:tc>
        <w:tc>
          <w:tcPr>
            <w:tcW w:w="1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4"/>
                <w:szCs w:val="14"/>
                <w:color w:val="auto"/>
              </w:rPr>
              <w:t>Saks Fifth Avenue</w:t>
            </w:r>
          </w:p>
        </w:tc>
      </w:tr>
      <w:tr>
        <w:trPr>
          <w:trHeight w:val="166"/>
        </w:trPr>
        <w:tc>
          <w:tcPr>
            <w:tcW w:w="2160" w:type="dxa"/>
            <w:vAlign w:val="bottom"/>
          </w:tcPr>
          <w:p>
            <w:pPr>
              <w:spacing w:after="0"/>
              <w:rPr>
                <w:sz w:val="14"/>
                <w:szCs w:val="14"/>
                <w:color w:val="auto"/>
              </w:rPr>
            </w:pPr>
          </w:p>
        </w:tc>
        <w:tc>
          <w:tcPr>
            <w:tcW w:w="21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720" w:type="dxa"/>
            <w:vAlign w:val="bottom"/>
          </w:tcPr>
          <w:p>
            <w:pPr>
              <w:spacing w:after="0"/>
              <w:rPr>
                <w:sz w:val="14"/>
                <w:szCs w:val="14"/>
                <w:color w:val="auto"/>
              </w:rPr>
            </w:pPr>
          </w:p>
        </w:tc>
      </w:tr>
    </w:tbl>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94.9%</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Chicago</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ectPr>
          <w:pgSz w:w="11900" w:h="16877" w:orient="portrait"/>
          <w:cols w:equalWidth="0" w:num="1">
            <w:col w:w="11540"/>
          </w:cols>
          <w:pgMar w:left="220" w:top="1113" w:right="139" w:bottom="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Crossroads</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Comp USA / Golfsmith / Guitar Center</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Finley Square</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91.2%</w:t>
            </w: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Bed, Bath &amp; Beyond / Sports Authority</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Garden Market</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93.8%</w:t>
            </w:r>
          </w:p>
        </w:tc>
        <w:tc>
          <w:tcPr>
            <w:tcW w:w="108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62,937</w:t>
            </w:r>
          </w:p>
        </w:tc>
        <w:tc>
          <w:tcPr>
            <w:tcW w:w="2160" w:type="dxa"/>
            <w:vAlign w:val="bottom"/>
          </w:tcPr>
          <w:p>
            <w:pPr>
              <w:ind w:left="140"/>
              <w:spacing w:after="0"/>
              <w:rPr>
                <w:sz w:val="20"/>
                <w:szCs w:val="20"/>
                <w:color w:val="auto"/>
              </w:rPr>
            </w:pPr>
            <w:r>
              <w:rPr>
                <w:rFonts w:ascii="Courier New" w:cs="Courier New" w:eastAsia="Courier New" w:hAnsi="Courier New"/>
                <w:sz w:val="14"/>
                <w:szCs w:val="14"/>
                <w:color w:val="auto"/>
              </w:rPr>
              <w:t>Dominick's</w:t>
            </w: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Walgreens</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North Lake Commons</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88.3%</w:t>
            </w:r>
          </w:p>
        </w:tc>
        <w:tc>
          <w:tcPr>
            <w:tcW w:w="108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77,303</w:t>
            </w:r>
          </w:p>
        </w:tc>
        <w:tc>
          <w:tcPr>
            <w:tcW w:w="2160" w:type="dxa"/>
            <w:vAlign w:val="bottom"/>
          </w:tcPr>
          <w:p>
            <w:pPr>
              <w:ind w:left="140"/>
              <w:spacing w:after="0"/>
              <w:rPr>
                <w:sz w:val="20"/>
                <w:szCs w:val="20"/>
                <w:color w:val="auto"/>
              </w:rPr>
            </w:pPr>
            <w:r>
              <w:rPr>
                <w:rFonts w:ascii="Courier New" w:cs="Courier New" w:eastAsia="Courier New" w:hAnsi="Courier New"/>
                <w:sz w:val="14"/>
                <w:szCs w:val="14"/>
                <w:color w:val="auto"/>
              </w:rPr>
              <w:t>Dominick's</w:t>
            </w:r>
          </w:p>
        </w:tc>
        <w:tc>
          <w:tcPr>
            <w:tcW w:w="340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Evanston</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Gap</w:t>
            </w:r>
          </w:p>
        </w:tc>
      </w:tr>
      <w:tr>
        <w:trPr>
          <w:trHeight w:val="166"/>
        </w:trPr>
        <w:tc>
          <w:tcPr>
            <w:tcW w:w="272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0" w:type="dxa"/>
            <w:vAlign w:val="bottom"/>
          </w:tcPr>
          <w:p>
            <w:pPr>
              <w:spacing w:after="0"/>
              <w:rPr>
                <w:sz w:val="14"/>
                <w:szCs w:val="14"/>
                <w:color w:val="auto"/>
              </w:rPr>
            </w:pPr>
          </w:p>
        </w:tc>
      </w:tr>
      <w:tr>
        <w:trPr>
          <w:trHeight w:val="166"/>
        </w:trPr>
        <w:tc>
          <w:tcPr>
            <w:tcW w:w="2720" w:type="dxa"/>
            <w:vAlign w:val="bottom"/>
          </w:tcPr>
          <w:p>
            <w:pPr>
              <w:spacing w:after="0"/>
              <w:rPr>
                <w:sz w:val="14"/>
                <w:szCs w:val="14"/>
                <w:color w:val="auto"/>
              </w:rPr>
            </w:pP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93.3%</w:t>
            </w: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0" w:type="dxa"/>
            <w:vAlign w:val="bottom"/>
          </w:tcPr>
          <w:p>
            <w:pPr>
              <w:spacing w:after="0"/>
              <w:rPr>
                <w:sz w:val="14"/>
                <w:szCs w:val="14"/>
                <w:color w:val="auto"/>
              </w:rPr>
            </w:pPr>
          </w:p>
        </w:tc>
      </w:tr>
      <w:tr>
        <w:trPr>
          <w:trHeight w:val="166"/>
        </w:trPr>
        <w:tc>
          <w:tcPr>
            <w:tcW w:w="2720" w:type="dxa"/>
            <w:vAlign w:val="bottom"/>
          </w:tcPr>
          <w:p>
            <w:pPr>
              <w:ind w:left="180"/>
              <w:spacing w:after="0"/>
              <w:rPr>
                <w:sz w:val="20"/>
                <w:szCs w:val="20"/>
                <w:color w:val="auto"/>
              </w:rPr>
            </w:pPr>
            <w:r>
              <w:rPr>
                <w:rFonts w:ascii="Courier New" w:cs="Courier New" w:eastAsia="Courier New" w:hAnsi="Courier New"/>
                <w:sz w:val="14"/>
                <w:szCs w:val="14"/>
                <w:color w:val="auto"/>
              </w:rPr>
              <w:t>Northeast Region - Other</w:t>
            </w: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0" w:type="dxa"/>
            <w:vAlign w:val="bottom"/>
          </w:tcPr>
          <w:p>
            <w:pPr>
              <w:spacing w:after="0"/>
              <w:rPr>
                <w:sz w:val="14"/>
                <w:szCs w:val="14"/>
                <w:color w:val="auto"/>
              </w:rPr>
            </w:pPr>
          </w:p>
        </w:tc>
      </w:tr>
      <w:tr>
        <w:trPr>
          <w:trHeight w:val="166"/>
        </w:trPr>
        <w:tc>
          <w:tcPr>
            <w:tcW w:w="27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0" w:type="dxa"/>
            <w:vAlign w:val="bottom"/>
          </w:tcPr>
          <w:p>
            <w:pPr>
              <w:spacing w:after="0"/>
              <w:rPr>
                <w:sz w:val="14"/>
                <w:szCs w:val="14"/>
                <w:color w:val="auto"/>
              </w:rPr>
            </w:pP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Gratiot Plaza</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68,802</w:t>
            </w:r>
          </w:p>
        </w:tc>
        <w:tc>
          <w:tcPr>
            <w:tcW w:w="2160" w:type="dxa"/>
            <w:vAlign w:val="bottom"/>
          </w:tcPr>
          <w:p>
            <w:pPr>
              <w:ind w:left="140"/>
              <w:spacing w:after="0"/>
              <w:rPr>
                <w:sz w:val="20"/>
                <w:szCs w:val="20"/>
                <w:color w:val="auto"/>
              </w:rPr>
            </w:pPr>
            <w:r>
              <w:rPr>
                <w:rFonts w:ascii="Courier New" w:cs="Courier New" w:eastAsia="Courier New" w:hAnsi="Courier New"/>
                <w:sz w:val="14"/>
                <w:szCs w:val="14"/>
                <w:color w:val="auto"/>
              </w:rPr>
              <w:t>Farmer Jack's</w:t>
            </w: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Bed, Bath &amp; Beyond / Best Buy</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Lancaster</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95.3%</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4,907</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39,404</w:t>
            </w:r>
          </w:p>
        </w:tc>
        <w:tc>
          <w:tcPr>
            <w:tcW w:w="2160" w:type="dxa"/>
            <w:vAlign w:val="bottom"/>
          </w:tcPr>
          <w:p>
            <w:pPr>
              <w:ind w:left="140"/>
              <w:spacing w:after="0"/>
              <w:rPr>
                <w:sz w:val="20"/>
                <w:szCs w:val="20"/>
                <w:color w:val="auto"/>
              </w:rPr>
            </w:pPr>
            <w:r>
              <w:rPr>
                <w:rFonts w:ascii="Courier New" w:cs="Courier New" w:eastAsia="Courier New" w:hAnsi="Courier New"/>
                <w:sz w:val="14"/>
                <w:szCs w:val="14"/>
                <w:color w:val="auto"/>
              </w:rPr>
              <w:t>Giant Food</w:t>
            </w: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A.C.Moore</w:t>
            </w:r>
          </w:p>
        </w:tc>
      </w:tr>
      <w:tr>
        <w:trPr>
          <w:trHeight w:val="166"/>
        </w:trPr>
        <w:tc>
          <w:tcPr>
            <w:tcW w:w="272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0" w:type="dxa"/>
            <w:vAlign w:val="bottom"/>
          </w:tcPr>
          <w:p>
            <w:pPr>
              <w:spacing w:after="0"/>
              <w:rPr>
                <w:sz w:val="14"/>
                <w:szCs w:val="14"/>
                <w:color w:val="auto"/>
              </w:rPr>
            </w:pPr>
          </w:p>
        </w:tc>
      </w:tr>
      <w:tr>
        <w:trPr>
          <w:trHeight w:val="166"/>
        </w:trPr>
        <w:tc>
          <w:tcPr>
            <w:tcW w:w="2720" w:type="dxa"/>
            <w:vAlign w:val="bottom"/>
          </w:tcPr>
          <w:p>
            <w:pPr>
              <w:spacing w:after="0"/>
              <w:rPr>
                <w:sz w:val="14"/>
                <w:szCs w:val="14"/>
                <w:color w:val="auto"/>
              </w:rPr>
            </w:pP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98.4%</w:t>
            </w: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0" w:type="dxa"/>
            <w:vAlign w:val="bottom"/>
          </w:tcPr>
          <w:p>
            <w:pPr>
              <w:spacing w:after="0"/>
              <w:rPr>
                <w:sz w:val="14"/>
                <w:szCs w:val="14"/>
                <w:color w:val="auto"/>
              </w:rPr>
            </w:pPr>
          </w:p>
        </w:tc>
      </w:tr>
      <w:tr>
        <w:trPr>
          <w:trHeight w:val="331"/>
        </w:trPr>
        <w:tc>
          <w:tcPr>
            <w:tcW w:w="2720" w:type="dxa"/>
            <w:vAlign w:val="bottom"/>
          </w:tcPr>
          <w:p>
            <w:pPr>
              <w:ind w:left="700"/>
              <w:spacing w:after="0"/>
              <w:rPr>
                <w:sz w:val="20"/>
                <w:szCs w:val="20"/>
                <w:color w:val="auto"/>
              </w:rPr>
            </w:pPr>
            <w:r>
              <w:rPr>
                <w:rFonts w:ascii="Courier New" w:cs="Courier New" w:eastAsia="Courier New" w:hAnsi="Courier New"/>
                <w:sz w:val="14"/>
                <w:szCs w:val="14"/>
                <w:color w:val="auto"/>
              </w:rPr>
              <w:t>Total Northeast Region</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95.5%</w:t>
            </w: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West Region</w:t>
            </w: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0" w:type="dxa"/>
            <w:vAlign w:val="bottom"/>
          </w:tcPr>
          <w:p>
            <w:pPr>
              <w:spacing w:after="0"/>
              <w:rPr>
                <w:sz w:val="14"/>
                <w:szCs w:val="14"/>
                <w:color w:val="auto"/>
              </w:rPr>
            </w:pPr>
          </w:p>
        </w:tc>
      </w:tr>
      <w:tr>
        <w:trPr>
          <w:trHeight w:val="331"/>
        </w:trPr>
        <w:tc>
          <w:tcPr>
            <w:tcW w:w="2720" w:type="dxa"/>
            <w:vAlign w:val="bottom"/>
          </w:tcPr>
          <w:p>
            <w:pPr>
              <w:ind w:left="180"/>
              <w:spacing w:after="0"/>
              <w:rPr>
                <w:sz w:val="20"/>
                <w:szCs w:val="20"/>
                <w:color w:val="auto"/>
              </w:rPr>
            </w:pPr>
            <w:r>
              <w:rPr>
                <w:rFonts w:ascii="Courier New" w:cs="Courier New" w:eastAsia="Courier New" w:hAnsi="Courier New"/>
                <w:sz w:val="14"/>
                <w:szCs w:val="14"/>
                <w:color w:val="auto"/>
              </w:rPr>
              <w:t>California</w:t>
            </w: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166"/>
        </w:trPr>
        <w:tc>
          <w:tcPr>
            <w:tcW w:w="27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0" w:type="dxa"/>
            <w:vAlign w:val="bottom"/>
          </w:tcPr>
          <w:p>
            <w:pPr>
              <w:spacing w:after="0"/>
              <w:rPr>
                <w:sz w:val="14"/>
                <w:szCs w:val="14"/>
                <w:color w:val="auto"/>
              </w:rPr>
            </w:pP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Colorado Blvd</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97.6%</w:t>
            </w: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Pottery Barn / Banana Republic</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Hermosa Ave</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Hollywood Blvd</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78.0%</w:t>
            </w: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General Cinema / Hollywood Ent. Museum</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Third St Promenade</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96.3%</w:t>
            </w: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J. Crew / Banana Republic / Old Navy</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Escondido</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96.0%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9,400</w:t>
            </w:r>
          </w:p>
        </w:tc>
        <w:tc>
          <w:tcPr>
            <w:tcW w:w="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Cost Plus / TJ Maxx / Toys R Us</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Fifth Ave</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97.3%</w:t>
            </w: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Urban Outfitters</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150 Post Street</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74.9%</w:t>
            </w: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Brooks Brothers / Williams Sonoma</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Kings Court</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98.4%</w:t>
            </w:r>
          </w:p>
        </w:tc>
        <w:tc>
          <w:tcPr>
            <w:tcW w:w="108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24,860</w:t>
            </w:r>
          </w:p>
        </w:tc>
        <w:tc>
          <w:tcPr>
            <w:tcW w:w="2160" w:type="dxa"/>
            <w:vAlign w:val="bottom"/>
          </w:tcPr>
          <w:p>
            <w:pPr>
              <w:ind w:left="140"/>
              <w:spacing w:after="0"/>
              <w:rPr>
                <w:sz w:val="20"/>
                <w:szCs w:val="20"/>
                <w:color w:val="auto"/>
              </w:rPr>
            </w:pPr>
            <w:r>
              <w:rPr>
                <w:rFonts w:ascii="Courier New" w:cs="Courier New" w:eastAsia="Courier New" w:hAnsi="Courier New"/>
                <w:sz w:val="14"/>
                <w:szCs w:val="14"/>
                <w:color w:val="auto"/>
              </w:rPr>
              <w:t>Lunardi's Super Market</w:t>
            </w: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Longs Drug Store</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Old Town</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93.8%</w:t>
            </w: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Borders / Gap Kids / Banana Republic</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Santana Row</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70.8%</w:t>
            </w: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Crate &amp; Barrel / Borders</w:t>
            </w:r>
          </w:p>
        </w:tc>
      </w:tr>
      <w:tr>
        <w:trPr>
          <w:trHeight w:val="166"/>
        </w:trPr>
        <w:tc>
          <w:tcPr>
            <w:tcW w:w="2720" w:type="dxa"/>
            <w:vAlign w:val="bottom"/>
          </w:tcPr>
          <w:p>
            <w:pPr>
              <w:spacing w:after="0"/>
              <w:rPr>
                <w:sz w:val="14"/>
                <w:szCs w:val="14"/>
                <w:color w:val="auto"/>
              </w:rPr>
            </w:pP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0" w:type="dxa"/>
            <w:vAlign w:val="bottom"/>
          </w:tcPr>
          <w:p>
            <w:pPr>
              <w:spacing w:after="0"/>
              <w:rPr>
                <w:sz w:val="14"/>
                <w:szCs w:val="14"/>
                <w:color w:val="auto"/>
              </w:rPr>
            </w:pPr>
          </w:p>
        </w:tc>
      </w:tr>
      <w:tr>
        <w:trPr>
          <w:trHeight w:val="166"/>
        </w:trPr>
        <w:tc>
          <w:tcPr>
            <w:tcW w:w="2720" w:type="dxa"/>
            <w:vAlign w:val="bottom"/>
          </w:tcPr>
          <w:p>
            <w:pPr>
              <w:spacing w:after="0"/>
              <w:rPr>
                <w:sz w:val="14"/>
                <w:szCs w:val="14"/>
                <w:color w:val="auto"/>
              </w:rPr>
            </w:pP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85.2%</w:t>
            </w: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0" w:type="dxa"/>
            <w:vAlign w:val="bottom"/>
          </w:tcPr>
          <w:p>
            <w:pPr>
              <w:spacing w:after="0"/>
              <w:rPr>
                <w:sz w:val="14"/>
                <w:szCs w:val="14"/>
                <w:color w:val="auto"/>
              </w:rPr>
            </w:pPr>
          </w:p>
        </w:tc>
      </w:tr>
      <w:tr>
        <w:trPr>
          <w:trHeight w:val="166"/>
        </w:trPr>
        <w:tc>
          <w:tcPr>
            <w:tcW w:w="2720" w:type="dxa"/>
            <w:vAlign w:val="bottom"/>
          </w:tcPr>
          <w:p>
            <w:pPr>
              <w:ind w:left="180"/>
              <w:spacing w:after="0"/>
              <w:rPr>
                <w:sz w:val="20"/>
                <w:szCs w:val="20"/>
                <w:color w:val="auto"/>
              </w:rPr>
            </w:pPr>
            <w:r>
              <w:rPr>
                <w:rFonts w:ascii="Courier New" w:cs="Courier New" w:eastAsia="Courier New" w:hAnsi="Courier New"/>
                <w:sz w:val="14"/>
                <w:szCs w:val="14"/>
                <w:color w:val="auto"/>
              </w:rPr>
              <w:t>West Region - Other</w:t>
            </w: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0" w:type="dxa"/>
            <w:vAlign w:val="bottom"/>
          </w:tcPr>
          <w:p>
            <w:pPr>
              <w:spacing w:after="0"/>
              <w:rPr>
                <w:sz w:val="14"/>
                <w:szCs w:val="14"/>
                <w:color w:val="auto"/>
              </w:rPr>
            </w:pPr>
          </w:p>
        </w:tc>
      </w:tr>
      <w:tr>
        <w:trPr>
          <w:trHeight w:val="166"/>
        </w:trPr>
        <w:tc>
          <w:tcPr>
            <w:tcW w:w="27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0" w:type="dxa"/>
            <w:vAlign w:val="bottom"/>
          </w:tcPr>
          <w:p>
            <w:pPr>
              <w:spacing w:after="0"/>
              <w:rPr>
                <w:sz w:val="14"/>
                <w:szCs w:val="14"/>
                <w:color w:val="auto"/>
              </w:rPr>
            </w:pP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Mill Avenue</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400" w:type="dxa"/>
            <w:vAlign w:val="bottom"/>
          </w:tcPr>
          <w:p>
            <w:pPr>
              <w:ind w:left="120"/>
              <w:spacing w:after="0"/>
              <w:rPr>
                <w:sz w:val="20"/>
                <w:szCs w:val="20"/>
                <w:color w:val="auto"/>
              </w:rPr>
            </w:pPr>
            <w:r>
              <w:rPr>
                <w:rFonts w:ascii="Courier New" w:cs="Courier New" w:eastAsia="Courier New" w:hAnsi="Courier New"/>
                <w:sz w:val="14"/>
                <w:szCs w:val="14"/>
                <w:color w:val="auto"/>
              </w:rPr>
              <w:t>Gordon Biersch</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Houston St</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37.4%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268</w:t>
            </w:r>
          </w:p>
        </w:tc>
        <w:tc>
          <w:tcPr>
            <w:tcW w:w="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Tanasbourne</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N/A</w:t>
            </w: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0" w:type="dxa"/>
            <w:vAlign w:val="bottom"/>
          </w:tcPr>
          <w:p>
            <w:pPr>
              <w:spacing w:after="0"/>
              <w:rPr>
                <w:sz w:val="14"/>
                <w:szCs w:val="14"/>
                <w:color w:val="auto"/>
              </w:rPr>
            </w:pPr>
          </w:p>
        </w:tc>
      </w:tr>
      <w:tr>
        <w:trPr>
          <w:trHeight w:val="166"/>
        </w:trPr>
        <w:tc>
          <w:tcPr>
            <w:tcW w:w="2720" w:type="dxa"/>
            <w:vAlign w:val="bottom"/>
          </w:tcPr>
          <w:p>
            <w:pPr>
              <w:spacing w:after="0"/>
              <w:rPr>
                <w:sz w:val="14"/>
                <w:szCs w:val="14"/>
                <w:color w:val="auto"/>
              </w:rPr>
            </w:pP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0" w:type="dxa"/>
            <w:vAlign w:val="bottom"/>
          </w:tcPr>
          <w:p>
            <w:pPr>
              <w:spacing w:after="0"/>
              <w:rPr>
                <w:sz w:val="14"/>
                <w:szCs w:val="14"/>
                <w:color w:val="auto"/>
              </w:rPr>
            </w:pPr>
          </w:p>
        </w:tc>
      </w:tr>
      <w:tr>
        <w:trPr>
          <w:trHeight w:val="166"/>
        </w:trPr>
        <w:tc>
          <w:tcPr>
            <w:tcW w:w="2720" w:type="dxa"/>
            <w:vAlign w:val="bottom"/>
          </w:tcPr>
          <w:p>
            <w:pPr>
              <w:spacing w:after="0"/>
              <w:rPr>
                <w:sz w:val="14"/>
                <w:szCs w:val="14"/>
                <w:color w:val="auto"/>
              </w:rPr>
            </w:pP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64.2%</w:t>
            </w: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0" w:type="dxa"/>
            <w:vAlign w:val="bottom"/>
          </w:tcPr>
          <w:p>
            <w:pPr>
              <w:spacing w:after="0"/>
              <w:rPr>
                <w:sz w:val="14"/>
                <w:szCs w:val="14"/>
                <w:color w:val="auto"/>
              </w:rPr>
            </w:pPr>
          </w:p>
        </w:tc>
      </w:tr>
      <w:tr>
        <w:trPr>
          <w:trHeight w:val="331"/>
        </w:trPr>
        <w:tc>
          <w:tcPr>
            <w:tcW w:w="2720" w:type="dxa"/>
            <w:vAlign w:val="bottom"/>
          </w:tcPr>
          <w:p>
            <w:pPr>
              <w:ind w:left="700"/>
              <w:spacing w:after="0"/>
              <w:rPr>
                <w:sz w:val="20"/>
                <w:szCs w:val="20"/>
                <w:color w:val="auto"/>
              </w:rPr>
            </w:pPr>
            <w:r>
              <w:rPr>
                <w:rFonts w:ascii="Courier New" w:cs="Courier New" w:eastAsia="Courier New" w:hAnsi="Courier New"/>
                <w:sz w:val="14"/>
                <w:szCs w:val="14"/>
                <w:color w:val="auto"/>
              </w:rPr>
              <w:t>Total West Region</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83.9%</w:t>
            </w: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400" w:type="dxa"/>
            <w:vAlign w:val="bottom"/>
          </w:tcPr>
          <w:p>
            <w:pPr>
              <w:spacing w:after="0"/>
              <w:rPr>
                <w:sz w:val="24"/>
                <w:szCs w:val="24"/>
                <w:color w:val="auto"/>
              </w:rPr>
            </w:pPr>
          </w:p>
        </w:tc>
      </w:tr>
    </w:tbl>
    <w:p>
      <w:pPr>
        <w:spacing w:after="0" w:line="170"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 ------------------------------------------------------------------------------------------------------------------------------------ Total 94.7% 393,212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hanging="432"/>
        <w:spacing w:after="0"/>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SR - Street Retail; SC - Shopping Center</w:t>
      </w:r>
    </w:p>
    <w:p>
      <w:pPr>
        <w:spacing w:after="0" w:line="7" w:lineRule="exact"/>
        <w:rPr>
          <w:rFonts w:ascii="Courier New" w:cs="Courier New" w:eastAsia="Courier New" w:hAnsi="Courier New"/>
          <w:sz w:val="14"/>
          <w:szCs w:val="14"/>
          <w:color w:val="auto"/>
        </w:rPr>
      </w:pPr>
    </w:p>
    <w:p>
      <w:pPr>
        <w:ind w:left="440" w:right="5080" w:hanging="432"/>
        <w:spacing w:after="0" w:line="250" w:lineRule="auto"/>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redevelopment square footage not yet in service, Phase II and other future phases of Santana Row and Rollingwood Apartments.</w:t>
      </w:r>
    </w:p>
    <w:p>
      <w:pPr>
        <w:ind w:left="440" w:right="4640" w:hanging="432"/>
        <w:spacing w:after="0" w:line="250" w:lineRule="auto"/>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Grocery anchor is defined as a grocery tenant leasing 15,000 square feet or more.</w:t>
      </w:r>
    </w:p>
    <w:p>
      <w:pPr>
        <w:ind w:left="440" w:right="4900" w:hanging="432"/>
        <w:spacing w:after="0" w:line="250" w:lineRule="auto"/>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Portion of property subject to capital lease obligation. Mortgage column shows construction loan on Woodmont East of $24,449 and capital lease obligation of $12,576</w:t>
      </w:r>
    </w:p>
    <w:p>
      <w:pPr>
        <w:spacing w:after="0" w:line="1" w:lineRule="exact"/>
        <w:rPr>
          <w:rFonts w:ascii="Courier New" w:cs="Courier New" w:eastAsia="Courier New" w:hAnsi="Courier New"/>
          <w:sz w:val="14"/>
          <w:szCs w:val="14"/>
          <w:color w:val="auto"/>
        </w:rPr>
      </w:pPr>
    </w:p>
    <w:p>
      <w:pPr>
        <w:ind w:left="440" w:right="4900" w:hanging="432"/>
        <w:spacing w:after="0" w:line="250" w:lineRule="auto"/>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purchased through "downreit" partnership, of which the Trust is the sole general partner, in exchange for operating partnership units.</w:t>
      </w:r>
    </w:p>
    <w:p>
      <w:pPr>
        <w:ind w:left="440" w:hanging="432"/>
        <w:spacing w:after="0"/>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subject to capital lease obligation.</w:t>
      </w:r>
    </w:p>
    <w:p>
      <w:pPr>
        <w:spacing w:after="0" w:line="7" w:lineRule="exact"/>
        <w:rPr>
          <w:rFonts w:ascii="Courier New" w:cs="Courier New" w:eastAsia="Courier New" w:hAnsi="Courier New"/>
          <w:sz w:val="14"/>
          <w:szCs w:val="14"/>
          <w:color w:val="auto"/>
        </w:rPr>
      </w:pPr>
    </w:p>
    <w:p>
      <w:pPr>
        <w:ind w:left="440" w:right="4720" w:hanging="432"/>
        <w:spacing w:after="0" w:line="250" w:lineRule="auto"/>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a second grocery anchor in the center; Food Lion has vacated, but is currently paying rent.</w:t>
      </w:r>
    </w:p>
    <w:p>
      <w:pPr>
        <w:ind w:left="440" w:hanging="432"/>
        <w:spacing w:after="0"/>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Genuardi's space has been delivered, they are not yet open.</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two properties, one at 100% and one at 90%.</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nine properties, seven at 100% and two at 90%.</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four properties, three at 100% and one at 90%.</w:t>
      </w:r>
    </w:p>
    <w:p>
      <w:pPr>
        <w:spacing w:after="0" w:line="7"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two properties, one at 100% and one at 85%.</w:t>
      </w:r>
    </w:p>
    <w:p>
      <w:pPr>
        <w:sectPr>
          <w:pgSz w:w="11900" w:h="16838" w:orient="portrait"/>
          <w:cols w:equalWidth="0" w:num="1">
            <w:col w:w="11540"/>
          </w:cols>
          <w:pgMar w:left="220" w:top="307" w:right="139"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Shopping Center / Street Retail Summary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Shopping Center Summary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 except square footage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60" w:type="dxa"/>
            <w:vAlign w:val="bottom"/>
            <w:gridSpan w:val="3"/>
          </w:tcPr>
          <w:p>
            <w:pPr>
              <w:jc w:val="right"/>
              <w:ind w:right="308"/>
              <w:spacing w:after="0"/>
              <w:rPr>
                <w:sz w:val="20"/>
                <w:szCs w:val="20"/>
                <w:color w:val="auto"/>
              </w:rPr>
            </w:pPr>
            <w:r>
              <w:rPr>
                <w:rFonts w:ascii="Courier New" w:cs="Courier New" w:eastAsia="Courier New" w:hAnsi="Courier New"/>
                <w:sz w:val="14"/>
                <w:szCs w:val="14"/>
                <w:color w:val="auto"/>
              </w:rPr>
              <w:t>For the year ended December 31,</w:t>
            </w: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2002</w:t>
            </w:r>
          </w:p>
        </w:tc>
        <w:tc>
          <w:tcPr>
            <w:tcW w:w="660" w:type="dxa"/>
            <w:vAlign w:val="bottom"/>
          </w:tcPr>
          <w:p>
            <w:pPr>
              <w:spacing w:after="0"/>
              <w:rPr>
                <w:sz w:val="14"/>
                <w:szCs w:val="14"/>
                <w:color w:val="auto"/>
              </w:rPr>
            </w:pP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2001</w:t>
            </w:r>
          </w:p>
        </w:tc>
        <w:tc>
          <w:tcPr>
            <w:tcW w:w="5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4180" w:type="dxa"/>
            <w:vAlign w:val="bottom"/>
          </w:tcPr>
          <w:p>
            <w:pPr>
              <w:spacing w:after="0"/>
              <w:rPr>
                <w:sz w:val="14"/>
                <w:szCs w:val="14"/>
                <w:color w:val="auto"/>
              </w:rPr>
            </w:pPr>
          </w:p>
        </w:tc>
        <w:tc>
          <w:tcPr>
            <w:tcW w:w="58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Real Estate Assets, at cost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1,287,887</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1,256,778</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1,248,770</w:t>
            </w:r>
          </w:p>
        </w:tc>
      </w:tr>
      <w:tr>
        <w:trPr>
          <w:trHeight w:val="331"/>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Rental Income</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219,057</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211,664</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205,456</w:t>
            </w: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Other Property Income</w:t>
            </w:r>
          </w:p>
        </w:tc>
        <w:tc>
          <w:tcPr>
            <w:tcW w:w="740" w:type="dxa"/>
            <w:vAlign w:val="bottom"/>
          </w:tcPr>
          <w:p>
            <w:pPr>
              <w:spacing w:after="0"/>
              <w:rPr>
                <w:sz w:val="14"/>
                <w:szCs w:val="14"/>
                <w:color w:val="auto"/>
              </w:rPr>
            </w:pP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8,498</w:t>
            </w:r>
          </w:p>
        </w:tc>
        <w:tc>
          <w:tcPr>
            <w:tcW w:w="660" w:type="dxa"/>
            <w:vAlign w:val="bottom"/>
          </w:tcPr>
          <w:p>
            <w:pPr>
              <w:spacing w:after="0"/>
              <w:rPr>
                <w:sz w:val="14"/>
                <w:szCs w:val="14"/>
                <w:color w:val="auto"/>
              </w:rPr>
            </w:pP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8,989</w:t>
            </w:r>
          </w:p>
        </w:tc>
        <w:tc>
          <w:tcPr>
            <w:tcW w:w="5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7,483</w:t>
            </w: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Interest Income</w:t>
            </w:r>
          </w:p>
        </w:tc>
        <w:tc>
          <w:tcPr>
            <w:tcW w:w="740" w:type="dxa"/>
            <w:vAlign w:val="bottom"/>
          </w:tcPr>
          <w:p>
            <w:pPr>
              <w:spacing w:after="0"/>
              <w:rPr>
                <w:sz w:val="14"/>
                <w:szCs w:val="14"/>
                <w:color w:val="auto"/>
              </w:rPr>
            </w:pP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1,906</w:t>
            </w:r>
          </w:p>
        </w:tc>
        <w:tc>
          <w:tcPr>
            <w:tcW w:w="660" w:type="dxa"/>
            <w:vAlign w:val="bottom"/>
          </w:tcPr>
          <w:p>
            <w:pPr>
              <w:spacing w:after="0"/>
              <w:rPr>
                <w:sz w:val="14"/>
                <w:szCs w:val="14"/>
                <w:color w:val="auto"/>
              </w:rPr>
            </w:pP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3,175</w:t>
            </w:r>
          </w:p>
        </w:tc>
        <w:tc>
          <w:tcPr>
            <w:tcW w:w="5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3,067</w:t>
            </w:r>
          </w:p>
        </w:tc>
      </w:tr>
      <w:tr>
        <w:trPr>
          <w:trHeight w:val="166"/>
        </w:trPr>
        <w:tc>
          <w:tcPr>
            <w:tcW w:w="4180" w:type="dxa"/>
            <w:vAlign w:val="bottom"/>
          </w:tcPr>
          <w:p>
            <w:pPr>
              <w:spacing w:after="0"/>
              <w:rPr>
                <w:sz w:val="14"/>
                <w:szCs w:val="14"/>
                <w:color w:val="auto"/>
              </w:rPr>
            </w:pPr>
          </w:p>
        </w:tc>
        <w:tc>
          <w:tcPr>
            <w:tcW w:w="58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Total Revenues</w:t>
            </w:r>
          </w:p>
        </w:tc>
        <w:tc>
          <w:tcPr>
            <w:tcW w:w="740" w:type="dxa"/>
            <w:vAlign w:val="bottom"/>
          </w:tcPr>
          <w:p>
            <w:pPr>
              <w:spacing w:after="0"/>
              <w:rPr>
                <w:sz w:val="24"/>
                <w:szCs w:val="24"/>
                <w:color w:val="auto"/>
              </w:rPr>
            </w:pP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229,461</w:t>
            </w:r>
          </w:p>
        </w:tc>
        <w:tc>
          <w:tcPr>
            <w:tcW w:w="660" w:type="dxa"/>
            <w:vAlign w:val="bottom"/>
          </w:tcPr>
          <w:p>
            <w:pPr>
              <w:spacing w:after="0"/>
              <w:rPr>
                <w:sz w:val="24"/>
                <w:szCs w:val="24"/>
                <w:color w:val="auto"/>
              </w:rPr>
            </w:pP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223,828</w:t>
            </w:r>
          </w:p>
        </w:tc>
        <w:tc>
          <w:tcPr>
            <w:tcW w:w="5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216,006</w:t>
            </w:r>
          </w:p>
        </w:tc>
      </w:tr>
      <w:tr>
        <w:trPr>
          <w:trHeight w:val="331"/>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Rental Expense</w:t>
            </w:r>
          </w:p>
        </w:tc>
        <w:tc>
          <w:tcPr>
            <w:tcW w:w="740" w:type="dxa"/>
            <w:vAlign w:val="bottom"/>
          </w:tcPr>
          <w:p>
            <w:pPr>
              <w:spacing w:after="0"/>
              <w:rPr>
                <w:sz w:val="24"/>
                <w:szCs w:val="24"/>
                <w:color w:val="auto"/>
              </w:rPr>
            </w:pP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41,066</w:t>
            </w:r>
          </w:p>
        </w:tc>
        <w:tc>
          <w:tcPr>
            <w:tcW w:w="660" w:type="dxa"/>
            <w:vAlign w:val="bottom"/>
          </w:tcPr>
          <w:p>
            <w:pPr>
              <w:spacing w:after="0"/>
              <w:rPr>
                <w:sz w:val="24"/>
                <w:szCs w:val="24"/>
                <w:color w:val="auto"/>
              </w:rPr>
            </w:pP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40,541</w:t>
            </w:r>
          </w:p>
        </w:tc>
        <w:tc>
          <w:tcPr>
            <w:tcW w:w="5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40,599</w:t>
            </w: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Real Estate Tax Expense</w:t>
            </w:r>
          </w:p>
        </w:tc>
        <w:tc>
          <w:tcPr>
            <w:tcW w:w="740" w:type="dxa"/>
            <w:vAlign w:val="bottom"/>
          </w:tcPr>
          <w:p>
            <w:pPr>
              <w:spacing w:after="0"/>
              <w:rPr>
                <w:sz w:val="14"/>
                <w:szCs w:val="14"/>
                <w:color w:val="auto"/>
              </w:rPr>
            </w:pP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23,976</w:t>
            </w:r>
          </w:p>
        </w:tc>
        <w:tc>
          <w:tcPr>
            <w:tcW w:w="660" w:type="dxa"/>
            <w:vAlign w:val="bottom"/>
          </w:tcPr>
          <w:p>
            <w:pPr>
              <w:spacing w:after="0"/>
              <w:rPr>
                <w:sz w:val="14"/>
                <w:szCs w:val="14"/>
                <w:color w:val="auto"/>
              </w:rPr>
            </w:pP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22,577</w:t>
            </w:r>
          </w:p>
        </w:tc>
        <w:tc>
          <w:tcPr>
            <w:tcW w:w="5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21,515</w:t>
            </w:r>
          </w:p>
        </w:tc>
      </w:tr>
      <w:tr>
        <w:trPr>
          <w:trHeight w:val="166"/>
        </w:trPr>
        <w:tc>
          <w:tcPr>
            <w:tcW w:w="4180" w:type="dxa"/>
            <w:vAlign w:val="bottom"/>
          </w:tcPr>
          <w:p>
            <w:pPr>
              <w:spacing w:after="0"/>
              <w:rPr>
                <w:sz w:val="14"/>
                <w:szCs w:val="14"/>
                <w:color w:val="auto"/>
              </w:rPr>
            </w:pPr>
          </w:p>
        </w:tc>
        <w:tc>
          <w:tcPr>
            <w:tcW w:w="58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Total Rental and Real Estate Tax Expense</w:t>
            </w:r>
          </w:p>
        </w:tc>
        <w:tc>
          <w:tcPr>
            <w:tcW w:w="740" w:type="dxa"/>
            <w:vAlign w:val="bottom"/>
          </w:tcPr>
          <w:p>
            <w:pPr>
              <w:spacing w:after="0"/>
              <w:rPr>
                <w:sz w:val="24"/>
                <w:szCs w:val="24"/>
                <w:color w:val="auto"/>
              </w:rPr>
            </w:pP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65,042</w:t>
            </w:r>
          </w:p>
        </w:tc>
        <w:tc>
          <w:tcPr>
            <w:tcW w:w="660" w:type="dxa"/>
            <w:vAlign w:val="bottom"/>
          </w:tcPr>
          <w:p>
            <w:pPr>
              <w:spacing w:after="0"/>
              <w:rPr>
                <w:sz w:val="24"/>
                <w:szCs w:val="24"/>
                <w:color w:val="auto"/>
              </w:rPr>
            </w:pP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63,118</w:t>
            </w:r>
          </w:p>
        </w:tc>
        <w:tc>
          <w:tcPr>
            <w:tcW w:w="5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62,114</w:t>
            </w:r>
          </w:p>
        </w:tc>
      </w:tr>
      <w:tr>
        <w:trPr>
          <w:trHeight w:val="166"/>
        </w:trPr>
        <w:tc>
          <w:tcPr>
            <w:tcW w:w="4180" w:type="dxa"/>
            <w:vAlign w:val="bottom"/>
          </w:tcPr>
          <w:p>
            <w:pPr>
              <w:spacing w:after="0"/>
              <w:rPr>
                <w:sz w:val="14"/>
                <w:szCs w:val="14"/>
                <w:color w:val="auto"/>
              </w:rPr>
            </w:pPr>
          </w:p>
        </w:tc>
        <w:tc>
          <w:tcPr>
            <w:tcW w:w="58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Net Operating Income (1) (2)</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164,419</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160,710</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153,892</w:t>
            </w:r>
          </w:p>
        </w:tc>
      </w:tr>
      <w:tr>
        <w:trPr>
          <w:trHeight w:val="166"/>
        </w:trPr>
        <w:tc>
          <w:tcPr>
            <w:tcW w:w="4180" w:type="dxa"/>
            <w:vAlign w:val="bottom"/>
          </w:tcPr>
          <w:p>
            <w:pPr>
              <w:spacing w:after="0"/>
              <w:rPr>
                <w:sz w:val="14"/>
                <w:szCs w:val="14"/>
                <w:color w:val="auto"/>
              </w:rPr>
            </w:pPr>
          </w:p>
        </w:tc>
        <w:tc>
          <w:tcPr>
            <w:tcW w:w="58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Square Feet (3)</w:t>
            </w:r>
          </w:p>
        </w:tc>
        <w:tc>
          <w:tcPr>
            <w:tcW w:w="740" w:type="dxa"/>
            <w:vAlign w:val="bottom"/>
          </w:tcPr>
          <w:p>
            <w:pPr>
              <w:spacing w:after="0"/>
              <w:rPr>
                <w:sz w:val="24"/>
                <w:szCs w:val="24"/>
                <w:color w:val="auto"/>
              </w:rPr>
            </w:pP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12,555,000</w:t>
            </w:r>
          </w:p>
        </w:tc>
        <w:tc>
          <w:tcPr>
            <w:tcW w:w="660" w:type="dxa"/>
            <w:vAlign w:val="bottom"/>
          </w:tcPr>
          <w:p>
            <w:pPr>
              <w:spacing w:after="0"/>
              <w:rPr>
                <w:sz w:val="24"/>
                <w:szCs w:val="24"/>
                <w:color w:val="auto"/>
              </w:rPr>
            </w:pP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w w:val="99"/>
              </w:rPr>
              <w:t>12,547,000</w:t>
            </w:r>
          </w:p>
        </w:tc>
        <w:tc>
          <w:tcPr>
            <w:tcW w:w="5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12,700,000</w:t>
            </w:r>
          </w:p>
        </w:tc>
      </w:tr>
      <w:tr>
        <w:trPr>
          <w:trHeight w:val="497"/>
        </w:trPr>
        <w:tc>
          <w:tcPr>
            <w:tcW w:w="4180" w:type="dxa"/>
            <w:vAlign w:val="bottom"/>
          </w:tcPr>
          <w:p>
            <w:pPr>
              <w:spacing w:after="0"/>
              <w:rPr>
                <w:sz w:val="20"/>
                <w:szCs w:val="20"/>
                <w:color w:val="auto"/>
              </w:rPr>
            </w:pPr>
            <w:r>
              <w:rPr>
                <w:rFonts w:ascii="Courier New" w:cs="Courier New" w:eastAsia="Courier New" w:hAnsi="Courier New"/>
                <w:sz w:val="14"/>
                <w:szCs w:val="14"/>
                <w:color w:val="auto"/>
              </w:rPr>
              <w:t>Street Retail Summary</w:t>
            </w:r>
          </w:p>
        </w:tc>
        <w:tc>
          <w:tcPr>
            <w:tcW w:w="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(in thousands, except square footage data)</w:t>
            </w:r>
          </w:p>
        </w:tc>
        <w:tc>
          <w:tcPr>
            <w:tcW w:w="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3"/>
        </w:trPr>
        <w:tc>
          <w:tcPr>
            <w:tcW w:w="4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60" w:type="dxa"/>
            <w:vAlign w:val="bottom"/>
            <w:gridSpan w:val="3"/>
          </w:tcPr>
          <w:p>
            <w:pPr>
              <w:jc w:val="right"/>
              <w:ind w:right="308"/>
              <w:spacing w:after="0"/>
              <w:rPr>
                <w:sz w:val="20"/>
                <w:szCs w:val="20"/>
                <w:color w:val="auto"/>
              </w:rPr>
            </w:pPr>
            <w:r>
              <w:rPr>
                <w:rFonts w:ascii="Courier New" w:cs="Courier New" w:eastAsia="Courier New" w:hAnsi="Courier New"/>
                <w:sz w:val="14"/>
                <w:szCs w:val="14"/>
                <w:color w:val="auto"/>
              </w:rPr>
              <w:t>For the year ended December 31,</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2002</w:t>
            </w:r>
          </w:p>
        </w:tc>
        <w:tc>
          <w:tcPr>
            <w:tcW w:w="660" w:type="dxa"/>
            <w:vAlign w:val="bottom"/>
          </w:tcPr>
          <w:p>
            <w:pPr>
              <w:spacing w:after="0"/>
              <w:rPr>
                <w:sz w:val="14"/>
                <w:szCs w:val="14"/>
                <w:color w:val="auto"/>
              </w:rPr>
            </w:pP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2001</w:t>
            </w:r>
          </w:p>
        </w:tc>
        <w:tc>
          <w:tcPr>
            <w:tcW w:w="5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4180" w:type="dxa"/>
            <w:vAlign w:val="bottom"/>
          </w:tcPr>
          <w:p>
            <w:pPr>
              <w:spacing w:after="0"/>
              <w:rPr>
                <w:sz w:val="14"/>
                <w:szCs w:val="14"/>
                <w:color w:val="auto"/>
              </w:rPr>
            </w:pPr>
          </w:p>
        </w:tc>
        <w:tc>
          <w:tcPr>
            <w:tcW w:w="58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Real Estate Assets, at cost (4)</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1,018,939</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847,526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606,143</w:t>
            </w:r>
          </w:p>
        </w:tc>
      </w:tr>
      <w:tr>
        <w:trPr>
          <w:trHeight w:val="331"/>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Rental Income</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79,028</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62,903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50,178</w:t>
            </w: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Other Property Income</w:t>
            </w:r>
          </w:p>
        </w:tc>
        <w:tc>
          <w:tcPr>
            <w:tcW w:w="740" w:type="dxa"/>
            <w:vAlign w:val="bottom"/>
          </w:tcPr>
          <w:p>
            <w:pPr>
              <w:spacing w:after="0"/>
              <w:rPr>
                <w:sz w:val="14"/>
                <w:szCs w:val="14"/>
                <w:color w:val="auto"/>
              </w:rPr>
            </w:pP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7,095</w:t>
            </w:r>
          </w:p>
        </w:tc>
        <w:tc>
          <w:tcPr>
            <w:tcW w:w="660" w:type="dxa"/>
            <w:vAlign w:val="bottom"/>
          </w:tcPr>
          <w:p>
            <w:pPr>
              <w:spacing w:after="0"/>
              <w:rPr>
                <w:sz w:val="14"/>
                <w:szCs w:val="14"/>
                <w:color w:val="auto"/>
              </w:rPr>
            </w:pP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4,964</w:t>
            </w:r>
          </w:p>
        </w:tc>
        <w:tc>
          <w:tcPr>
            <w:tcW w:w="5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3,540</w:t>
            </w: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Interest Income</w:t>
            </w:r>
          </w:p>
        </w:tc>
        <w:tc>
          <w:tcPr>
            <w:tcW w:w="740" w:type="dxa"/>
            <w:vAlign w:val="bottom"/>
          </w:tcPr>
          <w:p>
            <w:pPr>
              <w:spacing w:after="0"/>
              <w:rPr>
                <w:sz w:val="14"/>
                <w:szCs w:val="14"/>
                <w:color w:val="auto"/>
              </w:rPr>
            </w:pP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3,250</w:t>
            </w:r>
          </w:p>
        </w:tc>
        <w:tc>
          <w:tcPr>
            <w:tcW w:w="660" w:type="dxa"/>
            <w:vAlign w:val="bottom"/>
          </w:tcPr>
          <w:p>
            <w:pPr>
              <w:spacing w:after="0"/>
              <w:rPr>
                <w:sz w:val="14"/>
                <w:szCs w:val="14"/>
                <w:color w:val="auto"/>
              </w:rPr>
            </w:pP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3,415</w:t>
            </w:r>
          </w:p>
        </w:tc>
        <w:tc>
          <w:tcPr>
            <w:tcW w:w="5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4,465</w:t>
            </w:r>
          </w:p>
        </w:tc>
      </w:tr>
      <w:tr>
        <w:trPr>
          <w:trHeight w:val="166"/>
        </w:trPr>
        <w:tc>
          <w:tcPr>
            <w:tcW w:w="4180" w:type="dxa"/>
            <w:vAlign w:val="bottom"/>
          </w:tcPr>
          <w:p>
            <w:pPr>
              <w:spacing w:after="0"/>
              <w:rPr>
                <w:sz w:val="14"/>
                <w:szCs w:val="14"/>
                <w:color w:val="auto"/>
              </w:rPr>
            </w:pPr>
          </w:p>
        </w:tc>
        <w:tc>
          <w:tcPr>
            <w:tcW w:w="58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Total Revenues</w:t>
            </w:r>
          </w:p>
        </w:tc>
        <w:tc>
          <w:tcPr>
            <w:tcW w:w="740" w:type="dxa"/>
            <w:vAlign w:val="bottom"/>
          </w:tcPr>
          <w:p>
            <w:pPr>
              <w:spacing w:after="0"/>
              <w:rPr>
                <w:sz w:val="24"/>
                <w:szCs w:val="24"/>
                <w:color w:val="auto"/>
              </w:rPr>
            </w:pP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89,373</w:t>
            </w:r>
          </w:p>
        </w:tc>
        <w:tc>
          <w:tcPr>
            <w:tcW w:w="660" w:type="dxa"/>
            <w:vAlign w:val="bottom"/>
          </w:tcPr>
          <w:p>
            <w:pPr>
              <w:spacing w:after="0"/>
              <w:rPr>
                <w:sz w:val="24"/>
                <w:szCs w:val="24"/>
                <w:color w:val="auto"/>
              </w:rPr>
            </w:pP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71,282</w:t>
            </w:r>
          </w:p>
        </w:tc>
        <w:tc>
          <w:tcPr>
            <w:tcW w:w="5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58,183</w:t>
            </w:r>
          </w:p>
        </w:tc>
      </w:tr>
      <w:tr>
        <w:trPr>
          <w:trHeight w:val="331"/>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Rental Expense</w:t>
            </w:r>
          </w:p>
        </w:tc>
        <w:tc>
          <w:tcPr>
            <w:tcW w:w="740" w:type="dxa"/>
            <w:vAlign w:val="bottom"/>
          </w:tcPr>
          <w:p>
            <w:pPr>
              <w:spacing w:after="0"/>
              <w:rPr>
                <w:sz w:val="24"/>
                <w:szCs w:val="24"/>
                <w:color w:val="auto"/>
              </w:rPr>
            </w:pP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32,525</w:t>
            </w:r>
          </w:p>
        </w:tc>
        <w:tc>
          <w:tcPr>
            <w:tcW w:w="660" w:type="dxa"/>
            <w:vAlign w:val="bottom"/>
          </w:tcPr>
          <w:p>
            <w:pPr>
              <w:spacing w:after="0"/>
              <w:rPr>
                <w:sz w:val="24"/>
                <w:szCs w:val="24"/>
                <w:color w:val="auto"/>
              </w:rPr>
            </w:pP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22,174</w:t>
            </w:r>
          </w:p>
        </w:tc>
        <w:tc>
          <w:tcPr>
            <w:tcW w:w="5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15,032</w:t>
            </w: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Real Estate Tax Expense</w:t>
            </w:r>
          </w:p>
        </w:tc>
        <w:tc>
          <w:tcPr>
            <w:tcW w:w="740" w:type="dxa"/>
            <w:vAlign w:val="bottom"/>
          </w:tcPr>
          <w:p>
            <w:pPr>
              <w:spacing w:after="0"/>
              <w:rPr>
                <w:sz w:val="14"/>
                <w:szCs w:val="14"/>
                <w:color w:val="auto"/>
              </w:rPr>
            </w:pP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7,210</w:t>
            </w:r>
          </w:p>
        </w:tc>
        <w:tc>
          <w:tcPr>
            <w:tcW w:w="660" w:type="dxa"/>
            <w:vAlign w:val="bottom"/>
          </w:tcPr>
          <w:p>
            <w:pPr>
              <w:spacing w:after="0"/>
              <w:rPr>
                <w:sz w:val="14"/>
                <w:szCs w:val="14"/>
                <w:color w:val="auto"/>
              </w:rPr>
            </w:pP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5,771</w:t>
            </w:r>
          </w:p>
        </w:tc>
        <w:tc>
          <w:tcPr>
            <w:tcW w:w="5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4,696</w:t>
            </w:r>
          </w:p>
        </w:tc>
      </w:tr>
      <w:tr>
        <w:trPr>
          <w:trHeight w:val="166"/>
        </w:trPr>
        <w:tc>
          <w:tcPr>
            <w:tcW w:w="4180" w:type="dxa"/>
            <w:vAlign w:val="bottom"/>
          </w:tcPr>
          <w:p>
            <w:pPr>
              <w:spacing w:after="0"/>
              <w:rPr>
                <w:sz w:val="14"/>
                <w:szCs w:val="14"/>
                <w:color w:val="auto"/>
              </w:rPr>
            </w:pPr>
          </w:p>
        </w:tc>
        <w:tc>
          <w:tcPr>
            <w:tcW w:w="58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Total Rental and Real Estate Tax Expense</w:t>
            </w:r>
          </w:p>
        </w:tc>
        <w:tc>
          <w:tcPr>
            <w:tcW w:w="740" w:type="dxa"/>
            <w:vAlign w:val="bottom"/>
          </w:tcPr>
          <w:p>
            <w:pPr>
              <w:spacing w:after="0"/>
              <w:rPr>
                <w:sz w:val="24"/>
                <w:szCs w:val="24"/>
                <w:color w:val="auto"/>
              </w:rPr>
            </w:pP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39,735</w:t>
            </w:r>
          </w:p>
        </w:tc>
        <w:tc>
          <w:tcPr>
            <w:tcW w:w="660" w:type="dxa"/>
            <w:vAlign w:val="bottom"/>
          </w:tcPr>
          <w:p>
            <w:pPr>
              <w:spacing w:after="0"/>
              <w:rPr>
                <w:sz w:val="24"/>
                <w:szCs w:val="24"/>
                <w:color w:val="auto"/>
              </w:rPr>
            </w:pP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27,945</w:t>
            </w:r>
          </w:p>
        </w:tc>
        <w:tc>
          <w:tcPr>
            <w:tcW w:w="5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19,728</w:t>
            </w:r>
          </w:p>
        </w:tc>
      </w:tr>
      <w:tr>
        <w:trPr>
          <w:trHeight w:val="166"/>
        </w:trPr>
        <w:tc>
          <w:tcPr>
            <w:tcW w:w="4180" w:type="dxa"/>
            <w:vAlign w:val="bottom"/>
          </w:tcPr>
          <w:p>
            <w:pPr>
              <w:spacing w:after="0"/>
              <w:rPr>
                <w:sz w:val="14"/>
                <w:szCs w:val="14"/>
                <w:color w:val="auto"/>
              </w:rPr>
            </w:pPr>
          </w:p>
        </w:tc>
        <w:tc>
          <w:tcPr>
            <w:tcW w:w="58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Net Operating Income (1) (2) (5)</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49,638</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43,337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38,455</w:t>
            </w:r>
          </w:p>
        </w:tc>
      </w:tr>
      <w:tr>
        <w:trPr>
          <w:trHeight w:val="166"/>
        </w:trPr>
        <w:tc>
          <w:tcPr>
            <w:tcW w:w="4180" w:type="dxa"/>
            <w:vAlign w:val="bottom"/>
          </w:tcPr>
          <w:p>
            <w:pPr>
              <w:spacing w:after="0"/>
              <w:rPr>
                <w:sz w:val="14"/>
                <w:szCs w:val="14"/>
                <w:color w:val="auto"/>
              </w:rPr>
            </w:pPr>
          </w:p>
        </w:tc>
        <w:tc>
          <w:tcPr>
            <w:tcW w:w="58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Square Feet (3)</w:t>
            </w:r>
          </w:p>
        </w:tc>
        <w:tc>
          <w:tcPr>
            <w:tcW w:w="740" w:type="dxa"/>
            <w:vAlign w:val="bottom"/>
          </w:tcPr>
          <w:p>
            <w:pPr>
              <w:spacing w:after="0"/>
              <w:rPr>
                <w:sz w:val="24"/>
                <w:szCs w:val="24"/>
                <w:color w:val="auto"/>
              </w:rPr>
            </w:pP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2,690,000</w:t>
            </w:r>
          </w:p>
        </w:tc>
        <w:tc>
          <w:tcPr>
            <w:tcW w:w="660" w:type="dxa"/>
            <w:vAlign w:val="bottom"/>
          </w:tcPr>
          <w:p>
            <w:pPr>
              <w:spacing w:after="0"/>
              <w:rPr>
                <w:sz w:val="24"/>
                <w:szCs w:val="24"/>
                <w:color w:val="auto"/>
              </w:rPr>
            </w:pP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2,232,000</w:t>
            </w:r>
          </w:p>
        </w:tc>
        <w:tc>
          <w:tcPr>
            <w:tcW w:w="5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1,876,000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right="3519" w:hanging="432"/>
        <w:spacing w:after="0" w:line="250" w:lineRule="auto"/>
        <w:tabs>
          <w:tab w:leader="none" w:pos="44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components of net operating income for the periods ended December 31, 2001 and 2000 have been restated for 2002 discontinued asset sales.</w:t>
      </w:r>
    </w:p>
    <w:p>
      <w:pPr>
        <w:ind w:left="440" w:hanging="432"/>
        <w:spacing w:after="0"/>
        <w:tabs>
          <w:tab w:leader="none" w:pos="44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operating income as presented above includes all interest income.</w:t>
      </w:r>
    </w:p>
    <w:p>
      <w:pPr>
        <w:spacing w:after="0" w:line="7" w:lineRule="exact"/>
        <w:rPr>
          <w:rFonts w:ascii="Courier New" w:cs="Courier New" w:eastAsia="Courier New" w:hAnsi="Courier New"/>
          <w:sz w:val="14"/>
          <w:szCs w:val="14"/>
          <w:color w:val="auto"/>
        </w:rPr>
      </w:pPr>
    </w:p>
    <w:p>
      <w:pPr>
        <w:ind w:left="440" w:right="3679" w:hanging="432"/>
        <w:spacing w:after="0" w:line="250" w:lineRule="auto"/>
        <w:tabs>
          <w:tab w:leader="none" w:pos="44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redevelopment square footage not yet in service. Street Retail includes 444,000 square feet of Santana Row Phase I only. It does not include Phase II or any future Phases of Santana Row.</w:t>
      </w:r>
    </w:p>
    <w:p>
      <w:pPr>
        <w:spacing w:after="0" w:line="1" w:lineRule="exact"/>
        <w:rPr>
          <w:rFonts w:ascii="Courier New" w:cs="Courier New" w:eastAsia="Courier New" w:hAnsi="Courier New"/>
          <w:sz w:val="14"/>
          <w:szCs w:val="14"/>
          <w:color w:val="auto"/>
        </w:rPr>
      </w:pPr>
    </w:p>
    <w:p>
      <w:pPr>
        <w:ind w:left="440" w:right="3599" w:hanging="432"/>
        <w:spacing w:after="0" w:line="250" w:lineRule="auto"/>
        <w:tabs>
          <w:tab w:leader="none" w:pos="44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Street Retail includes stabilized assets and assets which are in various stages of development and redevelopment.</w:t>
      </w:r>
    </w:p>
    <w:p>
      <w:pPr>
        <w:ind w:left="440" w:right="35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31, 2002, real estate assets include $434 million related to the Santana Row development.</w:t>
      </w:r>
    </w:p>
    <w:p>
      <w:pPr>
        <w:ind w:left="440" w:right="3599" w:hanging="432"/>
        <w:spacing w:after="0" w:line="255" w:lineRule="auto"/>
        <w:tabs>
          <w:tab w:leader="none" w:pos="44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operating income is reduced by start-up expenses for Street Retail's development projects.</w:t>
      </w:r>
    </w:p>
    <w:p>
      <w:pPr>
        <w:sectPr>
          <w:pgSz w:w="11900" w:h="16838" w:orient="portrait"/>
          <w:cols w:equalWidth="0" w:num="1">
            <w:col w:w="10239"/>
          </w:cols>
          <w:pgMar w:left="220" w:top="616" w:right="1440" w:bottom="1440" w:gutter="0" w:footer="0" w:header="0"/>
        </w:sectPr>
      </w:pPr>
    </w:p>
    <w:bookmarkStart w:id="27" w:name="page28"/>
    <w:bookmarkEnd w:id="27"/>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Leasing Summary (1) - Comparable Basis (cash, non-straight-lined basis)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Lease Summary - Comparable (2)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68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Number of</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of Total</w:t>
            </w:r>
          </w:p>
        </w:tc>
        <w:tc>
          <w:tcPr>
            <w:tcW w:w="1500" w:type="dxa"/>
            <w:vAlign w:val="bottom"/>
          </w:tcPr>
          <w:p>
            <w:pPr>
              <w:spacing w:after="0"/>
              <w:rPr>
                <w:sz w:val="14"/>
                <w:szCs w:val="14"/>
                <w:color w:val="auto"/>
              </w:rPr>
            </w:pPr>
          </w:p>
        </w:tc>
        <w:tc>
          <w:tcPr>
            <w:tcW w:w="16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New Rent (3)</w:t>
            </w:r>
          </w:p>
        </w:tc>
        <w:tc>
          <w:tcPr>
            <w:tcW w:w="128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99"/>
              </w:rPr>
              <w:t>Old Rent (4)</w:t>
            </w:r>
          </w:p>
        </w:tc>
      </w:tr>
      <w:tr>
        <w:trPr>
          <w:trHeight w:val="166"/>
        </w:trPr>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Quarter</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Leases Signed</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Leases Signed</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GLA Signed</w:t>
            </w:r>
          </w:p>
        </w:tc>
        <w:tc>
          <w:tcPr>
            <w:tcW w:w="16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Per Sq. Ft.</w:t>
            </w:r>
          </w:p>
        </w:tc>
        <w:tc>
          <w:tcPr>
            <w:tcW w:w="12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Per Sq. Ft.</w:t>
            </w:r>
          </w:p>
        </w:tc>
      </w:tr>
      <w:tr>
        <w:trPr>
          <w:trHeight w:val="166"/>
        </w:trPr>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4th Quarter 2002</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84,857</w:t>
            </w:r>
          </w:p>
        </w:tc>
        <w:tc>
          <w:tcPr>
            <w:tcW w:w="6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16.80</w:t>
            </w: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14.20</w:t>
            </w:r>
          </w:p>
        </w:tc>
      </w:tr>
      <w:tr>
        <w:trPr>
          <w:trHeight w:val="166"/>
        </w:trPr>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3rd Quarter 2002</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158,079</w:t>
            </w:r>
          </w:p>
        </w:tc>
        <w:tc>
          <w:tcPr>
            <w:tcW w:w="6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22.23</w:t>
            </w: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16.99</w:t>
            </w:r>
          </w:p>
        </w:tc>
      </w:tr>
      <w:tr>
        <w:trPr>
          <w:trHeight w:val="166"/>
        </w:trPr>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2nd Quarter 2002</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207,888</w:t>
            </w:r>
          </w:p>
        </w:tc>
        <w:tc>
          <w:tcPr>
            <w:tcW w:w="6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18.88</w:t>
            </w: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15.69</w:t>
            </w:r>
          </w:p>
        </w:tc>
      </w:tr>
      <w:tr>
        <w:trPr>
          <w:trHeight w:val="166"/>
        </w:trPr>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1st Quarter 2002</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80,162</w:t>
            </w:r>
          </w:p>
        </w:tc>
        <w:tc>
          <w:tcPr>
            <w:tcW w:w="6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23.18</w:t>
            </w: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21.00</w:t>
            </w:r>
          </w:p>
        </w:tc>
      </w:tr>
      <w:tr>
        <w:trPr>
          <w:trHeight w:val="166"/>
        </w:trPr>
        <w:tc>
          <w:tcPr>
            <w:tcW w:w="168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Total - 12 months</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530,986</w:t>
            </w:r>
          </w:p>
        </w:tc>
        <w:tc>
          <w:tcPr>
            <w:tcW w:w="6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20.20</w:t>
            </w:r>
          </w:p>
        </w:tc>
        <w:tc>
          <w:tcPr>
            <w:tcW w:w="5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16.64</w:t>
            </w:r>
          </w:p>
        </w:tc>
      </w:tr>
      <w:tr>
        <w:trPr>
          <w:trHeight w:val="166"/>
        </w:trPr>
        <w:tc>
          <w:tcPr>
            <w:tcW w:w="168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Tenant</w:t>
            </w:r>
          </w:p>
        </w:tc>
      </w:tr>
      <w:tr>
        <w:trPr>
          <w:trHeight w:val="166"/>
        </w:trPr>
        <w:tc>
          <w:tcPr>
            <w:tcW w:w="2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Annual</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Increase</w:t>
            </w:r>
          </w:p>
        </w:tc>
        <w:tc>
          <w:tcPr>
            <w:tcW w:w="1640" w:type="dxa"/>
            <w:vAlign w:val="bottom"/>
          </w:tcPr>
          <w:p>
            <w:pPr>
              <w:ind w:left="180"/>
              <w:spacing w:after="0"/>
              <w:rPr>
                <w:sz w:val="20"/>
                <w:szCs w:val="20"/>
                <w:color w:val="auto"/>
              </w:rPr>
            </w:pPr>
            <w:r>
              <w:rPr>
                <w:rFonts w:ascii="Courier New" w:cs="Courier New" w:eastAsia="Courier New" w:hAnsi="Courier New"/>
                <w:sz w:val="14"/>
                <w:szCs w:val="14"/>
                <w:color w:val="auto"/>
              </w:rPr>
              <w:t>Weighted Average</w:t>
            </w:r>
          </w:p>
        </w:tc>
        <w:tc>
          <w:tcPr>
            <w:tcW w:w="6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Tenant</w:t>
            </w:r>
          </w:p>
        </w:tc>
        <w:tc>
          <w:tcPr>
            <w:tcW w:w="80" w:type="dxa"/>
            <w:vAlign w:val="bottom"/>
          </w:tcPr>
          <w:p>
            <w:pPr>
              <w:spacing w:after="0"/>
              <w:rPr>
                <w:sz w:val="14"/>
                <w:szCs w:val="14"/>
                <w:color w:val="auto"/>
              </w:rPr>
            </w:pPr>
          </w:p>
        </w:tc>
        <w:tc>
          <w:tcPr>
            <w:tcW w:w="16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Improvements</w:t>
            </w:r>
          </w:p>
        </w:tc>
      </w:tr>
      <w:tr>
        <w:trPr>
          <w:trHeight w:val="166"/>
        </w:trPr>
        <w:tc>
          <w:tcPr>
            <w:tcW w:w="2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Quarter</w:t>
            </w:r>
          </w:p>
        </w:tc>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Increase in Rent</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Over Old Rent</w:t>
            </w:r>
          </w:p>
        </w:tc>
        <w:tc>
          <w:tcPr>
            <w:tcW w:w="22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Lease Term (5)</w:t>
            </w:r>
          </w:p>
        </w:tc>
        <w:tc>
          <w:tcPr>
            <w:tcW w:w="1040" w:type="dxa"/>
            <w:vAlign w:val="bottom"/>
            <w:gridSpan w:val="2"/>
          </w:tcPr>
          <w:p>
            <w:pPr>
              <w:spacing w:after="0"/>
              <w:rPr>
                <w:sz w:val="20"/>
                <w:szCs w:val="20"/>
                <w:color w:val="auto"/>
              </w:rPr>
            </w:pPr>
            <w:r>
              <w:rPr>
                <w:rFonts w:ascii="Courier New" w:cs="Courier New" w:eastAsia="Courier New" w:hAnsi="Courier New"/>
                <w:sz w:val="14"/>
                <w:szCs w:val="14"/>
                <w:color w:val="auto"/>
              </w:rPr>
              <w:t>Improvements</w:t>
            </w:r>
          </w:p>
        </w:tc>
        <w:tc>
          <w:tcPr>
            <w:tcW w:w="164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Per Sq. Ft.</w:t>
            </w:r>
          </w:p>
        </w:tc>
      </w:tr>
      <w:tr>
        <w:trPr>
          <w:trHeight w:val="166"/>
        </w:trPr>
        <w:tc>
          <w:tcPr>
            <w:tcW w:w="2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6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w:t>
            </w:r>
          </w:p>
        </w:tc>
      </w:tr>
      <w:tr>
        <w:trPr>
          <w:trHeight w:val="331"/>
        </w:trPr>
        <w:tc>
          <w:tcPr>
            <w:tcW w:w="2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4th Quarter 2002</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220,227</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485,714</w:t>
            </w:r>
          </w:p>
        </w:tc>
        <w:tc>
          <w:tcPr>
            <w:tcW w:w="80" w:type="dxa"/>
            <w:vAlign w:val="bottom"/>
          </w:tcPr>
          <w:p>
            <w:pPr>
              <w:spacing w:after="0"/>
              <w:rPr>
                <w:sz w:val="24"/>
                <w:szCs w:val="24"/>
                <w:color w:val="auto"/>
              </w:rPr>
            </w:pPr>
          </w:p>
        </w:tc>
        <w:tc>
          <w:tcPr>
            <w:tcW w:w="10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5.72</w:t>
            </w:r>
          </w:p>
        </w:tc>
      </w:tr>
      <w:tr>
        <w:trPr>
          <w:trHeight w:val="166"/>
        </w:trPr>
        <w:tc>
          <w:tcPr>
            <w:tcW w:w="2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3rd Quarter 2002</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827,936</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3,038,504</w:t>
            </w:r>
          </w:p>
        </w:tc>
        <w:tc>
          <w:tcPr>
            <w:tcW w:w="80" w:type="dxa"/>
            <w:vAlign w:val="bottom"/>
          </w:tcPr>
          <w:p>
            <w:pPr>
              <w:spacing w:after="0"/>
              <w:rPr>
                <w:sz w:val="14"/>
                <w:szCs w:val="14"/>
                <w:color w:val="auto"/>
              </w:rPr>
            </w:pPr>
          </w:p>
        </w:tc>
        <w:tc>
          <w:tcPr>
            <w:tcW w:w="10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19.22</w:t>
            </w:r>
          </w:p>
        </w:tc>
      </w:tr>
      <w:tr>
        <w:trPr>
          <w:trHeight w:val="166"/>
        </w:trPr>
        <w:tc>
          <w:tcPr>
            <w:tcW w:w="2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2nd Quarter 2002</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664,412</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2,703,314</w:t>
            </w:r>
          </w:p>
        </w:tc>
        <w:tc>
          <w:tcPr>
            <w:tcW w:w="80" w:type="dxa"/>
            <w:vAlign w:val="bottom"/>
          </w:tcPr>
          <w:p>
            <w:pPr>
              <w:spacing w:after="0"/>
              <w:rPr>
                <w:sz w:val="14"/>
                <w:szCs w:val="14"/>
                <w:color w:val="auto"/>
              </w:rPr>
            </w:pPr>
          </w:p>
        </w:tc>
        <w:tc>
          <w:tcPr>
            <w:tcW w:w="10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13.00</w:t>
            </w:r>
          </w:p>
        </w:tc>
      </w:tr>
      <w:tr>
        <w:trPr>
          <w:trHeight w:val="166"/>
        </w:trPr>
        <w:tc>
          <w:tcPr>
            <w:tcW w:w="2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1st Quarter 2002</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175,129</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858,373</w:t>
            </w:r>
          </w:p>
        </w:tc>
        <w:tc>
          <w:tcPr>
            <w:tcW w:w="80" w:type="dxa"/>
            <w:vAlign w:val="bottom"/>
          </w:tcPr>
          <w:p>
            <w:pPr>
              <w:spacing w:after="0"/>
              <w:rPr>
                <w:sz w:val="14"/>
                <w:szCs w:val="14"/>
                <w:color w:val="auto"/>
              </w:rPr>
            </w:pPr>
          </w:p>
        </w:tc>
        <w:tc>
          <w:tcPr>
            <w:tcW w:w="10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10.71</w:t>
            </w:r>
          </w:p>
        </w:tc>
      </w:tr>
      <w:tr>
        <w:trPr>
          <w:trHeight w:val="166"/>
        </w:trPr>
        <w:tc>
          <w:tcPr>
            <w:tcW w:w="220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6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w:t>
            </w:r>
          </w:p>
        </w:tc>
      </w:tr>
      <w:tr>
        <w:trPr>
          <w:trHeight w:val="166"/>
        </w:trPr>
        <w:tc>
          <w:tcPr>
            <w:tcW w:w="2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Total - 12 months</w:t>
            </w:r>
          </w:p>
        </w:tc>
        <w:tc>
          <w:tcPr>
            <w:tcW w:w="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1,887,703</w:t>
            </w:r>
          </w:p>
        </w:tc>
        <w:tc>
          <w:tcPr>
            <w:tcW w:w="1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7,085,905</w:t>
            </w:r>
          </w:p>
        </w:tc>
        <w:tc>
          <w:tcPr>
            <w:tcW w:w="80" w:type="dxa"/>
            <w:vAlign w:val="bottom"/>
          </w:tcPr>
          <w:p>
            <w:pPr>
              <w:spacing w:after="0"/>
              <w:rPr>
                <w:sz w:val="14"/>
                <w:szCs w:val="14"/>
                <w:color w:val="auto"/>
              </w:rPr>
            </w:pPr>
          </w:p>
        </w:tc>
        <w:tc>
          <w:tcPr>
            <w:tcW w:w="10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13.34</w:t>
            </w:r>
          </w:p>
        </w:tc>
      </w:tr>
      <w:tr>
        <w:trPr>
          <w:trHeight w:val="166"/>
        </w:trPr>
        <w:tc>
          <w:tcPr>
            <w:tcW w:w="220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6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w:t>
            </w:r>
          </w:p>
        </w:tc>
      </w:tr>
      <w:tr>
        <w:trPr>
          <w:trHeight w:val="497"/>
        </w:trPr>
        <w:tc>
          <w:tcPr>
            <w:tcW w:w="388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Renewal Lease Summary - Comparable (2) (6)</w:t>
            </w:r>
          </w:p>
        </w:tc>
        <w:tc>
          <w:tcPr>
            <w:tcW w:w="1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38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1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663"/>
        </w:trPr>
        <w:tc>
          <w:tcPr>
            <w:tcW w:w="2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Number of</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of Total</w:t>
            </w:r>
          </w:p>
        </w:tc>
        <w:tc>
          <w:tcPr>
            <w:tcW w:w="1640" w:type="dxa"/>
            <w:vAlign w:val="bottom"/>
          </w:tcPr>
          <w:p>
            <w:pPr>
              <w:spacing w:after="0"/>
              <w:rPr>
                <w:sz w:val="24"/>
                <w:szCs w:val="24"/>
                <w:color w:val="auto"/>
              </w:rPr>
            </w:pPr>
          </w:p>
        </w:tc>
        <w:tc>
          <w:tcPr>
            <w:tcW w:w="15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New Rent (3)</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Old Rent (4)</w:t>
            </w:r>
          </w:p>
        </w:tc>
        <w:tc>
          <w:tcPr>
            <w:tcW w:w="640" w:type="dxa"/>
            <w:vAlign w:val="bottom"/>
          </w:tcPr>
          <w:p>
            <w:pPr>
              <w:spacing w:after="0"/>
              <w:rPr>
                <w:sz w:val="24"/>
                <w:szCs w:val="24"/>
                <w:color w:val="auto"/>
              </w:rPr>
            </w:pPr>
          </w:p>
        </w:tc>
      </w:tr>
      <w:tr>
        <w:trPr>
          <w:trHeight w:val="166"/>
        </w:trPr>
        <w:tc>
          <w:tcPr>
            <w:tcW w:w="2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Quarter</w:t>
            </w:r>
          </w:p>
        </w:tc>
        <w:tc>
          <w:tcPr>
            <w:tcW w:w="16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Renewals Signed</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Leases Signed</w:t>
            </w:r>
          </w:p>
        </w:tc>
        <w:tc>
          <w:tcPr>
            <w:tcW w:w="1640" w:type="dxa"/>
            <w:vAlign w:val="bottom"/>
          </w:tcPr>
          <w:p>
            <w:pPr>
              <w:ind w:left="180"/>
              <w:spacing w:after="0"/>
              <w:rPr>
                <w:sz w:val="20"/>
                <w:szCs w:val="20"/>
                <w:color w:val="auto"/>
              </w:rPr>
            </w:pPr>
            <w:r>
              <w:rPr>
                <w:rFonts w:ascii="Courier New" w:cs="Courier New" w:eastAsia="Courier New" w:hAnsi="Courier New"/>
                <w:sz w:val="14"/>
                <w:szCs w:val="14"/>
                <w:color w:val="auto"/>
              </w:rPr>
              <w:t>GLA Signed</w:t>
            </w:r>
          </w:p>
        </w:tc>
        <w:tc>
          <w:tcPr>
            <w:tcW w:w="15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Per Sq. Ft.</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w w:val="99"/>
              </w:rPr>
              <w:t>Per Sq. Ft.</w:t>
            </w:r>
          </w:p>
        </w:tc>
        <w:tc>
          <w:tcPr>
            <w:tcW w:w="640" w:type="dxa"/>
            <w:vAlign w:val="bottom"/>
          </w:tcPr>
          <w:p>
            <w:pPr>
              <w:spacing w:after="0"/>
              <w:rPr>
                <w:sz w:val="14"/>
                <w:szCs w:val="14"/>
                <w:color w:val="auto"/>
              </w:rPr>
            </w:pPr>
          </w:p>
        </w:tc>
      </w:tr>
      <w:tr>
        <w:trPr>
          <w:trHeight w:val="166"/>
        </w:trPr>
        <w:tc>
          <w:tcPr>
            <w:tcW w:w="2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r>
      <w:tr>
        <w:trPr>
          <w:trHeight w:val="331"/>
        </w:trPr>
        <w:tc>
          <w:tcPr>
            <w:tcW w:w="2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4th Quarter 2002</w:t>
            </w:r>
          </w:p>
        </w:tc>
        <w:tc>
          <w:tcPr>
            <w:tcW w:w="660" w:type="dxa"/>
            <w:vAlign w:val="bottom"/>
          </w:tcPr>
          <w:p>
            <w:pPr>
              <w:spacing w:after="0"/>
              <w:rPr>
                <w:sz w:val="24"/>
                <w:szCs w:val="2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71%</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183,151</w:t>
            </w:r>
          </w:p>
        </w:tc>
        <w:tc>
          <w:tcPr>
            <w:tcW w:w="6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22.83</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ind w:left="520"/>
              <w:spacing w:after="0"/>
              <w:rPr>
                <w:sz w:val="20"/>
                <w:szCs w:val="20"/>
                <w:color w:val="auto"/>
              </w:rPr>
            </w:pPr>
            <w:r>
              <w:rPr>
                <w:rFonts w:ascii="Courier New" w:cs="Courier New" w:eastAsia="Courier New" w:hAnsi="Courier New"/>
                <w:sz w:val="14"/>
                <w:szCs w:val="14"/>
                <w:color w:val="auto"/>
              </w:rPr>
              <w:t>20.76</w:t>
            </w:r>
          </w:p>
        </w:tc>
        <w:tc>
          <w:tcPr>
            <w:tcW w:w="640" w:type="dxa"/>
            <w:vAlign w:val="bottom"/>
          </w:tcPr>
          <w:p>
            <w:pPr>
              <w:spacing w:after="0"/>
              <w:rPr>
                <w:sz w:val="24"/>
                <w:szCs w:val="24"/>
                <w:color w:val="auto"/>
              </w:rPr>
            </w:pPr>
          </w:p>
        </w:tc>
      </w:tr>
      <w:tr>
        <w:trPr>
          <w:trHeight w:val="166"/>
        </w:trPr>
        <w:tc>
          <w:tcPr>
            <w:tcW w:w="2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3rd Quarter 2002</w:t>
            </w:r>
          </w:p>
        </w:tc>
        <w:tc>
          <w:tcPr>
            <w:tcW w:w="66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59%</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219,027</w:t>
            </w:r>
          </w:p>
        </w:tc>
        <w:tc>
          <w:tcPr>
            <w:tcW w:w="6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16.76</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ind w:left="520"/>
              <w:spacing w:after="0"/>
              <w:rPr>
                <w:sz w:val="20"/>
                <w:szCs w:val="20"/>
                <w:color w:val="auto"/>
              </w:rPr>
            </w:pPr>
            <w:r>
              <w:rPr>
                <w:rFonts w:ascii="Courier New" w:cs="Courier New" w:eastAsia="Courier New" w:hAnsi="Courier New"/>
                <w:sz w:val="14"/>
                <w:szCs w:val="14"/>
                <w:color w:val="auto"/>
              </w:rPr>
              <w:t>15.16</w:t>
            </w:r>
          </w:p>
        </w:tc>
        <w:tc>
          <w:tcPr>
            <w:tcW w:w="640" w:type="dxa"/>
            <w:vAlign w:val="bottom"/>
          </w:tcPr>
          <w:p>
            <w:pPr>
              <w:spacing w:after="0"/>
              <w:rPr>
                <w:sz w:val="14"/>
                <w:szCs w:val="14"/>
                <w:color w:val="auto"/>
              </w:rPr>
            </w:pPr>
          </w:p>
        </w:tc>
      </w:tr>
      <w:tr>
        <w:trPr>
          <w:trHeight w:val="166"/>
        </w:trPr>
        <w:tc>
          <w:tcPr>
            <w:tcW w:w="2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2nd Quarter 2002</w:t>
            </w:r>
          </w:p>
        </w:tc>
        <w:tc>
          <w:tcPr>
            <w:tcW w:w="66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64%</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207,779</w:t>
            </w:r>
          </w:p>
        </w:tc>
        <w:tc>
          <w:tcPr>
            <w:tcW w:w="6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18.16</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ind w:left="520"/>
              <w:spacing w:after="0"/>
              <w:rPr>
                <w:sz w:val="20"/>
                <w:szCs w:val="20"/>
                <w:color w:val="auto"/>
              </w:rPr>
            </w:pPr>
            <w:r>
              <w:rPr>
                <w:rFonts w:ascii="Courier New" w:cs="Courier New" w:eastAsia="Courier New" w:hAnsi="Courier New"/>
                <w:sz w:val="14"/>
                <w:szCs w:val="14"/>
                <w:color w:val="auto"/>
              </w:rPr>
              <w:t>17.34</w:t>
            </w:r>
          </w:p>
        </w:tc>
        <w:tc>
          <w:tcPr>
            <w:tcW w:w="640" w:type="dxa"/>
            <w:vAlign w:val="bottom"/>
          </w:tcPr>
          <w:p>
            <w:pPr>
              <w:spacing w:after="0"/>
              <w:rPr>
                <w:sz w:val="14"/>
                <w:szCs w:val="14"/>
                <w:color w:val="auto"/>
              </w:rPr>
            </w:pPr>
          </w:p>
        </w:tc>
      </w:tr>
      <w:tr>
        <w:trPr>
          <w:trHeight w:val="166"/>
        </w:trPr>
        <w:tc>
          <w:tcPr>
            <w:tcW w:w="2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1st Quarter 2002</w:t>
            </w:r>
          </w:p>
        </w:tc>
        <w:tc>
          <w:tcPr>
            <w:tcW w:w="66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65%</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146,518</w:t>
            </w:r>
          </w:p>
        </w:tc>
        <w:tc>
          <w:tcPr>
            <w:tcW w:w="6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23.43</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ind w:left="520"/>
              <w:spacing w:after="0"/>
              <w:rPr>
                <w:sz w:val="20"/>
                <w:szCs w:val="20"/>
                <w:color w:val="auto"/>
              </w:rPr>
            </w:pPr>
            <w:r>
              <w:rPr>
                <w:rFonts w:ascii="Courier New" w:cs="Courier New" w:eastAsia="Courier New" w:hAnsi="Courier New"/>
                <w:sz w:val="14"/>
                <w:szCs w:val="14"/>
                <w:color w:val="auto"/>
              </w:rPr>
              <w:t>22.25</w:t>
            </w:r>
          </w:p>
        </w:tc>
        <w:tc>
          <w:tcPr>
            <w:tcW w:w="64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r>
      <w:tr>
        <w:trPr>
          <w:trHeight w:val="166"/>
        </w:trPr>
        <w:tc>
          <w:tcPr>
            <w:tcW w:w="2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- 12 months</w:t>
            </w:r>
          </w:p>
        </w:tc>
        <w:tc>
          <w:tcPr>
            <w:tcW w:w="66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225</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64%</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756,475</w:t>
            </w:r>
          </w:p>
        </w:tc>
        <w:tc>
          <w:tcPr>
            <w:tcW w:w="60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19.91</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ind w:left="520"/>
              <w:spacing w:after="0"/>
              <w:rPr>
                <w:sz w:val="20"/>
                <w:szCs w:val="20"/>
                <w:color w:val="auto"/>
              </w:rPr>
            </w:pPr>
            <w:r>
              <w:rPr>
                <w:rFonts w:ascii="Courier New" w:cs="Courier New" w:eastAsia="Courier New" w:hAnsi="Courier New"/>
                <w:sz w:val="14"/>
                <w:szCs w:val="14"/>
                <w:color w:val="auto"/>
              </w:rPr>
              <w:t>18.49</w:t>
            </w:r>
          </w:p>
        </w:tc>
        <w:tc>
          <w:tcPr>
            <w:tcW w:w="640" w:type="dxa"/>
            <w:vAlign w:val="bottom"/>
          </w:tcPr>
          <w:p>
            <w:pPr>
              <w:spacing w:after="0"/>
              <w:rPr>
                <w:sz w:val="14"/>
                <w:szCs w:val="14"/>
                <w:color w:val="auto"/>
              </w:rPr>
            </w:pPr>
          </w:p>
        </w:tc>
      </w:tr>
      <w:tr>
        <w:trPr>
          <w:trHeight w:val="166"/>
        </w:trPr>
        <w:tc>
          <w:tcPr>
            <w:tcW w:w="2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Tenant</w:t>
            </w:r>
          </w:p>
        </w:tc>
      </w:tr>
      <w:tr>
        <w:trPr>
          <w:trHeight w:val="166"/>
        </w:trPr>
        <w:tc>
          <w:tcPr>
            <w:tcW w:w="2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Annual</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 Increase</w:t>
            </w:r>
          </w:p>
        </w:tc>
        <w:tc>
          <w:tcPr>
            <w:tcW w:w="20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Weighted Average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Tenant</w:t>
            </w:r>
          </w:p>
        </w:tc>
        <w:tc>
          <w:tcPr>
            <w:tcW w:w="1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Improvements</w:t>
            </w:r>
          </w:p>
        </w:tc>
      </w:tr>
      <w:tr>
        <w:trPr>
          <w:trHeight w:val="166"/>
        </w:trPr>
        <w:tc>
          <w:tcPr>
            <w:tcW w:w="2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Quarter</w:t>
            </w:r>
          </w:p>
        </w:tc>
        <w:tc>
          <w:tcPr>
            <w:tcW w:w="2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Increase in Rent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Over Old Rent</w:t>
            </w:r>
          </w:p>
        </w:tc>
        <w:tc>
          <w:tcPr>
            <w:tcW w:w="208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Lease Term (5)</w:t>
            </w:r>
          </w:p>
        </w:tc>
        <w:tc>
          <w:tcPr>
            <w:tcW w:w="80" w:type="dxa"/>
            <w:vAlign w:val="bottom"/>
          </w:tcPr>
          <w:p>
            <w:pPr>
              <w:spacing w:after="0"/>
              <w:rPr>
                <w:sz w:val="14"/>
                <w:szCs w:val="14"/>
                <w:color w:val="auto"/>
              </w:rPr>
            </w:pPr>
          </w:p>
        </w:tc>
        <w:tc>
          <w:tcPr>
            <w:tcW w:w="14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Improvements</w:t>
            </w:r>
          </w:p>
        </w:tc>
        <w:tc>
          <w:tcPr>
            <w:tcW w:w="1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Per Sq. Ft.</w:t>
            </w:r>
          </w:p>
        </w:tc>
      </w:tr>
      <w:tr>
        <w:trPr>
          <w:trHeight w:val="166"/>
        </w:trPr>
        <w:tc>
          <w:tcPr>
            <w:tcW w:w="2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8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ind w:left="48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2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4th Quarter 2002</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378,702</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1560" w:type="dxa"/>
            <w:vAlign w:val="bottom"/>
          </w:tcPr>
          <w:p>
            <w:pPr>
              <w:spacing w:after="0"/>
              <w:rPr>
                <w:sz w:val="24"/>
                <w:szCs w:val="24"/>
                <w:color w:val="auto"/>
              </w:rPr>
            </w:pPr>
          </w:p>
        </w:tc>
        <w:tc>
          <w:tcPr>
            <w:tcW w:w="520" w:type="dxa"/>
            <w:vAlign w:val="bottom"/>
          </w:tcPr>
          <w:p>
            <w:pPr>
              <w:jc w:val="center"/>
              <w:ind w:right="189"/>
              <w:spacing w:after="0"/>
              <w:rPr>
                <w:sz w:val="20"/>
                <w:szCs w:val="20"/>
                <w:color w:val="auto"/>
              </w:rPr>
            </w:pPr>
            <w:r>
              <w:rPr>
                <w:rFonts w:ascii="Courier New" w:cs="Courier New" w:eastAsia="Courier New" w:hAnsi="Courier New"/>
                <w:sz w:val="14"/>
                <w:szCs w:val="14"/>
                <w:color w:val="auto"/>
              </w:rPr>
              <w:t>6.2</w:t>
            </w:r>
          </w:p>
        </w:tc>
        <w:tc>
          <w:tcPr>
            <w:tcW w:w="80" w:type="dxa"/>
            <w:vAlign w:val="bottom"/>
          </w:tcPr>
          <w:p>
            <w:pPr>
              <w:spacing w:after="0"/>
              <w:rPr>
                <w:sz w:val="24"/>
                <w:szCs w:val="24"/>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564,416</w:t>
            </w:r>
          </w:p>
        </w:tc>
        <w:tc>
          <w:tcPr>
            <w:tcW w:w="64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3.08</w:t>
            </w:r>
          </w:p>
        </w:tc>
      </w:tr>
      <w:tr>
        <w:trPr>
          <w:trHeight w:val="166"/>
        </w:trPr>
        <w:tc>
          <w:tcPr>
            <w:tcW w:w="2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3rd Quarter 2002</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350,554</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1560" w:type="dxa"/>
            <w:vAlign w:val="bottom"/>
          </w:tcPr>
          <w:p>
            <w:pPr>
              <w:spacing w:after="0"/>
              <w:rPr>
                <w:sz w:val="14"/>
                <w:szCs w:val="14"/>
                <w:color w:val="auto"/>
              </w:rPr>
            </w:pPr>
          </w:p>
        </w:tc>
        <w:tc>
          <w:tcPr>
            <w:tcW w:w="520" w:type="dxa"/>
            <w:vAlign w:val="bottom"/>
          </w:tcPr>
          <w:p>
            <w:pPr>
              <w:jc w:val="center"/>
              <w:ind w:right="189"/>
              <w:spacing w:after="0"/>
              <w:rPr>
                <w:sz w:val="20"/>
                <w:szCs w:val="20"/>
                <w:color w:val="auto"/>
              </w:rPr>
            </w:pPr>
            <w:r>
              <w:rPr>
                <w:rFonts w:ascii="Courier New" w:cs="Courier New" w:eastAsia="Courier New" w:hAnsi="Courier New"/>
                <w:sz w:val="14"/>
                <w:szCs w:val="14"/>
                <w:color w:val="auto"/>
              </w:rPr>
              <w:t>5.0</w:t>
            </w:r>
          </w:p>
        </w:tc>
        <w:tc>
          <w:tcPr>
            <w:tcW w:w="8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75,680</w:t>
            </w:r>
          </w:p>
        </w:tc>
        <w:tc>
          <w:tcPr>
            <w:tcW w:w="64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0.35</w:t>
            </w:r>
          </w:p>
        </w:tc>
      </w:tr>
      <w:tr>
        <w:trPr>
          <w:trHeight w:val="166"/>
        </w:trPr>
        <w:tc>
          <w:tcPr>
            <w:tcW w:w="2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2nd Quarter 2002</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170,240</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60" w:type="dxa"/>
            <w:vAlign w:val="bottom"/>
          </w:tcPr>
          <w:p>
            <w:pPr>
              <w:spacing w:after="0"/>
              <w:rPr>
                <w:sz w:val="14"/>
                <w:szCs w:val="14"/>
                <w:color w:val="auto"/>
              </w:rPr>
            </w:pPr>
          </w:p>
        </w:tc>
        <w:tc>
          <w:tcPr>
            <w:tcW w:w="520" w:type="dxa"/>
            <w:vAlign w:val="bottom"/>
          </w:tcPr>
          <w:p>
            <w:pPr>
              <w:jc w:val="center"/>
              <w:ind w:right="189"/>
              <w:spacing w:after="0"/>
              <w:rPr>
                <w:sz w:val="20"/>
                <w:szCs w:val="20"/>
                <w:color w:val="auto"/>
              </w:rPr>
            </w:pPr>
            <w:r>
              <w:rPr>
                <w:rFonts w:ascii="Courier New" w:cs="Courier New" w:eastAsia="Courier New" w:hAnsi="Courier New"/>
                <w:sz w:val="14"/>
                <w:szCs w:val="14"/>
                <w:color w:val="auto"/>
              </w:rPr>
              <w:t>5.7</w:t>
            </w:r>
          </w:p>
        </w:tc>
        <w:tc>
          <w:tcPr>
            <w:tcW w:w="8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150,620</w:t>
            </w:r>
          </w:p>
        </w:tc>
        <w:tc>
          <w:tcPr>
            <w:tcW w:w="64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0.72</w:t>
            </w:r>
          </w:p>
        </w:tc>
      </w:tr>
      <w:tr>
        <w:trPr>
          <w:trHeight w:val="166"/>
        </w:trPr>
        <w:tc>
          <w:tcPr>
            <w:tcW w:w="2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1st Quarter 2002</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172,531</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560" w:type="dxa"/>
            <w:vAlign w:val="bottom"/>
          </w:tcPr>
          <w:p>
            <w:pPr>
              <w:spacing w:after="0"/>
              <w:rPr>
                <w:sz w:val="14"/>
                <w:szCs w:val="14"/>
                <w:color w:val="auto"/>
              </w:rPr>
            </w:pPr>
          </w:p>
        </w:tc>
        <w:tc>
          <w:tcPr>
            <w:tcW w:w="520" w:type="dxa"/>
            <w:vAlign w:val="bottom"/>
          </w:tcPr>
          <w:p>
            <w:pPr>
              <w:jc w:val="center"/>
              <w:ind w:right="189"/>
              <w:spacing w:after="0"/>
              <w:rPr>
                <w:sz w:val="20"/>
                <w:szCs w:val="20"/>
                <w:color w:val="auto"/>
              </w:rPr>
            </w:pPr>
            <w:r>
              <w:rPr>
                <w:rFonts w:ascii="Courier New" w:cs="Courier New" w:eastAsia="Courier New" w:hAnsi="Courier New"/>
                <w:sz w:val="14"/>
                <w:szCs w:val="14"/>
                <w:color w:val="auto"/>
              </w:rPr>
              <w:t>4.8</w:t>
            </w:r>
          </w:p>
        </w:tc>
        <w:tc>
          <w:tcPr>
            <w:tcW w:w="8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144,008</w:t>
            </w:r>
          </w:p>
        </w:tc>
        <w:tc>
          <w:tcPr>
            <w:tcW w:w="64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0.98</w:t>
            </w:r>
          </w:p>
        </w:tc>
      </w:tr>
      <w:tr>
        <w:trPr>
          <w:trHeight w:val="166"/>
        </w:trPr>
        <w:tc>
          <w:tcPr>
            <w:tcW w:w="2240" w:type="dxa"/>
            <w:vAlign w:val="bottom"/>
          </w:tcPr>
          <w:p>
            <w:pPr>
              <w:spacing w:after="0"/>
              <w:rPr>
                <w:sz w:val="14"/>
                <w:szCs w:val="14"/>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c>
          <w:tcPr>
            <w:tcW w:w="520" w:type="dxa"/>
            <w:vAlign w:val="bottom"/>
          </w:tcPr>
          <w:p>
            <w:pPr>
              <w:jc w:val="center"/>
              <w:ind w:right="18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ind w:left="480"/>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2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 - 12 months</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1,072,027</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1560" w:type="dxa"/>
            <w:vAlign w:val="bottom"/>
          </w:tcPr>
          <w:p>
            <w:pPr>
              <w:spacing w:after="0"/>
              <w:rPr>
                <w:sz w:val="14"/>
                <w:szCs w:val="14"/>
                <w:color w:val="auto"/>
              </w:rPr>
            </w:pPr>
          </w:p>
        </w:tc>
        <w:tc>
          <w:tcPr>
            <w:tcW w:w="520" w:type="dxa"/>
            <w:vAlign w:val="bottom"/>
          </w:tcPr>
          <w:p>
            <w:pPr>
              <w:jc w:val="center"/>
              <w:ind w:right="189"/>
              <w:spacing w:after="0"/>
              <w:rPr>
                <w:sz w:val="20"/>
                <w:szCs w:val="20"/>
                <w:color w:val="auto"/>
              </w:rPr>
            </w:pPr>
            <w:r>
              <w:rPr>
                <w:rFonts w:ascii="Courier New" w:cs="Courier New" w:eastAsia="Courier New" w:hAnsi="Courier New"/>
                <w:sz w:val="14"/>
                <w:szCs w:val="14"/>
                <w:color w:val="auto"/>
              </w:rPr>
              <w:t>5.5</w:t>
            </w:r>
          </w:p>
        </w:tc>
        <w:tc>
          <w:tcPr>
            <w:tcW w:w="8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934,724</w:t>
            </w:r>
          </w:p>
        </w:tc>
        <w:tc>
          <w:tcPr>
            <w:tcW w:w="64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1.24</w:t>
            </w:r>
          </w:p>
        </w:tc>
      </w:tr>
      <w:tr>
        <w:trPr>
          <w:trHeight w:val="166"/>
        </w:trPr>
        <w:tc>
          <w:tcPr>
            <w:tcW w:w="2240" w:type="dxa"/>
            <w:vAlign w:val="bottom"/>
          </w:tcPr>
          <w:p>
            <w:pPr>
              <w:spacing w:after="0"/>
              <w:rPr>
                <w:sz w:val="14"/>
                <w:szCs w:val="14"/>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c>
          <w:tcPr>
            <w:tcW w:w="520" w:type="dxa"/>
            <w:vAlign w:val="bottom"/>
          </w:tcPr>
          <w:p>
            <w:pPr>
              <w:jc w:val="center"/>
              <w:ind w:right="18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ind w:left="480"/>
              <w:spacing w:after="0"/>
              <w:rPr>
                <w:sz w:val="20"/>
                <w:szCs w:val="20"/>
                <w:color w:val="auto"/>
              </w:rPr>
            </w:pPr>
            <w:r>
              <w:rPr>
                <w:rFonts w:ascii="Courier New" w:cs="Courier New" w:eastAsia="Courier New" w:hAnsi="Courier New"/>
                <w:sz w:val="14"/>
                <w:szCs w:val="14"/>
                <w:color w:val="auto"/>
                <w:w w:val="99"/>
              </w:rPr>
              <w:t>============</w:t>
            </w:r>
          </w:p>
        </w:tc>
      </w:tr>
      <w:tr>
        <w:trPr>
          <w:trHeight w:val="497"/>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Total Lease Summary - Comparable (2)</w:t>
            </w: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3"/>
        </w:trPr>
        <w:tc>
          <w:tcPr>
            <w:tcW w:w="2240" w:type="dxa"/>
            <w:vAlign w:val="bottom"/>
          </w:tcPr>
          <w:p>
            <w:pPr>
              <w:spacing w:after="0"/>
              <w:rPr>
                <w:sz w:val="24"/>
                <w:szCs w:val="2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Number of</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Leases</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of Total</w:t>
            </w:r>
          </w:p>
        </w:tc>
        <w:tc>
          <w:tcPr>
            <w:tcW w:w="1560" w:type="dxa"/>
            <w:vAlign w:val="bottom"/>
          </w:tcPr>
          <w:p>
            <w:pPr>
              <w:spacing w:after="0"/>
              <w:rPr>
                <w:sz w:val="24"/>
                <w:szCs w:val="24"/>
                <w:color w:val="auto"/>
              </w:rPr>
            </w:pPr>
          </w:p>
        </w:tc>
        <w:tc>
          <w:tcPr>
            <w:tcW w:w="12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New Rent (3)</w:t>
            </w:r>
          </w:p>
        </w:tc>
        <w:tc>
          <w:tcPr>
            <w:tcW w:w="146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9"/>
              </w:rPr>
              <w:t>Old Rent (4)</w:t>
            </w:r>
          </w:p>
        </w:tc>
        <w:tc>
          <w:tcPr>
            <w:tcW w:w="860" w:type="dxa"/>
            <w:vAlign w:val="bottom"/>
          </w:tcPr>
          <w:p>
            <w:pPr>
              <w:spacing w:after="0"/>
              <w:rPr>
                <w:sz w:val="24"/>
                <w:szCs w:val="24"/>
                <w:color w:val="auto"/>
              </w:rPr>
            </w:pPr>
          </w:p>
        </w:tc>
      </w:tr>
      <w:tr>
        <w:trPr>
          <w:trHeight w:val="166"/>
        </w:trPr>
        <w:tc>
          <w:tcPr>
            <w:tcW w:w="2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Quarter</w:t>
            </w:r>
          </w:p>
        </w:tc>
        <w:tc>
          <w:tcPr>
            <w:tcW w:w="224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&amp; Renewals Signed</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Leases Signed</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GLA Signed</w:t>
            </w:r>
          </w:p>
        </w:tc>
        <w:tc>
          <w:tcPr>
            <w:tcW w:w="12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Per Sq. Ft.</w:t>
            </w:r>
          </w:p>
        </w:tc>
        <w:tc>
          <w:tcPr>
            <w:tcW w:w="14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Per Sq. Ft.</w:t>
            </w:r>
          </w:p>
        </w:tc>
        <w:tc>
          <w:tcPr>
            <w:tcW w:w="860" w:type="dxa"/>
            <w:vAlign w:val="bottom"/>
          </w:tcPr>
          <w:p>
            <w:pPr>
              <w:spacing w:after="0"/>
              <w:rPr>
                <w:sz w:val="14"/>
                <w:szCs w:val="14"/>
                <w:color w:val="auto"/>
              </w:rPr>
            </w:pPr>
          </w:p>
        </w:tc>
      </w:tr>
      <w:tr>
        <w:trPr>
          <w:trHeight w:val="166"/>
        </w:trPr>
        <w:tc>
          <w:tcPr>
            <w:tcW w:w="2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4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r>
      <w:tr>
        <w:trPr>
          <w:trHeight w:val="331"/>
        </w:trPr>
        <w:tc>
          <w:tcPr>
            <w:tcW w:w="2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4th Quarter 2002</w:t>
            </w:r>
          </w:p>
        </w:tc>
        <w:tc>
          <w:tcPr>
            <w:tcW w:w="1120" w:type="dxa"/>
            <w:vAlign w:val="bottom"/>
          </w:tcPr>
          <w:p>
            <w:pPr>
              <w:spacing w:after="0"/>
              <w:rPr>
                <w:sz w:val="24"/>
                <w:szCs w:val="2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70</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268,008</w:t>
            </w:r>
          </w:p>
        </w:tc>
        <w:tc>
          <w:tcPr>
            <w:tcW w:w="520" w:type="dxa"/>
            <w:vAlign w:val="bottom"/>
          </w:tcPr>
          <w:p>
            <w:pPr>
              <w:jc w:val="center"/>
              <w:ind w:right="209"/>
              <w:spacing w:after="0"/>
              <w:rPr>
                <w:sz w:val="20"/>
                <w:szCs w:val="20"/>
                <w:color w:val="auto"/>
              </w:rPr>
            </w:pPr>
            <w:r>
              <w:rPr>
                <w:rFonts w:ascii="Courier New" w:cs="Courier New" w:eastAsia="Courier New" w:hAnsi="Courier New"/>
                <w:sz w:val="14"/>
                <w:szCs w:val="14"/>
                <w:color w:val="auto"/>
                <w:w w:val="94"/>
              </w:rPr>
              <w:t>$</w:t>
            </w:r>
          </w:p>
        </w:tc>
        <w:tc>
          <w:tcPr>
            <w:tcW w:w="80" w:type="dxa"/>
            <w:vAlign w:val="bottom"/>
          </w:tcPr>
          <w:p>
            <w:pPr>
              <w:spacing w:after="0"/>
              <w:rPr>
                <w:sz w:val="24"/>
                <w:szCs w:val="2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20.92</w:t>
            </w:r>
          </w:p>
        </w:tc>
        <w:tc>
          <w:tcPr>
            <w:tcW w:w="8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ind w:left="220"/>
              <w:spacing w:after="0"/>
              <w:rPr>
                <w:sz w:val="20"/>
                <w:szCs w:val="20"/>
                <w:color w:val="auto"/>
              </w:rPr>
            </w:pPr>
            <w:r>
              <w:rPr>
                <w:rFonts w:ascii="Courier New" w:cs="Courier New" w:eastAsia="Courier New" w:hAnsi="Courier New"/>
                <w:sz w:val="14"/>
                <w:szCs w:val="14"/>
                <w:color w:val="auto"/>
                <w:w w:val="95"/>
              </w:rPr>
              <w:t>18.69</w:t>
            </w:r>
          </w:p>
        </w:tc>
        <w:tc>
          <w:tcPr>
            <w:tcW w:w="860" w:type="dxa"/>
            <w:vAlign w:val="bottom"/>
          </w:tcPr>
          <w:p>
            <w:pPr>
              <w:spacing w:after="0"/>
              <w:rPr>
                <w:sz w:val="24"/>
                <w:szCs w:val="24"/>
                <w:color w:val="auto"/>
              </w:rPr>
            </w:pPr>
          </w:p>
        </w:tc>
      </w:tr>
      <w:tr>
        <w:trPr>
          <w:trHeight w:val="166"/>
        </w:trPr>
        <w:tc>
          <w:tcPr>
            <w:tcW w:w="2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3rd Quarter 2002</w:t>
            </w:r>
          </w:p>
        </w:tc>
        <w:tc>
          <w:tcPr>
            <w:tcW w:w="112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92</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377,106</w:t>
            </w:r>
          </w:p>
        </w:tc>
        <w:tc>
          <w:tcPr>
            <w:tcW w:w="520" w:type="dxa"/>
            <w:vAlign w:val="bottom"/>
          </w:tcPr>
          <w:p>
            <w:pPr>
              <w:jc w:val="center"/>
              <w:ind w:right="209"/>
              <w:spacing w:after="0"/>
              <w:rPr>
                <w:sz w:val="20"/>
                <w:szCs w:val="20"/>
                <w:color w:val="auto"/>
              </w:rPr>
            </w:pPr>
            <w:r>
              <w:rPr>
                <w:rFonts w:ascii="Courier New" w:cs="Courier New" w:eastAsia="Courier New" w:hAnsi="Courier New"/>
                <w:sz w:val="14"/>
                <w:szCs w:val="14"/>
                <w:color w:val="auto"/>
                <w:w w:val="94"/>
              </w:rPr>
              <w:t>$</w:t>
            </w:r>
          </w:p>
        </w:tc>
        <w:tc>
          <w:tcPr>
            <w:tcW w:w="8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19.05</w:t>
            </w:r>
          </w:p>
        </w:tc>
        <w:tc>
          <w:tcPr>
            <w:tcW w:w="8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ind w:left="220"/>
              <w:spacing w:after="0"/>
              <w:rPr>
                <w:sz w:val="20"/>
                <w:szCs w:val="20"/>
                <w:color w:val="auto"/>
              </w:rPr>
            </w:pPr>
            <w:r>
              <w:rPr>
                <w:rFonts w:ascii="Courier New" w:cs="Courier New" w:eastAsia="Courier New" w:hAnsi="Courier New"/>
                <w:sz w:val="14"/>
                <w:szCs w:val="14"/>
                <w:color w:val="auto"/>
                <w:w w:val="95"/>
              </w:rPr>
              <w:t>15.93</w:t>
            </w:r>
          </w:p>
        </w:tc>
        <w:tc>
          <w:tcPr>
            <w:tcW w:w="860" w:type="dxa"/>
            <w:vAlign w:val="bottom"/>
          </w:tcPr>
          <w:p>
            <w:pPr>
              <w:spacing w:after="0"/>
              <w:rPr>
                <w:sz w:val="14"/>
                <w:szCs w:val="14"/>
                <w:color w:val="auto"/>
              </w:rPr>
            </w:pPr>
          </w:p>
        </w:tc>
      </w:tr>
      <w:tr>
        <w:trPr>
          <w:trHeight w:val="166"/>
        </w:trPr>
        <w:tc>
          <w:tcPr>
            <w:tcW w:w="2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2nd Quarter 2002</w:t>
            </w:r>
          </w:p>
        </w:tc>
        <w:tc>
          <w:tcPr>
            <w:tcW w:w="112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95</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415,667</w:t>
            </w:r>
          </w:p>
        </w:tc>
        <w:tc>
          <w:tcPr>
            <w:tcW w:w="520" w:type="dxa"/>
            <w:vAlign w:val="bottom"/>
          </w:tcPr>
          <w:p>
            <w:pPr>
              <w:jc w:val="center"/>
              <w:ind w:right="209"/>
              <w:spacing w:after="0"/>
              <w:rPr>
                <w:sz w:val="20"/>
                <w:szCs w:val="20"/>
                <w:color w:val="auto"/>
              </w:rPr>
            </w:pPr>
            <w:r>
              <w:rPr>
                <w:rFonts w:ascii="Courier New" w:cs="Courier New" w:eastAsia="Courier New" w:hAnsi="Courier New"/>
                <w:sz w:val="14"/>
                <w:szCs w:val="14"/>
                <w:color w:val="auto"/>
                <w:w w:val="94"/>
              </w:rPr>
              <w:t>$</w:t>
            </w:r>
          </w:p>
        </w:tc>
        <w:tc>
          <w:tcPr>
            <w:tcW w:w="8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18.52</w:t>
            </w:r>
          </w:p>
        </w:tc>
        <w:tc>
          <w:tcPr>
            <w:tcW w:w="8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ind w:left="220"/>
              <w:spacing w:after="0"/>
              <w:rPr>
                <w:sz w:val="20"/>
                <w:szCs w:val="20"/>
                <w:color w:val="auto"/>
              </w:rPr>
            </w:pPr>
            <w:r>
              <w:rPr>
                <w:rFonts w:ascii="Courier New" w:cs="Courier New" w:eastAsia="Courier New" w:hAnsi="Courier New"/>
                <w:sz w:val="14"/>
                <w:szCs w:val="14"/>
                <w:color w:val="auto"/>
                <w:w w:val="95"/>
              </w:rPr>
              <w:t>16.51</w:t>
            </w:r>
          </w:p>
        </w:tc>
        <w:tc>
          <w:tcPr>
            <w:tcW w:w="860" w:type="dxa"/>
            <w:vAlign w:val="bottom"/>
          </w:tcPr>
          <w:p>
            <w:pPr>
              <w:spacing w:after="0"/>
              <w:rPr>
                <w:sz w:val="14"/>
                <w:szCs w:val="14"/>
                <w:color w:val="auto"/>
              </w:rPr>
            </w:pPr>
          </w:p>
        </w:tc>
      </w:tr>
      <w:tr>
        <w:trPr>
          <w:trHeight w:val="166"/>
        </w:trPr>
        <w:tc>
          <w:tcPr>
            <w:tcW w:w="2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1st Quarter 2002</w:t>
            </w:r>
          </w:p>
        </w:tc>
        <w:tc>
          <w:tcPr>
            <w:tcW w:w="112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92</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226,680</w:t>
            </w:r>
          </w:p>
        </w:tc>
        <w:tc>
          <w:tcPr>
            <w:tcW w:w="520" w:type="dxa"/>
            <w:vAlign w:val="bottom"/>
          </w:tcPr>
          <w:p>
            <w:pPr>
              <w:jc w:val="center"/>
              <w:ind w:right="209"/>
              <w:spacing w:after="0"/>
              <w:rPr>
                <w:sz w:val="20"/>
                <w:szCs w:val="20"/>
                <w:color w:val="auto"/>
              </w:rPr>
            </w:pPr>
            <w:r>
              <w:rPr>
                <w:rFonts w:ascii="Courier New" w:cs="Courier New" w:eastAsia="Courier New" w:hAnsi="Courier New"/>
                <w:sz w:val="14"/>
                <w:szCs w:val="14"/>
                <w:color w:val="auto"/>
                <w:w w:val="94"/>
              </w:rPr>
              <w:t>$</w:t>
            </w:r>
          </w:p>
        </w:tc>
        <w:tc>
          <w:tcPr>
            <w:tcW w:w="8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23.34</w:t>
            </w:r>
          </w:p>
        </w:tc>
        <w:tc>
          <w:tcPr>
            <w:tcW w:w="8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ind w:left="220"/>
              <w:spacing w:after="0"/>
              <w:rPr>
                <w:sz w:val="20"/>
                <w:szCs w:val="20"/>
                <w:color w:val="auto"/>
              </w:rPr>
            </w:pPr>
            <w:r>
              <w:rPr>
                <w:rFonts w:ascii="Courier New" w:cs="Courier New" w:eastAsia="Courier New" w:hAnsi="Courier New"/>
                <w:sz w:val="14"/>
                <w:szCs w:val="14"/>
                <w:color w:val="auto"/>
                <w:w w:val="95"/>
              </w:rPr>
              <w:t>21.81</w:t>
            </w:r>
          </w:p>
        </w:tc>
        <w:tc>
          <w:tcPr>
            <w:tcW w:w="86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spacing w:after="0"/>
              <w:rPr>
                <w:sz w:val="14"/>
                <w:szCs w:val="14"/>
                <w:color w:val="auto"/>
              </w:rPr>
            </w:pPr>
          </w:p>
        </w:tc>
      </w:tr>
      <w:tr>
        <w:trPr>
          <w:trHeight w:val="166"/>
        </w:trPr>
        <w:tc>
          <w:tcPr>
            <w:tcW w:w="2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 - 12 months</w:t>
            </w:r>
          </w:p>
        </w:tc>
        <w:tc>
          <w:tcPr>
            <w:tcW w:w="112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349</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1,287,461</w:t>
            </w:r>
          </w:p>
        </w:tc>
        <w:tc>
          <w:tcPr>
            <w:tcW w:w="520" w:type="dxa"/>
            <w:vAlign w:val="bottom"/>
          </w:tcPr>
          <w:p>
            <w:pPr>
              <w:jc w:val="center"/>
              <w:ind w:right="209"/>
              <w:spacing w:after="0"/>
              <w:rPr>
                <w:sz w:val="20"/>
                <w:szCs w:val="20"/>
                <w:color w:val="auto"/>
              </w:rPr>
            </w:pPr>
            <w:r>
              <w:rPr>
                <w:rFonts w:ascii="Courier New" w:cs="Courier New" w:eastAsia="Courier New" w:hAnsi="Courier New"/>
                <w:sz w:val="14"/>
                <w:szCs w:val="14"/>
                <w:color w:val="auto"/>
                <w:w w:val="94"/>
              </w:rPr>
              <w:t>$</w:t>
            </w:r>
          </w:p>
        </w:tc>
        <w:tc>
          <w:tcPr>
            <w:tcW w:w="8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20.03</w:t>
            </w:r>
          </w:p>
        </w:tc>
        <w:tc>
          <w:tcPr>
            <w:tcW w:w="8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ind w:left="220"/>
              <w:spacing w:after="0"/>
              <w:rPr>
                <w:sz w:val="20"/>
                <w:szCs w:val="20"/>
                <w:color w:val="auto"/>
              </w:rPr>
            </w:pPr>
            <w:r>
              <w:rPr>
                <w:rFonts w:ascii="Courier New" w:cs="Courier New" w:eastAsia="Courier New" w:hAnsi="Courier New"/>
                <w:sz w:val="14"/>
                <w:szCs w:val="14"/>
                <w:color w:val="auto"/>
                <w:w w:val="95"/>
              </w:rPr>
              <w:t>17.73</w:t>
            </w:r>
          </w:p>
        </w:tc>
        <w:tc>
          <w:tcPr>
            <w:tcW w:w="86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w:t>
            </w:r>
          </w:p>
        </w:tc>
        <w:tc>
          <w:tcPr>
            <w:tcW w:w="600" w:type="dxa"/>
            <w:vAlign w:val="bottom"/>
          </w:tcPr>
          <w:p>
            <w:pPr>
              <w:spacing w:after="0"/>
              <w:rPr>
                <w:sz w:val="14"/>
                <w:szCs w:val="14"/>
                <w:color w:val="auto"/>
              </w:rPr>
            </w:pPr>
          </w:p>
        </w:tc>
        <w:tc>
          <w:tcPr>
            <w:tcW w:w="1460" w:type="dxa"/>
            <w:vAlign w:val="bottom"/>
            <w:gridSpan w:val="2"/>
          </w:tcPr>
          <w:p>
            <w:pPr>
              <w:ind w:left="440"/>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spacing w:after="0"/>
              <w:rPr>
                <w:sz w:val="14"/>
                <w:szCs w:val="14"/>
                <w:color w:val="auto"/>
              </w:rPr>
            </w:pPr>
          </w:p>
        </w:tc>
      </w:tr>
      <w:tr>
        <w:trPr>
          <w:trHeight w:val="497"/>
        </w:trPr>
        <w:tc>
          <w:tcPr>
            <w:tcW w:w="2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Tenant</w:t>
            </w:r>
          </w:p>
        </w:tc>
      </w:tr>
      <w:tr>
        <w:trPr>
          <w:trHeight w:val="166"/>
        </w:trPr>
        <w:tc>
          <w:tcPr>
            <w:tcW w:w="2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Annual</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Increase</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Weighted Average</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Tenant</w:t>
            </w:r>
          </w:p>
        </w:tc>
        <w:tc>
          <w:tcPr>
            <w:tcW w:w="15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Improvements</w:t>
            </w:r>
          </w:p>
        </w:tc>
      </w:tr>
      <w:tr>
        <w:trPr>
          <w:trHeight w:val="166"/>
        </w:trPr>
        <w:tc>
          <w:tcPr>
            <w:tcW w:w="2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Quarter</w:t>
            </w:r>
          </w:p>
        </w:tc>
        <w:tc>
          <w:tcPr>
            <w:tcW w:w="22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Increase in Rent</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Over Old Rent</w:t>
            </w:r>
          </w:p>
        </w:tc>
        <w:tc>
          <w:tcPr>
            <w:tcW w:w="1560" w:type="dxa"/>
            <w:vAlign w:val="bottom"/>
          </w:tcPr>
          <w:p>
            <w:pPr>
              <w:ind w:left="340"/>
              <w:spacing w:after="0"/>
              <w:rPr>
                <w:sz w:val="20"/>
                <w:szCs w:val="20"/>
                <w:color w:val="auto"/>
              </w:rPr>
            </w:pPr>
            <w:r>
              <w:rPr>
                <w:rFonts w:ascii="Courier New" w:cs="Courier New" w:eastAsia="Courier New" w:hAnsi="Courier New"/>
                <w:sz w:val="14"/>
                <w:szCs w:val="14"/>
                <w:color w:val="auto"/>
              </w:rPr>
              <w:t>Lease Term (5)</w:t>
            </w:r>
          </w:p>
        </w:tc>
        <w:tc>
          <w:tcPr>
            <w:tcW w:w="520" w:type="dxa"/>
            <w:vAlign w:val="bottom"/>
          </w:tcPr>
          <w:p>
            <w:pPr>
              <w:spacing w:after="0"/>
              <w:rPr>
                <w:sz w:val="14"/>
                <w:szCs w:val="14"/>
                <w:color w:val="auto"/>
              </w:rPr>
            </w:pPr>
          </w:p>
        </w:tc>
        <w:tc>
          <w:tcPr>
            <w:tcW w:w="1500" w:type="dxa"/>
            <w:vAlign w:val="bottom"/>
            <w:gridSpan w:val="3"/>
          </w:tcPr>
          <w:p>
            <w:pPr>
              <w:jc w:val="right"/>
              <w:ind w:right="408"/>
              <w:spacing w:after="0"/>
              <w:rPr>
                <w:sz w:val="20"/>
                <w:szCs w:val="20"/>
                <w:color w:val="auto"/>
              </w:rPr>
            </w:pPr>
            <w:r>
              <w:rPr>
                <w:rFonts w:ascii="Courier New" w:cs="Courier New" w:eastAsia="Courier New" w:hAnsi="Courier New"/>
                <w:sz w:val="14"/>
                <w:szCs w:val="14"/>
                <w:color w:val="auto"/>
                <w:w w:val="99"/>
              </w:rPr>
              <w:t>Improvements</w:t>
            </w:r>
          </w:p>
        </w:tc>
        <w:tc>
          <w:tcPr>
            <w:tcW w:w="15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Per Sq. Ft.</w:t>
            </w:r>
          </w:p>
        </w:tc>
      </w:tr>
      <w:tr>
        <w:trPr>
          <w:trHeight w:val="166"/>
        </w:trPr>
        <w:tc>
          <w:tcPr>
            <w:tcW w:w="2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500" w:type="dxa"/>
            <w:vAlign w:val="bottom"/>
            <w:gridSpan w:val="3"/>
          </w:tcPr>
          <w:p>
            <w:pPr>
              <w:jc w:val="right"/>
              <w:ind w:right="408"/>
              <w:spacing w:after="0"/>
              <w:rPr>
                <w:sz w:val="20"/>
                <w:szCs w:val="20"/>
                <w:color w:val="auto"/>
              </w:rPr>
            </w:pPr>
            <w:r>
              <w:rPr>
                <w:rFonts w:ascii="Courier New" w:cs="Courier New" w:eastAsia="Courier New" w:hAnsi="Courier New"/>
                <w:sz w:val="14"/>
                <w:szCs w:val="14"/>
                <w:color w:val="auto"/>
                <w:w w:val="99"/>
              </w:rPr>
              <w:t>------------</w:t>
            </w:r>
          </w:p>
        </w:tc>
        <w:tc>
          <w:tcPr>
            <w:tcW w:w="15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2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4th Quarter 2002</w:t>
            </w:r>
          </w:p>
        </w:tc>
        <w:tc>
          <w:tcPr>
            <w:tcW w:w="112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598,929</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7.4</w:t>
            </w:r>
          </w:p>
        </w:tc>
        <w:tc>
          <w:tcPr>
            <w:tcW w:w="5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4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1,050,130</w:t>
            </w:r>
          </w:p>
        </w:tc>
        <w:tc>
          <w:tcPr>
            <w:tcW w:w="6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3.92</w:t>
            </w:r>
          </w:p>
        </w:tc>
      </w:tr>
      <w:tr>
        <w:trPr>
          <w:trHeight w:val="166"/>
        </w:trPr>
        <w:tc>
          <w:tcPr>
            <w:tcW w:w="2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3rd Quarter 2002</w:t>
            </w:r>
          </w:p>
        </w:tc>
        <w:tc>
          <w:tcPr>
            <w:tcW w:w="112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1,178,490</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w:t>
            </w:r>
          </w:p>
        </w:tc>
        <w:tc>
          <w:tcPr>
            <w:tcW w:w="5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4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3,114,184</w:t>
            </w:r>
          </w:p>
        </w:tc>
        <w:tc>
          <w:tcPr>
            <w:tcW w:w="6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8.26</w:t>
            </w:r>
          </w:p>
        </w:tc>
      </w:tr>
      <w:tr>
        <w:trPr>
          <w:trHeight w:val="166"/>
        </w:trPr>
        <w:tc>
          <w:tcPr>
            <w:tcW w:w="2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2nd Quarter 2002</w:t>
            </w:r>
          </w:p>
        </w:tc>
        <w:tc>
          <w:tcPr>
            <w:tcW w:w="112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834,652</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w:t>
            </w:r>
          </w:p>
        </w:tc>
        <w:tc>
          <w:tcPr>
            <w:tcW w:w="5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4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2,853,934</w:t>
            </w:r>
          </w:p>
        </w:tc>
        <w:tc>
          <w:tcPr>
            <w:tcW w:w="6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6.87</w:t>
            </w:r>
          </w:p>
        </w:tc>
      </w:tr>
      <w:tr>
        <w:trPr>
          <w:trHeight w:val="166"/>
        </w:trPr>
        <w:tc>
          <w:tcPr>
            <w:tcW w:w="2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1st Quarter 2002</w:t>
            </w:r>
          </w:p>
        </w:tc>
        <w:tc>
          <w:tcPr>
            <w:tcW w:w="112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347,660</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w:t>
            </w:r>
          </w:p>
        </w:tc>
        <w:tc>
          <w:tcPr>
            <w:tcW w:w="5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4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1,002,381</w:t>
            </w:r>
          </w:p>
        </w:tc>
        <w:tc>
          <w:tcPr>
            <w:tcW w:w="6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4.42</w:t>
            </w:r>
          </w:p>
        </w:tc>
      </w:tr>
    </w:tbl>
    <w:p>
      <w:pPr>
        <w:sectPr>
          <w:pgSz w:w="11900" w:h="16880" w:orient="portrait"/>
          <w:cols w:equalWidth="0" w:num="1">
            <w:col w:w="11200"/>
          </w:cols>
          <w:pgMar w:left="220" w:top="616" w:right="479" w:bottom="0" w:gutter="0" w:footer="0" w:header="0"/>
        </w:sectPr>
      </w:pPr>
    </w:p>
    <w:bookmarkStart w:id="28" w:name="page29"/>
    <w:bookmarkEnd w:id="28"/>
    <w:p>
      <w:pPr>
        <w:ind w:left="2860"/>
        <w:spacing w:after="0"/>
        <w:tabs>
          <w:tab w:leader="none" w:pos="5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620"/>
        <w:spacing w:after="0"/>
        <w:tabs>
          <w:tab w:leader="none" w:pos="2840" w:val="left"/>
          <w:tab w:leader="none" w:pos="3520" w:val="left"/>
          <w:tab w:leader="none" w:pos="5580" w:val="left"/>
        </w:tabs>
        <w:rPr>
          <w:sz w:val="20"/>
          <w:szCs w:val="20"/>
          <w:color w:val="auto"/>
        </w:rPr>
      </w:pPr>
      <w:r>
        <w:rPr>
          <w:rFonts w:ascii="Courier New" w:cs="Courier New" w:eastAsia="Courier New" w:hAnsi="Courier New"/>
          <w:sz w:val="14"/>
          <w:szCs w:val="14"/>
          <w:color w:val="auto"/>
        </w:rPr>
        <w:t>Total - 12 months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2,959,730</w:t>
      </w:r>
      <w:r>
        <w:rPr>
          <w:sz w:val="20"/>
          <w:szCs w:val="20"/>
          <w:color w:val="auto"/>
        </w:rPr>
        <w:tab/>
      </w:r>
      <w:r>
        <w:rPr>
          <w:rFonts w:ascii="Courier New" w:cs="Courier New" w:eastAsia="Courier New" w:hAnsi="Courier New"/>
          <w:sz w:val="14"/>
          <w:szCs w:val="14"/>
          <w:color w:val="auto"/>
        </w:rPr>
        <w:t>13%</w:t>
      </w:r>
    </w:p>
    <w:p>
      <w:pPr>
        <w:spacing w:after="0" w:line="7" w:lineRule="exact"/>
        <w:rPr>
          <w:sz w:val="20"/>
          <w:szCs w:val="20"/>
          <w:color w:val="auto"/>
        </w:rPr>
      </w:pPr>
    </w:p>
    <w:p>
      <w:pPr>
        <w:ind w:left="2860"/>
        <w:spacing w:after="0"/>
        <w:tabs>
          <w:tab w:leader="none" w:pos="5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right="940" w:hanging="432"/>
        <w:spacing w:after="0" w:line="250" w:lineRule="auto"/>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Leases on this report represent retail activity only; office and residential leases are not included.</w:t>
      </w:r>
    </w:p>
    <w:p>
      <w:pPr>
        <w:ind w:left="440" w:right="180" w:hanging="432"/>
        <w:spacing w:after="0" w:line="250" w:lineRule="auto"/>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Comparable leases represent those leases signed on spaces for which there was a former tenant.</w:t>
      </w:r>
    </w:p>
    <w:p>
      <w:pPr>
        <w:ind w:left="440" w:right="260" w:hanging="432"/>
        <w:spacing w:after="0" w:line="250" w:lineRule="auto"/>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Rent represents contractual Minimum Rent under the new lease for the first 12 months of the term.</w:t>
      </w:r>
    </w:p>
    <w:p>
      <w:pPr>
        <w:ind w:left="440" w:right="440" w:hanging="432"/>
        <w:spacing w:after="0" w:line="250" w:lineRule="auto"/>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Old Rent represents Minimum Rent and Percentage Rent paid by the prior tenant in the final 12 months of the term.</w:t>
      </w:r>
    </w:p>
    <w:p>
      <w:pPr>
        <w:ind w:left="440" w:hanging="432"/>
        <w:spacing w:after="0"/>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Weighted average is determined on the basis of square footage.</w:t>
      </w:r>
    </w:p>
    <w:p>
      <w:pPr>
        <w:spacing w:after="0" w:line="7" w:lineRule="exact"/>
        <w:rPr>
          <w:rFonts w:ascii="Courier New" w:cs="Courier New" w:eastAsia="Courier New" w:hAnsi="Courier New"/>
          <w:sz w:val="14"/>
          <w:szCs w:val="14"/>
          <w:color w:val="auto"/>
        </w:rPr>
      </w:pPr>
    </w:p>
    <w:p>
      <w:pPr>
        <w:ind w:left="440" w:hanging="432"/>
        <w:spacing w:after="0" w:line="255" w:lineRule="auto"/>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Renewal leases represent expiring leases rolling over with the same tenant. All other leases are categorized as new.</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9,456,499</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7.35</w:t>
            </w:r>
          </w:p>
        </w:tc>
      </w:tr>
      <w:tr>
        <w:trPr>
          <w:trHeight w:val="166"/>
        </w:trPr>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2">
            <w:col w:w="6900" w:space="340"/>
            <w:col w:w="3620"/>
          </w:cols>
          <w:pgMar w:left="220" w:top="141" w:right="819"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ind w:right="4740"/>
        <w:spacing w:after="0" w:line="250" w:lineRule="auto"/>
        <w:rPr>
          <w:sz w:val="20"/>
          <w:szCs w:val="20"/>
          <w:color w:val="auto"/>
        </w:rPr>
      </w:pPr>
      <w:r>
        <w:rPr>
          <w:rFonts w:ascii="Courier New" w:cs="Courier New" w:eastAsia="Courier New" w:hAnsi="Courier New"/>
          <w:sz w:val="14"/>
          <w:szCs w:val="14"/>
          <w:color w:val="auto"/>
        </w:rPr>
        <w:t>Retail Leasing Summary (1) - Non-Comparable Basis (cash, non-straight-lined basis)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New Lease Summary -</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Non-Comparable (2)</w:t>
            </w: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1"/>
        </w:trPr>
        <w:tc>
          <w:tcPr>
            <w:tcW w:w="1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Tenant</w:t>
            </w:r>
          </w:p>
        </w:tc>
      </w:tr>
      <w:tr>
        <w:trPr>
          <w:trHeight w:val="166"/>
        </w:trPr>
        <w:tc>
          <w:tcPr>
            <w:tcW w:w="1680" w:type="dxa"/>
            <w:vAlign w:val="bottom"/>
          </w:tcPr>
          <w:p>
            <w:pPr>
              <w:spacing w:after="0"/>
              <w:rPr>
                <w:sz w:val="14"/>
                <w:szCs w:val="14"/>
                <w:color w:val="auto"/>
              </w:rPr>
            </w:pP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Number of</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of Total</w:t>
            </w:r>
          </w:p>
        </w:tc>
        <w:tc>
          <w:tcPr>
            <w:tcW w:w="1080" w:type="dxa"/>
            <w:vAlign w:val="bottom"/>
          </w:tcPr>
          <w:p>
            <w:pPr>
              <w:spacing w:after="0"/>
              <w:rPr>
                <w:sz w:val="14"/>
                <w:szCs w:val="14"/>
                <w:color w:val="auto"/>
              </w:rPr>
            </w:pP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New Rent (3)</w:t>
            </w:r>
          </w:p>
        </w:tc>
        <w:tc>
          <w:tcPr>
            <w:tcW w:w="1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Weighted Average</w:t>
            </w:r>
          </w:p>
        </w:tc>
        <w:tc>
          <w:tcPr>
            <w:tcW w:w="3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Tenant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Improvements</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Quarter</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Leases Signed</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Leases Signed</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GLA Signed</w:t>
            </w:r>
          </w:p>
        </w:tc>
        <w:tc>
          <w:tcPr>
            <w:tcW w:w="1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Per Sq. Ft.</w:t>
            </w:r>
          </w:p>
        </w:tc>
        <w:tc>
          <w:tcPr>
            <w:tcW w:w="1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Lease Term (4)</w:t>
            </w:r>
          </w:p>
        </w:tc>
        <w:tc>
          <w:tcPr>
            <w:tcW w:w="12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Improvements</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Per Sq. Ft.</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4th Quarter 2002</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44,874</w:t>
            </w:r>
          </w:p>
        </w:tc>
        <w:tc>
          <w:tcPr>
            <w:tcW w:w="4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29.89</w:t>
            </w:r>
          </w:p>
        </w:tc>
        <w:tc>
          <w:tcPr>
            <w:tcW w:w="1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7.9</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225,118</w:t>
            </w:r>
          </w:p>
        </w:tc>
        <w:tc>
          <w:tcPr>
            <w:tcW w:w="4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5.02</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3rd Quarter 2002</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96%</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96,327</w:t>
            </w:r>
          </w:p>
        </w:tc>
        <w:tc>
          <w:tcPr>
            <w:tcW w:w="4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31.55</w:t>
            </w:r>
          </w:p>
        </w:tc>
        <w:tc>
          <w:tcPr>
            <w:tcW w:w="1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11.3</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653,631</w:t>
            </w:r>
          </w:p>
        </w:tc>
        <w:tc>
          <w:tcPr>
            <w:tcW w:w="4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6.79</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2nd Quarter 2002</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27,236</w:t>
            </w:r>
          </w:p>
        </w:tc>
        <w:tc>
          <w:tcPr>
            <w:tcW w:w="4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48.03</w:t>
            </w:r>
          </w:p>
        </w:tc>
        <w:tc>
          <w:tcPr>
            <w:tcW w:w="1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9.8</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1st Quarter 2002</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94%</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28,819</w:t>
            </w:r>
          </w:p>
        </w:tc>
        <w:tc>
          <w:tcPr>
            <w:tcW w:w="4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54.38</w:t>
            </w:r>
          </w:p>
        </w:tc>
        <w:tc>
          <w:tcPr>
            <w:tcW w:w="1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8.3</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spacing w:after="0"/>
              <w:rPr>
                <w:sz w:val="14"/>
                <w:szCs w:val="14"/>
                <w:color w:val="auto"/>
              </w:rPr>
            </w:pP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Total - 12 months</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98%</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197,256</w:t>
            </w:r>
          </w:p>
        </w:tc>
        <w:tc>
          <w:tcPr>
            <w:tcW w:w="4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36.78</w:t>
            </w:r>
          </w:p>
        </w:tc>
        <w:tc>
          <w:tcPr>
            <w:tcW w:w="1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9.7</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878,750</w:t>
            </w:r>
          </w:p>
        </w:tc>
        <w:tc>
          <w:tcPr>
            <w:tcW w:w="4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4.45</w:t>
            </w:r>
          </w:p>
        </w:tc>
      </w:tr>
      <w:tr>
        <w:trPr>
          <w:trHeight w:val="166"/>
        </w:trPr>
        <w:tc>
          <w:tcPr>
            <w:tcW w:w="1680" w:type="dxa"/>
            <w:vAlign w:val="bottom"/>
          </w:tcPr>
          <w:p>
            <w:pPr>
              <w:spacing w:after="0"/>
              <w:rPr>
                <w:sz w:val="14"/>
                <w:szCs w:val="14"/>
                <w:color w:val="auto"/>
              </w:rPr>
            </w:pP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4880" w:type="dxa"/>
            <w:vAlign w:val="bottom"/>
            <w:gridSpan w:val="3"/>
          </w:tcPr>
          <w:p>
            <w:pPr>
              <w:jc w:val="right"/>
              <w:ind w:right="828"/>
              <w:spacing w:after="0"/>
              <w:rPr>
                <w:sz w:val="20"/>
                <w:szCs w:val="20"/>
                <w:color w:val="auto"/>
              </w:rPr>
            </w:pPr>
            <w:r>
              <w:rPr>
                <w:rFonts w:ascii="Courier New" w:cs="Courier New" w:eastAsia="Courier New" w:hAnsi="Courier New"/>
                <w:sz w:val="14"/>
                <w:szCs w:val="14"/>
                <w:color w:val="auto"/>
              </w:rPr>
              <w:t>Renewal Lease Summary - Non-Comparable (2) (5)</w:t>
            </w: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488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1"/>
        </w:trPr>
        <w:tc>
          <w:tcPr>
            <w:tcW w:w="1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Tenant</w:t>
            </w:r>
          </w:p>
        </w:tc>
      </w:tr>
      <w:tr>
        <w:trPr>
          <w:trHeight w:val="166"/>
        </w:trPr>
        <w:tc>
          <w:tcPr>
            <w:tcW w:w="1680" w:type="dxa"/>
            <w:vAlign w:val="bottom"/>
          </w:tcPr>
          <w:p>
            <w:pPr>
              <w:spacing w:after="0"/>
              <w:rPr>
                <w:sz w:val="14"/>
                <w:szCs w:val="14"/>
                <w:color w:val="auto"/>
              </w:rPr>
            </w:pP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Number of</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of Total</w:t>
            </w:r>
          </w:p>
        </w:tc>
        <w:tc>
          <w:tcPr>
            <w:tcW w:w="1080" w:type="dxa"/>
            <w:vAlign w:val="bottom"/>
          </w:tcPr>
          <w:p>
            <w:pPr>
              <w:spacing w:after="0"/>
              <w:rPr>
                <w:sz w:val="14"/>
                <w:szCs w:val="14"/>
                <w:color w:val="auto"/>
              </w:rPr>
            </w:pP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New Rent (3)</w:t>
            </w:r>
          </w:p>
        </w:tc>
        <w:tc>
          <w:tcPr>
            <w:tcW w:w="1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Weighted Average</w:t>
            </w:r>
          </w:p>
        </w:tc>
        <w:tc>
          <w:tcPr>
            <w:tcW w:w="3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Tenant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Improvements</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Quarter</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Renewals Signed</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Leases Signed</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GLA Signed</w:t>
            </w:r>
          </w:p>
        </w:tc>
        <w:tc>
          <w:tcPr>
            <w:tcW w:w="1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Per Sq. Ft.</w:t>
            </w:r>
          </w:p>
        </w:tc>
        <w:tc>
          <w:tcPr>
            <w:tcW w:w="1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Lease Term (4)</w:t>
            </w:r>
          </w:p>
        </w:tc>
        <w:tc>
          <w:tcPr>
            <w:tcW w:w="12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Improvements</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Per Sq. Ft.</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4th Quarter 2002</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0.0</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3rd Quarter 2002</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8,669</w:t>
            </w:r>
          </w:p>
        </w:tc>
        <w:tc>
          <w:tcPr>
            <w:tcW w:w="4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0.0</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2nd Quarter 2002</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0.0</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1st Quarter 2002</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2,660</w:t>
            </w:r>
          </w:p>
        </w:tc>
        <w:tc>
          <w:tcPr>
            <w:tcW w:w="4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23.00</w:t>
            </w:r>
          </w:p>
        </w:tc>
        <w:tc>
          <w:tcPr>
            <w:tcW w:w="1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61,180</w:t>
            </w:r>
          </w:p>
        </w:tc>
        <w:tc>
          <w:tcPr>
            <w:tcW w:w="4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23.00</w:t>
            </w:r>
          </w:p>
        </w:tc>
      </w:tr>
      <w:tr>
        <w:trPr>
          <w:trHeight w:val="166"/>
        </w:trPr>
        <w:tc>
          <w:tcPr>
            <w:tcW w:w="1680" w:type="dxa"/>
            <w:vAlign w:val="bottom"/>
          </w:tcPr>
          <w:p>
            <w:pPr>
              <w:spacing w:after="0"/>
              <w:rPr>
                <w:sz w:val="14"/>
                <w:szCs w:val="14"/>
                <w:color w:val="auto"/>
              </w:rPr>
            </w:pP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Total - 12 months</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11,329</w:t>
            </w:r>
          </w:p>
        </w:tc>
        <w:tc>
          <w:tcPr>
            <w:tcW w:w="4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5.40</w:t>
            </w:r>
          </w:p>
        </w:tc>
        <w:tc>
          <w:tcPr>
            <w:tcW w:w="1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61,180</w:t>
            </w:r>
          </w:p>
        </w:tc>
        <w:tc>
          <w:tcPr>
            <w:tcW w:w="4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5.40</w:t>
            </w:r>
          </w:p>
        </w:tc>
      </w:tr>
      <w:tr>
        <w:trPr>
          <w:trHeight w:val="166"/>
        </w:trPr>
        <w:tc>
          <w:tcPr>
            <w:tcW w:w="1680" w:type="dxa"/>
            <w:vAlign w:val="bottom"/>
          </w:tcPr>
          <w:p>
            <w:pPr>
              <w:spacing w:after="0"/>
              <w:rPr>
                <w:sz w:val="14"/>
                <w:szCs w:val="14"/>
                <w:color w:val="auto"/>
              </w:rPr>
            </w:pP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Total Lease Summary</w:t>
            </w:r>
          </w:p>
        </w:tc>
        <w:tc>
          <w:tcPr>
            <w:tcW w:w="1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Non-Comparable (2)</w:t>
            </w: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1"/>
        </w:trPr>
        <w:tc>
          <w:tcPr>
            <w:tcW w:w="1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Tenant</w:t>
            </w:r>
          </w:p>
        </w:tc>
      </w:tr>
      <w:tr>
        <w:trPr>
          <w:trHeight w:val="166"/>
        </w:trPr>
        <w:tc>
          <w:tcPr>
            <w:tcW w:w="1680" w:type="dxa"/>
            <w:vAlign w:val="bottom"/>
          </w:tcPr>
          <w:p>
            <w:pPr>
              <w:spacing w:after="0"/>
              <w:rPr>
                <w:sz w:val="14"/>
                <w:szCs w:val="14"/>
                <w:color w:val="auto"/>
              </w:rPr>
            </w:pP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Number of  Leases</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of Total</w:t>
            </w:r>
          </w:p>
        </w:tc>
        <w:tc>
          <w:tcPr>
            <w:tcW w:w="1080" w:type="dxa"/>
            <w:vAlign w:val="bottom"/>
          </w:tcPr>
          <w:p>
            <w:pPr>
              <w:spacing w:after="0"/>
              <w:rPr>
                <w:sz w:val="14"/>
                <w:szCs w:val="14"/>
                <w:color w:val="auto"/>
              </w:rPr>
            </w:pP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New Rent (3)</w:t>
            </w:r>
          </w:p>
        </w:tc>
        <w:tc>
          <w:tcPr>
            <w:tcW w:w="1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Weighted Average</w:t>
            </w:r>
          </w:p>
        </w:tc>
        <w:tc>
          <w:tcPr>
            <w:tcW w:w="3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Tenant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Improvements</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Quarter</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&amp; Renewals Signed</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Leases Signed</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GLA Signed</w:t>
            </w:r>
          </w:p>
        </w:tc>
        <w:tc>
          <w:tcPr>
            <w:tcW w:w="1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Per Sq. Ft.</w:t>
            </w:r>
          </w:p>
        </w:tc>
        <w:tc>
          <w:tcPr>
            <w:tcW w:w="1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Lease Term (4)</w:t>
            </w:r>
          </w:p>
        </w:tc>
        <w:tc>
          <w:tcPr>
            <w:tcW w:w="12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Improvements</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Per Sq. Ft.</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4th Quarter 2002</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44,874</w:t>
            </w:r>
          </w:p>
        </w:tc>
        <w:tc>
          <w:tcPr>
            <w:tcW w:w="4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29.89</w:t>
            </w:r>
          </w:p>
        </w:tc>
        <w:tc>
          <w:tcPr>
            <w:tcW w:w="1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7.9</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225,118</w:t>
            </w:r>
          </w:p>
        </w:tc>
        <w:tc>
          <w:tcPr>
            <w:tcW w:w="4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5.02</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3rd Quarter 2002</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104,996</w:t>
            </w:r>
          </w:p>
        </w:tc>
        <w:tc>
          <w:tcPr>
            <w:tcW w:w="4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28.94</w:t>
            </w:r>
          </w:p>
        </w:tc>
        <w:tc>
          <w:tcPr>
            <w:tcW w:w="1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11.3</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653,631</w:t>
            </w:r>
          </w:p>
        </w:tc>
        <w:tc>
          <w:tcPr>
            <w:tcW w:w="4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6.23</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2nd Quarter 2002</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27,236</w:t>
            </w:r>
          </w:p>
        </w:tc>
        <w:tc>
          <w:tcPr>
            <w:tcW w:w="4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48.03</w:t>
            </w:r>
          </w:p>
        </w:tc>
        <w:tc>
          <w:tcPr>
            <w:tcW w:w="1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9.8</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1st Quarter 2002</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31,479</w:t>
            </w:r>
          </w:p>
        </w:tc>
        <w:tc>
          <w:tcPr>
            <w:tcW w:w="4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51.73</w:t>
            </w:r>
          </w:p>
        </w:tc>
        <w:tc>
          <w:tcPr>
            <w:tcW w:w="1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8.2</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61,180</w:t>
            </w:r>
          </w:p>
        </w:tc>
        <w:tc>
          <w:tcPr>
            <w:tcW w:w="4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1.94</w:t>
            </w:r>
          </w:p>
        </w:tc>
      </w:tr>
      <w:tr>
        <w:trPr>
          <w:trHeight w:val="166"/>
        </w:trPr>
        <w:tc>
          <w:tcPr>
            <w:tcW w:w="1680" w:type="dxa"/>
            <w:vAlign w:val="bottom"/>
          </w:tcPr>
          <w:p>
            <w:pPr>
              <w:spacing w:after="0"/>
              <w:rPr>
                <w:sz w:val="14"/>
                <w:szCs w:val="14"/>
                <w:color w:val="auto"/>
              </w:rPr>
            </w:pP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Total - 12 months</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208,585</w:t>
            </w:r>
          </w:p>
        </w:tc>
        <w:tc>
          <w:tcPr>
            <w:tcW w:w="4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35.08</w:t>
            </w:r>
          </w:p>
        </w:tc>
        <w:tc>
          <w:tcPr>
            <w:tcW w:w="1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9.7</w:t>
            </w:r>
          </w:p>
        </w:tc>
        <w:tc>
          <w:tcPr>
            <w:tcW w:w="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939,930</w:t>
            </w:r>
          </w:p>
        </w:tc>
        <w:tc>
          <w:tcPr>
            <w:tcW w:w="4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4.51</w:t>
            </w:r>
          </w:p>
        </w:tc>
      </w:tr>
      <w:tr>
        <w:trPr>
          <w:trHeight w:val="166"/>
        </w:trPr>
        <w:tc>
          <w:tcPr>
            <w:tcW w:w="1680" w:type="dxa"/>
            <w:vAlign w:val="bottom"/>
          </w:tcPr>
          <w:p>
            <w:pPr>
              <w:spacing w:after="0"/>
              <w:rPr>
                <w:sz w:val="14"/>
                <w:szCs w:val="14"/>
                <w:color w:val="auto"/>
              </w:rPr>
            </w:pP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7" w:lineRule="exact"/>
        <w:rPr>
          <w:sz w:val="20"/>
          <w:szCs w:val="20"/>
          <w:color w:val="auto"/>
        </w:rPr>
      </w:pPr>
    </w:p>
    <w:p>
      <w:pPr>
        <w:ind w:left="360" w:right="4300" w:hanging="352"/>
        <w:spacing w:after="0" w:line="250" w:lineRule="auto"/>
        <w:tabs>
          <w:tab w:leader="none" w:pos="36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Leases on this report represent retail activity only; office and residential leases are not included.</w:t>
      </w:r>
    </w:p>
    <w:p>
      <w:pPr>
        <w:ind w:left="360" w:right="4480" w:hanging="352"/>
        <w:spacing w:after="0" w:line="250" w:lineRule="auto"/>
        <w:tabs>
          <w:tab w:leader="none" w:pos="36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Non-comparable leases represent those leases signed on spaces for which there was no former tenant, or expansion square footage for leases rolling over for which there was no former tenant.</w:t>
      </w:r>
    </w:p>
    <w:p>
      <w:pPr>
        <w:spacing w:after="0" w:line="1" w:lineRule="exact"/>
        <w:rPr>
          <w:rFonts w:ascii="Courier New" w:cs="Courier New" w:eastAsia="Courier New" w:hAnsi="Courier New"/>
          <w:sz w:val="14"/>
          <w:szCs w:val="14"/>
          <w:color w:val="auto"/>
        </w:rPr>
      </w:pPr>
    </w:p>
    <w:p>
      <w:pPr>
        <w:ind w:left="360" w:right="4640" w:hanging="352"/>
        <w:spacing w:after="0" w:line="250" w:lineRule="auto"/>
        <w:tabs>
          <w:tab w:leader="none" w:pos="36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Rent represents contractual Minimum Rent under the new lease for the first 12 months of the term.</w:t>
      </w:r>
    </w:p>
    <w:p>
      <w:pPr>
        <w:ind w:left="360" w:hanging="352"/>
        <w:spacing w:after="0"/>
        <w:tabs>
          <w:tab w:leader="none" w:pos="36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Weighted average is determined on the basis of square footage.</w:t>
      </w:r>
    </w:p>
    <w:p>
      <w:pPr>
        <w:spacing w:after="0" w:line="7" w:lineRule="exact"/>
        <w:rPr>
          <w:rFonts w:ascii="Courier New" w:cs="Courier New" w:eastAsia="Courier New" w:hAnsi="Courier New"/>
          <w:sz w:val="14"/>
          <w:szCs w:val="14"/>
          <w:color w:val="auto"/>
        </w:rPr>
      </w:pPr>
    </w:p>
    <w:p>
      <w:pPr>
        <w:ind w:left="360" w:right="4380" w:hanging="352"/>
        <w:spacing w:after="0" w:line="255" w:lineRule="auto"/>
        <w:tabs>
          <w:tab w:leader="none" w:pos="36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Renewal leases represent expiring leases rolling over with the same tenant. All other leases are categorized as new.</w:t>
      </w:r>
    </w:p>
    <w:p>
      <w:pPr>
        <w:sectPr>
          <w:pgSz w:w="11900" w:h="16838" w:orient="portrait"/>
          <w:cols w:equalWidth="0" w:num="1">
            <w:col w:w="11200"/>
          </w:cols>
          <w:pgMar w:left="220" w:top="616" w:right="479"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 Expirations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2002</w:t>
      </w:r>
    </w:p>
    <w:p>
      <w:pPr>
        <w:spacing w:after="0" w:line="173" w:lineRule="exact"/>
        <w:rPr>
          <w:sz w:val="20"/>
          <w:szCs w:val="20"/>
          <w:color w:val="auto"/>
        </w:rPr>
      </w:pP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jc w:val="right"/>
              <w:ind w:right="16"/>
              <w:spacing w:after="0"/>
              <w:rPr>
                <w:sz w:val="20"/>
                <w:szCs w:val="20"/>
                <w:color w:val="auto"/>
              </w:rPr>
            </w:pPr>
            <w:r>
              <w:rPr>
                <w:rFonts w:ascii="Courier New" w:cs="Courier New" w:eastAsia="Courier New" w:hAnsi="Courier New"/>
                <w:sz w:val="14"/>
                <w:szCs w:val="14"/>
                <w:color w:val="auto"/>
              </w:rPr>
              <w:t>Assumes</w:t>
            </w:r>
          </w:p>
        </w:tc>
        <w:tc>
          <w:tcPr>
            <w:tcW w:w="2760" w:type="dxa"/>
            <w:vAlign w:val="bottom"/>
            <w:gridSpan w:val="3"/>
          </w:tcPr>
          <w:p>
            <w:pPr>
              <w:jc w:val="right"/>
              <w:ind w:right="288"/>
              <w:spacing w:after="0"/>
              <w:rPr>
                <w:sz w:val="20"/>
                <w:szCs w:val="20"/>
                <w:color w:val="auto"/>
              </w:rPr>
            </w:pPr>
            <w:r>
              <w:rPr>
                <w:rFonts w:ascii="Courier New" w:cs="Courier New" w:eastAsia="Courier New" w:hAnsi="Courier New"/>
                <w:sz w:val="14"/>
                <w:szCs w:val="14"/>
                <w:color w:val="auto"/>
              </w:rPr>
              <w:t>no exercise of lease options</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7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 -----------------------------------------</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Anchor Tenants (1)</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Small Shop Tenants</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Total</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Expiring</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 of Anchor</w:t>
            </w: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Minimum Rent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Expiring</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of Small</w:t>
            </w:r>
          </w:p>
        </w:tc>
        <w:tc>
          <w:tcPr>
            <w:tcW w:w="13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Minimum Rent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Expiring</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of Total</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Minimum Rent</w:t>
            </w:r>
          </w:p>
        </w:tc>
      </w:tr>
      <w:tr>
        <w:trPr>
          <w:trHeight w:val="166"/>
        </w:trPr>
        <w:tc>
          <w:tcPr>
            <w:tcW w:w="11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Year</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SF (3)</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SF</w:t>
            </w:r>
          </w:p>
        </w:tc>
        <w:tc>
          <w:tcPr>
            <w:tcW w:w="30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PSF (2)</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SF (3)</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Shop SF</w:t>
            </w:r>
          </w:p>
        </w:tc>
        <w:tc>
          <w:tcPr>
            <w:tcW w:w="4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PSF (2)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SF (3)</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SF</w:t>
            </w:r>
          </w:p>
        </w:tc>
        <w:tc>
          <w:tcPr>
            <w:tcW w:w="30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PSF(2)</w:t>
            </w:r>
          </w:p>
        </w:tc>
      </w:tr>
      <w:tr>
        <w:trPr>
          <w:trHeight w:val="166"/>
        </w:trPr>
        <w:tc>
          <w:tcPr>
            <w:tcW w:w="1180" w:type="dxa"/>
            <w:vAlign w:val="bottom"/>
            <w:gridSpan w:val="2"/>
          </w:tcPr>
          <w:p>
            <w:pPr>
              <w:jc w:val="right"/>
              <w:spacing w:after="0"/>
              <w:rPr>
                <w:sz w:val="20"/>
                <w:szCs w:val="20"/>
                <w:color w:val="auto"/>
              </w:rPr>
            </w:pPr>
            <w:r>
              <w:rPr>
                <w:rFonts w:ascii="Courier New" w:cs="Courier New" w:eastAsia="Courier New" w:hAnsi="Courier New"/>
                <w:sz w:val="5"/>
                <w:szCs w:val="5"/>
                <w:color w:val="auto"/>
                <w:w w:val="72"/>
              </w:rPr>
              <w:t>-----------------------------------------------------</w:t>
            </w: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8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 --------------------------------------</w:t>
            </w:r>
          </w:p>
        </w:tc>
      </w:tr>
      <w:tr>
        <w:trPr>
          <w:trHeight w:val="331"/>
        </w:trPr>
        <w:tc>
          <w:tcPr>
            <w:tcW w:w="700" w:type="dxa"/>
            <w:vAlign w:val="bottom"/>
          </w:tcPr>
          <w:p>
            <w:pPr>
              <w:spacing w:after="0"/>
              <w:rPr>
                <w:sz w:val="24"/>
                <w:szCs w:val="2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2003</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289,000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7.47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617,000</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20.60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906,000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16.41</w:t>
            </w:r>
          </w:p>
        </w:tc>
      </w:tr>
      <w:tr>
        <w:trPr>
          <w:trHeight w:val="166"/>
        </w:trPr>
        <w:tc>
          <w:tcPr>
            <w:tcW w:w="70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2004</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896,000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830,000</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1,726,000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14.04</w:t>
            </w:r>
          </w:p>
        </w:tc>
      </w:tr>
      <w:tr>
        <w:trPr>
          <w:trHeight w:val="166"/>
        </w:trPr>
        <w:tc>
          <w:tcPr>
            <w:tcW w:w="70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2005</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538,000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12.21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867,000</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23.18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1,405,000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18.98</w:t>
            </w:r>
          </w:p>
        </w:tc>
      </w:tr>
      <w:tr>
        <w:trPr>
          <w:trHeight w:val="166"/>
        </w:trPr>
        <w:tc>
          <w:tcPr>
            <w:tcW w:w="70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2006</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497,000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818,000</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1,315,000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70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2007</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741,000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933,000</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26.07</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1,674,000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18.95</w:t>
            </w:r>
          </w:p>
        </w:tc>
      </w:tr>
      <w:tr>
        <w:trPr>
          <w:trHeight w:val="166"/>
        </w:trPr>
        <w:tc>
          <w:tcPr>
            <w:tcW w:w="70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2008</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883,000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12.09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517,000</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23.64</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1,400,000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16.36</w:t>
            </w:r>
          </w:p>
        </w:tc>
      </w:tr>
      <w:tr>
        <w:trPr>
          <w:trHeight w:val="166"/>
        </w:trPr>
        <w:tc>
          <w:tcPr>
            <w:tcW w:w="70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2009</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572,000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12.27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352,000</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34.18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924,000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20.61</w:t>
            </w:r>
          </w:p>
        </w:tc>
      </w:tr>
      <w:tr>
        <w:trPr>
          <w:trHeight w:val="166"/>
        </w:trPr>
        <w:tc>
          <w:tcPr>
            <w:tcW w:w="70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2010</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251,000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13.45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280,000</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25.77</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531,000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70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2011</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416,000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21.26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382,000</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33.02</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798,000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26.89</w:t>
            </w:r>
          </w:p>
        </w:tc>
      </w:tr>
      <w:tr>
        <w:trPr>
          <w:trHeight w:val="166"/>
        </w:trPr>
        <w:tc>
          <w:tcPr>
            <w:tcW w:w="70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2012</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520,000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14.09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319,000</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43.32</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839,000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25.20</w:t>
            </w:r>
          </w:p>
        </w:tc>
      </w:tr>
      <w:tr>
        <w:trPr>
          <w:trHeight w:val="166"/>
        </w:trPr>
        <w:tc>
          <w:tcPr>
            <w:tcW w:w="1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Thereafter</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2,426,000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16.46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498,000</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40.91</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2,924,000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20.54</w:t>
            </w:r>
          </w:p>
        </w:tc>
      </w:tr>
      <w:tr>
        <w:trPr>
          <w:trHeight w:val="166"/>
        </w:trPr>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00" w:type="dxa"/>
            <w:vAlign w:val="bottom"/>
          </w:tcPr>
          <w:p>
            <w:pPr>
              <w:jc w:val="right"/>
              <w:ind w:right="16"/>
              <w:spacing w:after="0"/>
              <w:rPr>
                <w:sz w:val="20"/>
                <w:szCs w:val="20"/>
                <w:color w:val="auto"/>
              </w:rPr>
            </w:pPr>
            <w:r>
              <w:rPr>
                <w:rFonts w:ascii="Courier New" w:cs="Courier New" w:eastAsia="Courier New" w:hAnsi="Courier New"/>
                <w:sz w:val="14"/>
                <w:szCs w:val="14"/>
                <w:color w:val="auto"/>
              </w:rPr>
              <w:t>Total</w:t>
            </w:r>
          </w:p>
        </w:tc>
        <w:tc>
          <w:tcPr>
            <w:tcW w:w="48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8,029,000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13.06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6,413,000</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27.17</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14,442,000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19.31</w:t>
            </w:r>
          </w:p>
        </w:tc>
      </w:tr>
      <w:tr>
        <w:trPr>
          <w:trHeight w:val="166"/>
        </w:trPr>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180" w:hanging="172"/>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Assumes lease options are exercised</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22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Anchor Tenants (1)</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360" w:type="dxa"/>
            <w:vAlign w:val="bottom"/>
            <w:gridSpan w:val="4"/>
          </w:tcPr>
          <w:p>
            <w:pPr>
              <w:jc w:val="right"/>
              <w:ind w:right="868"/>
              <w:spacing w:after="0"/>
              <w:rPr>
                <w:sz w:val="20"/>
                <w:szCs w:val="20"/>
                <w:color w:val="auto"/>
              </w:rPr>
            </w:pPr>
            <w:r>
              <w:rPr>
                <w:rFonts w:ascii="Courier New" w:cs="Courier New" w:eastAsia="Courier New" w:hAnsi="Courier New"/>
                <w:sz w:val="14"/>
                <w:szCs w:val="14"/>
                <w:color w:val="auto"/>
              </w:rPr>
              <w:t>Small Shop Tenants</w:t>
            </w:r>
          </w:p>
        </w:tc>
        <w:tc>
          <w:tcPr>
            <w:tcW w:w="10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Total</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200" w:type="dxa"/>
            <w:vAlign w:val="bottom"/>
          </w:tcPr>
          <w:p>
            <w:pPr>
              <w:spacing w:after="0"/>
              <w:rPr>
                <w:sz w:val="14"/>
                <w:szCs w:val="14"/>
                <w:color w:val="auto"/>
              </w:rPr>
            </w:pPr>
          </w:p>
        </w:tc>
        <w:tc>
          <w:tcPr>
            <w:tcW w:w="22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3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20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Expiring</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of Anchor</w:t>
            </w:r>
          </w:p>
        </w:tc>
        <w:tc>
          <w:tcPr>
            <w:tcW w:w="1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Minimum Rent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Expiring</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of Small</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Minimum Rent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Expiring</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of Total</w:t>
            </w:r>
          </w:p>
        </w:tc>
        <w:tc>
          <w:tcPr>
            <w:tcW w:w="11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Minimum Rent</w:t>
            </w:r>
          </w:p>
        </w:tc>
      </w:tr>
      <w:tr>
        <w:trPr>
          <w:trHeight w:val="166"/>
        </w:trPr>
        <w:tc>
          <w:tcPr>
            <w:tcW w:w="1200" w:type="dxa"/>
            <w:vAlign w:val="bottom"/>
          </w:tcPr>
          <w:p>
            <w:pPr>
              <w:jc w:val="right"/>
              <w:ind w:right="450"/>
              <w:spacing w:after="0"/>
              <w:rPr>
                <w:sz w:val="20"/>
                <w:szCs w:val="20"/>
                <w:color w:val="auto"/>
              </w:rPr>
            </w:pPr>
            <w:r>
              <w:rPr>
                <w:rFonts w:ascii="Courier New" w:cs="Courier New" w:eastAsia="Courier New" w:hAnsi="Courier New"/>
                <w:sz w:val="14"/>
                <w:szCs w:val="14"/>
                <w:color w:val="auto"/>
              </w:rPr>
              <w:t>Year</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SF (3)</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SF</w:t>
            </w:r>
          </w:p>
        </w:tc>
        <w:tc>
          <w:tcPr>
            <w:tcW w:w="22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PSF (2)</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SF (3)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Shop SF</w:t>
            </w:r>
          </w:p>
        </w:tc>
        <w:tc>
          <w:tcPr>
            <w:tcW w:w="18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8"/>
              </w:rPr>
              <w:t>PSF (2)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SF (3)</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SF</w:t>
            </w:r>
          </w:p>
        </w:tc>
        <w:tc>
          <w:tcPr>
            <w:tcW w:w="2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PSF (2)</w:t>
            </w:r>
          </w:p>
        </w:tc>
      </w:tr>
      <w:tr>
        <w:trPr>
          <w:trHeight w:val="166"/>
        </w:trPr>
        <w:tc>
          <w:tcPr>
            <w:tcW w:w="24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4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 --------------------------------------</w:t>
            </w:r>
          </w:p>
        </w:tc>
      </w:tr>
      <w:tr>
        <w:trPr>
          <w:trHeight w:val="331"/>
        </w:trPr>
        <w:tc>
          <w:tcPr>
            <w:tcW w:w="120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2003</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55,000</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7.27</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452,000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20.05</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507,000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18.67</w:t>
            </w:r>
          </w:p>
        </w:tc>
      </w:tr>
      <w:tr>
        <w:trPr>
          <w:trHeight w:val="166"/>
        </w:trPr>
        <w:tc>
          <w:tcPr>
            <w:tcW w:w="120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2004</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86,000</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6.03</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501,000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23.30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587,000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20.77</w:t>
            </w:r>
          </w:p>
        </w:tc>
      </w:tr>
      <w:tr>
        <w:trPr>
          <w:trHeight w:val="166"/>
        </w:trPr>
        <w:tc>
          <w:tcPr>
            <w:tcW w:w="120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2005</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19,000</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15.58</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522,000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23.97</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541,000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23.68</w:t>
            </w:r>
          </w:p>
        </w:tc>
      </w:tr>
      <w:tr>
        <w:trPr>
          <w:trHeight w:val="166"/>
        </w:trPr>
        <w:tc>
          <w:tcPr>
            <w:tcW w:w="120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2006</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54,000</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12.26</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533,000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27.70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587,000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26.28</w:t>
            </w:r>
          </w:p>
        </w:tc>
      </w:tr>
      <w:tr>
        <w:trPr>
          <w:trHeight w:val="166"/>
        </w:trPr>
        <w:tc>
          <w:tcPr>
            <w:tcW w:w="120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2007</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141,000</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4.72</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614,000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25.46</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755,000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21.58</w:t>
            </w:r>
          </w:p>
        </w:tc>
      </w:tr>
      <w:tr>
        <w:trPr>
          <w:trHeight w:val="166"/>
        </w:trPr>
        <w:tc>
          <w:tcPr>
            <w:tcW w:w="120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2008</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209,000</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11.38</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432,000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641,000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20.61</w:t>
            </w:r>
          </w:p>
        </w:tc>
      </w:tr>
      <w:tr>
        <w:trPr>
          <w:trHeight w:val="166"/>
        </w:trPr>
        <w:tc>
          <w:tcPr>
            <w:tcW w:w="120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2009</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366,000</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10.84</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387,000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32.68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753,000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22.07</w:t>
            </w:r>
          </w:p>
        </w:tc>
      </w:tr>
      <w:tr>
        <w:trPr>
          <w:trHeight w:val="166"/>
        </w:trPr>
        <w:tc>
          <w:tcPr>
            <w:tcW w:w="120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2010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158,000</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13.47</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343,000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29.91</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501,000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24.73</w:t>
            </w:r>
          </w:p>
        </w:tc>
      </w:tr>
      <w:tr>
        <w:trPr>
          <w:trHeight w:val="166"/>
        </w:trPr>
        <w:tc>
          <w:tcPr>
            <w:tcW w:w="120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2011</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114,000</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23.89</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421,000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28.15</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535,000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27.24</w:t>
            </w:r>
          </w:p>
        </w:tc>
      </w:tr>
      <w:tr>
        <w:trPr>
          <w:trHeight w:val="166"/>
        </w:trPr>
        <w:tc>
          <w:tcPr>
            <w:tcW w:w="120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2012</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279,000</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14.62</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431,000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36.91</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710,000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28.15</w:t>
            </w:r>
          </w:p>
        </w:tc>
      </w:tr>
      <w:tr>
        <w:trPr>
          <w:trHeight w:val="166"/>
        </w:trPr>
        <w:tc>
          <w:tcPr>
            <w:tcW w:w="120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Thereafter</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6,548,000</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82%</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17.71</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1,777,000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34.53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8,325,000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21.28</w:t>
            </w:r>
          </w:p>
        </w:tc>
      </w:tr>
      <w:tr>
        <w:trPr>
          <w:trHeight w:val="166"/>
        </w:trPr>
        <w:tc>
          <w:tcPr>
            <w:tcW w:w="120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200" w:type="dxa"/>
            <w:vAlign w:val="bottom"/>
          </w:tcPr>
          <w:p>
            <w:pPr>
              <w:jc w:val="right"/>
              <w:ind w:right="610"/>
              <w:spacing w:after="0"/>
              <w:rPr>
                <w:sz w:val="20"/>
                <w:szCs w:val="20"/>
                <w:color w:val="auto"/>
              </w:rPr>
            </w:pPr>
            <w:r>
              <w:rPr>
                <w:rFonts w:ascii="Courier New" w:cs="Courier New" w:eastAsia="Courier New" w:hAnsi="Courier New"/>
                <w:sz w:val="14"/>
                <w:szCs w:val="14"/>
                <w:color w:val="auto"/>
              </w:rPr>
              <w:t>Total</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8,029,000</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16.66</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6,413,000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29.07</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14,442,000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22.17</w:t>
            </w:r>
          </w:p>
        </w:tc>
      </w:tr>
      <w:tr>
        <w:trPr>
          <w:trHeight w:val="166"/>
        </w:trPr>
        <w:tc>
          <w:tcPr>
            <w:tcW w:w="120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7" w:lineRule="exact"/>
        <w:rPr>
          <w:sz w:val="20"/>
          <w:szCs w:val="20"/>
          <w:color w:val="auto"/>
        </w:rPr>
      </w:pPr>
    </w:p>
    <w:p>
      <w:pPr>
        <w:ind w:left="440" w:hanging="432"/>
        <w:spacing w:after="0"/>
        <w:tabs>
          <w:tab w:leader="none" w:pos="4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Anchor is defined as a tenant leasing 15,000 square feet or more.</w:t>
      </w:r>
    </w:p>
    <w:p>
      <w:pPr>
        <w:spacing w:after="0" w:line="7" w:lineRule="exact"/>
        <w:rPr>
          <w:rFonts w:ascii="Courier New" w:cs="Courier New" w:eastAsia="Courier New" w:hAnsi="Courier New"/>
          <w:sz w:val="14"/>
          <w:szCs w:val="14"/>
          <w:color w:val="auto"/>
        </w:rPr>
      </w:pPr>
    </w:p>
    <w:p>
      <w:pPr>
        <w:ind w:left="440" w:right="4560" w:hanging="432"/>
        <w:spacing w:after="0" w:line="250" w:lineRule="auto"/>
        <w:tabs>
          <w:tab w:leader="none" w:pos="4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Minimum Rent reflects contractual rent at the end of the term or option. For leases with CPI or market based increases, such increases are excluded from analysis.</w:t>
      </w:r>
    </w:p>
    <w:p>
      <w:pPr>
        <w:spacing w:after="0" w:line="1"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occupied square footage as of December 31, 2002.</w:t>
      </w:r>
    </w:p>
    <w:p>
      <w:pPr>
        <w:sectPr>
          <w:pgSz w:w="11900" w:h="16838" w:orient="portrait"/>
          <w:cols w:equalWidth="0" w:num="1">
            <w:col w:w="11380"/>
          </w:cols>
          <w:pgMar w:left="220" w:top="616" w:right="299"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Occupancy Summary - Overall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2002</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Overall Occupancy (1)</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(Quarter to Quarter Analysis)</w:t>
            </w:r>
          </w:p>
        </w:tc>
        <w:tc>
          <w:tcPr>
            <w:tcW w:w="3700" w:type="dxa"/>
            <w:vAlign w:val="bottom"/>
            <w:gridSpan w:val="3"/>
          </w:tcPr>
          <w:p>
            <w:pPr>
              <w:ind w:left="920"/>
              <w:spacing w:after="0"/>
              <w:rPr>
                <w:sz w:val="20"/>
                <w:szCs w:val="20"/>
                <w:color w:val="auto"/>
              </w:rPr>
            </w:pPr>
            <w:r>
              <w:rPr>
                <w:rFonts w:ascii="Courier New" w:cs="Courier New" w:eastAsia="Courier New" w:hAnsi="Courier New"/>
                <w:sz w:val="14"/>
                <w:szCs w:val="14"/>
                <w:color w:val="auto"/>
              </w:rPr>
              <w:t>At December 31, 2002 (3)</w:t>
            </w:r>
          </w:p>
        </w:tc>
        <w:tc>
          <w:tcPr>
            <w:tcW w:w="26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At December 31, 2001</w:t>
            </w:r>
          </w:p>
        </w:tc>
        <w:tc>
          <w:tcPr>
            <w:tcW w:w="1020" w:type="dxa"/>
            <w:vAlign w:val="bottom"/>
          </w:tcPr>
          <w:p>
            <w:pPr>
              <w:spacing w:after="0"/>
              <w:rPr>
                <w:sz w:val="14"/>
                <w:szCs w:val="14"/>
                <w:color w:val="auto"/>
              </w:rPr>
            </w:pPr>
          </w:p>
        </w:tc>
      </w:tr>
      <w:tr>
        <w:trPr>
          <w:trHeight w:val="166"/>
        </w:trPr>
        <w:tc>
          <w:tcPr>
            <w:tcW w:w="4180" w:type="dxa"/>
            <w:vAlign w:val="bottom"/>
          </w:tcPr>
          <w:p>
            <w:pPr>
              <w:spacing w:after="0"/>
              <w:rPr>
                <w:sz w:val="14"/>
                <w:szCs w:val="14"/>
                <w:color w:val="auto"/>
              </w:rPr>
            </w:pPr>
          </w:p>
        </w:tc>
        <w:tc>
          <w:tcPr>
            <w:tcW w:w="25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4"/>
              </w:rPr>
              <w:t>------------------------------------</w:t>
            </w:r>
          </w:p>
        </w:tc>
        <w:tc>
          <w:tcPr>
            <w:tcW w:w="1120" w:type="dxa"/>
            <w:vAlign w:val="bottom"/>
          </w:tcPr>
          <w:p>
            <w:pPr>
              <w:spacing w:after="0"/>
              <w:rPr>
                <w:sz w:val="14"/>
                <w:szCs w:val="14"/>
                <w:color w:val="auto"/>
              </w:rPr>
            </w:pPr>
          </w:p>
        </w:tc>
        <w:tc>
          <w:tcPr>
            <w:tcW w:w="366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Type</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Size</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Leased</w:t>
            </w:r>
          </w:p>
        </w:tc>
        <w:tc>
          <w:tcPr>
            <w:tcW w:w="1120" w:type="dxa"/>
            <w:vAlign w:val="bottom"/>
          </w:tcPr>
          <w:p>
            <w:pPr>
              <w:ind w:left="60"/>
              <w:spacing w:after="0"/>
              <w:rPr>
                <w:sz w:val="20"/>
                <w:szCs w:val="20"/>
                <w:color w:val="auto"/>
              </w:rPr>
            </w:pPr>
            <w:r>
              <w:rPr>
                <w:rFonts w:ascii="Courier New" w:cs="Courier New" w:eastAsia="Courier New" w:hAnsi="Courier New"/>
                <w:sz w:val="14"/>
                <w:szCs w:val="14"/>
                <w:color w:val="auto"/>
              </w:rPr>
              <w:t>Occupancy</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Size</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Leased</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Retail Properties - Excluding Santana Row (2)</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14,801,252</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14,128,278</w:t>
            </w:r>
          </w:p>
        </w:tc>
        <w:tc>
          <w:tcPr>
            <w:tcW w:w="1120" w:type="dxa"/>
            <w:vAlign w:val="bottom"/>
          </w:tcPr>
          <w:p>
            <w:pPr>
              <w:jc w:val="center"/>
              <w:ind w:left="28"/>
              <w:spacing w:after="0"/>
              <w:rPr>
                <w:sz w:val="20"/>
                <w:szCs w:val="20"/>
                <w:color w:val="auto"/>
              </w:rPr>
            </w:pPr>
            <w:r>
              <w:rPr>
                <w:rFonts w:ascii="Courier New" w:cs="Courier New" w:eastAsia="Courier New" w:hAnsi="Courier New"/>
                <w:sz w:val="14"/>
                <w:szCs w:val="14"/>
                <w:color w:val="auto"/>
                <w:w w:val="99"/>
              </w:rPr>
              <w:t>95.5%</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14,761,000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14,116,000</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95.6%</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Retail Properties - Including Santana Row</w:t>
            </w:r>
          </w:p>
        </w:tc>
        <w:tc>
          <w:tcPr>
            <w:tcW w:w="1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Phase 1 (2)</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15,245,000</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14,442,000</w:t>
            </w:r>
          </w:p>
        </w:tc>
        <w:tc>
          <w:tcPr>
            <w:tcW w:w="1120" w:type="dxa"/>
            <w:vAlign w:val="bottom"/>
          </w:tcPr>
          <w:p>
            <w:pPr>
              <w:jc w:val="center"/>
              <w:ind w:left="28"/>
              <w:spacing w:after="0"/>
              <w:rPr>
                <w:sz w:val="20"/>
                <w:szCs w:val="20"/>
                <w:color w:val="auto"/>
              </w:rPr>
            </w:pPr>
            <w:r>
              <w:rPr>
                <w:rFonts w:ascii="Courier New" w:cs="Courier New" w:eastAsia="Courier New" w:hAnsi="Courier New"/>
                <w:sz w:val="14"/>
                <w:szCs w:val="14"/>
                <w:color w:val="auto"/>
                <w:w w:val="99"/>
              </w:rPr>
              <w:t>94.7%</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N/A</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N/A</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N/A</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282</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275</w:t>
            </w:r>
          </w:p>
        </w:tc>
        <w:tc>
          <w:tcPr>
            <w:tcW w:w="1120" w:type="dxa"/>
            <w:vAlign w:val="bottom"/>
          </w:tcPr>
          <w:p>
            <w:pPr>
              <w:jc w:val="center"/>
              <w:ind w:left="28"/>
              <w:spacing w:after="0"/>
              <w:rPr>
                <w:sz w:val="20"/>
                <w:szCs w:val="20"/>
                <w:color w:val="auto"/>
              </w:rPr>
            </w:pPr>
            <w:r>
              <w:rPr>
                <w:rFonts w:ascii="Courier New" w:cs="Courier New" w:eastAsia="Courier New" w:hAnsi="Courier New"/>
                <w:sz w:val="14"/>
                <w:szCs w:val="14"/>
                <w:color w:val="auto"/>
                <w:w w:val="99"/>
              </w:rPr>
              <w:t>98.0%</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282</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278</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98.6%</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Overall Occupancy (1)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(Rolling 12 Months)</w:t>
            </w: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At December 31, 2002 (3)</w:t>
            </w:r>
          </w:p>
        </w:tc>
        <w:tc>
          <w:tcPr>
            <w:tcW w:w="640" w:type="dxa"/>
            <w:vAlign w:val="bottom"/>
          </w:tcPr>
          <w:p>
            <w:pPr>
              <w:spacing w:after="0"/>
              <w:rPr>
                <w:sz w:val="14"/>
                <w:szCs w:val="14"/>
                <w:color w:val="auto"/>
              </w:rPr>
            </w:pPr>
          </w:p>
        </w:tc>
        <w:tc>
          <w:tcPr>
            <w:tcW w:w="288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At September 30, 2002</w:t>
            </w:r>
          </w:p>
        </w:tc>
        <w:tc>
          <w:tcPr>
            <w:tcW w:w="700" w:type="dxa"/>
            <w:vAlign w:val="bottom"/>
          </w:tcPr>
          <w:p>
            <w:pPr>
              <w:spacing w:after="0"/>
              <w:rPr>
                <w:sz w:val="14"/>
                <w:szCs w:val="14"/>
                <w:color w:val="auto"/>
              </w:rPr>
            </w:pPr>
          </w:p>
        </w:tc>
      </w:tr>
      <w:tr>
        <w:trPr>
          <w:trHeight w:val="166"/>
        </w:trPr>
        <w:tc>
          <w:tcPr>
            <w:tcW w:w="4180" w:type="dxa"/>
            <w:vAlign w:val="bottom"/>
          </w:tcPr>
          <w:p>
            <w:pPr>
              <w:spacing w:after="0"/>
              <w:rPr>
                <w:sz w:val="14"/>
                <w:szCs w:val="14"/>
                <w:color w:val="auto"/>
              </w:rPr>
            </w:pP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7"/>
              </w:rPr>
              <w:t>------------------------------------</w:t>
            </w:r>
          </w:p>
        </w:tc>
        <w:tc>
          <w:tcPr>
            <w:tcW w:w="640" w:type="dxa"/>
            <w:vAlign w:val="bottom"/>
          </w:tcPr>
          <w:p>
            <w:pPr>
              <w:spacing w:after="0"/>
              <w:rPr>
                <w:sz w:val="14"/>
                <w:szCs w:val="14"/>
                <w:color w:val="auto"/>
              </w:rPr>
            </w:pPr>
          </w:p>
        </w:tc>
        <w:tc>
          <w:tcPr>
            <w:tcW w:w="35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Retail Properties - Excluding Santana Row (2)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14,801,252</w:t>
            </w:r>
          </w:p>
        </w:tc>
        <w:tc>
          <w:tcPr>
            <w:tcW w:w="18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14,128,278</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95.5%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14,738,000</w:t>
            </w:r>
          </w:p>
        </w:tc>
        <w:tc>
          <w:tcPr>
            <w:tcW w:w="1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14,081,000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95.5%</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Retail Properties - Including Santana Row</w:t>
            </w:r>
          </w:p>
        </w:tc>
        <w:tc>
          <w:tcPr>
            <w:tcW w:w="1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Phase 1 (2)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15,245,000</w:t>
            </w:r>
          </w:p>
        </w:tc>
        <w:tc>
          <w:tcPr>
            <w:tcW w:w="18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14,442,000</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94.7%</w:t>
            </w:r>
          </w:p>
        </w:tc>
        <w:tc>
          <w:tcPr>
            <w:tcW w:w="1120" w:type="dxa"/>
            <w:vAlign w:val="bottom"/>
          </w:tcPr>
          <w:p>
            <w:pPr>
              <w:ind w:left="820"/>
              <w:spacing w:after="0"/>
              <w:rPr>
                <w:sz w:val="20"/>
                <w:szCs w:val="20"/>
                <w:color w:val="auto"/>
              </w:rPr>
            </w:pPr>
            <w:r>
              <w:rPr>
                <w:rFonts w:ascii="Courier New" w:cs="Courier New" w:eastAsia="Courier New" w:hAnsi="Courier New"/>
                <w:sz w:val="14"/>
                <w:szCs w:val="14"/>
                <w:color w:val="auto"/>
              </w:rPr>
              <w:t>N/A</w:t>
            </w:r>
          </w:p>
        </w:tc>
        <w:tc>
          <w:tcPr>
            <w:tcW w:w="1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N/A</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282</w:t>
            </w:r>
          </w:p>
        </w:tc>
        <w:tc>
          <w:tcPr>
            <w:tcW w:w="18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275</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98.0%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282</w:t>
            </w:r>
          </w:p>
        </w:tc>
        <w:tc>
          <w:tcPr>
            <w:tcW w:w="1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279</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98.9%</w:t>
            </w:r>
          </w:p>
        </w:tc>
      </w:tr>
      <w:tr>
        <w:trPr>
          <w:trHeight w:val="663"/>
        </w:trPr>
        <w:tc>
          <w:tcPr>
            <w:tcW w:w="4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At June 30, 2002</w:t>
            </w: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At March 31, 2002</w:t>
            </w:r>
          </w:p>
        </w:tc>
        <w:tc>
          <w:tcPr>
            <w:tcW w:w="700" w:type="dxa"/>
            <w:vAlign w:val="bottom"/>
          </w:tcPr>
          <w:p>
            <w:pPr>
              <w:spacing w:after="0"/>
              <w:rPr>
                <w:sz w:val="24"/>
                <w:szCs w:val="24"/>
                <w:color w:val="auto"/>
              </w:rPr>
            </w:pPr>
          </w:p>
        </w:tc>
      </w:tr>
      <w:tr>
        <w:trPr>
          <w:trHeight w:val="166"/>
        </w:trPr>
        <w:tc>
          <w:tcPr>
            <w:tcW w:w="4180" w:type="dxa"/>
            <w:vAlign w:val="bottom"/>
          </w:tcPr>
          <w:p>
            <w:pPr>
              <w:spacing w:after="0"/>
              <w:rPr>
                <w:sz w:val="14"/>
                <w:szCs w:val="14"/>
                <w:color w:val="auto"/>
              </w:rPr>
            </w:pP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7"/>
              </w:rPr>
              <w:t>------------------------------------</w:t>
            </w:r>
          </w:p>
        </w:tc>
        <w:tc>
          <w:tcPr>
            <w:tcW w:w="640" w:type="dxa"/>
            <w:vAlign w:val="bottom"/>
          </w:tcPr>
          <w:p>
            <w:pPr>
              <w:spacing w:after="0"/>
              <w:rPr>
                <w:sz w:val="14"/>
                <w:szCs w:val="14"/>
                <w:color w:val="auto"/>
              </w:rPr>
            </w:pPr>
          </w:p>
        </w:tc>
        <w:tc>
          <w:tcPr>
            <w:tcW w:w="35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Retail Properties - Excluding Santana Row (2)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14,687,000</w:t>
            </w:r>
          </w:p>
        </w:tc>
        <w:tc>
          <w:tcPr>
            <w:tcW w:w="18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14,093,000</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95.9%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14,863,000</w:t>
            </w:r>
          </w:p>
        </w:tc>
        <w:tc>
          <w:tcPr>
            <w:tcW w:w="1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14,201,000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95.5%</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Retail Properties - Including Santana Row</w:t>
            </w:r>
          </w:p>
        </w:tc>
        <w:tc>
          <w:tcPr>
            <w:tcW w:w="1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Phase 1 (2)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c>
          <w:tcPr>
            <w:tcW w:w="18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N/A</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N/A</w:t>
            </w:r>
          </w:p>
        </w:tc>
        <w:tc>
          <w:tcPr>
            <w:tcW w:w="1120" w:type="dxa"/>
            <w:vAlign w:val="bottom"/>
          </w:tcPr>
          <w:p>
            <w:pPr>
              <w:ind w:left="820"/>
              <w:spacing w:after="0"/>
              <w:rPr>
                <w:sz w:val="20"/>
                <w:szCs w:val="20"/>
                <w:color w:val="auto"/>
              </w:rPr>
            </w:pPr>
            <w:r>
              <w:rPr>
                <w:rFonts w:ascii="Courier New" w:cs="Courier New" w:eastAsia="Courier New" w:hAnsi="Courier New"/>
                <w:sz w:val="14"/>
                <w:szCs w:val="14"/>
                <w:color w:val="auto"/>
              </w:rPr>
              <w:t>N/A</w:t>
            </w:r>
          </w:p>
        </w:tc>
        <w:tc>
          <w:tcPr>
            <w:tcW w:w="1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N/A</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282</w:t>
            </w:r>
          </w:p>
        </w:tc>
        <w:tc>
          <w:tcPr>
            <w:tcW w:w="18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280</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99.3%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282</w:t>
            </w:r>
          </w:p>
        </w:tc>
        <w:tc>
          <w:tcPr>
            <w:tcW w:w="1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97.2%</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hanging="432"/>
        <w:spacing w:after="0"/>
        <w:tabs>
          <w:tab w:leader="none" w:pos="4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Glossary of Terms</w:t>
      </w:r>
    </w:p>
    <w:p>
      <w:pPr>
        <w:spacing w:after="0" w:line="7" w:lineRule="exact"/>
        <w:rPr>
          <w:rFonts w:ascii="Courier New" w:cs="Courier New" w:eastAsia="Courier New" w:hAnsi="Courier New"/>
          <w:sz w:val="14"/>
          <w:szCs w:val="14"/>
          <w:color w:val="auto"/>
        </w:rPr>
      </w:pPr>
    </w:p>
    <w:p>
      <w:pPr>
        <w:ind w:left="440" w:right="4720" w:hanging="432"/>
        <w:spacing w:after="0" w:line="250" w:lineRule="auto"/>
        <w:tabs>
          <w:tab w:leader="none" w:pos="4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Leasable square feet; excludes redevelopment square footage not yet placed in service and Phase II and other future phases of Santana Row.</w:t>
      </w:r>
    </w:p>
    <w:p>
      <w:pPr>
        <w:ind w:left="440" w:hanging="432"/>
        <w:spacing w:after="0"/>
        <w:tabs>
          <w:tab w:leader="none" w:pos="44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444,000 square feet of Santana Row Phase I.</w:t>
      </w:r>
    </w:p>
    <w:p>
      <w:pPr>
        <w:sectPr>
          <w:pgSz w:w="11900" w:h="16838" w:orient="portrait"/>
          <w:cols w:equalWidth="0" w:num="1">
            <w:col w:w="11540"/>
          </w:cols>
          <w:pgMar w:left="220" w:top="616" w:right="139"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Occupancy Summary - Same Center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2002</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4"/>
          <w:szCs w:val="14"/>
          <w:color w:val="auto"/>
        </w:rPr>
        <w:t>Same Center Occupancy</w:t>
        <w:tab/>
        <w:t>(1)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(Quarter to Quarter Comparison)</w:t>
            </w:r>
          </w:p>
        </w:tc>
        <w:tc>
          <w:tcPr>
            <w:tcW w:w="1980" w:type="dxa"/>
            <w:vAlign w:val="bottom"/>
          </w:tcPr>
          <w:p>
            <w:pPr>
              <w:spacing w:after="0"/>
              <w:rPr>
                <w:sz w:val="14"/>
                <w:szCs w:val="14"/>
                <w:color w:val="auto"/>
              </w:rPr>
            </w:pPr>
          </w:p>
        </w:tc>
        <w:tc>
          <w:tcPr>
            <w:tcW w:w="23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At December 31, 2002</w:t>
            </w:r>
          </w:p>
        </w:tc>
        <w:tc>
          <w:tcPr>
            <w:tcW w:w="322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At December 31, 2001</w:t>
            </w:r>
          </w:p>
        </w:tc>
      </w:tr>
      <w:tr>
        <w:trPr>
          <w:trHeight w:val="166"/>
        </w:trPr>
        <w:tc>
          <w:tcPr>
            <w:tcW w:w="3920" w:type="dxa"/>
            <w:vAlign w:val="bottom"/>
          </w:tcPr>
          <w:p>
            <w:pPr>
              <w:spacing w:after="0"/>
              <w:rPr>
                <w:sz w:val="14"/>
                <w:szCs w:val="14"/>
                <w:color w:val="auto"/>
              </w:rPr>
            </w:pPr>
          </w:p>
        </w:tc>
        <w:tc>
          <w:tcPr>
            <w:tcW w:w="754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 ------------------------------------</w:t>
            </w:r>
          </w:p>
        </w:tc>
      </w:tr>
      <w:tr>
        <w:trPr>
          <w:trHeight w:val="331"/>
        </w:trPr>
        <w:tc>
          <w:tcPr>
            <w:tcW w:w="3920" w:type="dxa"/>
            <w:vAlign w:val="bottom"/>
          </w:tcPr>
          <w:p>
            <w:pPr>
              <w:spacing w:after="0"/>
              <w:rPr>
                <w:sz w:val="20"/>
                <w:szCs w:val="20"/>
                <w:color w:val="auto"/>
              </w:rPr>
            </w:pPr>
            <w:r>
              <w:rPr>
                <w:rFonts w:ascii="Courier New" w:cs="Courier New" w:eastAsia="Courier New" w:hAnsi="Courier New"/>
                <w:sz w:val="14"/>
                <w:szCs w:val="14"/>
                <w:color w:val="auto"/>
              </w:rPr>
              <w:t>Type</w:t>
            </w:r>
          </w:p>
        </w:tc>
        <w:tc>
          <w:tcPr>
            <w:tcW w:w="1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Size</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Leased</w:t>
            </w:r>
          </w:p>
        </w:tc>
        <w:tc>
          <w:tcPr>
            <w:tcW w:w="1080" w:type="dxa"/>
            <w:vAlign w:val="bottom"/>
          </w:tcPr>
          <w:p>
            <w:pPr>
              <w:ind w:left="80"/>
              <w:spacing w:after="0"/>
              <w:rPr>
                <w:sz w:val="20"/>
                <w:szCs w:val="20"/>
                <w:color w:val="auto"/>
              </w:rPr>
            </w:pPr>
            <w:r>
              <w:rPr>
                <w:rFonts w:ascii="Courier New" w:cs="Courier New" w:eastAsia="Courier New" w:hAnsi="Courier New"/>
                <w:sz w:val="14"/>
                <w:szCs w:val="14"/>
                <w:color w:val="auto"/>
              </w:rPr>
              <w:t>Occupancy</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Size</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Leased</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w:t>
            </w:r>
          </w:p>
        </w:tc>
      </w:tr>
      <w:tr>
        <w:trPr>
          <w:trHeight w:val="331"/>
        </w:trPr>
        <w:tc>
          <w:tcPr>
            <w:tcW w:w="392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feet)(2)</w:t>
            </w:r>
          </w:p>
        </w:tc>
        <w:tc>
          <w:tcPr>
            <w:tcW w:w="1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14,603,000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13,965,000</w:t>
            </w:r>
          </w:p>
        </w:tc>
        <w:tc>
          <w:tcPr>
            <w:tcW w:w="108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95.6%</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14,588,000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13,945,000</w:t>
            </w:r>
          </w:p>
        </w:tc>
        <w:tc>
          <w:tcPr>
            <w:tcW w:w="9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95.6%</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282</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275</w:t>
            </w:r>
          </w:p>
        </w:tc>
        <w:tc>
          <w:tcPr>
            <w:tcW w:w="108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98.0%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282</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278</w:t>
            </w:r>
          </w:p>
        </w:tc>
        <w:tc>
          <w:tcPr>
            <w:tcW w:w="9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98.6%</w:t>
            </w:r>
          </w:p>
        </w:tc>
      </w:tr>
    </w:tbl>
    <w:p>
      <w:pPr>
        <w:spacing w:after="0" w:line="170" w:lineRule="exact"/>
        <w:rPr>
          <w:sz w:val="20"/>
          <w:szCs w:val="20"/>
          <w:color w:val="auto"/>
        </w:rPr>
      </w:pPr>
    </w:p>
    <w:p>
      <w:pPr>
        <w:ind w:left="180" w:hanging="172"/>
        <w:spacing w:after="0"/>
        <w:tabs>
          <w:tab w:leader="none" w:pos="1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Same Center Occupancy  (1)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(Rolling 12</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Months)</w:t>
            </w:r>
          </w:p>
        </w:tc>
        <w:tc>
          <w:tcPr>
            <w:tcW w:w="1900" w:type="dxa"/>
            <w:vAlign w:val="bottom"/>
          </w:tcPr>
          <w:p>
            <w:pPr>
              <w:spacing w:after="0"/>
              <w:rPr>
                <w:sz w:val="14"/>
                <w:szCs w:val="14"/>
                <w:color w:val="auto"/>
              </w:rPr>
            </w:pPr>
          </w:p>
        </w:tc>
        <w:tc>
          <w:tcPr>
            <w:tcW w:w="24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At December 31, 2002</w:t>
            </w:r>
          </w:p>
        </w:tc>
        <w:tc>
          <w:tcPr>
            <w:tcW w:w="900" w:type="dxa"/>
            <w:vAlign w:val="bottom"/>
          </w:tcPr>
          <w:p>
            <w:pPr>
              <w:spacing w:after="0"/>
              <w:rPr>
                <w:sz w:val="14"/>
                <w:szCs w:val="14"/>
                <w:color w:val="auto"/>
              </w:rPr>
            </w:pPr>
          </w:p>
        </w:tc>
        <w:tc>
          <w:tcPr>
            <w:tcW w:w="22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At September 30, 2002</w:t>
            </w:r>
          </w:p>
        </w:tc>
      </w:tr>
      <w:tr>
        <w:trPr>
          <w:trHeight w:val="166"/>
        </w:trPr>
        <w:tc>
          <w:tcPr>
            <w:tcW w:w="10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3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31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Retail Properties (leasable square feet)(2)</w:t>
            </w:r>
          </w:p>
        </w:tc>
        <w:tc>
          <w:tcPr>
            <w:tcW w:w="1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14,603,000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13,965,000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14,368,000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13,756,000</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95.7%</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Rollingwood</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Apartments (# of units)</w:t>
            </w:r>
          </w:p>
        </w:tc>
        <w:tc>
          <w:tcPr>
            <w:tcW w:w="1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282</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275</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282</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279</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98.9%</w:t>
            </w:r>
          </w:p>
        </w:tc>
      </w:tr>
      <w:tr>
        <w:trPr>
          <w:trHeight w:val="331"/>
        </w:trPr>
        <w:tc>
          <w:tcPr>
            <w:tcW w:w="10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4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At June 30, 2002</w:t>
            </w:r>
          </w:p>
        </w:tc>
        <w:tc>
          <w:tcPr>
            <w:tcW w:w="9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At March 31, 2002</w:t>
            </w:r>
          </w:p>
        </w:tc>
        <w:tc>
          <w:tcPr>
            <w:tcW w:w="520" w:type="dxa"/>
            <w:vAlign w:val="bottom"/>
          </w:tcPr>
          <w:p>
            <w:pPr>
              <w:spacing w:after="0"/>
              <w:rPr>
                <w:sz w:val="24"/>
                <w:szCs w:val="24"/>
                <w:color w:val="auto"/>
              </w:rPr>
            </w:pPr>
          </w:p>
        </w:tc>
      </w:tr>
      <w:tr>
        <w:trPr>
          <w:trHeight w:val="166"/>
        </w:trPr>
        <w:tc>
          <w:tcPr>
            <w:tcW w:w="10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74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Retail Properties (leasable square feet)(2)</w:t>
            </w:r>
          </w:p>
        </w:tc>
        <w:tc>
          <w:tcPr>
            <w:tcW w:w="1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14,251,000</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13,670,000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14,402,000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13,759,000</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95.5%</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Rollingwood</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Apartments (# of units)</w:t>
            </w:r>
          </w:p>
        </w:tc>
        <w:tc>
          <w:tcPr>
            <w:tcW w:w="1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282</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282</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274</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97.2%</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w:t>
      </w:r>
    </w:p>
    <w:p>
      <w:pPr>
        <w:spacing w:after="0" w:line="173" w:lineRule="exact"/>
        <w:rPr>
          <w:sz w:val="20"/>
          <w:szCs w:val="20"/>
          <w:color w:val="auto"/>
        </w:rPr>
      </w:pPr>
    </w:p>
    <w:p>
      <w:pPr>
        <w:ind w:left="360" w:hanging="352"/>
        <w:spacing w:after="0"/>
        <w:tabs>
          <w:tab w:leader="none" w:pos="3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Glossary of Terms.</w:t>
      </w:r>
    </w:p>
    <w:p>
      <w:pPr>
        <w:spacing w:after="0" w:line="7" w:lineRule="exact"/>
        <w:rPr>
          <w:rFonts w:ascii="Courier New" w:cs="Courier New" w:eastAsia="Courier New" w:hAnsi="Courier New"/>
          <w:sz w:val="14"/>
          <w:szCs w:val="14"/>
          <w:color w:val="auto"/>
        </w:rPr>
      </w:pPr>
    </w:p>
    <w:p>
      <w:pPr>
        <w:ind w:right="4820" w:firstLine="8"/>
        <w:spacing w:after="0" w:line="255" w:lineRule="auto"/>
        <w:tabs>
          <w:tab w:leader="none" w:pos="344"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centers purchased or sold as well as properties under development and redevelopment.</w:t>
      </w:r>
    </w:p>
    <w:p>
      <w:pPr>
        <w:sectPr>
          <w:pgSz w:w="11900" w:h="16838" w:orient="portrait"/>
          <w:cols w:equalWidth="0" w:num="1">
            <w:col w:w="11540"/>
          </w:cols>
          <w:pgMar w:left="220" w:top="616" w:right="139"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Top 25 Tenants - Prospective (January 2003 through December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jc w:val="right"/>
        <w:ind w:right="180"/>
        <w:spacing w:after="0"/>
        <w:tabs>
          <w:tab w:leader="none" w:pos="940" w:val="left"/>
        </w:tabs>
        <w:rPr>
          <w:sz w:val="20"/>
          <w:szCs w:val="20"/>
          <w:color w:val="auto"/>
        </w:rPr>
      </w:pPr>
      <w:r>
        <w:rPr>
          <w:rFonts w:ascii="Courier New" w:cs="Courier New" w:eastAsia="Courier New" w:hAnsi="Courier New"/>
          <w:sz w:val="14"/>
          <w:szCs w:val="14"/>
          <w:color w:val="auto"/>
        </w:rPr>
        <w:t>Percentage of</w:t>
      </w:r>
      <w:r>
        <w:rPr>
          <w:sz w:val="20"/>
          <w:szCs w:val="20"/>
          <w:color w:val="auto"/>
        </w:rPr>
        <w:tab/>
      </w:r>
      <w:r>
        <w:rPr>
          <w:rFonts w:ascii="Courier New" w:cs="Courier New" w:eastAsia="Courier New" w:hAnsi="Courier New"/>
          <w:sz w:val="14"/>
          <w:szCs w:val="14"/>
          <w:color w:val="auto"/>
        </w:rPr>
        <w:t>Number of</w:t>
      </w:r>
    </w:p>
    <w:p>
      <w:pPr>
        <w:spacing w:after="0" w:line="7" w:lineRule="exact"/>
        <w:rPr>
          <w:sz w:val="20"/>
          <w:szCs w:val="20"/>
          <w:color w:val="auto"/>
        </w:rPr>
      </w:pPr>
    </w:p>
    <w:p>
      <w:pPr>
        <w:jc w:val="right"/>
        <w:ind w:right="180"/>
        <w:spacing w:after="0"/>
        <w:tabs>
          <w:tab w:leader="none" w:pos="5420" w:val="left"/>
          <w:tab w:leader="none" w:pos="2480" w:val="left"/>
          <w:tab w:leader="none" w:pos="680" w:val="left"/>
        </w:tabs>
        <w:rPr>
          <w:sz w:val="20"/>
          <w:szCs w:val="20"/>
          <w:color w:val="auto"/>
        </w:rPr>
      </w:pPr>
      <w:r>
        <w:rPr>
          <w:rFonts w:ascii="Courier New" w:cs="Courier New" w:eastAsia="Courier New" w:hAnsi="Courier New"/>
          <w:sz w:val="14"/>
          <w:szCs w:val="14"/>
          <w:color w:val="auto"/>
        </w:rPr>
        <w:t>Annualized Base</w:t>
      </w:r>
      <w:r>
        <w:rPr>
          <w:sz w:val="20"/>
          <w:szCs w:val="20"/>
          <w:color w:val="auto"/>
        </w:rPr>
        <w:tab/>
      </w:r>
      <w:r>
        <w:rPr>
          <w:rFonts w:ascii="Courier New" w:cs="Courier New" w:eastAsia="Courier New" w:hAnsi="Courier New"/>
          <w:sz w:val="14"/>
          <w:szCs w:val="14"/>
          <w:color w:val="auto"/>
        </w:rPr>
        <w:t>Total Annualized</w:t>
      </w:r>
      <w:r>
        <w:rPr>
          <w:sz w:val="20"/>
          <w:szCs w:val="20"/>
          <w:color w:val="auto"/>
        </w:rPr>
        <w:tab/>
      </w:r>
      <w:r>
        <w:rPr>
          <w:rFonts w:ascii="Courier New" w:cs="Courier New" w:eastAsia="Courier New" w:hAnsi="Courier New"/>
          <w:sz w:val="14"/>
          <w:szCs w:val="14"/>
          <w:color w:val="auto"/>
        </w:rPr>
        <w:t>Percentage of</w:t>
      </w:r>
      <w:r>
        <w:rPr>
          <w:sz w:val="20"/>
          <w:szCs w:val="20"/>
          <w:color w:val="auto"/>
        </w:rPr>
        <w:tab/>
      </w:r>
      <w:r>
        <w:rPr>
          <w:rFonts w:ascii="Courier New" w:cs="Courier New" w:eastAsia="Courier New" w:hAnsi="Courier New"/>
          <w:sz w:val="14"/>
          <w:szCs w:val="14"/>
          <w:color w:val="auto"/>
        </w:rPr>
        <w:t>Stores</w:t>
      </w:r>
    </w:p>
    <w:p>
      <w:pPr>
        <w:spacing w:after="0" w:line="7" w:lineRule="exact"/>
        <w:rPr>
          <w:sz w:val="20"/>
          <w:szCs w:val="20"/>
          <w:color w:val="auto"/>
        </w:rPr>
      </w:pPr>
    </w:p>
    <w:p>
      <w:pPr>
        <w:jc w:val="both"/>
        <w:ind w:left="360"/>
        <w:spacing w:after="0"/>
        <w:tabs>
          <w:tab w:leader="none" w:pos="940" w:val="left"/>
          <w:tab w:leader="none" w:pos="5080" w:val="left"/>
          <w:tab w:leader="none" w:pos="6440" w:val="left"/>
          <w:tab w:leader="none" w:pos="7480" w:val="left"/>
          <w:tab w:leader="none" w:pos="9120" w:val="left"/>
          <w:tab w:leader="none" w:pos="10580" w:val="left"/>
        </w:tabs>
        <w:rPr>
          <w:sz w:val="20"/>
          <w:szCs w:val="20"/>
          <w:color w:val="auto"/>
        </w:rPr>
      </w:pPr>
      <w:r>
        <w:rPr>
          <w:rFonts w:ascii="Courier New" w:cs="Courier New" w:eastAsia="Courier New" w:hAnsi="Courier New"/>
          <w:sz w:val="14"/>
          <w:szCs w:val="14"/>
          <w:color w:val="auto"/>
        </w:rPr>
        <w:t>Rank</w:t>
      </w:r>
      <w:r>
        <w:rPr>
          <w:sz w:val="20"/>
          <w:szCs w:val="20"/>
          <w:color w:val="auto"/>
        </w:rPr>
        <w:tab/>
      </w:r>
      <w:r>
        <w:rPr>
          <w:rFonts w:ascii="Courier New" w:cs="Courier New" w:eastAsia="Courier New" w:hAnsi="Courier New"/>
          <w:sz w:val="14"/>
          <w:szCs w:val="14"/>
          <w:color w:val="auto"/>
        </w:rPr>
        <w:t>Tenant Name</w:t>
      </w:r>
      <w:r>
        <w:rPr>
          <w:sz w:val="20"/>
          <w:szCs w:val="20"/>
          <w:color w:val="auto"/>
        </w:rPr>
        <w:tab/>
      </w:r>
      <w:r>
        <w:rPr>
          <w:rFonts w:ascii="Courier New" w:cs="Courier New" w:eastAsia="Courier New" w:hAnsi="Courier New"/>
          <w:sz w:val="14"/>
          <w:szCs w:val="14"/>
          <w:color w:val="auto"/>
        </w:rPr>
        <w:t>Rent</w:t>
      </w:r>
      <w:r>
        <w:rPr>
          <w:sz w:val="20"/>
          <w:szCs w:val="20"/>
          <w:color w:val="auto"/>
        </w:rPr>
        <w:tab/>
      </w:r>
      <w:r>
        <w:rPr>
          <w:rFonts w:ascii="Courier New" w:cs="Courier New" w:eastAsia="Courier New" w:hAnsi="Courier New"/>
          <w:sz w:val="14"/>
          <w:szCs w:val="14"/>
          <w:color w:val="auto"/>
        </w:rPr>
        <w:t>Base Rent</w:t>
      </w:r>
      <w:r>
        <w:rPr>
          <w:sz w:val="20"/>
          <w:szCs w:val="20"/>
          <w:color w:val="auto"/>
        </w:rPr>
        <w:tab/>
      </w:r>
      <w:r>
        <w:rPr>
          <w:rFonts w:ascii="Courier New" w:cs="Courier New" w:eastAsia="Courier New" w:hAnsi="Courier New"/>
          <w:sz w:val="14"/>
          <w:szCs w:val="14"/>
          <w:color w:val="auto"/>
        </w:rPr>
        <w:t>Tenant GLA</w:t>
      </w:r>
      <w:r>
        <w:rPr>
          <w:sz w:val="20"/>
          <w:szCs w:val="20"/>
          <w:color w:val="auto"/>
        </w:rPr>
        <w:tab/>
      </w:r>
      <w:r>
        <w:rPr>
          <w:rFonts w:ascii="Courier New" w:cs="Courier New" w:eastAsia="Courier New" w:hAnsi="Courier New"/>
          <w:sz w:val="14"/>
          <w:szCs w:val="14"/>
          <w:color w:val="auto"/>
        </w:rPr>
        <w:t>Total GLA</w:t>
      </w:r>
      <w:r>
        <w:rPr>
          <w:sz w:val="20"/>
          <w:szCs w:val="20"/>
          <w:color w:val="auto"/>
        </w:rPr>
        <w:tab/>
      </w:r>
      <w:r>
        <w:rPr>
          <w:rFonts w:ascii="Courier New" w:cs="Courier New" w:eastAsia="Courier New" w:hAnsi="Courier New"/>
          <w:sz w:val="14"/>
          <w:szCs w:val="14"/>
          <w:color w:val="auto"/>
        </w:rPr>
        <w:t>Leased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w:t>
            </w:r>
          </w:p>
        </w:tc>
        <w:tc>
          <w:tcPr>
            <w:tcW w:w="2280" w:type="dxa"/>
            <w:vAlign w:val="bottom"/>
          </w:tcPr>
          <w:p>
            <w:pPr>
              <w:ind w:left="140"/>
              <w:spacing w:after="0"/>
              <w:rPr>
                <w:sz w:val="20"/>
                <w:szCs w:val="20"/>
                <w:color w:val="auto"/>
              </w:rPr>
            </w:pPr>
            <w:r>
              <w:rPr>
                <w:rFonts w:ascii="Courier New" w:cs="Courier New" w:eastAsia="Courier New" w:hAnsi="Courier New"/>
                <w:sz w:val="14"/>
                <w:szCs w:val="14"/>
                <w:color w:val="auto"/>
              </w:rPr>
              <w:t>Gap, Inc., The</w:t>
            </w:r>
          </w:p>
        </w:tc>
        <w:tc>
          <w:tcPr>
            <w:tcW w:w="920" w:type="dxa"/>
            <w:vAlign w:val="bottom"/>
          </w:tcPr>
          <w:p>
            <w:pPr>
              <w:spacing w:after="0"/>
              <w:rPr>
                <w:sz w:val="14"/>
                <w:szCs w:val="14"/>
                <w:color w:val="auto"/>
              </w:rPr>
            </w:pP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6,005,000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210,000</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w:t>
            </w:r>
          </w:p>
        </w:tc>
        <w:tc>
          <w:tcPr>
            <w:tcW w:w="2280" w:type="dxa"/>
            <w:vAlign w:val="bottom"/>
          </w:tcPr>
          <w:p>
            <w:pPr>
              <w:ind w:left="140"/>
              <w:spacing w:after="0"/>
              <w:rPr>
                <w:sz w:val="20"/>
                <w:szCs w:val="20"/>
                <w:color w:val="auto"/>
              </w:rPr>
            </w:pPr>
            <w:r>
              <w:rPr>
                <w:rFonts w:ascii="Courier New" w:cs="Courier New" w:eastAsia="Courier New" w:hAnsi="Courier New"/>
                <w:sz w:val="14"/>
                <w:szCs w:val="14"/>
                <w:color w:val="auto"/>
              </w:rPr>
              <w:t>Safeway, Inc.</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5,500,000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413,000</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w:t>
            </w:r>
          </w:p>
        </w:tc>
        <w:tc>
          <w:tcPr>
            <w:tcW w:w="2280" w:type="dxa"/>
            <w:vAlign w:val="bottom"/>
          </w:tcPr>
          <w:p>
            <w:pPr>
              <w:ind w:left="140"/>
              <w:spacing w:after="0"/>
              <w:rPr>
                <w:sz w:val="20"/>
                <w:szCs w:val="20"/>
                <w:color w:val="auto"/>
              </w:rPr>
            </w:pPr>
            <w:r>
              <w:rPr>
                <w:rFonts w:ascii="Courier New" w:cs="Courier New" w:eastAsia="Courier New" w:hAnsi="Courier New"/>
                <w:sz w:val="14"/>
                <w:szCs w:val="14"/>
                <w:color w:val="auto"/>
              </w:rPr>
              <w:t>Ahold USA, Inc.</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5,431,000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505,000</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w:t>
            </w:r>
          </w:p>
        </w:tc>
        <w:tc>
          <w:tcPr>
            <w:tcW w:w="2280" w:type="dxa"/>
            <w:vAlign w:val="bottom"/>
          </w:tcPr>
          <w:p>
            <w:pPr>
              <w:ind w:left="140"/>
              <w:spacing w:after="0"/>
              <w:rPr>
                <w:sz w:val="20"/>
                <w:szCs w:val="20"/>
                <w:color w:val="auto"/>
              </w:rPr>
            </w:pPr>
            <w:r>
              <w:rPr>
                <w:rFonts w:ascii="Courier New" w:cs="Courier New" w:eastAsia="Courier New" w:hAnsi="Courier New"/>
                <w:sz w:val="14"/>
                <w:szCs w:val="14"/>
                <w:color w:val="auto"/>
              </w:rPr>
              <w:t>Bed, Bath &amp; Beyond, Inc.</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4,975,000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358,000</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w:t>
            </w:r>
          </w:p>
        </w:tc>
        <w:tc>
          <w:tcPr>
            <w:tcW w:w="2280" w:type="dxa"/>
            <w:vAlign w:val="bottom"/>
          </w:tcPr>
          <w:p>
            <w:pPr>
              <w:ind w:left="140"/>
              <w:spacing w:after="0"/>
              <w:rPr>
                <w:sz w:val="20"/>
                <w:szCs w:val="20"/>
                <w:color w:val="auto"/>
              </w:rPr>
            </w:pPr>
            <w:r>
              <w:rPr>
                <w:rFonts w:ascii="Courier New" w:cs="Courier New" w:eastAsia="Courier New" w:hAnsi="Courier New"/>
                <w:sz w:val="14"/>
                <w:szCs w:val="14"/>
                <w:color w:val="auto"/>
              </w:rPr>
              <w:t>CVS Corporation</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3,738,000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155,000</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w:t>
            </w:r>
          </w:p>
        </w:tc>
        <w:tc>
          <w:tcPr>
            <w:tcW w:w="2280" w:type="dxa"/>
            <w:vAlign w:val="bottom"/>
          </w:tcPr>
          <w:p>
            <w:pPr>
              <w:ind w:left="140"/>
              <w:spacing w:after="0"/>
              <w:rPr>
                <w:sz w:val="20"/>
                <w:szCs w:val="20"/>
                <w:color w:val="auto"/>
              </w:rPr>
            </w:pPr>
            <w:r>
              <w:rPr>
                <w:rFonts w:ascii="Courier New" w:cs="Courier New" w:eastAsia="Courier New" w:hAnsi="Courier New"/>
                <w:sz w:val="14"/>
                <w:szCs w:val="14"/>
                <w:color w:val="auto"/>
              </w:rPr>
              <w:t>Barnes &amp; Noble, Inc.</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3,664,000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166,000</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w:t>
            </w:r>
          </w:p>
        </w:tc>
        <w:tc>
          <w:tcPr>
            <w:tcW w:w="2280" w:type="dxa"/>
            <w:vAlign w:val="bottom"/>
          </w:tcPr>
          <w:p>
            <w:pPr>
              <w:ind w:left="140"/>
              <w:spacing w:after="0"/>
              <w:rPr>
                <w:sz w:val="20"/>
                <w:szCs w:val="20"/>
                <w:color w:val="auto"/>
              </w:rPr>
            </w:pPr>
            <w:r>
              <w:rPr>
                <w:rFonts w:ascii="Courier New" w:cs="Courier New" w:eastAsia="Courier New" w:hAnsi="Courier New"/>
                <w:sz w:val="14"/>
                <w:szCs w:val="14"/>
                <w:color w:val="auto"/>
              </w:rPr>
              <w:t>TJX Companies, The</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3,110,000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333,000</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w:t>
            </w:r>
          </w:p>
        </w:tc>
        <w:tc>
          <w:tcPr>
            <w:tcW w:w="2280" w:type="dxa"/>
            <w:vAlign w:val="bottom"/>
          </w:tcPr>
          <w:p>
            <w:pPr>
              <w:ind w:left="140"/>
              <w:spacing w:after="0"/>
              <w:rPr>
                <w:sz w:val="20"/>
                <w:szCs w:val="20"/>
                <w:color w:val="auto"/>
              </w:rPr>
            </w:pPr>
            <w:r>
              <w:rPr>
                <w:rFonts w:ascii="Courier New" w:cs="Courier New" w:eastAsia="Courier New" w:hAnsi="Courier New"/>
                <w:sz w:val="14"/>
                <w:szCs w:val="14"/>
                <w:color w:val="auto"/>
              </w:rPr>
              <w:t>Toys R Us, Inc.</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3,027,000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326,000</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w:t>
            </w:r>
          </w:p>
        </w:tc>
        <w:tc>
          <w:tcPr>
            <w:tcW w:w="2280" w:type="dxa"/>
            <w:vAlign w:val="bottom"/>
          </w:tcPr>
          <w:p>
            <w:pPr>
              <w:ind w:left="140"/>
              <w:spacing w:after="0"/>
              <w:rPr>
                <w:sz w:val="20"/>
                <w:szCs w:val="20"/>
                <w:color w:val="auto"/>
              </w:rPr>
            </w:pPr>
            <w:r>
              <w:rPr>
                <w:rFonts w:ascii="Courier New" w:cs="Courier New" w:eastAsia="Courier New" w:hAnsi="Courier New"/>
                <w:sz w:val="14"/>
                <w:szCs w:val="14"/>
                <w:color w:val="auto"/>
              </w:rPr>
              <w:t>Borders Group, Inc.</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2,659,000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135,000</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0.89%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10</w:t>
            </w:r>
          </w:p>
        </w:tc>
        <w:tc>
          <w:tcPr>
            <w:tcW w:w="2280" w:type="dxa"/>
            <w:vAlign w:val="bottom"/>
          </w:tcPr>
          <w:p>
            <w:pPr>
              <w:ind w:left="140"/>
              <w:spacing w:after="0"/>
              <w:rPr>
                <w:sz w:val="20"/>
                <w:szCs w:val="20"/>
                <w:color w:val="auto"/>
              </w:rPr>
            </w:pPr>
            <w:r>
              <w:rPr>
                <w:rFonts w:ascii="Courier New" w:cs="Courier New" w:eastAsia="Courier New" w:hAnsi="Courier New"/>
                <w:sz w:val="14"/>
                <w:szCs w:val="14"/>
                <w:color w:val="auto"/>
              </w:rPr>
              <w:t>MTS, Inc.</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2,434,000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106,000</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0.70%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11</w:t>
            </w:r>
          </w:p>
        </w:tc>
        <w:tc>
          <w:tcPr>
            <w:tcW w:w="32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Great Atlantic &amp; Pacific Tea Co.</w:t>
            </w: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2,380,000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239,000</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12</w:t>
            </w:r>
          </w:p>
        </w:tc>
        <w:tc>
          <w:tcPr>
            <w:tcW w:w="2280" w:type="dxa"/>
            <w:vAlign w:val="bottom"/>
          </w:tcPr>
          <w:p>
            <w:pPr>
              <w:ind w:left="140"/>
              <w:spacing w:after="0"/>
              <w:rPr>
                <w:sz w:val="20"/>
                <w:szCs w:val="20"/>
                <w:color w:val="auto"/>
              </w:rPr>
            </w:pPr>
            <w:r>
              <w:rPr>
                <w:rFonts w:ascii="Courier New" w:cs="Courier New" w:eastAsia="Courier New" w:hAnsi="Courier New"/>
                <w:sz w:val="14"/>
                <w:szCs w:val="14"/>
                <w:color w:val="auto"/>
              </w:rPr>
              <w:t>OPNET Technologies, Inc.</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2,336,000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60,000</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0.39%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13</w:t>
            </w:r>
          </w:p>
        </w:tc>
        <w:tc>
          <w:tcPr>
            <w:tcW w:w="2280" w:type="dxa"/>
            <w:vAlign w:val="bottom"/>
          </w:tcPr>
          <w:p>
            <w:pPr>
              <w:ind w:left="140"/>
              <w:spacing w:after="0"/>
              <w:rPr>
                <w:sz w:val="20"/>
                <w:szCs w:val="20"/>
                <w:color w:val="auto"/>
              </w:rPr>
            </w:pPr>
            <w:r>
              <w:rPr>
                <w:rFonts w:ascii="Courier New" w:cs="Courier New" w:eastAsia="Courier New" w:hAnsi="Courier New"/>
                <w:sz w:val="14"/>
                <w:szCs w:val="14"/>
                <w:color w:val="auto"/>
              </w:rPr>
              <w:t>Kmart Corporation</w:t>
            </w:r>
          </w:p>
        </w:tc>
        <w:tc>
          <w:tcPr>
            <w:tcW w:w="92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5"/>
              </w:rPr>
              <w:t>(1)</w:t>
            </w: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2,292,000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509,000</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14</w:t>
            </w:r>
          </w:p>
        </w:tc>
        <w:tc>
          <w:tcPr>
            <w:tcW w:w="2280" w:type="dxa"/>
            <w:vAlign w:val="bottom"/>
          </w:tcPr>
          <w:p>
            <w:pPr>
              <w:ind w:left="140"/>
              <w:spacing w:after="0"/>
              <w:rPr>
                <w:sz w:val="20"/>
                <w:szCs w:val="20"/>
                <w:color w:val="auto"/>
              </w:rPr>
            </w:pPr>
            <w:r>
              <w:rPr>
                <w:rFonts w:ascii="Courier New" w:cs="Courier New" w:eastAsia="Courier New" w:hAnsi="Courier New"/>
                <w:sz w:val="14"/>
                <w:szCs w:val="14"/>
                <w:color w:val="auto"/>
              </w:rPr>
              <w:t>Dollar Tree Stores, Inc.</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1,985,000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166,000</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15</w:t>
            </w:r>
          </w:p>
        </w:tc>
        <w:tc>
          <w:tcPr>
            <w:tcW w:w="2280" w:type="dxa"/>
            <w:vAlign w:val="bottom"/>
          </w:tcPr>
          <w:p>
            <w:pPr>
              <w:ind w:left="140"/>
              <w:spacing w:after="0"/>
              <w:rPr>
                <w:sz w:val="20"/>
                <w:szCs w:val="20"/>
                <w:color w:val="auto"/>
              </w:rPr>
            </w:pPr>
            <w:r>
              <w:rPr>
                <w:rFonts w:ascii="Courier New" w:cs="Courier New" w:eastAsia="Courier New" w:hAnsi="Courier New"/>
                <w:sz w:val="14"/>
                <w:szCs w:val="14"/>
                <w:color w:val="auto"/>
              </w:rPr>
              <w:t>Dress Barn, Inc.</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1,951,000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103,000</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0.68%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16</w:t>
            </w:r>
          </w:p>
        </w:tc>
        <w:tc>
          <w:tcPr>
            <w:tcW w:w="2280" w:type="dxa"/>
            <w:vAlign w:val="bottom"/>
          </w:tcPr>
          <w:p>
            <w:pPr>
              <w:ind w:left="140"/>
              <w:spacing w:after="0"/>
              <w:rPr>
                <w:sz w:val="20"/>
                <w:szCs w:val="20"/>
                <w:color w:val="auto"/>
              </w:rPr>
            </w:pPr>
            <w:r>
              <w:rPr>
                <w:rFonts w:ascii="Courier New" w:cs="Courier New" w:eastAsia="Courier New" w:hAnsi="Courier New"/>
                <w:sz w:val="14"/>
                <w:szCs w:val="14"/>
                <w:color w:val="auto"/>
              </w:rPr>
              <w:t>Wakefern Food Corporation</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1,878,000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157,000</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17</w:t>
            </w:r>
          </w:p>
        </w:tc>
        <w:tc>
          <w:tcPr>
            <w:tcW w:w="2280" w:type="dxa"/>
            <w:vAlign w:val="bottom"/>
          </w:tcPr>
          <w:p>
            <w:pPr>
              <w:ind w:left="140"/>
              <w:spacing w:after="0"/>
              <w:rPr>
                <w:sz w:val="20"/>
                <w:szCs w:val="20"/>
                <w:color w:val="auto"/>
              </w:rPr>
            </w:pPr>
            <w:r>
              <w:rPr>
                <w:rFonts w:ascii="Courier New" w:cs="Courier New" w:eastAsia="Courier New" w:hAnsi="Courier New"/>
                <w:sz w:val="14"/>
                <w:szCs w:val="14"/>
                <w:color w:val="auto"/>
              </w:rPr>
              <w:t>Bally's Health &amp; Tennis</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1,722,000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140,000</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0.92%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18</w:t>
            </w:r>
          </w:p>
        </w:tc>
        <w:tc>
          <w:tcPr>
            <w:tcW w:w="2280" w:type="dxa"/>
            <w:vAlign w:val="bottom"/>
          </w:tcPr>
          <w:p>
            <w:pPr>
              <w:ind w:left="140"/>
              <w:spacing w:after="0"/>
              <w:rPr>
                <w:sz w:val="20"/>
                <w:szCs w:val="20"/>
                <w:color w:val="auto"/>
              </w:rPr>
            </w:pPr>
            <w:r>
              <w:rPr>
                <w:rFonts w:ascii="Courier New" w:cs="Courier New" w:eastAsia="Courier New" w:hAnsi="Courier New"/>
                <w:sz w:val="14"/>
                <w:szCs w:val="14"/>
                <w:color w:val="auto"/>
              </w:rPr>
              <w:t>CompUSA, Inc.</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1,696,000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108,000</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0.71%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19</w:t>
            </w:r>
          </w:p>
        </w:tc>
        <w:tc>
          <w:tcPr>
            <w:tcW w:w="2280" w:type="dxa"/>
            <w:vAlign w:val="bottom"/>
          </w:tcPr>
          <w:p>
            <w:pPr>
              <w:ind w:left="140"/>
              <w:spacing w:after="0"/>
              <w:rPr>
                <w:sz w:val="20"/>
                <w:szCs w:val="20"/>
                <w:color w:val="auto"/>
              </w:rPr>
            </w:pPr>
            <w:r>
              <w:rPr>
                <w:rFonts w:ascii="Courier New" w:cs="Courier New" w:eastAsia="Courier New" w:hAnsi="Courier New"/>
                <w:sz w:val="14"/>
                <w:szCs w:val="14"/>
                <w:color w:val="auto"/>
              </w:rPr>
              <w:t>Michaels Stores, Inc.</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1,692,000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144,000</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0.94%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20</w:t>
            </w:r>
          </w:p>
        </w:tc>
        <w:tc>
          <w:tcPr>
            <w:tcW w:w="2280" w:type="dxa"/>
            <w:vAlign w:val="bottom"/>
          </w:tcPr>
          <w:p>
            <w:pPr>
              <w:ind w:left="140"/>
              <w:spacing w:after="0"/>
              <w:rPr>
                <w:sz w:val="20"/>
                <w:szCs w:val="20"/>
                <w:color w:val="auto"/>
              </w:rPr>
            </w:pPr>
            <w:r>
              <w:rPr>
                <w:rFonts w:ascii="Courier New" w:cs="Courier New" w:eastAsia="Courier New" w:hAnsi="Courier New"/>
                <w:sz w:val="14"/>
                <w:szCs w:val="14"/>
                <w:color w:val="auto"/>
              </w:rPr>
              <w:t>Whole Foods Market, Inc.</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1,650,000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82,000</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0.54%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21</w:t>
            </w:r>
          </w:p>
        </w:tc>
        <w:tc>
          <w:tcPr>
            <w:tcW w:w="2280" w:type="dxa"/>
            <w:vAlign w:val="bottom"/>
          </w:tcPr>
          <w:p>
            <w:pPr>
              <w:ind w:left="140"/>
              <w:spacing w:after="0"/>
              <w:rPr>
                <w:sz w:val="20"/>
                <w:szCs w:val="20"/>
                <w:color w:val="auto"/>
              </w:rPr>
            </w:pPr>
            <w:r>
              <w:rPr>
                <w:rFonts w:ascii="Courier New" w:cs="Courier New" w:eastAsia="Courier New" w:hAnsi="Courier New"/>
                <w:sz w:val="14"/>
                <w:szCs w:val="14"/>
                <w:color w:val="auto"/>
              </w:rPr>
              <w:t>Linens' N Things</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1,636,000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108,000</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0.71%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22</w:t>
            </w:r>
          </w:p>
        </w:tc>
        <w:tc>
          <w:tcPr>
            <w:tcW w:w="2280" w:type="dxa"/>
            <w:vAlign w:val="bottom"/>
          </w:tcPr>
          <w:p>
            <w:pPr>
              <w:ind w:left="140"/>
              <w:spacing w:after="0"/>
              <w:rPr>
                <w:sz w:val="20"/>
                <w:szCs w:val="20"/>
                <w:color w:val="auto"/>
              </w:rPr>
            </w:pPr>
            <w:r>
              <w:rPr>
                <w:rFonts w:ascii="Courier New" w:cs="Courier New" w:eastAsia="Courier New" w:hAnsi="Courier New"/>
                <w:sz w:val="14"/>
                <w:szCs w:val="14"/>
                <w:color w:val="auto"/>
              </w:rPr>
              <w:t>Saks &amp; Company</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1,635,000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36,000</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0.24%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23</w:t>
            </w:r>
          </w:p>
        </w:tc>
        <w:tc>
          <w:tcPr>
            <w:tcW w:w="2280" w:type="dxa"/>
            <w:vAlign w:val="bottom"/>
          </w:tcPr>
          <w:p>
            <w:pPr>
              <w:ind w:left="140"/>
              <w:spacing w:after="0"/>
              <w:rPr>
                <w:sz w:val="20"/>
                <w:szCs w:val="20"/>
                <w:color w:val="auto"/>
              </w:rPr>
            </w:pPr>
            <w:r>
              <w:rPr>
                <w:rFonts w:ascii="Courier New" w:cs="Courier New" w:eastAsia="Courier New" w:hAnsi="Courier New"/>
                <w:sz w:val="14"/>
                <w:szCs w:val="14"/>
                <w:color w:val="auto"/>
              </w:rPr>
              <w:t>Ross Stores, Inc.</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1,632,000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85,000</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0.56%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24</w:t>
            </w:r>
          </w:p>
        </w:tc>
        <w:tc>
          <w:tcPr>
            <w:tcW w:w="2280" w:type="dxa"/>
            <w:vAlign w:val="bottom"/>
          </w:tcPr>
          <w:p>
            <w:pPr>
              <w:ind w:left="140"/>
              <w:spacing w:after="0"/>
              <w:rPr>
                <w:sz w:val="20"/>
                <w:szCs w:val="20"/>
                <w:color w:val="auto"/>
              </w:rPr>
            </w:pPr>
            <w:r>
              <w:rPr>
                <w:rFonts w:ascii="Courier New" w:cs="Courier New" w:eastAsia="Courier New" w:hAnsi="Courier New"/>
                <w:sz w:val="14"/>
                <w:szCs w:val="14"/>
                <w:color w:val="auto"/>
              </w:rPr>
              <w:t>Home Depot, Inc.</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1,487,000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128,000</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0.84%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25</w:t>
            </w:r>
          </w:p>
        </w:tc>
        <w:tc>
          <w:tcPr>
            <w:tcW w:w="32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Viacom International, Inc.</w:t>
            </w:r>
          </w:p>
        </w:tc>
        <w:tc>
          <w:tcPr>
            <w:tcW w:w="5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1,459,000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61,000</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0.40%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0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Courier New" w:cs="Courier New" w:eastAsia="Courier New" w:hAnsi="Courier New"/>
                <w:sz w:val="14"/>
                <w:szCs w:val="14"/>
                <w:color w:val="auto"/>
              </w:rPr>
              <w:t>Totals - Top 25 Tenants</w:t>
            </w:r>
          </w:p>
        </w:tc>
        <w:tc>
          <w:tcPr>
            <w:tcW w:w="920" w:type="dxa"/>
            <w:vAlign w:val="bottom"/>
          </w:tcPr>
          <w:p>
            <w:pPr>
              <w:spacing w:after="0"/>
              <w:rPr>
                <w:sz w:val="24"/>
                <w:szCs w:val="24"/>
                <w:color w:val="auto"/>
              </w:rPr>
            </w:pP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67,974,000</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27.72%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4,833,000</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31.70%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177</w:t>
            </w:r>
          </w:p>
        </w:tc>
      </w:tr>
      <w:tr>
        <w:trPr>
          <w:trHeight w:val="166"/>
        </w:trPr>
        <w:tc>
          <w:tcPr>
            <w:tcW w:w="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300" w:type="dxa"/>
            <w:vAlign w:val="bottom"/>
          </w:tcPr>
          <w:p>
            <w:pPr>
              <w:spacing w:after="0"/>
              <w:rPr>
                <w:sz w:val="24"/>
                <w:szCs w:val="24"/>
                <w:color w:val="auto"/>
              </w:rPr>
            </w:pPr>
          </w:p>
        </w:tc>
        <w:tc>
          <w:tcPr>
            <w:tcW w:w="32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Total Annualized Base Rent:</w:t>
            </w:r>
          </w:p>
        </w:tc>
        <w:tc>
          <w:tcPr>
            <w:tcW w:w="20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$ 245,242,000</w:t>
            </w: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1"/>
        </w:trPr>
        <w:tc>
          <w:tcPr>
            <w:tcW w:w="300" w:type="dxa"/>
            <w:vAlign w:val="bottom"/>
          </w:tcPr>
          <w:p>
            <w:pPr>
              <w:spacing w:after="0"/>
              <w:rPr>
                <w:sz w:val="24"/>
                <w:szCs w:val="24"/>
                <w:color w:val="auto"/>
              </w:rPr>
            </w:pPr>
          </w:p>
        </w:tc>
        <w:tc>
          <w:tcPr>
            <w:tcW w:w="32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Total Portfolio Square Footage:</w:t>
            </w: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15,245,000</w:t>
            </w:r>
          </w:p>
        </w:tc>
        <w:tc>
          <w:tcPr>
            <w:tcW w:w="1980" w:type="dxa"/>
            <w:vAlign w:val="bottom"/>
          </w:tcPr>
          <w:p>
            <w:pPr>
              <w:jc w:val="right"/>
              <w:ind w:right="1248"/>
              <w:spacing w:after="0"/>
              <w:rPr>
                <w:sz w:val="20"/>
                <w:szCs w:val="20"/>
                <w:color w:val="auto"/>
              </w:rPr>
            </w:pPr>
            <w:r>
              <w:rPr>
                <w:rFonts w:ascii="Courier New" w:cs="Courier New" w:eastAsia="Courier New" w:hAnsi="Courier New"/>
                <w:sz w:val="14"/>
                <w:szCs w:val="14"/>
                <w:color w:val="auto"/>
              </w:rPr>
              <w:t>(2) (3)</w:t>
            </w:r>
          </w:p>
        </w:tc>
        <w:tc>
          <w:tcPr>
            <w:tcW w:w="740" w:type="dxa"/>
            <w:vAlign w:val="bottom"/>
          </w:tcPr>
          <w:p>
            <w:pPr>
              <w:spacing w:after="0"/>
              <w:rPr>
                <w:sz w:val="24"/>
                <w:szCs w:val="2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w:t>
      </w:r>
    </w:p>
    <w:p>
      <w:pPr>
        <w:spacing w:after="0" w:line="7" w:lineRule="exact"/>
        <w:rPr>
          <w:sz w:val="20"/>
          <w:szCs w:val="20"/>
          <w:color w:val="auto"/>
        </w:rPr>
      </w:pPr>
    </w:p>
    <w:p>
      <w:pPr>
        <w:ind w:left="180" w:hanging="172"/>
        <w:spacing w:after="0"/>
        <w:tabs>
          <w:tab w:leader="none" w:pos="1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700" w:right="4480" w:hanging="519"/>
        <w:spacing w:after="0" w:line="250" w:lineRule="auto"/>
        <w:tabs>
          <w:tab w:leader="none" w:pos="700"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Three of the Trust's five locations are designated for closure. These locations represent approximately 2.1% of total square footage and 0.7% of annualized base rent.</w:t>
      </w:r>
    </w:p>
    <w:p>
      <w:pPr>
        <w:spacing w:after="0" w:line="1" w:lineRule="exact"/>
        <w:rPr>
          <w:rFonts w:ascii="Courier New" w:cs="Courier New" w:eastAsia="Courier New" w:hAnsi="Courier New"/>
          <w:sz w:val="14"/>
          <w:szCs w:val="14"/>
          <w:color w:val="auto"/>
        </w:rPr>
      </w:pPr>
    </w:p>
    <w:p>
      <w:pPr>
        <w:ind w:left="700" w:hanging="519"/>
        <w:spacing w:after="0"/>
        <w:tabs>
          <w:tab w:leader="none" w:pos="700"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redevelopment square footage not yet placed in service.</w:t>
      </w:r>
    </w:p>
    <w:p>
      <w:pPr>
        <w:spacing w:after="0" w:line="7" w:lineRule="exact"/>
        <w:rPr>
          <w:rFonts w:ascii="Courier New" w:cs="Courier New" w:eastAsia="Courier New" w:hAnsi="Courier New"/>
          <w:sz w:val="14"/>
          <w:szCs w:val="14"/>
          <w:color w:val="auto"/>
        </w:rPr>
      </w:pPr>
    </w:p>
    <w:p>
      <w:pPr>
        <w:ind w:left="700" w:right="4920" w:hanging="519"/>
        <w:spacing w:after="0" w:line="255" w:lineRule="auto"/>
        <w:tabs>
          <w:tab w:leader="none" w:pos="700"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444,000 square feet of Santana Row Phase I, but no future Phases of Santana Row.</w:t>
      </w:r>
    </w:p>
    <w:p>
      <w:pPr>
        <w:sectPr>
          <w:pgSz w:w="11900" w:h="16838" w:orient="portrait"/>
          <w:cols w:equalWidth="0" w:num="1">
            <w:col w:w="11300"/>
          </w:cols>
          <w:pgMar w:left="220" w:top="616" w:right="379" w:bottom="1440" w:gutter="0" w:footer="0" w:header="0"/>
        </w:sectPr>
      </w:pPr>
    </w:p>
    <w:bookmarkStart w:id="34" w:name="page35"/>
    <w:bookmarkEnd w:id="34"/>
    <w:p>
      <w:pPr>
        <w:ind w:left="2760"/>
        <w:spacing w:after="0"/>
        <w:rPr>
          <w:sz w:val="20"/>
          <w:szCs w:val="20"/>
          <w:color w:val="auto"/>
        </w:rPr>
      </w:pPr>
      <w:r>
        <w:rPr>
          <w:rFonts w:ascii="Courier New" w:cs="Courier New" w:eastAsia="Courier New" w:hAnsi="Courier New"/>
          <w:sz w:val="14"/>
          <w:szCs w:val="14"/>
          <w:color w:val="auto"/>
        </w:rPr>
        <w:t>Glossary of Terms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Funds From Operations (FFO): a supplemental measure of real estate companies' operating performances. The National Association of Real Estate Investment Trusts ("NAREIT") defines FFO as follows: income available for common shareholders before depreciation and amortization of real estate assets and before extraordinary items less gains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because it primarily excludes the assumption that the value of the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34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Net Operating Income: Gross revenues, including mortgage interest income, less rental expenses and real estate taxes.</w:t>
      </w:r>
    </w:p>
    <w:p>
      <w:pPr>
        <w:spacing w:after="0" w:line="16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Occupancy: The portion of the property for which the Trust is collecting rent, or for which a lease has been signed but a tenant has not yet commenced, divided by the total square footage available for lease.</w:t>
      </w:r>
    </w:p>
    <w:p>
      <w:pPr>
        <w:spacing w:after="0" w:line="163"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Occupancy - overall: Occupancy for the entire portfolio -- includes all operating properties owned in reporting period.</w:t>
      </w:r>
    </w:p>
    <w:p>
      <w:pPr>
        <w:spacing w:after="0" w:line="16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Occupancy - same center: Occupancy for only those properties owned and operating in the periods being compared. Excludes centers purchased or sold as well as properties under redevelopment and development.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Tenant improvements: Represents the total dollars committed for the improvement (fit-out) of a space as relates to a specific lease. The amounts shown represent not only the estimated cost to fit-out the tenant space, but may also include base building costs (i.e. expansion, escalators or new entrances) which are required to make the space leasable.</w:t>
      </w:r>
    </w:p>
    <w:sectPr>
      <w:pgSz w:w="11900" w:h="16838" w:orient="portrait"/>
      <w:cols w:equalWidth="0" w:num="1">
        <w:col w:w="10239"/>
      </w:cols>
      <w:pgMar w:left="220" w:top="6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2"/>
    </w:lvl>
  </w:abstractNum>
  <w:abstractNum w:abstractNumId="1">
    <w:nsid w:val="2D1D5AE9"/>
    <w:multiLevelType w:val="hybridMultilevel"/>
    <w:lvl w:ilvl="0">
      <w:lvlJc w:val="left"/>
      <w:lvlText w:val="%1."/>
      <w:numFmt w:val="decimal"/>
      <w:start w:val="3"/>
    </w:lvl>
  </w:abstractNum>
  <w:abstractNum w:abstractNumId="2">
    <w:nsid w:val="6763845E"/>
    <w:multiLevelType w:val="hybridMultilevel"/>
    <w:lvl w:ilvl="0">
      <w:lvlJc w:val="left"/>
      <w:lvlText w:val="%1."/>
      <w:numFmt w:val="decimal"/>
      <w:start w:val="4"/>
    </w:lvl>
  </w:abstractNum>
  <w:abstractNum w:abstractNumId="3">
    <w:nsid w:val="75A2A8D4"/>
    <w:multiLevelType w:val="hybridMultilevel"/>
    <w:lvl w:ilvl="0">
      <w:lvlJc w:val="left"/>
      <w:lvlText w:val="%1."/>
      <w:numFmt w:val="decimal"/>
      <w:start w:val="11"/>
    </w:lvl>
  </w:abstractNum>
  <w:abstractNum w:abstractNumId="4">
    <w:nsid w:val="8EDBDAB"/>
    <w:multiLevelType w:val="hybridMultilevel"/>
    <w:lvl w:ilvl="0">
      <w:lvlJc w:val="left"/>
      <w:lvlText w:val="(%1)"/>
      <w:numFmt w:val="lowerLetter"/>
      <w:start w:val="3"/>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
      <w:numFmt w:val="bullet"/>
      <w:start w:val="1"/>
    </w:lvl>
    <w:lvl w:ilvl="1">
      <w:lvlJc w:val="left"/>
      <w:lvlText w:val="(%2)"/>
      <w:numFmt w:val="decimal"/>
      <w:start w:val="1"/>
    </w:lvl>
  </w:abstractNum>
  <w:abstractNum w:abstractNumId="17">
    <w:nsid w:val="7C3DBD3D"/>
    <w:multiLevelType w:val="hybridMultilevel"/>
    <w:lvl w:ilvl="0">
      <w:lvlJc w:val="left"/>
      <w:lvlText w:val="(%1)"/>
      <w:numFmt w:val="lowerLetter"/>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2019-12-12T09:20:18Z</dcterms:created>
  <dcterms:modified xsi:type="dcterms:W3CDTF">2019-12-12T09:20:18Z</dcterms:modified>
</cp:coreProperties>
</file>