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Federal Realty OP LP</w:t>
      </w: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044" w:type="dxa"/>
        <w:tblCellMar>
          <w:top w:w="0" w:type="dxa"/>
          <w:left w:w="0" w:type="dxa"/>
          <w:bottom w:w="0" w:type="dxa"/>
          <w:right w:w="0" w:type="dxa"/>
        </w:tblCellMar>
      </w:tblPr>
      <w:tr>
        <w:trPr>
          <w:trHeight w:val="238"/>
        </w:trPr>
        <w:tc>
          <w:tcPr>
            <w:tcW w:w="2440" w:type="dxa"/>
            <w:vAlign w:val="bottom"/>
          </w:tcPr>
          <w:p>
            <w:pPr>
              <w:spacing w:after="0"/>
              <w:rPr>
                <w:sz w:val="20"/>
                <w:szCs w:val="20"/>
                <w:color w:val="auto"/>
              </w:rPr>
            </w:pPr>
          </w:p>
        </w:tc>
        <w:tc>
          <w:tcPr>
            <w:tcW w:w="42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tc>
        <w:tc>
          <w:tcPr>
            <w:tcW w:w="2100" w:type="dxa"/>
            <w:vAlign w:val="bottom"/>
          </w:tcPr>
          <w:p>
            <w:pPr>
              <w:spacing w:after="0"/>
              <w:rPr>
                <w:sz w:val="20"/>
                <w:szCs w:val="20"/>
                <w:color w:val="auto"/>
              </w:rPr>
            </w:pPr>
          </w:p>
        </w:tc>
      </w:tr>
      <w:tr>
        <w:trPr>
          <w:trHeight w:val="434"/>
        </w:trPr>
        <w:tc>
          <w:tcPr>
            <w:tcW w:w="2440" w:type="dxa"/>
            <w:vAlign w:val="bottom"/>
          </w:tcPr>
          <w:p>
            <w:pPr>
              <w:jc w:val="center"/>
              <w:ind w:right="702"/>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4240" w:type="dxa"/>
            <w:vAlign w:val="bottom"/>
          </w:tcPr>
          <w:p>
            <w:pPr>
              <w:jc w:val="right"/>
              <w:ind w:right="1719"/>
              <w:spacing w:after="0"/>
              <w:rPr>
                <w:sz w:val="20"/>
                <w:szCs w:val="20"/>
                <w:color w:val="auto"/>
              </w:rPr>
            </w:pPr>
            <w:r>
              <w:rPr>
                <w:rFonts w:ascii="Times New Roman" w:cs="Times New Roman" w:eastAsia="Times New Roman" w:hAnsi="Times New Roman"/>
                <w:sz w:val="18"/>
                <w:szCs w:val="18"/>
                <w:b w:val="1"/>
                <w:bCs w:val="1"/>
                <w:color w:val="auto"/>
              </w:rPr>
              <w:t>1-07533</w:t>
            </w:r>
          </w:p>
        </w:tc>
        <w:tc>
          <w:tcPr>
            <w:tcW w:w="2100" w:type="dxa"/>
            <w:vAlign w:val="bottom"/>
          </w:tcPr>
          <w:p>
            <w:pPr>
              <w:jc w:val="center"/>
              <w:ind w:left="882"/>
              <w:spacing w:after="0"/>
              <w:rPr>
                <w:sz w:val="20"/>
                <w:szCs w:val="20"/>
                <w:color w:val="auto"/>
              </w:rPr>
            </w:pPr>
            <w:r>
              <w:rPr>
                <w:rFonts w:ascii="Times New Roman" w:cs="Times New Roman" w:eastAsia="Times New Roman" w:hAnsi="Times New Roman"/>
                <w:sz w:val="18"/>
                <w:szCs w:val="18"/>
                <w:b w:val="1"/>
                <w:bCs w:val="1"/>
                <w:color w:val="auto"/>
                <w:w w:val="98"/>
              </w:rPr>
              <w:t>87-3916363</w:t>
            </w:r>
          </w:p>
        </w:tc>
      </w:tr>
      <w:tr>
        <w:trPr>
          <w:trHeight w:val="148"/>
        </w:trPr>
        <w:tc>
          <w:tcPr>
            <w:tcW w:w="2440" w:type="dxa"/>
            <w:vAlign w:val="bottom"/>
          </w:tcPr>
          <w:p>
            <w:pPr>
              <w:jc w:val="center"/>
              <w:ind w:right="7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240" w:type="dxa"/>
            <w:vAlign w:val="bottom"/>
          </w:tcPr>
          <w:p>
            <w:pPr>
              <w:ind w:left="17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1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40" w:type="dxa"/>
            <w:vAlign w:val="bottom"/>
          </w:tcPr>
          <w:p>
            <w:pPr>
              <w:jc w:val="center"/>
              <w:ind w:right="7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240" w:type="dxa"/>
            <w:vAlign w:val="bottom"/>
          </w:tcPr>
          <w:p>
            <w:pPr>
              <w:ind w:left="17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100" w:type="dxa"/>
            <w:vAlign w:val="bottom"/>
          </w:tcPr>
          <w:p>
            <w:pPr>
              <w:jc w:val="center"/>
              <w:ind w:left="8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8"/>
        </w:trPr>
        <w:tc>
          <w:tcPr>
            <w:tcW w:w="2440" w:type="dxa"/>
            <w:vAlign w:val="bottom"/>
          </w:tcPr>
          <w:p>
            <w:pPr>
              <w:spacing w:after="0"/>
              <w:rPr>
                <w:sz w:val="24"/>
                <w:szCs w:val="24"/>
                <w:color w:val="auto"/>
              </w:rPr>
            </w:pPr>
          </w:p>
        </w:tc>
        <w:tc>
          <w:tcPr>
            <w:tcW w:w="424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Federal Realty OP LP</w:t>
            </w:r>
          </w:p>
        </w:tc>
        <w:tc>
          <w:tcPr>
            <w:tcW w:w="2100" w:type="dxa"/>
            <w:vAlign w:val="bottom"/>
          </w:tcPr>
          <w:p>
            <w:pPr>
              <w:spacing w:after="0"/>
              <w:rPr>
                <w:sz w:val="24"/>
                <w:szCs w:val="24"/>
                <w:color w:val="auto"/>
              </w:rPr>
            </w:pPr>
          </w:p>
        </w:tc>
      </w:tr>
      <w:tr>
        <w:trPr>
          <w:trHeight w:val="434"/>
        </w:trPr>
        <w:tc>
          <w:tcPr>
            <w:tcW w:w="2440" w:type="dxa"/>
            <w:vAlign w:val="bottom"/>
          </w:tcPr>
          <w:p>
            <w:pPr>
              <w:jc w:val="center"/>
              <w:ind w:right="7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40" w:type="dxa"/>
            <w:vAlign w:val="bottom"/>
          </w:tcPr>
          <w:p>
            <w:pPr>
              <w:jc w:val="right"/>
              <w:ind w:right="1459"/>
              <w:spacing w:after="0"/>
              <w:rPr>
                <w:sz w:val="20"/>
                <w:szCs w:val="20"/>
                <w:color w:val="auto"/>
              </w:rPr>
            </w:pPr>
            <w:r>
              <w:rPr>
                <w:rFonts w:ascii="Times New Roman" w:cs="Times New Roman" w:eastAsia="Times New Roman" w:hAnsi="Times New Roman"/>
                <w:sz w:val="18"/>
                <w:szCs w:val="18"/>
                <w:b w:val="1"/>
                <w:bCs w:val="1"/>
                <w:color w:val="auto"/>
              </w:rPr>
              <w:t>333-262016-01</w:t>
            </w:r>
          </w:p>
        </w:tc>
        <w:tc>
          <w:tcPr>
            <w:tcW w:w="2100" w:type="dxa"/>
            <w:vAlign w:val="bottom"/>
          </w:tcPr>
          <w:p>
            <w:pPr>
              <w:jc w:val="center"/>
              <w:ind w:left="882"/>
              <w:spacing w:after="0"/>
              <w:rPr>
                <w:sz w:val="20"/>
                <w:szCs w:val="20"/>
                <w:color w:val="auto"/>
              </w:rPr>
            </w:pPr>
            <w:r>
              <w:rPr>
                <w:rFonts w:ascii="Times New Roman" w:cs="Times New Roman" w:eastAsia="Times New Roman" w:hAnsi="Times New Roman"/>
                <w:sz w:val="18"/>
                <w:szCs w:val="18"/>
                <w:b w:val="1"/>
                <w:bCs w:val="1"/>
                <w:color w:val="auto"/>
                <w:w w:val="98"/>
              </w:rPr>
              <w:t>52-0782497</w:t>
            </w:r>
          </w:p>
        </w:tc>
      </w:tr>
      <w:tr>
        <w:trPr>
          <w:trHeight w:val="149"/>
        </w:trPr>
        <w:tc>
          <w:tcPr>
            <w:tcW w:w="2440" w:type="dxa"/>
            <w:vAlign w:val="bottom"/>
          </w:tcPr>
          <w:p>
            <w:pPr>
              <w:jc w:val="center"/>
              <w:ind w:right="7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240" w:type="dxa"/>
            <w:vAlign w:val="bottom"/>
          </w:tcPr>
          <w:p>
            <w:pPr>
              <w:ind w:left="17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1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40" w:type="dxa"/>
            <w:vAlign w:val="bottom"/>
          </w:tcPr>
          <w:p>
            <w:pPr>
              <w:jc w:val="center"/>
              <w:ind w:right="7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240" w:type="dxa"/>
            <w:vAlign w:val="bottom"/>
          </w:tcPr>
          <w:p>
            <w:pPr>
              <w:ind w:left="17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100" w:type="dxa"/>
            <w:vAlign w:val="bottom"/>
          </w:tcPr>
          <w:p>
            <w:pPr>
              <w:jc w:val="center"/>
              <w:ind w:left="8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17" w:lineRule="exact"/>
        <w:rPr>
          <w:sz w:val="24"/>
          <w:szCs w:val="24"/>
          <w:color w:val="auto"/>
        </w:rPr>
      </w:pPr>
    </w:p>
    <w:tbl>
      <w:tblPr>
        <w:tblLayout w:type="fixed"/>
        <w:tblInd w:w="1584" w:type="dxa"/>
        <w:tblCellMar>
          <w:top w:w="0" w:type="dxa"/>
          <w:left w:w="0" w:type="dxa"/>
          <w:bottom w:w="0" w:type="dxa"/>
          <w:right w:w="0" w:type="dxa"/>
        </w:tblCellMar>
      </w:tblPr>
      <w:tr>
        <w:trPr>
          <w:trHeight w:val="216"/>
        </w:trPr>
        <w:tc>
          <w:tcPr>
            <w:tcW w:w="4400" w:type="dxa"/>
            <w:vAlign w:val="bottom"/>
          </w:tcPr>
          <w:p>
            <w:pPr>
              <w:jc w:val="center"/>
              <w:ind w:right="1935"/>
              <w:spacing w:after="0"/>
              <w:rPr>
                <w:sz w:val="20"/>
                <w:szCs w:val="20"/>
                <w:color w:val="auto"/>
              </w:rPr>
            </w:pPr>
            <w:r>
              <w:rPr>
                <w:rFonts w:ascii="Times New Roman" w:cs="Times New Roman" w:eastAsia="Times New Roman" w:hAnsi="Times New Roman"/>
                <w:sz w:val="18"/>
                <w:szCs w:val="18"/>
                <w:b w:val="1"/>
                <w:bCs w:val="1"/>
                <w:color w:val="auto"/>
                <w:w w:val="99"/>
              </w:rPr>
              <w:t>909 Rose Avenue</w:t>
            </w:r>
          </w:p>
        </w:tc>
        <w:tc>
          <w:tcPr>
            <w:tcW w:w="2700" w:type="dxa"/>
            <w:vAlign w:val="bottom"/>
          </w:tcPr>
          <w:p>
            <w:pPr>
              <w:spacing w:after="0"/>
              <w:rPr>
                <w:sz w:val="18"/>
                <w:szCs w:val="18"/>
                <w:color w:val="auto"/>
              </w:rPr>
            </w:pPr>
          </w:p>
        </w:tc>
      </w:tr>
      <w:tr>
        <w:trPr>
          <w:trHeight w:val="216"/>
        </w:trPr>
        <w:tc>
          <w:tcPr>
            <w:tcW w:w="4400" w:type="dxa"/>
            <w:vAlign w:val="bottom"/>
          </w:tcPr>
          <w:p>
            <w:pPr>
              <w:jc w:val="center"/>
              <w:ind w:right="1935"/>
              <w:spacing w:after="0"/>
              <w:rPr>
                <w:sz w:val="20"/>
                <w:szCs w:val="20"/>
                <w:color w:val="auto"/>
              </w:rPr>
            </w:pPr>
            <w:r>
              <w:rPr>
                <w:rFonts w:ascii="Times New Roman" w:cs="Times New Roman" w:eastAsia="Times New Roman" w:hAnsi="Times New Roman"/>
                <w:sz w:val="18"/>
                <w:szCs w:val="18"/>
                <w:b w:val="1"/>
                <w:bCs w:val="1"/>
                <w:color w:val="auto"/>
                <w:w w:val="99"/>
              </w:rPr>
              <w:t>Suite 200</w:t>
            </w:r>
          </w:p>
        </w:tc>
        <w:tc>
          <w:tcPr>
            <w:tcW w:w="2700" w:type="dxa"/>
            <w:vAlign w:val="bottom"/>
          </w:tcPr>
          <w:p>
            <w:pPr>
              <w:spacing w:after="0"/>
              <w:rPr>
                <w:sz w:val="18"/>
                <w:szCs w:val="18"/>
                <w:color w:val="auto"/>
              </w:rPr>
            </w:pPr>
          </w:p>
        </w:tc>
      </w:tr>
      <w:tr>
        <w:trPr>
          <w:trHeight w:val="227"/>
        </w:trPr>
        <w:tc>
          <w:tcPr>
            <w:tcW w:w="4400" w:type="dxa"/>
            <w:vAlign w:val="bottom"/>
          </w:tcPr>
          <w:p>
            <w:pPr>
              <w:jc w:val="center"/>
              <w:ind w:right="1935"/>
              <w:spacing w:after="0"/>
              <w:rPr>
                <w:sz w:val="20"/>
                <w:szCs w:val="20"/>
                <w:color w:val="auto"/>
              </w:rPr>
            </w:pPr>
            <w:r>
              <w:rPr>
                <w:rFonts w:ascii="Times New Roman" w:cs="Times New Roman" w:eastAsia="Times New Roman" w:hAnsi="Times New Roman"/>
                <w:sz w:val="18"/>
                <w:szCs w:val="18"/>
                <w:b w:val="1"/>
                <w:bCs w:val="1"/>
                <w:color w:val="auto"/>
                <w:w w:val="99"/>
              </w:rPr>
              <w:t>North Bethesda, Maryland</w:t>
            </w:r>
          </w:p>
        </w:tc>
        <w:tc>
          <w:tcPr>
            <w:tcW w:w="270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20852</w:t>
            </w:r>
          </w:p>
        </w:tc>
      </w:tr>
      <w:tr>
        <w:trPr>
          <w:trHeight w:val="190"/>
        </w:trPr>
        <w:tc>
          <w:tcPr>
            <w:tcW w:w="4400" w:type="dxa"/>
            <w:vAlign w:val="bottom"/>
          </w:tcPr>
          <w:p>
            <w:pPr>
              <w:jc w:val="center"/>
              <w:ind w:right="193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00" w:type="dxa"/>
            <w:vAlign w:val="bottom"/>
          </w:tcPr>
          <w:p>
            <w:pPr>
              <w:jc w:val="center"/>
              <w:ind w:left="193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Shares of Beneficial Interest $.01 par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FRT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value per share, with associated Common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Purchase Rights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Depositary Shares, each representing 1/1000 of a</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3"/>
              </w:rPr>
              <w:t>FRT-C</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5.00% Series C Cumulative Redeemable Preferred</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Share of Beneficial Interest, $.01 par value per</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Federal Realty OP LP</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ectPr>
          <w:pgSz w:w="11900" w:h="16909" w:orient="portrait"/>
          <w:cols w:equalWidth="0" w:num="1">
            <w:col w:w="11024"/>
          </w:cols>
          <w:pgMar w:left="436" w:top="376" w:right="439" w:bottom="0" w:gutter="0" w:footer="0" w:header="0"/>
        </w:sectPr>
      </w:pPr>
    </w:p>
    <w:bookmarkStart w:id="1" w:name="page2"/>
    <w:bookmarkEnd w:id="1"/>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Federal Realty Investment Trust  </w:t>
      </w:r>
      <w:r>
        <w:rPr>
          <w:rFonts w:ascii="MS PGothic" w:cs="MS PGothic" w:eastAsia="MS PGothic" w:hAnsi="MS PGothic"/>
          <w:sz w:val="18"/>
          <w:szCs w:val="18"/>
          <w:color w:val="auto"/>
        </w:rPr>
        <w:t>☐</w:t>
      </w:r>
    </w:p>
    <w:p>
      <w:pPr>
        <w:spacing w:after="0" w:line="63"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Federal Realty OP LP  </w:t>
      </w:r>
      <w:r>
        <w:rPr>
          <w:rFonts w:ascii="MS PGothic" w:cs="MS PGothic" w:eastAsia="MS PGothic" w:hAnsi="MS PGothic"/>
          <w:sz w:val="18"/>
          <w:szCs w:val="18"/>
          <w:color w:val="auto"/>
        </w:rPr>
        <w:t>☐</w:t>
      </w:r>
    </w:p>
    <w:p>
      <w:pPr>
        <w:spacing w:after="0" w:line="212" w:lineRule="exact"/>
        <w:rPr>
          <w:sz w:val="20"/>
          <w:szCs w:val="20"/>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checkmark if the registrant has elected not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Federal Realty Investment Trust  </w:t>
      </w:r>
      <w:r>
        <w:rPr>
          <w:rFonts w:ascii="MS PGothic" w:cs="MS PGothic" w:eastAsia="MS PGothic" w:hAnsi="MS PGothic"/>
          <w:sz w:val="18"/>
          <w:szCs w:val="18"/>
          <w:color w:val="auto"/>
        </w:rPr>
        <w:t>☐</w:t>
      </w:r>
    </w:p>
    <w:p>
      <w:pPr>
        <w:spacing w:after="0" w:line="63"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Federal Realty OP LP 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154940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4" w:space="440"/>
            <w:col w:w="9780"/>
          </w:cols>
          <w:pgMar w:left="436" w:top="293" w:right="479" w:bottom="1440" w:gutter="0" w:footer="0" w:header="0"/>
        </w:sectPr>
      </w:pPr>
    </w:p>
    <w:p>
      <w:pPr>
        <w:ind w:left="4"/>
        <w:spacing w:after="0" w:line="276" w:lineRule="auto"/>
        <w:rPr>
          <w:sz w:val="20"/>
          <w:szCs w:val="20"/>
          <w:color w:val="auto"/>
        </w:rPr>
      </w:pPr>
      <w:r>
        <w:rPr>
          <w:rFonts w:ascii="Times New Roman" w:cs="Times New Roman" w:eastAsia="Times New Roman" w:hAnsi="Times New Roman"/>
          <w:sz w:val="17"/>
          <w:szCs w:val="17"/>
          <w:color w:val="auto"/>
        </w:rPr>
        <w:t>On February 12, 2025, the Compensation Committee of the Board of Trustees of Federal Realty Investment Trust (the “Company”) approved the following modified compensation arrangement for Daniel Guglielmone, the Company’s Executive Vice President-Chief Financial Officer and Treasurer:</w:t>
      </w:r>
    </w:p>
    <w:p>
      <w:pPr>
        <w:spacing w:after="0" w:line="1" w:lineRule="exact"/>
        <w:rPr>
          <w:sz w:val="20"/>
          <w:szCs w:val="20"/>
          <w:color w:val="auto"/>
        </w:rPr>
      </w:pPr>
    </w:p>
    <w:p>
      <w:pPr>
        <w:ind w:left="4" w:right="480" w:hanging="4"/>
        <w:spacing w:after="0" w:line="260"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of $650,000; (b) annual bonus target of 150% of base salary; and (c) annual target under our long-term incentive award program of $1,500,000.</w:t>
      </w:r>
    </w:p>
    <w:p>
      <w:pPr>
        <w:spacing w:after="0" w:line="32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As previously disclosed, the Company and Federal Realty OP LP (the “Partnership”) entered into an equity distribution agreement, dated February 14, 2022 (the “Distribution Agreement”), as amended on March 8, 2024 (the “First Amendment”), with Wells Fargo Securities, LLC, BNP Paribas Securities Corp., BofA Securities, Inc., Citigroup Global Markets Inc., Deutsche Bank Securities Inc., J.P. Morgan Securities LLC, Jefferies LLC, Regions Securities LLC, Scotia Capital (USA) Inc., SMBC Nikko Securities America, Inc., TD Securities (USA) LLC and Truist Securities, Inc. (collectively, the “Agents”), and the forward purchasers identified therein, pursuant to which the Company’s common shares of beneficial interest, $.01 par value per share (“Shares”), may be offered to or through the Agents, acting as sales agents, principals, or forward sellers.</w:t>
      </w:r>
    </w:p>
    <w:p>
      <w:pPr>
        <w:spacing w:after="0" w:line="187"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Effective as of March 8, 2024, the date of the First Amendment, Shares with an aggregate offering price of up to $500,000,000 were available for sale pursuant to the Distribution Agreement. Following the First Amendment, 3,183,181 Shares, with an aggregate offering price of $355,592,783, were sold under the Distribution Agreement. The Second Amendment increased the aggregate offering price of Shares that may be offered and sold under the Distribution Agreement to $750,000,000 as of February 14, 2025. From and after February 14, 2025, sales of Shares under the Distribution Agreement will be made pursuant to the prospectus supplement filed by the Company on February 14, 2025, and the Company terminated the offering of Shares under the prospectus supplement filed by the Company on March 8, 2024 that related to the offering of Shares under the Distribution Agreement.</w:t>
      </w:r>
    </w:p>
    <w:p>
      <w:pPr>
        <w:spacing w:after="0" w:line="187"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Second Amendment is filed as Exhibit 1.1 to this Current Report on Form 8-K and is incorporated herein by reference. The foregoing description of the material terms of the Second Amendment is qualified in its entirety by reference to such exhibit.</w:t>
      </w:r>
    </w:p>
    <w:p>
      <w:pPr>
        <w:spacing w:after="0" w:line="306"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2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60" w:type="dxa"/>
            <w:vAlign w:val="bottom"/>
            <w:vMerge w:val="restart"/>
          </w:tcPr>
          <w:p>
            <w:pPr>
              <w:ind w:left="4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80" w:type="dxa"/>
            <w:vAlign w:val="bottom"/>
          </w:tcPr>
          <w:p>
            <w:pPr>
              <w:spacing w:after="0"/>
              <w:rPr>
                <w:sz w:val="15"/>
                <w:szCs w:val="15"/>
                <w:color w:val="auto"/>
              </w:rPr>
            </w:pPr>
          </w:p>
        </w:tc>
        <w:tc>
          <w:tcPr>
            <w:tcW w:w="5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884" w:right="120" w:hanging="884"/>
        <w:spacing w:after="0" w:line="282" w:lineRule="auto"/>
        <w:tabs>
          <w:tab w:leader="none" w:pos="9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u w:val="single" w:color="auto"/>
          <w:color w:val="0000EE"/>
        </w:rPr>
        <w:t>Amendment No. 2, dated February 14, 2025, to Equity Distribution Agreement dated February 14, 2022 among Federal Realty Investment Trust, Federal Realty OP LP and the forward purchasers and sales agents identified therein (filed herewith)</w:t>
      </w:r>
    </w:p>
    <w:p>
      <w:pPr>
        <w:spacing w:after="0" w:line="53" w:lineRule="exact"/>
        <w:rPr>
          <w:rFonts w:ascii="Times New Roman" w:cs="Times New Roman" w:eastAsia="Times New Roman" w:hAnsi="Times New Roman"/>
          <w:sz w:val="18"/>
          <w:szCs w:val="18"/>
          <w:color w:val="auto"/>
        </w:rPr>
      </w:pPr>
    </w:p>
    <w:p>
      <w:pPr>
        <w:ind w:left="884" w:right="600" w:hanging="884"/>
        <w:spacing w:after="0" w:line="282" w:lineRule="auto"/>
        <w:tabs>
          <w:tab w:leader="none" w:pos="9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8"/>
          <w:szCs w:val="18"/>
          <w:u w:val="single" w:color="auto"/>
          <w:color w:val="0000EE"/>
        </w:rPr>
        <w:t>Opinion of Pillsbury Winthrop Shaw Pittman LLP relating to legality of the Shares issuable under the Distribution Agreement (filed herewith)</w:t>
      </w:r>
    </w:p>
    <w:p>
      <w:pPr>
        <w:spacing w:after="0" w:line="40"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74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Consent of Pillsbury Winthrop Shaw Pittman LLP (contained in the opinion filed as Exhibit 5.1 hereto)</w:t>
            </w:r>
          </w:p>
        </w:tc>
        <w:tc>
          <w:tcPr>
            <w:tcW w:w="1160" w:type="dxa"/>
            <w:vAlign w:val="bottom"/>
          </w:tcPr>
          <w:p>
            <w:pPr>
              <w:spacing w:after="0"/>
              <w:rPr>
                <w:sz w:val="18"/>
                <w:szCs w:val="18"/>
                <w:color w:val="auto"/>
              </w:rPr>
            </w:pP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(the Cover Page Interactive Data File is embedded within the Inline XBRL document)</w:t>
            </w:r>
          </w:p>
        </w:tc>
      </w:tr>
    </w:tbl>
    <w:p>
      <w:pPr>
        <w:sectPr>
          <w:pgSz w:w="11900" w:h="16838" w:orient="portrait"/>
          <w:cols w:equalWidth="0" w:num="1">
            <w:col w:w="10984"/>
          </w:cols>
          <w:pgMar w:left="436" w:top="293" w:right="479" w:bottom="1440" w:gutter="0" w:footer="0" w:header="0"/>
          <w:type w:val="continuous"/>
        </w:sectPr>
      </w:pPr>
    </w:p>
    <w:bookmarkStart w:id="3" w:name="page4"/>
    <w:bookmarkEnd w:id="3"/>
    <w:p>
      <w:pPr>
        <w:jc w:val="center"/>
        <w:ind w:right="-4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registrants have duly caused this report to be signed on their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FEDERAL REALTY OP LP</w:t>
      </w:r>
    </w:p>
    <w:p>
      <w:pPr>
        <w:spacing w:after="0" w:line="220"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February 14,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Dawn M. Becker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President-Chief Legal Officer and Secretary</w:t>
      </w:r>
    </w:p>
    <w:p>
      <w:pPr>
        <w:sectPr>
          <w:pgSz w:w="11900" w:h="16838" w:orient="portrait"/>
          <w:cols w:equalWidth="0" w:num="1">
            <w:col w:w="10540"/>
          </w:cols>
          <w:pgMar w:left="440" w:top="297" w:right="9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DATED FEBRUARY 14, 2025,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DISTRIBUTION AGREEMENT, DATED FEBRUARY 14, 2022</w:t>
      </w:r>
    </w:p>
    <w:p>
      <w:pPr>
        <w:spacing w:after="0" w:line="203" w:lineRule="exact"/>
        <w:rPr>
          <w:sz w:val="20"/>
          <w:szCs w:val="20"/>
          <w:color w:val="auto"/>
        </w:rPr>
      </w:pPr>
    </w:p>
    <w:p>
      <w:pPr>
        <w:ind w:right="140" w:firstLine="440"/>
        <w:spacing w:after="0" w:line="253" w:lineRule="auto"/>
        <w:rPr>
          <w:sz w:val="20"/>
          <w:szCs w:val="20"/>
          <w:color w:val="auto"/>
        </w:rPr>
      </w:pPr>
      <w:r>
        <w:rPr>
          <w:rFonts w:ascii="Times New Roman" w:cs="Times New Roman" w:eastAsia="Times New Roman" w:hAnsi="Times New Roman"/>
          <w:sz w:val="18"/>
          <w:szCs w:val="18"/>
          <w:color w:val="auto"/>
        </w:rPr>
        <w:t>This Amendment No. 2 (this “</w:t>
      </w:r>
      <w:r>
        <w:rPr>
          <w:rFonts w:ascii="Times New Roman" w:cs="Times New Roman" w:eastAsia="Times New Roman" w:hAnsi="Times New Roman"/>
          <w:sz w:val="18"/>
          <w:szCs w:val="18"/>
          <w:b w:val="1"/>
          <w:bCs w:val="1"/>
          <w:color w:val="auto"/>
        </w:rPr>
        <w:t>Amendment No. 2</w:t>
      </w:r>
      <w:r>
        <w:rPr>
          <w:rFonts w:ascii="Times New Roman" w:cs="Times New Roman" w:eastAsia="Times New Roman" w:hAnsi="Times New Roman"/>
          <w:sz w:val="18"/>
          <w:szCs w:val="18"/>
          <w:color w:val="auto"/>
        </w:rPr>
        <w:t>”) to the Equity Distribution Agreement, dated February 14, 2022 (as amended by that certain Amendment No. 1 to Equity Distribution Agreement, dated March 8, 2024, the “</w:t>
      </w:r>
      <w:r>
        <w:rPr>
          <w:rFonts w:ascii="Times New Roman" w:cs="Times New Roman" w:eastAsia="Times New Roman" w:hAnsi="Times New Roman"/>
          <w:sz w:val="18"/>
          <w:szCs w:val="18"/>
          <w:b w:val="1"/>
          <w:bCs w:val="1"/>
          <w:color w:val="auto"/>
        </w:rPr>
        <w:t>Distribution Agreement</w:t>
      </w:r>
      <w:r>
        <w:rPr>
          <w:rFonts w:ascii="Times New Roman" w:cs="Times New Roman" w:eastAsia="Times New Roman" w:hAnsi="Times New Roman"/>
          <w:sz w:val="18"/>
          <w:szCs w:val="18"/>
          <w:color w:val="auto"/>
        </w:rPr>
        <w:t>”), by and among Federal Realty Investment Trust, a Maryland real estate investment trust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Federal Realty OP LP, a Delaware limited partnership (the “</w:t>
      </w:r>
      <w:r>
        <w:rPr>
          <w:rFonts w:ascii="Times New Roman" w:cs="Times New Roman" w:eastAsia="Times New Roman" w:hAnsi="Times New Roman"/>
          <w:sz w:val="18"/>
          <w:szCs w:val="18"/>
          <w:b w:val="1"/>
          <w:bCs w:val="1"/>
          <w:color w:val="auto"/>
        </w:rPr>
        <w:t>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Partnership</w:t>
      </w:r>
      <w:r>
        <w:rPr>
          <w:rFonts w:ascii="Times New Roman" w:cs="Times New Roman" w:eastAsia="Times New Roman" w:hAnsi="Times New Roman"/>
          <w:sz w:val="18"/>
          <w:szCs w:val="18"/>
          <w:color w:val="auto"/>
        </w:rPr>
        <w:t>”), and Wells Fargo Bank, National Association, BNP Paribas, Bank of America, N.A., Citibank, N.A., Deutsche Bank AG, London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Branch, JPMorgan Chase Bank, National Association, Jefferies LLC, Regions Securities LLC, The Bank of Nova Scotia, The Toronto-Dominion Bank and Truist Bank (each in its capacity as forward purchaser, a “</w:t>
      </w:r>
      <w:r>
        <w:rPr>
          <w:rFonts w:ascii="Times New Roman" w:cs="Times New Roman" w:eastAsia="Times New Roman" w:hAnsi="Times New Roman"/>
          <w:sz w:val="18"/>
          <w:szCs w:val="18"/>
          <w:b w:val="1"/>
          <w:bCs w:val="1"/>
          <w:color w:val="auto"/>
        </w:rPr>
        <w:t>Forward Purchaser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Forward Purchasers</w:t>
      </w:r>
      <w:r>
        <w:rPr>
          <w:rFonts w:ascii="Times New Roman" w:cs="Times New Roman" w:eastAsia="Times New Roman" w:hAnsi="Times New Roman"/>
          <w:sz w:val="18"/>
          <w:szCs w:val="18"/>
          <w:color w:val="auto"/>
        </w:rPr>
        <w:t>”) and Wells Fargo Securities, LLC, BNP Paribas Securities Corp., BofA Securities, Inc., Citigroup Global Markets Inc., Deutsche Bank Securities Inc., J.P. Morgan Securities LLC, Jefferies LLC, Regions Securities LLC, Scotia Capital (USA) Inc., SMBC Nikko Securities America, Inc., TD Securities (USA) LLC and Truist Securities, Inc. (each in its capacity as agent for the Company and/or principal in connection with the offering and sale of any Issuance Securities under the Distribution Agreement as further amended hereby, a “</w:t>
      </w:r>
      <w:r>
        <w:rPr>
          <w:rFonts w:ascii="Times New Roman" w:cs="Times New Roman" w:eastAsia="Times New Roman" w:hAnsi="Times New Roman"/>
          <w:sz w:val="18"/>
          <w:szCs w:val="18"/>
          <w:b w:val="1"/>
          <w:bCs w:val="1"/>
          <w:color w:val="auto"/>
        </w:rPr>
        <w:t>Sales 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Sales Agents</w:t>
      </w:r>
      <w:r>
        <w:rPr>
          <w:rFonts w:ascii="Times New Roman" w:cs="Times New Roman" w:eastAsia="Times New Roman" w:hAnsi="Times New Roman"/>
          <w:sz w:val="18"/>
          <w:szCs w:val="18"/>
          <w:color w:val="auto"/>
        </w:rPr>
        <w:t>,” and, except in the case of SMBC Nikko Securities America, Inc., as agent for the related Forward Purchaser in connection with the offering and sale of any Forward Hedge Securities under the Distribution Agreement, a “</w:t>
      </w:r>
      <w:r>
        <w:rPr>
          <w:rFonts w:ascii="Times New Roman" w:cs="Times New Roman" w:eastAsia="Times New Roman" w:hAnsi="Times New Roman"/>
          <w:sz w:val="18"/>
          <w:szCs w:val="18"/>
          <w:b w:val="1"/>
          <w:bCs w:val="1"/>
          <w:color w:val="auto"/>
        </w:rPr>
        <w:t>Forward Seller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Forward Sellers</w:t>
      </w:r>
      <w:r>
        <w:rPr>
          <w:rFonts w:ascii="Times New Roman" w:cs="Times New Roman" w:eastAsia="Times New Roman" w:hAnsi="Times New Roman"/>
          <w:sz w:val="18"/>
          <w:szCs w:val="18"/>
          <w:color w:val="auto"/>
        </w:rPr>
        <w:t>”), is dated February 14, 2025 (the “</w:t>
      </w:r>
      <w:r>
        <w:rPr>
          <w:rFonts w:ascii="Times New Roman" w:cs="Times New Roman" w:eastAsia="Times New Roman" w:hAnsi="Times New Roman"/>
          <w:sz w:val="18"/>
          <w:szCs w:val="18"/>
          <w:b w:val="1"/>
          <w:b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 Company, the Operating Partnership and the other parties named above, in their capacities as Forward Purchasers, Sales Agents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Forward Sellers, as applicable, are referred to herein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right="240" w:firstLine="440"/>
        <w:spacing w:after="0" w:line="268" w:lineRule="auto"/>
        <w:rPr>
          <w:sz w:val="20"/>
          <w:szCs w:val="20"/>
          <w:color w:val="auto"/>
        </w:rPr>
      </w:pPr>
      <w:r>
        <w:rPr>
          <w:rFonts w:ascii="Times New Roman" w:cs="Times New Roman" w:eastAsia="Times New Roman" w:hAnsi="Times New Roman"/>
          <w:sz w:val="18"/>
          <w:szCs w:val="18"/>
          <w:color w:val="auto"/>
        </w:rPr>
        <w:t>WHEREAS, pursuant to the Distribution Agreement, the Company has implemented an at-the-market offering program (the “</w:t>
      </w:r>
      <w:r>
        <w:rPr>
          <w:rFonts w:ascii="Times New Roman" w:cs="Times New Roman" w:eastAsia="Times New Roman" w:hAnsi="Times New Roman"/>
          <w:sz w:val="18"/>
          <w:szCs w:val="18"/>
          <w:b w:val="1"/>
          <w:bCs w:val="1"/>
          <w:color w:val="auto"/>
        </w:rPr>
        <w:t>ATM Program</w:t>
      </w:r>
      <w:r>
        <w:rPr>
          <w:rFonts w:ascii="Times New Roman" w:cs="Times New Roman" w:eastAsia="Times New Roman" w:hAnsi="Times New Roman"/>
          <w:sz w:val="18"/>
          <w:szCs w:val="18"/>
          <w:color w:val="auto"/>
        </w:rPr>
        <w:t>”) for the offering and sale of common shares of beneficial interest, par value $.01 per share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with an initial aggregate offering price of up to $500,000,000;</w:t>
      </w:r>
    </w:p>
    <w:p>
      <w:pPr>
        <w:spacing w:after="0" w:line="17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previously entered into that certain Amendment No. 1 to Equity Distribution Agreement, dated March 8, 2024, to, among other things, increase the aggregate offering price of Common Shares under the ATM Program to $687,879,828;</w:t>
      </w:r>
    </w:p>
    <w:p>
      <w:pPr>
        <w:spacing w:after="0" w:line="16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WHEREAS, prior to the Effective Date, Securities were sold under the ATM Program with an aggregate offering price of $543,472,611, and Common Shares with an aggregate offering price of up to $144,407,217 remained available for offer and sale under the ATM Program;</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WHEREAS, the Company and the Operating Partnership desire to further increase the Maximum Amount by $605,592,783, from $687,879,828 to $1,293,472,611, with the result that Common Shares with an aggregate offering price of up to $750,000,000 will be available for offer and sale under the ATM Program as of the Effective Date;</w:t>
      </w:r>
    </w:p>
    <w:p>
      <w:pPr>
        <w:spacing w:after="0" w:line="172" w:lineRule="exact"/>
        <w:rPr>
          <w:sz w:val="20"/>
          <w:szCs w:val="20"/>
          <w:color w:val="auto"/>
        </w:rPr>
      </w:pPr>
    </w:p>
    <w:p>
      <w:pPr>
        <w:ind w:right="360" w:firstLine="440"/>
        <w:spacing w:after="0" w:line="262" w:lineRule="auto"/>
        <w:rPr>
          <w:sz w:val="20"/>
          <w:szCs w:val="20"/>
          <w:color w:val="auto"/>
        </w:rPr>
      </w:pPr>
      <w:r>
        <w:rPr>
          <w:rFonts w:ascii="Times New Roman" w:cs="Times New Roman" w:eastAsia="Times New Roman" w:hAnsi="Times New Roman"/>
          <w:sz w:val="18"/>
          <w:szCs w:val="18"/>
          <w:color w:val="auto"/>
        </w:rPr>
        <w:t>WHEREAS, the Company and the Operating Partnership have prepared an automatic shelf registration statement (the “</w:t>
      </w:r>
      <w:r>
        <w:rPr>
          <w:rFonts w:ascii="Times New Roman" w:cs="Times New Roman" w:eastAsia="Times New Roman" w:hAnsi="Times New Roman"/>
          <w:sz w:val="18"/>
          <w:szCs w:val="18"/>
          <w:b w:val="1"/>
          <w:bCs w:val="1"/>
          <w:color w:val="auto"/>
        </w:rPr>
        <w:t>2024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on Form S-3ASR (File No. 333-277767), including a base prospectus dated March 8, 2024, relating to certain securities,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to be offered and sold from time to time pursuant to the ATM Program, and a prospectus supplement dated February 14, 2025 (the “</w:t>
      </w:r>
      <w:r>
        <w:rPr>
          <w:rFonts w:ascii="Times New Roman" w:cs="Times New Roman" w:eastAsia="Times New Roman" w:hAnsi="Times New Roman"/>
          <w:sz w:val="18"/>
          <w:szCs w:val="18"/>
          <w:b w:val="1"/>
          <w:bCs w:val="1"/>
          <w:color w:val="auto"/>
        </w:rPr>
        <w:t>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specifically relating to the Securities;</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WHEREAS, from the Effective Date, the ATM Program is to be conducted pursuant to the 2024 Registration Statement and the 2025 Prospectus Supplement; and</w:t>
      </w:r>
    </w:p>
    <w:p>
      <w:pPr>
        <w:sectPr>
          <w:pgSz w:w="11900" w:h="16838" w:orient="portrait"/>
          <w:cols w:equalWidth="0" w:num="1">
            <w:col w:w="11020"/>
          </w:cols>
          <w:pgMar w:left="440" w:top="117" w:right="439" w:bottom="1440" w:gutter="0" w:footer="0" w:header="0"/>
        </w:sectPr>
      </w:pPr>
    </w:p>
    <w:bookmarkStart w:id="5" w:name="page6"/>
    <w:bookmarkEnd w:id="5"/>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this Amendment No. 2 shall constitute an amendment to the Distribution Agreement, which shall remain in full force and effect as of the Effective Date as further amended by this Amendment No. 2.</w:t>
      </w:r>
    </w:p>
    <w:p>
      <w:pPr>
        <w:spacing w:after="0" w:line="162"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The Parties have agreed to amend the Distribution Agreement, as set forth in this Amendment No. 2, subject to the terms and conditions set forth below. All capitalized terms used herein and not otherwise defined shall have the meanings given to such terms in the Distribution Agreement.</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premises set forth above and other good and valuable consideration, the receipt and sufficiency of which are hereby acknowledged, the Parties agree that the Distribution Agreement and the exhibits appended thereto are hereby further amended as provided below:</w:t>
      </w:r>
    </w:p>
    <w:p>
      <w:pPr>
        <w:spacing w:after="0" w:line="176"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Representation and Warranty</w:t>
      </w:r>
      <w:r>
        <w:rPr>
          <w:rFonts w:ascii="Times New Roman" w:cs="Times New Roman" w:eastAsia="Times New Roman" w:hAnsi="Times New Roman"/>
          <w:sz w:val="18"/>
          <w:szCs w:val="18"/>
          <w:color w:val="auto"/>
        </w:rPr>
        <w:t>. Each of the Company and the Operating Partnership, jointly and severally, represents and warrants to the Sales Agents, the Forward Sellers and the Forward Purchasers that (i) this Amendment No. 2 has been duly authorized, executed and delivered by, and is a valid and binding agreement of, the Company and the Operating Partnership and (ii) immediately after giving effect to this Amendment No. 2, the representations and warranties of the Company and the Operating Partnership contained in the Distribution Agreement are true and correct in all material respects on and as of the date hereof as if such representations and warranties had been made on and as of the date hereof (except to the extent that any such representations and warranties specifically relate to an earlier date, in which case all such representations and warranties are true and correct in all material respects on and as of the applicable date).</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Amendment of the Distribution Agreement</w:t>
      </w:r>
      <w:r>
        <w:rPr>
          <w:rFonts w:ascii="Times New Roman" w:cs="Times New Roman" w:eastAsia="Times New Roman" w:hAnsi="Times New Roman"/>
          <w:sz w:val="18"/>
          <w:szCs w:val="18"/>
          <w:color w:val="auto"/>
        </w:rPr>
        <w:t>. The Distribution Agreement is, as of the Effective Date, hereby further amended by</w:t>
      </w:r>
    </w:p>
    <w:p>
      <w:pPr>
        <w:spacing w:after="0" w:line="27" w:lineRule="exact"/>
        <w:rPr>
          <w:sz w:val="20"/>
          <w:szCs w:val="20"/>
          <w:color w:val="auto"/>
        </w:rPr>
      </w:pPr>
    </w:p>
    <w:p>
      <w:pPr>
        <w:jc w:val="both"/>
        <w:ind w:left="4" w:right="160" w:hanging="4"/>
        <w:spacing w:after="0" w:line="255" w:lineRule="auto"/>
        <w:tabs>
          <w:tab w:leader="none" w:pos="2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deleting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(ii) adding the double-underlined text (indicated textually in the same manner as the following example: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auto"/>
        </w:rPr>
        <w:t xml:space="preserve">), all as set forth in the version of the Distribution Agreement attached to this Amendment No. 2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to reflect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3042920</wp:posOffset>
            </wp:positionH>
            <wp:positionV relativeFrom="paragraph">
              <wp:posOffset>-135255</wp:posOffset>
            </wp:positionV>
            <wp:extent cx="10375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67"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Effective Date, the references to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shall refer to the 2025 Prospectus Supplement.</w:t>
      </w:r>
    </w:p>
    <w:p>
      <w:pPr>
        <w:spacing w:after="0" w:line="134" w:lineRule="exact"/>
        <w:rPr>
          <w:rFonts w:ascii="Times New Roman" w:cs="Times New Roman" w:eastAsia="Times New Roman" w:hAnsi="Times New Roman"/>
          <w:sz w:val="18"/>
          <w:szCs w:val="18"/>
          <w:color w:val="auto"/>
        </w:rPr>
      </w:pPr>
    </w:p>
    <w:p>
      <w:pPr>
        <w:ind w:left="424" w:right="80" w:hanging="424"/>
        <w:spacing w:after="0" w:line="266"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Effective Date, the first sentence of Section 1 of the Distribution Agreement is hereby further amended to reflect the increased Maximum Amount and the remaining aggregate offering price of Common Shares that is available for offer and sale under the ATM Program and replaced in its entirety by the following:</w:t>
      </w:r>
    </w:p>
    <w:p>
      <w:pPr>
        <w:spacing w:after="0" w:line="68" w:lineRule="exact"/>
        <w:rPr>
          <w:sz w:val="20"/>
          <w:szCs w:val="20"/>
          <w:color w:val="auto"/>
        </w:rPr>
      </w:pPr>
    </w:p>
    <w:p>
      <w:pPr>
        <w:ind w:left="984" w:right="60"/>
        <w:spacing w:after="0" w:line="261" w:lineRule="auto"/>
        <w:rPr>
          <w:sz w:val="20"/>
          <w:szCs w:val="20"/>
          <w:color w:val="auto"/>
        </w:rPr>
      </w:pPr>
      <w:r>
        <w:rPr>
          <w:rFonts w:ascii="Times New Roman" w:cs="Times New Roman" w:eastAsia="Times New Roman" w:hAnsi="Times New Roman"/>
          <w:sz w:val="18"/>
          <w:szCs w:val="18"/>
          <w:color w:val="auto"/>
        </w:rPr>
        <w:t>Each of the Company and the Operating Partnership agrees that, from time to time during the term of this Agreement, on the terms and subject to the conditions set forth herein, Securities having an aggregate offering price of up to $1,293,472,611 (the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may be offered and sold in the manner contemplated by this Agreement, of which $750,000,000 remains available for offer and sale as of February 14, 2025.</w:t>
      </w:r>
    </w:p>
    <w:p>
      <w:pPr>
        <w:spacing w:after="0" w:line="85" w:lineRule="exact"/>
        <w:rPr>
          <w:sz w:val="20"/>
          <w:szCs w:val="20"/>
          <w:color w:val="auto"/>
        </w:rPr>
      </w:pPr>
    </w:p>
    <w:p>
      <w:pPr>
        <w:ind w:left="424" w:right="240"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Effective Date, Exhibit E of the Distribution Agreement is hereby replaced with the form attached to this Amendment No. 2 as Exhibit B.</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No. 2 shall be effective as of the Effective Date.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6" w:name="page7"/>
    <w:bookmarkEnd w:id="6"/>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Distribution Agreement, as further amended by this Amendment No. 2, represents the entire agreement among the Company and the Operating Partnership, on the one hand, and each Sales Agent, Forward Seller and Forward Purchaser, on the other hand, with respect to the subject matter thereof and hereof.</w:t>
      </w:r>
    </w:p>
    <w:p>
      <w:pPr>
        <w:spacing w:after="0" w:line="176" w:lineRule="exact"/>
        <w:rPr>
          <w:sz w:val="20"/>
          <w:szCs w:val="20"/>
          <w:color w:val="auto"/>
        </w:rPr>
      </w:pPr>
    </w:p>
    <w:p>
      <w:pPr>
        <w:ind w:right="200"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Prior Sales</w:t>
      </w:r>
      <w:r>
        <w:rPr>
          <w:rFonts w:ascii="Times New Roman" w:cs="Times New Roman" w:eastAsia="Times New Roman" w:hAnsi="Times New Roman"/>
          <w:sz w:val="17"/>
          <w:szCs w:val="17"/>
          <w:color w:val="auto"/>
        </w:rPr>
        <w:t>. Notwithstanding anything contained herein, this Amendment No. 2 shall not have any effect on offerings or sales of Securities prior to the Effective Date or on the terms of the Distribution Agreement, and the rights and obligations of the parties thereunder, insofar as they relate to such offerings or sales, including, without limitation, the representations, warranties and agreements (including the indemnification and contribution provisions), as well as the definition of “Prospectus Supplement” contained in the Distribution Agreement prior to the Effective Date.</w:t>
      </w:r>
    </w:p>
    <w:p>
      <w:pPr>
        <w:spacing w:after="0" w:line="16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Full Force and Effect</w:t>
      </w:r>
      <w:r>
        <w:rPr>
          <w:rFonts w:ascii="Times New Roman" w:cs="Times New Roman" w:eastAsia="Times New Roman" w:hAnsi="Times New Roman"/>
          <w:sz w:val="18"/>
          <w:szCs w:val="18"/>
          <w:color w:val="auto"/>
        </w:rPr>
        <w:t>. Except as expressly set forth herein, this Amendment No. 2 does not constitute an amendment, waiver or modification of any other provision of the Distribution Agreement, does not constitute a waiver of timely compliance with the provisions of the Distribution Agreement, does not constitute a waiver of any default or event of default whether or not known to the Parties, and does not entitle the Company or the Operating Partnership to any amendment, waiver or modification of any provision of the Distribution Agreement, or to a consent to any transaction, in the future in similar or dissimilar circumstances. Except as expressly amended hereby, the Distribution Agreement shall continue in full force and effect in accordance with the provisions thereof on the date hereof. From and after the Effective Date, as used in the Distribution Agreement, the terms “Agreement,” “this Agreement,” “herein,” “hereafter,” “hereto,” “hereof” and words of similar import, shall, unless the context otherwise requires, mean the Distribution Agreement as further amended by this Amendment No. 2.</w:t>
      </w:r>
    </w:p>
    <w:p>
      <w:pPr>
        <w:spacing w:after="0" w:line="19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this Amendment No. 2 are for the purposes of reference only and shall not affect the construction of or be taken into consideration in interpreting this Amendment No. 2.</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NO. 2 SHALL BE GOVERNED BY AND CONSTRUED IN ACCORDANCE WITH THE LAWS OF THE STATE OF NEW YORK.</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No. 2 may be executed by any one or more of the Parties in any number of counterparts, each of which shall be deemed to be an original, but all such respective counterparts shall together constitute one and the same instrument. Delivery of an executed Amendment No. 2 by one Party to the other may be made by electronic mail (including any electronic signature complying with the New York Electronic Signatures and Records Act (N.Y. State Tech. §§ 301-309), as amended from time to time, or other applicable law) or other transmission method, and the Parties agree that any counterpart so delivered shall be deemed to have been duly and validly delivered and be valid and effective for all purposes.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7" w:name="page8"/>
    <w:bookmarkEnd w:id="7"/>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of our agreement, please sign and return to the Company and the Operating Partnership a counterpart hereof, whereupon this instrument, along with all counterparts, will become a binding agreement among the parties hereto in accordance with its terms.</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 Daniel Guglielmone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 Executive Vice President-Chief Financial</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Officer and Treasurer</w:t>
      </w:r>
    </w:p>
    <w:p>
      <w:pPr>
        <w:spacing w:after="0" w:line="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FEDERAL REALTY OP 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 Daniel Guglielmone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 Executive Vice President-Chief Financial</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Officer and Treasurer</w:t>
      </w:r>
    </w:p>
    <w:p>
      <w:pPr>
        <w:spacing w:after="0" w:line="13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2 to Equity Distribution Agreement</w:t>
      </w:r>
      <w:r>
        <w:rPr>
          <w:rFonts w:ascii="Times New Roman" w:cs="Times New Roman" w:eastAsia="Times New Roman" w:hAnsi="Times New Roman"/>
          <w:sz w:val="18"/>
          <w:szCs w:val="18"/>
          <w:color w:val="auto"/>
        </w:rPr>
        <w:t>]</w:t>
      </w:r>
    </w:p>
    <w:p>
      <w:pPr>
        <w:sectPr>
          <w:pgSz w:w="11900" w:h="16838" w:orient="portrait"/>
          <w:cols w:equalWidth="0" w:num="1">
            <w:col w:w="10680"/>
          </w:cols>
          <w:pgMar w:left="440" w:top="270" w:right="7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CONFIRMED AND ACCEPTED, as of the date first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Rohit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 Rohit Mehta</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 Robert McDonald</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Nunziata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 John Nunziata</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Hicham Hamdouch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 Hicham Hamdouch</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Gary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 Gary Lawrence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Joachim Sciard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 Joachim Sciard</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Kristen Pugno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 Kristen Pugno</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7" w:lineRule="exact"/>
        <w:rPr>
          <w:sz w:val="20"/>
          <w:szCs w:val="20"/>
          <w:color w:val="auto"/>
        </w:rPr>
      </w:pPr>
    </w:p>
    <w:p>
      <w:pPr>
        <w:jc w:val="right"/>
        <w:ind w:right="19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2 to Equity Distribution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482" w:right="1440" w:bottom="1440" w:gutter="0" w:footer="0" w:header="0"/>
        </w:sectPr>
      </w:pPr>
    </w:p>
    <w:bookmarkStart w:id="9" w:name="page10"/>
    <w:bookmarkEnd w:id="9"/>
    <w:p>
      <w:pPr>
        <w:ind w:left="3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Sanjeet Dewal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 Sanjeet Dewal</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JEFFERIES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Donald Lynaugh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 Donald Lynaugh</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Edward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 Edward L. Armstrong</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 - ECM</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Cronin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 John Cronin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SMBC NIKKO SECURITIES AMERICA,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Michelle Petropoulos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 Michelle Petropoulos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Bradford Limpert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 Bradford Limpert</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 Michael Collins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Forward Sellers and Sales Agents</w:t>
      </w:r>
    </w:p>
    <w:p>
      <w:pPr>
        <w:spacing w:after="0" w:line="156" w:lineRule="exact"/>
        <w:rPr>
          <w:sz w:val="20"/>
          <w:szCs w:val="20"/>
          <w:color w:val="auto"/>
        </w:rPr>
      </w:pPr>
    </w:p>
    <w:p>
      <w:pPr>
        <w:jc w:val="right"/>
        <w:ind w:right="19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2 to Equity Distribution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10" w:name="page11"/>
    <w:bookmarkEnd w:id="10"/>
    <w:p>
      <w:pPr>
        <w:ind w:left="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CONFIRMED AND ACCEPTED, as of the date</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first above written:</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Kevin Brillhart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 Kevin Brillhart</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jc w:val="center"/>
        <w:ind w:right="8159"/>
        <w:spacing w:after="0"/>
        <w:rPr>
          <w:sz w:val="20"/>
          <w:szCs w:val="20"/>
          <w:color w:val="auto"/>
        </w:rPr>
      </w:pPr>
      <w:r>
        <w:rPr>
          <w:rFonts w:ascii="Times New Roman" w:cs="Times New Roman" w:eastAsia="Times New Roman" w:hAnsi="Times New Roman"/>
          <w:sz w:val="18"/>
          <w:szCs w:val="18"/>
          <w:color w:val="auto"/>
        </w:rPr>
        <w:t>BNP PARIBAS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 Robert McDonald</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Nunziata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 John Nunziata</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Hicham Hamdouch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 Hicham Hamdouch</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CITIBANK, 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Eric Natelson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 Eric Natelson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DEUTSCHE BANK AG, LONDON BRANCH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Joachim Sciard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 Joachim Sciard</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Natasha Hossain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 Natasha Hossain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7" w:lineRule="exact"/>
        <w:rPr>
          <w:sz w:val="20"/>
          <w:szCs w:val="20"/>
          <w:color w:val="auto"/>
        </w:rPr>
      </w:pPr>
    </w:p>
    <w:p>
      <w:pPr>
        <w:jc w:val="right"/>
        <w:ind w:right="19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2 to Equity Distribution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66" w:right="1440" w:bottom="1440" w:gutter="0" w:footer="0" w:header="0"/>
        </w:sectPr>
      </w:pPr>
    </w:p>
    <w:bookmarkStart w:id="11" w:name="page12"/>
    <w:bookmarkEnd w:id="11"/>
    <w:p>
      <w:pPr>
        <w:ind w:left="3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BANK, NATIONAL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Sanjeet Dewal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17145</wp:posOffset>
            </wp:positionV>
            <wp:extent cx="28117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  Sanjeet Dewal</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JEFFERIES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Donald Lynaugh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17145</wp:posOffset>
            </wp:positionV>
            <wp:extent cx="28117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  Donald Lynaugh</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Edward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17145</wp:posOffset>
            </wp:positionV>
            <wp:extent cx="28117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  Edward L. Armstrong</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Title:    Managing Director - ECM</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BANK OF NOVA SCOTIA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Kshamta Kaushik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17145</wp:posOffset>
            </wp:positionV>
            <wp:extent cx="28117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  Kshamta Kaushik</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TORONTO-DOMINION BANK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Vanessa Simonetti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17145</wp:posOffset>
            </wp:positionV>
            <wp:extent cx="28117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  Vanessa Simonetti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TRUIST BANK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17145</wp:posOffset>
            </wp:positionV>
            <wp:extent cx="28117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  Michael Collins</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Forward Purchasers, solely as the recipients and/or beneficiaries of certain representations, warranties, covenants and indemnities set forth in this Amendment No. 2</w:t>
      </w:r>
    </w:p>
    <w:p>
      <w:pPr>
        <w:spacing w:after="0" w:line="9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2 to Equity Distribution Agreement</w:t>
      </w:r>
      <w:r>
        <w:rPr>
          <w:rFonts w:ascii="Times New Roman" w:cs="Times New Roman" w:eastAsia="Times New Roman" w:hAnsi="Times New Roman"/>
          <w:sz w:val="18"/>
          <w:szCs w:val="18"/>
          <w:color w:val="auto"/>
        </w:rPr>
        <w:t>]</w:t>
      </w:r>
    </w:p>
    <w:p>
      <w:pPr>
        <w:sectPr>
          <w:pgSz w:w="11900" w:h="16838" w:orient="portrait"/>
          <w:cols w:equalWidth="0" w:num="1">
            <w:col w:w="10640"/>
          </w:cols>
          <w:pgMar w:left="440" w:top="486" w:right="8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ectPr>
          <w:pgSz w:w="11900" w:h="16838" w:orient="portrait"/>
          <w:cols w:equalWidth="0" w:num="1">
            <w:col w:w="9019"/>
          </w:cols>
          <w:pgMar w:left="1440" w:top="266" w:right="1440" w:bottom="1440" w:gutter="0" w:footer="0" w:header="0"/>
        </w:sectPr>
      </w:pP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w:t>
      </w:r>
    </w:p>
    <w:p>
      <w:pPr>
        <w:sectPr>
          <w:pgSz w:w="11900" w:h="16838" w:orient="portrait"/>
          <w:cols w:equalWidth="0" w:num="1">
            <w:col w:w="9019"/>
          </w:cols>
          <w:pgMar w:left="1440" w:top="266" w:right="1440" w:bottom="1440" w:gutter="0" w:footer="0" w:header="0"/>
          <w:type w:val="continuous"/>
        </w:sectPr>
      </w:pPr>
    </w:p>
    <w:bookmarkStart w:id="13" w:name="page14"/>
    <w:bookmarkEnd w:id="13"/>
    <w:p>
      <w:pPr>
        <w:jc w:val="center"/>
        <w:ind w:righ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t>FEDERAL REALTY INVESTMENT TRUST</w:t>
      </w:r>
    </w:p>
    <w:p>
      <w:pPr>
        <w:spacing w:after="0" w:line="23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Common Shares of Beneficial Interest</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u w:val="single" w:color="auto"/>
          <w:color w:val="auto"/>
        </w:rPr>
        <w:t>EQUITY DISTRIBUTION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231775</wp:posOffset>
            </wp:positionV>
            <wp:extent cx="6995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580"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9520" w:type="dxa"/>
            <w:vAlign w:val="bottom"/>
          </w:tcPr>
          <w:p>
            <w:pPr>
              <w:ind w:left="3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r>
      <w:tr>
        <w:trPr>
          <w:trHeight w:val="378"/>
        </w:trPr>
        <w:tc>
          <w:tcPr>
            <w:tcW w:w="1160" w:type="dxa"/>
            <w:vAlign w:val="bottom"/>
          </w:tcPr>
          <w:p>
            <w:pPr>
              <w:spacing w:after="0"/>
              <w:rPr>
                <w:sz w:val="24"/>
                <w:szCs w:val="24"/>
                <w:color w:val="auto"/>
              </w:rPr>
            </w:pPr>
          </w:p>
        </w:tc>
        <w:tc>
          <w:tcPr>
            <w:tcW w:w="95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Description of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Placements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 of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Suspension of Sales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 and Delivery; Settlement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Covenants of the Company and the Operating Partnership</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Expenses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of the Obligations of the Sales Agents and the Forward Sellers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Representations, Warranties and Agreements to Survive Delivery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 of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for Stock Splits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17.</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 and Time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18.</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19.</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Recognition of the U.S. Special Resolution Regimes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20.</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Successors and Assigns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Headings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Permitted Free Writing Prospectuses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Absence of Fiduciary Relationship</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64"/>
        </w:trPr>
        <w:tc>
          <w:tcPr>
            <w:tcW w:w="1160" w:type="dxa"/>
            <w:vAlign w:val="bottom"/>
          </w:tcPr>
          <w:p>
            <w:pPr>
              <w:spacing w:after="0"/>
              <w:rPr>
                <w:sz w:val="24"/>
                <w:szCs w:val="24"/>
                <w:color w:val="auto"/>
              </w:rPr>
            </w:pPr>
          </w:p>
        </w:tc>
        <w:tc>
          <w:tcPr>
            <w:tcW w:w="9520" w:type="dxa"/>
            <w:vAlign w:val="bottom"/>
          </w:tcPr>
          <w:p>
            <w:pPr>
              <w:ind w:left="4260"/>
              <w:spacing w:after="0"/>
              <w:rPr>
                <w:sz w:val="20"/>
                <w:szCs w:val="20"/>
                <w:color w:val="auto"/>
              </w:rPr>
            </w:pPr>
            <w:r>
              <w:rPr>
                <w:rFonts w:ascii="Times New Roman" w:cs="Times New Roman" w:eastAsia="Times New Roman" w:hAnsi="Times New Roman"/>
                <w:sz w:val="18"/>
                <w:szCs w:val="18"/>
                <w:color w:val="auto"/>
              </w:rPr>
              <w:t>-i-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5" w:name="page16"/>
    <w:bookmarkEnd w:id="15"/>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5480" w:type="dxa"/>
            <w:vAlign w:val="bottom"/>
            <w:gridSpan w:val="2"/>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237"/>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560" w:type="dxa"/>
            <w:vAlign w:val="bottom"/>
          </w:tcPr>
          <w:p>
            <w:pPr>
              <w:spacing w:after="0"/>
              <w:rPr>
                <w:sz w:val="20"/>
                <w:szCs w:val="20"/>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(Continued)</w:t>
            </w: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5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Form of Placement Notice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B-1</w:t>
            </w:r>
          </w:p>
        </w:tc>
        <w:tc>
          <w:tcPr>
            <w:tcW w:w="5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Form of Confirmation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B-2</w:t>
            </w:r>
          </w:p>
        </w:tc>
        <w:tc>
          <w:tcPr>
            <w:tcW w:w="5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Authorized Individuals for Placement Notices and Acceptances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5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Compensation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D-1</w:t>
            </w:r>
          </w:p>
        </w:tc>
        <w:tc>
          <w:tcPr>
            <w:tcW w:w="5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Form of Opinion of Pillsbury Winthrop Shaw Pittman LLP (Corporate)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D-2</w:t>
            </w:r>
          </w:p>
        </w:tc>
        <w:tc>
          <w:tcPr>
            <w:tcW w:w="5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Form of Opinion of Pillsbury Winthrop Shaw Pittman LLP (Tax)</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5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Officer’s Certificate of the Company and the Operating Partnership</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5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Permitted Free Writing Prospectuses</w:t>
            </w:r>
          </w:p>
        </w:tc>
        <w:tc>
          <w:tcPr>
            <w:tcW w:w="0" w:type="dxa"/>
            <w:vAlign w:val="bottom"/>
          </w:tcPr>
          <w:p>
            <w:pPr>
              <w:spacing w:after="0"/>
              <w:rPr>
                <w:sz w:val="1"/>
                <w:szCs w:val="1"/>
                <w:color w:val="auto"/>
              </w:rPr>
            </w:pPr>
          </w:p>
        </w:tc>
      </w:tr>
      <w:tr>
        <w:trPr>
          <w:trHeight w:val="364"/>
        </w:trPr>
        <w:tc>
          <w:tcPr>
            <w:tcW w:w="9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019"/>
          </w:cols>
          <w:pgMar w:left="440" w:top="365"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6" w:name="page17"/>
    <w:bookmarkEnd w:id="16"/>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gridSpan w:val="2"/>
          </w:tcPr>
          <w:p>
            <w:pPr>
              <w:jc w:val="center"/>
              <w:ind w:right="3850"/>
              <w:spacing w:after="0"/>
              <w:rPr>
                <w:sz w:val="20"/>
                <w:szCs w:val="20"/>
                <w:color w:val="auto"/>
              </w:rPr>
            </w:pPr>
            <w:r>
              <w:rPr>
                <w:rFonts w:ascii="Times New Roman" w:cs="Times New Roman" w:eastAsia="Times New Roman" w:hAnsi="Times New Roman"/>
                <w:sz w:val="18"/>
                <w:szCs w:val="18"/>
                <w:b w:val="1"/>
                <w:bCs w:val="1"/>
                <w:color w:val="auto"/>
                <w:w w:val="99"/>
              </w:rPr>
              <w:t>Federal Realty Investment Trust</w:t>
            </w:r>
          </w:p>
        </w:tc>
      </w:tr>
      <w:tr>
        <w:trPr>
          <w:trHeight w:val="238"/>
        </w:trPr>
        <w:tc>
          <w:tcPr>
            <w:tcW w:w="3780" w:type="dxa"/>
            <w:vAlign w:val="bottom"/>
          </w:tcPr>
          <w:p>
            <w:pPr>
              <w:spacing w:after="0"/>
              <w:rPr>
                <w:sz w:val="20"/>
                <w:szCs w:val="20"/>
                <w:color w:val="auto"/>
              </w:rPr>
            </w:pPr>
          </w:p>
        </w:tc>
        <w:tc>
          <w:tcPr>
            <w:tcW w:w="7240" w:type="dxa"/>
            <w:vAlign w:val="bottom"/>
            <w:gridSpan w:val="3"/>
          </w:tcPr>
          <w:p>
            <w:pPr>
              <w:jc w:val="center"/>
              <w:ind w:right="3710"/>
              <w:spacing w:after="0"/>
              <w:rPr>
                <w:sz w:val="20"/>
                <w:szCs w:val="20"/>
                <w:color w:val="auto"/>
              </w:rPr>
            </w:pPr>
            <w:r>
              <w:rPr>
                <w:rFonts w:ascii="Times New Roman" w:cs="Times New Roman" w:eastAsia="Times New Roman" w:hAnsi="Times New Roman"/>
                <w:sz w:val="18"/>
                <w:szCs w:val="18"/>
                <w:b w:val="1"/>
                <w:bCs w:val="1"/>
                <w:color w:val="auto"/>
                <w:w w:val="99"/>
              </w:rPr>
              <w:t>(a Maryland Real Estate Investment Trust)</w:t>
            </w:r>
          </w:p>
        </w:tc>
      </w:tr>
      <w:tr>
        <w:trPr>
          <w:trHeight w:val="432"/>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80" w:type="dxa"/>
            <w:vAlign w:val="bottom"/>
            <w:gridSpan w:val="2"/>
          </w:tcPr>
          <w:p>
            <w:pPr>
              <w:jc w:val="center"/>
              <w:ind w:right="3870"/>
              <w:spacing w:after="0"/>
              <w:rPr>
                <w:sz w:val="20"/>
                <w:szCs w:val="20"/>
                <w:color w:val="auto"/>
              </w:rPr>
            </w:pPr>
            <w:r>
              <w:rPr>
                <w:rFonts w:ascii="Times New Roman" w:cs="Times New Roman" w:eastAsia="Times New Roman" w:hAnsi="Times New Roman"/>
                <w:sz w:val="18"/>
                <w:szCs w:val="18"/>
                <w:color w:val="auto"/>
                <w:w w:val="99"/>
              </w:rPr>
              <w:t>Common Shares of Beneficial Interest</w:t>
            </w:r>
          </w:p>
        </w:tc>
      </w:tr>
      <w:tr>
        <w:trPr>
          <w:trHeight w:val="391"/>
        </w:trPr>
        <w:tc>
          <w:tcPr>
            <w:tcW w:w="3780" w:type="dxa"/>
            <w:vAlign w:val="bottom"/>
          </w:tcPr>
          <w:p>
            <w:pPr>
              <w:spacing w:after="0"/>
              <w:rPr>
                <w:sz w:val="24"/>
                <w:szCs w:val="24"/>
                <w:color w:val="auto"/>
              </w:rPr>
            </w:pPr>
          </w:p>
        </w:tc>
        <w:tc>
          <w:tcPr>
            <w:tcW w:w="7240" w:type="dxa"/>
            <w:vAlign w:val="bottom"/>
            <w:gridSpan w:val="3"/>
          </w:tcPr>
          <w:p>
            <w:pPr>
              <w:jc w:val="center"/>
              <w:ind w:right="3710"/>
              <w:spacing w:after="0"/>
              <w:rPr>
                <w:sz w:val="20"/>
                <w:szCs w:val="20"/>
                <w:color w:val="auto"/>
              </w:rPr>
            </w:pPr>
            <w:r>
              <w:rPr>
                <w:rFonts w:ascii="Times New Roman" w:cs="Times New Roman" w:eastAsia="Times New Roman" w:hAnsi="Times New Roman"/>
                <w:sz w:val="18"/>
                <w:szCs w:val="18"/>
                <w:color w:val="auto"/>
                <w:w w:val="99"/>
              </w:rPr>
              <w:t>EQUITY DISTRIBUTION AGREEMENT</w:t>
            </w:r>
          </w:p>
        </w:tc>
      </w:tr>
      <w:tr>
        <w:trPr>
          <w:trHeight w:val="453"/>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tcBorders>
              <w:top w:val="single" w:sz="8" w:color="auto"/>
            </w:tcBorders>
          </w:tcPr>
          <w:p>
            <w:pPr>
              <w:spacing w:after="0"/>
              <w:rPr>
                <w:sz w:val="24"/>
                <w:szCs w:val="24"/>
                <w:color w:val="auto"/>
              </w:rPr>
            </w:pPr>
          </w:p>
        </w:tc>
        <w:tc>
          <w:tcPr>
            <w:tcW w:w="396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99"/>
              </w:rPr>
              <w:t>February 14, 2022</w:t>
            </w:r>
          </w:p>
        </w:tc>
      </w:tr>
      <w:tr>
        <w:trPr>
          <w:trHeight w:val="441"/>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60" w:type="dxa"/>
            <w:vAlign w:val="bottom"/>
          </w:tcPr>
          <w:p>
            <w:pPr>
              <w:spacing w:after="0"/>
              <w:rPr>
                <w:sz w:val="24"/>
                <w:szCs w:val="24"/>
                <w:color w:val="auto"/>
              </w:rPr>
            </w:pPr>
          </w:p>
        </w:tc>
        <w:tc>
          <w:tcPr>
            <w:tcW w:w="70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Jefferies LLC</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500 West 33rd Street</w:t>
            </w:r>
          </w:p>
        </w:tc>
        <w:tc>
          <w:tcPr>
            <w:tcW w:w="160" w:type="dxa"/>
            <w:vAlign w:val="bottom"/>
          </w:tcPr>
          <w:p>
            <w:pPr>
              <w:spacing w:after="0"/>
              <w:rPr>
                <w:sz w:val="18"/>
                <w:szCs w:val="18"/>
                <w:color w:val="auto"/>
              </w:rPr>
            </w:pPr>
          </w:p>
        </w:tc>
        <w:tc>
          <w:tcPr>
            <w:tcW w:w="70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520 Madison Avenue</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10001</w:t>
            </w:r>
          </w:p>
        </w:tc>
        <w:tc>
          <w:tcPr>
            <w:tcW w:w="160" w:type="dxa"/>
            <w:vAlign w:val="bottom"/>
          </w:tcPr>
          <w:p>
            <w:pPr>
              <w:spacing w:after="0"/>
              <w:rPr>
                <w:sz w:val="18"/>
                <w:szCs w:val="18"/>
                <w:color w:val="auto"/>
              </w:rPr>
            </w:pPr>
          </w:p>
        </w:tc>
        <w:tc>
          <w:tcPr>
            <w:tcW w:w="70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New York, New York 10022</w:t>
            </w:r>
          </w:p>
        </w:tc>
      </w:tr>
      <w:tr>
        <w:trPr>
          <w:trHeight w:val="234"/>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Attention: General Counsel</w:t>
            </w:r>
          </w:p>
        </w:tc>
      </w:tr>
      <w:tr>
        <w:trPr>
          <w:trHeight w:val="31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160" w:type="dxa"/>
            <w:vAlign w:val="bottom"/>
          </w:tcPr>
          <w:p>
            <w:pPr>
              <w:spacing w:after="0"/>
              <w:rPr>
                <w:sz w:val="24"/>
                <w:szCs w:val="24"/>
                <w:color w:val="auto"/>
              </w:rPr>
            </w:pPr>
          </w:p>
        </w:tc>
        <w:tc>
          <w:tcPr>
            <w:tcW w:w="70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Regions Securities LLC</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787 Seventh Avenue</w:t>
            </w:r>
          </w:p>
        </w:tc>
        <w:tc>
          <w:tcPr>
            <w:tcW w:w="160" w:type="dxa"/>
            <w:vAlign w:val="bottom"/>
          </w:tcPr>
          <w:p>
            <w:pPr>
              <w:spacing w:after="0"/>
              <w:rPr>
                <w:sz w:val="18"/>
                <w:szCs w:val="18"/>
                <w:color w:val="auto"/>
              </w:rPr>
            </w:pPr>
          </w:p>
        </w:tc>
        <w:tc>
          <w:tcPr>
            <w:tcW w:w="70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615 S College St, Suite 600</w:t>
            </w: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10019</w:t>
            </w:r>
          </w:p>
        </w:tc>
        <w:tc>
          <w:tcPr>
            <w:tcW w:w="160" w:type="dxa"/>
            <w:vAlign w:val="bottom"/>
          </w:tcPr>
          <w:p>
            <w:pPr>
              <w:spacing w:after="0"/>
              <w:rPr>
                <w:sz w:val="20"/>
                <w:szCs w:val="20"/>
                <w:color w:val="auto"/>
              </w:rPr>
            </w:pPr>
          </w:p>
        </w:tc>
        <w:tc>
          <w:tcPr>
            <w:tcW w:w="70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Charlotte, North Carolina 28202</w:t>
            </w:r>
          </w:p>
        </w:tc>
      </w:tr>
      <w:tr>
        <w:trPr>
          <w:trHeight w:val="31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60" w:type="dxa"/>
            <w:vAlign w:val="bottom"/>
          </w:tcPr>
          <w:p>
            <w:pPr>
              <w:spacing w:after="0"/>
              <w:rPr>
                <w:sz w:val="24"/>
                <w:szCs w:val="24"/>
                <w:color w:val="auto"/>
              </w:rPr>
            </w:pPr>
          </w:p>
        </w:tc>
        <w:tc>
          <w:tcPr>
            <w:tcW w:w="70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Scotia Capital (USA) Inc.</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One Bryant Park</w:t>
            </w:r>
          </w:p>
        </w:tc>
        <w:tc>
          <w:tcPr>
            <w:tcW w:w="160" w:type="dxa"/>
            <w:vAlign w:val="bottom"/>
          </w:tcPr>
          <w:p>
            <w:pPr>
              <w:spacing w:after="0"/>
              <w:rPr>
                <w:sz w:val="18"/>
                <w:szCs w:val="18"/>
                <w:color w:val="auto"/>
              </w:rPr>
            </w:pPr>
          </w:p>
        </w:tc>
        <w:tc>
          <w:tcPr>
            <w:tcW w:w="70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250 Vesey Street, 24th Floor</w:t>
            </w: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10036</w:t>
            </w:r>
          </w:p>
        </w:tc>
        <w:tc>
          <w:tcPr>
            <w:tcW w:w="160" w:type="dxa"/>
            <w:vAlign w:val="bottom"/>
          </w:tcPr>
          <w:p>
            <w:pPr>
              <w:spacing w:after="0"/>
              <w:rPr>
                <w:sz w:val="20"/>
                <w:szCs w:val="20"/>
                <w:color w:val="auto"/>
              </w:rPr>
            </w:pPr>
          </w:p>
        </w:tc>
        <w:tc>
          <w:tcPr>
            <w:tcW w:w="70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New York, New York 10281</w:t>
            </w:r>
          </w:p>
        </w:tc>
      </w:tr>
      <w:tr>
        <w:trPr>
          <w:trHeight w:val="31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60" w:type="dxa"/>
            <w:vAlign w:val="bottom"/>
          </w:tcPr>
          <w:p>
            <w:pPr>
              <w:spacing w:after="0"/>
              <w:rPr>
                <w:sz w:val="24"/>
                <w:szCs w:val="24"/>
                <w:color w:val="auto"/>
              </w:rPr>
            </w:pPr>
          </w:p>
        </w:tc>
        <w:tc>
          <w:tcPr>
            <w:tcW w:w="70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SMBC Nikko Securities America, Inc.</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388 Greenwich Street</w:t>
            </w:r>
          </w:p>
        </w:tc>
        <w:tc>
          <w:tcPr>
            <w:tcW w:w="160" w:type="dxa"/>
            <w:vAlign w:val="bottom"/>
          </w:tcPr>
          <w:p>
            <w:pPr>
              <w:spacing w:after="0"/>
              <w:rPr>
                <w:sz w:val="18"/>
                <w:szCs w:val="18"/>
                <w:color w:val="auto"/>
              </w:rPr>
            </w:pPr>
          </w:p>
        </w:tc>
        <w:tc>
          <w:tcPr>
            <w:tcW w:w="70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277 Park Avenue, 5th Floor</w:t>
            </w: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10013</w:t>
            </w:r>
          </w:p>
        </w:tc>
        <w:tc>
          <w:tcPr>
            <w:tcW w:w="160" w:type="dxa"/>
            <w:vAlign w:val="bottom"/>
          </w:tcPr>
          <w:p>
            <w:pPr>
              <w:spacing w:after="0"/>
              <w:rPr>
                <w:sz w:val="20"/>
                <w:szCs w:val="20"/>
                <w:color w:val="auto"/>
              </w:rPr>
            </w:pPr>
          </w:p>
        </w:tc>
        <w:tc>
          <w:tcPr>
            <w:tcW w:w="70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New York, New York 10172</w:t>
            </w:r>
          </w:p>
        </w:tc>
      </w:tr>
      <w:tr>
        <w:trPr>
          <w:trHeight w:val="31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160" w:type="dxa"/>
            <w:vAlign w:val="bottom"/>
          </w:tcPr>
          <w:p>
            <w:pPr>
              <w:spacing w:after="0"/>
              <w:rPr>
                <w:sz w:val="24"/>
                <w:szCs w:val="24"/>
                <w:color w:val="auto"/>
              </w:rPr>
            </w:pPr>
          </w:p>
        </w:tc>
        <w:tc>
          <w:tcPr>
            <w:tcW w:w="70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TD Securities (USA) LLC</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1 Columbus Circle</w:t>
            </w:r>
          </w:p>
        </w:tc>
        <w:tc>
          <w:tcPr>
            <w:tcW w:w="160" w:type="dxa"/>
            <w:vAlign w:val="bottom"/>
          </w:tcPr>
          <w:p>
            <w:pPr>
              <w:spacing w:after="0"/>
              <w:rPr>
                <w:sz w:val="18"/>
                <w:szCs w:val="18"/>
                <w:color w:val="auto"/>
              </w:rPr>
            </w:pPr>
          </w:p>
        </w:tc>
        <w:tc>
          <w:tcPr>
            <w:tcW w:w="70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1 Vanderbilt Avenue</w:t>
            </w: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10019</w:t>
            </w:r>
          </w:p>
        </w:tc>
        <w:tc>
          <w:tcPr>
            <w:tcW w:w="160" w:type="dxa"/>
            <w:vAlign w:val="bottom"/>
          </w:tcPr>
          <w:p>
            <w:pPr>
              <w:spacing w:after="0"/>
              <w:rPr>
                <w:sz w:val="19"/>
                <w:szCs w:val="19"/>
                <w:color w:val="auto"/>
              </w:rPr>
            </w:pPr>
          </w:p>
        </w:tc>
        <w:tc>
          <w:tcPr>
            <w:tcW w:w="70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New York, New York 10017</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60" w:type="dxa"/>
            <w:vAlign w:val="bottom"/>
          </w:tcPr>
          <w:p>
            <w:pPr>
              <w:spacing w:after="0"/>
              <w:rPr>
                <w:sz w:val="18"/>
                <w:szCs w:val="18"/>
                <w:color w:val="auto"/>
              </w:rPr>
            </w:pPr>
          </w:p>
        </w:tc>
        <w:tc>
          <w:tcPr>
            <w:tcW w:w="70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Truist Securities, Inc.</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383 Madison Avenue</w:t>
            </w:r>
          </w:p>
        </w:tc>
        <w:tc>
          <w:tcPr>
            <w:tcW w:w="160" w:type="dxa"/>
            <w:vAlign w:val="bottom"/>
          </w:tcPr>
          <w:p>
            <w:pPr>
              <w:spacing w:after="0"/>
              <w:rPr>
                <w:sz w:val="18"/>
                <w:szCs w:val="18"/>
                <w:color w:val="auto"/>
              </w:rPr>
            </w:pPr>
          </w:p>
        </w:tc>
        <w:tc>
          <w:tcPr>
            <w:tcW w:w="70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3333 Peachtree Road NE, 11th Floor</w:t>
            </w: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10179</w:t>
            </w:r>
          </w:p>
        </w:tc>
        <w:tc>
          <w:tcPr>
            <w:tcW w:w="160" w:type="dxa"/>
            <w:vAlign w:val="bottom"/>
          </w:tcPr>
          <w:p>
            <w:pPr>
              <w:spacing w:after="0"/>
              <w:rPr>
                <w:sz w:val="20"/>
                <w:szCs w:val="20"/>
                <w:color w:val="auto"/>
              </w:rPr>
            </w:pPr>
          </w:p>
        </w:tc>
        <w:tc>
          <w:tcPr>
            <w:tcW w:w="70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Atlanta, Georgia 30326</w:t>
            </w:r>
          </w:p>
        </w:tc>
      </w:tr>
      <w:tr>
        <w:trPr>
          <w:trHeight w:val="44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As Forward Sellers and Sales Agents, as applicable</w:t>
            </w:r>
          </w:p>
        </w:tc>
        <w:tc>
          <w:tcPr>
            <w:tcW w:w="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41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160" w:type="dxa"/>
            <w:vAlign w:val="bottom"/>
          </w:tcPr>
          <w:p>
            <w:pPr>
              <w:spacing w:after="0"/>
              <w:rPr>
                <w:sz w:val="24"/>
                <w:szCs w:val="24"/>
                <w:color w:val="auto"/>
              </w:rPr>
            </w:pPr>
          </w:p>
        </w:tc>
        <w:tc>
          <w:tcPr>
            <w:tcW w:w="70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Jefferies LLC</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500 West 33rd Street</w:t>
            </w:r>
          </w:p>
        </w:tc>
        <w:tc>
          <w:tcPr>
            <w:tcW w:w="160" w:type="dxa"/>
            <w:vAlign w:val="bottom"/>
          </w:tcPr>
          <w:p>
            <w:pPr>
              <w:spacing w:after="0"/>
              <w:rPr>
                <w:sz w:val="18"/>
                <w:szCs w:val="18"/>
                <w:color w:val="auto"/>
              </w:rPr>
            </w:pPr>
          </w:p>
        </w:tc>
        <w:tc>
          <w:tcPr>
            <w:tcW w:w="70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520 Madison Avenue</w:t>
            </w: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10001</w:t>
            </w:r>
          </w:p>
        </w:tc>
        <w:tc>
          <w:tcPr>
            <w:tcW w:w="160" w:type="dxa"/>
            <w:vAlign w:val="bottom"/>
          </w:tcPr>
          <w:p>
            <w:pPr>
              <w:spacing w:after="0"/>
              <w:rPr>
                <w:sz w:val="20"/>
                <w:szCs w:val="20"/>
                <w:color w:val="auto"/>
              </w:rPr>
            </w:pPr>
          </w:p>
        </w:tc>
        <w:tc>
          <w:tcPr>
            <w:tcW w:w="70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New York, New York 10022</w:t>
            </w:r>
          </w:p>
        </w:tc>
      </w:tr>
      <w:tr>
        <w:trPr>
          <w:trHeight w:val="31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BNP Paribas</w:t>
            </w:r>
          </w:p>
        </w:tc>
        <w:tc>
          <w:tcPr>
            <w:tcW w:w="160" w:type="dxa"/>
            <w:vAlign w:val="bottom"/>
          </w:tcPr>
          <w:p>
            <w:pPr>
              <w:spacing w:after="0"/>
              <w:rPr>
                <w:sz w:val="24"/>
                <w:szCs w:val="24"/>
                <w:color w:val="auto"/>
              </w:rPr>
            </w:pPr>
          </w:p>
        </w:tc>
        <w:tc>
          <w:tcPr>
            <w:tcW w:w="70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Regions Securities LLC</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787 Seventh Avenue</w:t>
            </w:r>
          </w:p>
        </w:tc>
        <w:tc>
          <w:tcPr>
            <w:tcW w:w="160" w:type="dxa"/>
            <w:vAlign w:val="bottom"/>
          </w:tcPr>
          <w:p>
            <w:pPr>
              <w:spacing w:after="0"/>
              <w:rPr>
                <w:sz w:val="18"/>
                <w:szCs w:val="18"/>
                <w:color w:val="auto"/>
              </w:rPr>
            </w:pPr>
          </w:p>
        </w:tc>
        <w:tc>
          <w:tcPr>
            <w:tcW w:w="70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615 S College St, Suite 600</w:t>
            </w: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10019</w:t>
            </w:r>
          </w:p>
        </w:tc>
        <w:tc>
          <w:tcPr>
            <w:tcW w:w="160" w:type="dxa"/>
            <w:vAlign w:val="bottom"/>
          </w:tcPr>
          <w:p>
            <w:pPr>
              <w:spacing w:after="0"/>
              <w:rPr>
                <w:sz w:val="20"/>
                <w:szCs w:val="20"/>
                <w:color w:val="auto"/>
              </w:rPr>
            </w:pPr>
          </w:p>
        </w:tc>
        <w:tc>
          <w:tcPr>
            <w:tcW w:w="70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Charlotte, North Carolina 28202</w:t>
            </w:r>
          </w:p>
        </w:tc>
      </w:tr>
      <w:tr>
        <w:trPr>
          <w:trHeight w:val="378"/>
        </w:trPr>
        <w:tc>
          <w:tcPr>
            <w:tcW w:w="3780" w:type="dxa"/>
            <w:vAlign w:val="bottom"/>
          </w:tcPr>
          <w:p>
            <w:pPr>
              <w:spacing w:after="0"/>
              <w:rPr>
                <w:sz w:val="24"/>
                <w:szCs w:val="24"/>
                <w:color w:val="auto"/>
              </w:rPr>
            </w:pPr>
          </w:p>
        </w:tc>
        <w:tc>
          <w:tcPr>
            <w:tcW w:w="32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88"/>
              </w:rPr>
              <w:t>1</w:t>
            </w:r>
          </w:p>
        </w:tc>
        <w:tc>
          <w:tcPr>
            <w:tcW w:w="39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10036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Bank of Nova Scotia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-281940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King Street West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Mail Room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Toronto, Ontario, Canada M5H 1H1</w:t>
      </w:r>
    </w:p>
    <w:p>
      <w:pPr>
        <w:spacing w:after="0" w:line="124" w:lineRule="exact"/>
        <w:rPr>
          <w:sz w:val="20"/>
          <w:szCs w:val="20"/>
          <w:color w:val="auto"/>
        </w:rPr>
      </w:pPr>
    </w:p>
    <w:p>
      <w:pPr>
        <w:sectPr>
          <w:pgSz w:w="11900" w:h="16838" w:orient="portrait"/>
          <w:cols w:equalWidth="0" w:num="2">
            <w:col w:w="5020" w:space="720"/>
            <w:col w:w="5240"/>
          </w:cols>
          <w:pgMar w:left="440" w:top="378" w:right="47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Toronto-Dominion Bank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TD Securities (USA)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112" w:lineRule="exact"/>
        <w:rPr>
          <w:sz w:val="20"/>
          <w:szCs w:val="20"/>
          <w:color w:val="auto"/>
        </w:rPr>
      </w:pPr>
    </w:p>
    <w:p>
      <w:pPr>
        <w:sectPr>
          <w:pgSz w:w="11900" w:h="16838" w:orient="portrait"/>
          <w:cols w:equalWidth="0" w:num="2">
            <w:col w:w="5020" w:space="720"/>
            <w:col w:w="5240"/>
          </w:cols>
          <w:pgMar w:left="440" w:top="37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Deutsche Bank AG, London Branch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Deutsche Bank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Columbus Circle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Truist Bank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3333 Peachtree Road NE, 11th Floor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 30326</w:t>
      </w:r>
    </w:p>
    <w:p>
      <w:pPr>
        <w:spacing w:after="0" w:line="327" w:lineRule="exact"/>
        <w:rPr>
          <w:sz w:val="20"/>
          <w:szCs w:val="20"/>
          <w:color w:val="auto"/>
        </w:rPr>
      </w:pPr>
    </w:p>
    <w:p>
      <w:pPr>
        <w:sectPr>
          <w:pgSz w:w="11900" w:h="16838" w:orient="portrait"/>
          <w:cols w:equalWidth="0" w:num="2">
            <w:col w:w="5020" w:space="720"/>
            <w:col w:w="5240"/>
          </w:cols>
          <w:pgMar w:left="440" w:top="37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JPMorgan Chase Bank, National Association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Forward Purchasers</w:t>
      </w:r>
    </w:p>
    <w:p>
      <w:pPr>
        <w:sectPr>
          <w:pgSz w:w="11900" w:h="16838" w:orient="portrait"/>
          <w:cols w:equalWidth="0" w:num="1">
            <w:col w:w="10980"/>
          </w:cols>
          <w:pgMar w:left="440" w:top="378" w:right="479" w:bottom="1440" w:gutter="0" w:footer="0" w:header="0"/>
          <w:type w:val="continuous"/>
        </w:sectPr>
      </w:pP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Each of Federal Realty Investment Trust, a Maryland real estate investment trust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Federal Realty OP LP, a Delaware limited partnership (the “Operating Partnership”), Wells Fargo Bank, National Association, BNP Paribas, Bank of America, N.A., Citibank, N.A., Deutsche Bank AG, London Branch, JPMorgan Chase Bank, National Association, Jefferies LLC, Regions Securities LLC, The Bank of Nova Scotia, The Toronto-Dominion Bank and Truist Bank (each in its capacity as forward purchaser, a “Forward Purchaser,” and together the “</w:t>
      </w:r>
      <w:r>
        <w:rPr>
          <w:rFonts w:ascii="Times New Roman" w:cs="Times New Roman" w:eastAsia="Times New Roman" w:hAnsi="Times New Roman"/>
          <w:sz w:val="18"/>
          <w:szCs w:val="18"/>
          <w:u w:val="single" w:color="auto"/>
          <w:color w:val="auto"/>
        </w:rPr>
        <w:t>Forward Purchasers</w:t>
      </w:r>
      <w:r>
        <w:rPr>
          <w:rFonts w:ascii="Times New Roman" w:cs="Times New Roman" w:eastAsia="Times New Roman" w:hAnsi="Times New Roman"/>
          <w:sz w:val="18"/>
          <w:szCs w:val="18"/>
          <w:color w:val="auto"/>
        </w:rPr>
        <w:t>”) and Wells Fargo Securities, LLC, BNP Paribas Securities Corp., BofA Securities, Inc., Citigroup Global Markets Inc., Deutsche Bank Securities Inc., J.P. Morgan Securities LLC, Jefferies LLC, Regions Securities LLC, Scotia Capital (USA) Inc., SMBC Nikko Securities America, Inc., TD Securities (USA) LLC and Truist Securities, Inc. (each in its capacity as agent for the Company and/or principal in connection with the offering and sale of any Issuance Securities (as defined below) hereunder, a “</w:t>
      </w:r>
      <w:r>
        <w:rPr>
          <w:rFonts w:ascii="Times New Roman" w:cs="Times New Roman" w:eastAsia="Times New Roman" w:hAnsi="Times New Roman"/>
          <w:sz w:val="18"/>
          <w:szCs w:val="18"/>
          <w:u w:val="single" w:color="auto"/>
          <w:color w:val="auto"/>
        </w:rPr>
        <w:t>Sales 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Sales Agents</w:t>
      </w:r>
      <w:r>
        <w:rPr>
          <w:rFonts w:ascii="Times New Roman" w:cs="Times New Roman" w:eastAsia="Times New Roman" w:hAnsi="Times New Roman"/>
          <w:sz w:val="18"/>
          <w:szCs w:val="18"/>
          <w:color w:val="auto"/>
        </w:rPr>
        <w:t>,” and, except in the case of SMBC Nikko Securities America, Inc., each in its capacity as agent for the related Forward Purchaser in connection with the offering and sale of any Forward Hedge Securities (as defined below) hereunder, a “</w:t>
      </w:r>
      <w:r>
        <w:rPr>
          <w:rFonts w:ascii="Times New Roman" w:cs="Times New Roman" w:eastAsia="Times New Roman" w:hAnsi="Times New Roman"/>
          <w:sz w:val="18"/>
          <w:szCs w:val="18"/>
          <w:u w:val="single" w:color="auto"/>
          <w:color w:val="auto"/>
        </w:rPr>
        <w:t>Forward Seller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Forward Sellers</w:t>
      </w:r>
      <w:r>
        <w:rPr>
          <w:rFonts w:ascii="Times New Roman" w:cs="Times New Roman" w:eastAsia="Times New Roman" w:hAnsi="Times New Roman"/>
          <w:sz w:val="18"/>
          <w:szCs w:val="18"/>
          <w:color w:val="auto"/>
        </w:rPr>
        <w:t>”) hereby agrees to this Equity Distribution Agreement, dated as of February 14, 2022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as follows: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378" w:right="47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 </w:t>
      </w:r>
      <w:r>
        <w:rPr>
          <w:rFonts w:ascii="Times New Roman" w:cs="Times New Roman" w:eastAsia="Times New Roman" w:hAnsi="Times New Roman"/>
          <w:sz w:val="18"/>
          <w:szCs w:val="18"/>
          <w:u w:val="single" w:color="auto"/>
          <w:color w:val="auto"/>
        </w:rPr>
        <w:t>Description of Securities</w:t>
      </w:r>
      <w:r>
        <w:rPr>
          <w:rFonts w:ascii="Times New Roman" w:cs="Times New Roman" w:eastAsia="Times New Roman" w:hAnsi="Times New Roman"/>
          <w:sz w:val="18"/>
          <w:szCs w:val="18"/>
          <w:color w:val="auto"/>
        </w:rPr>
        <w:t>. Each of the Company and the Operating Partnership agrees that, from time to time during the term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on the terms and subject to the conditions set forth herein, Securities having an aggregate offering price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$687,879,828</w:t>
      </w:r>
      <w:r>
        <w:rPr>
          <w:rFonts w:ascii="Times New Roman" w:cs="Times New Roman" w:eastAsia="Times New Roman" w:hAnsi="Times New Roman"/>
          <w:sz w:val="18"/>
          <w:szCs w:val="18"/>
          <w:u w:val="single" w:color="auto"/>
          <w:color w:val="0000FF"/>
        </w:rPr>
        <w:t>$1,293,472,611</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“Maximum Amount”) may be offered and sold in the manner contemplated by this Agreement, of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$500,000,000</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$750,000,000</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remains available for offer and sale as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March 8</w:t>
      </w:r>
      <w:r>
        <w:rPr>
          <w:rFonts w:ascii="Times New Roman" w:cs="Times New Roman" w:eastAsia="Times New Roman" w:hAnsi="Times New Roman"/>
          <w:sz w:val="18"/>
          <w:szCs w:val="18"/>
          <w:u w:val="single" w:color="auto"/>
          <w:color w:val="0000FF"/>
        </w:rPr>
        <w:t>February 14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 Notwithstanding anything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7372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contained herein, the parties hereto agree that compliance with the limitations set forth in this Section 1 regarding the aggregate offering price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-121920</wp:posOffset>
            </wp:positionV>
            <wp:extent cx="6254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3580765</wp:posOffset>
            </wp:positionH>
            <wp:positionV relativeFrom="paragraph">
              <wp:posOffset>-121920</wp:posOffset>
            </wp:positionV>
            <wp:extent cx="5575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4420870</wp:posOffset>
            </wp:positionH>
            <wp:positionV relativeFrom="paragraph">
              <wp:posOffset>-121920</wp:posOffset>
            </wp:positionV>
            <wp:extent cx="2317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Securities offered and sold under this Agreement shall be the sole responsibility of the Company, and the Sales Agents or the Forward Sellers,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shall have no obligation in connection with such compliance. The offering and sale of the Securities by the Sales Agents and the Forward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Sellers will be effected pursuant to the Registration Statement (as defined below) that was filed by the Company and became effective upon filing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462(e) of the Securities Act of 1933, as amended, and the rules and regulations thereunder (collectively, the “Securities Act”); although nothing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shall be construed as requiring the Company to use the Registration Statement to issue the Securities.</w:t>
      </w:r>
    </w:p>
    <w:p>
      <w:pPr>
        <w:spacing w:after="0" w:line="20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Company and the Operating Partnership have filed, in accordance with the provisions of the Securities Act,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an automatic shelf registration statement on Form S-3 (File No. 333-277767), including a base prospectus, relating to certain securities, including the Securities, to be offered and sold from time to time, and which incorporates by reference documents that the Company and the Operating Partnership have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Company has prepared a prospectus supplement specifically relating to the Securities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to the base prospectus included as part of such registration statement. The Company will furnish to the Sales Agents or the Forward Sellers, as applicable, for use by such Sales Agents or such Forward Sellers, as applicable, copies of the prospectus included as part of such registration statement, as supplemented by the Prospectus Supplement, relating to the Securities. Except where the context otherwise requires, such registration statement, as amended when it became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(the “</w:t>
      </w:r>
      <w:r>
        <w:rPr>
          <w:rFonts w:ascii="Times New Roman" w:cs="Times New Roman" w:eastAsia="Times New Roman" w:hAnsi="Times New Roman"/>
          <w:sz w:val="18"/>
          <w:szCs w:val="18"/>
          <w:u w:val="single" w:color="auto"/>
          <w:color w:val="auto"/>
        </w:rPr>
        <w:t>Rule 430B Information</w:t>
      </w:r>
      <w:r>
        <w:rPr>
          <w:rFonts w:ascii="Times New Roman" w:cs="Times New Roman" w:eastAsia="Times New Roman" w:hAnsi="Times New Roman"/>
          <w:sz w:val="18"/>
          <w:szCs w:val="18"/>
          <w:color w:val="auto"/>
        </w:rPr>
        <w:t>”) of the Securities Act, is herein called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Registration Statement at the time it originally became effective is herein called the “</w:t>
      </w:r>
      <w:r>
        <w:rPr>
          <w:rFonts w:ascii="Times New Roman" w:cs="Times New Roman" w:eastAsia="Times New Roman" w:hAnsi="Times New Roman"/>
          <w:sz w:val="18"/>
          <w:szCs w:val="18"/>
          <w:u w:val="single" w:color="auto"/>
          <w:color w:val="auto"/>
        </w:rPr>
        <w:t>Original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and/or the Operating Partnership, as applicable, with the Commission pursuant to Rule 424(b) under the Securities Act is herein called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9" w:name="page20"/>
    <w:bookmarkEnd w:id="19"/>
    <w:p>
      <w:pPr>
        <w:jc w:val="both"/>
        <w:ind w:right="76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EDGAR.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55" w:lineRule="auto"/>
        <w:tabs>
          <w:tab w:leader="none" w:pos="6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time that the Company wishes that Securities be offered and sold hereunder (each, a “</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it will notify the applicable Sales Agent (in the case of an Issuance) or the applicable Forward Seller and the applicable Forward Purchaser (in the case of a Forward), in each case by email (or other method mutually agreed to in writing by the parties), of the same in a notice (a “</w:t>
      </w:r>
      <w:r>
        <w:rPr>
          <w:rFonts w:ascii="Times New Roman" w:cs="Times New Roman" w:eastAsia="Times New Roman" w:hAnsi="Times New Roman"/>
          <w:sz w:val="18"/>
          <w:szCs w:val="18"/>
          <w:u w:val="single" w:color="auto"/>
          <w:color w:val="auto"/>
        </w:rPr>
        <w:t>Placement Notice</w:t>
      </w:r>
      <w:r>
        <w:rPr>
          <w:rFonts w:ascii="Times New Roman" w:cs="Times New Roman" w:eastAsia="Times New Roman" w:hAnsi="Times New Roman"/>
          <w:sz w:val="18"/>
          <w:szCs w:val="18"/>
          <w:color w:val="auto"/>
        </w:rPr>
        <w:t xml:space="preserve">”)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Placement Notice shall originate from any of the individuals from the Company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(with a copy to each of the other individuals from the Company listed on such schedule) and shall be addressed to each of the individuals from the applicable Sales Agent or the applicable Forward Seller and the applicable Forward Purchaser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(any reference to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contained herein shall refer to such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as may be amended from time to time).</w:t>
      </w:r>
    </w:p>
    <w:p>
      <w:pPr>
        <w:spacing w:after="0" w:line="188"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Sales Agent or a Forward Seller and a Forward Purchaser, as applicable, wish to accept such proposed terms included in the Placement Notice (which they may decline to do for any reason in their sole discretion) or, following discussion with the Company, wish to accept amended terms, such Sales Agent or such Forward Seller and such Forward Purchaser, as applicable, will, prior to 4:30 p.m. (New York City Time) on the business day following the business day on which such Placement Notice is delivered to such Sales Agent or such Forward Seller and such Forward Purchaser, as applicable, issue to the Company a notice by email (or other method mutually agreed to in writing by the parties) addressed to all of the individuals from the Company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setting forth the terms that such Sales Agent or such Forward Seller and such Forward Purchaser, as applicable, are willing to accept. Where the terms provided in the Placement Notice are amended as provided for in the immediately preceding sentence, such terms will not be binding on the Company until the Company delivers to such Sales Agent or such Forward Seller and such Forward Purchaser, as applicable, an acceptance by email (or other method mutually agreed to in writing by the parties) of all of the terms of such Placement Notice, as amended (the “</w:t>
      </w: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xml:space="preserve">”), which email shall originate from any of the individuals from the Company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(with a copy to each of the other individuals from the Company listed on such exhibit) and shall be addressed to each of the individuals from such Sales Agent or such Forward Seller and such Forward Purchaser, as applicable,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The Placement Notice (as amended by the corresponding Acceptance, if applicable) shall be effective upon receipt by the Company of such Sales Agent’s or such Forward Seller’s and such Forward Purchaser’s, as applicable, acceptance of the terms of the Placement Notice or upon receipt by such Sales Agent or such Forward Seller and such Forward Purchaser, as applicable, of the Company’s Acceptance (where terms have been amended), as the case may be, unless and until (i) the entire amount of corresponding Securities has been sold, (ii) the Company terminates the Placement Notice by delivering a termination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0" w:name="page21"/>
    <w:bookmarkEnd w:id="2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notice by email (or other method mutually agreed to in writing by the parties) expressly indicating that the Company desires to terminate the Placement Notice, which email shall originate from any of the individuals from the Company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(with a copy to each of the other individuals from the Company listed on such exhibit) and shall be addressed to each of the individuals from such Sales Agent or such Forward Seller and such Forward Purchaser, as applicable,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(iii) the Company issues a subsequent Placement Notice with parameters superseding those on the earlier dated Placement Notice, (iv) this Agreement has been terminated under the provisions of Section 13 or (v) any party shall have suspended the sale of the Securities in accordance with Section 4 below. The amount of any commission, discount or other compensation to be paid to the applicable Sales Agent or Forward Seller in connection with the sale of the Securities shall be calculated in accordance with the terms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unless otherwise agreed to by the applicable parties. With respect to a Placement involving a proposed Issuance, it is expressly acknowledged and agreed that neither the Company nor the Sales Agents will have any obligation whatsoever with respect to such Placement or any related Securities unless and until the Company delivers a Placement Notice to the applicable Sales Agent and either (i) such Sales Agent accepts the terms of such Placement Notice or (ii) where the terms of such Placement Notice are amended, the Company accepts such amended terms by means of an Acceptance pursuant to the terms set forth above, and then only upon the terms specified in the Placement Notice (as amended by the corresponding Acceptance, if applicable) and herein. With respect to a Placement involving a proposed Forward, it is expressly acknowledged and agreed that the Company, the Forward Sellers and the Forward Purchasers will have no obligation whatsoever with respect to such Placement or any related Securities unless and until the Company delivers a Placement Notice to the applicable Forward Seller and the applicable Forward Purchaser, the Company and such Forward Purchaser execute a Confirmation substantially in the form attached hereto as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related to such Placement and either (a) such Forward Seller and such Forward Purchaser accept the terms of such Placement Notice or (b) where the terms of such Placement Notice are amended, the Company accepts such amended terms by means of an Acceptance pursuant to the terms set forth above, and then only upon the terms specified in the Placement Notice (as amended by the corresponding Acceptance, if applicable), this Agreement and the Confirmation. In the event of a conflict between the terms of this Agreement and the terms of a Placement Notice (as amended by the corresponding Acceptance, if applicable), the terms of the Placement Notice (as amended by the corresponding Acceptance, if applicable) will control.</w:t>
      </w:r>
    </w:p>
    <w:p>
      <w:pPr>
        <w:spacing w:after="0" w:line="188" w:lineRule="exact"/>
        <w:rPr>
          <w:sz w:val="20"/>
          <w:szCs w:val="20"/>
          <w:color w:val="auto"/>
        </w:rPr>
      </w:pPr>
    </w:p>
    <w:p>
      <w:pPr>
        <w:ind w:right="20" w:firstLine="436"/>
        <w:spacing w:after="0" w:line="255" w:lineRule="auto"/>
        <w:tabs>
          <w:tab w:leader="none" w:pos="6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Placement Notice may be delivered hereunder if the Selling Period specified therein would overlap in whole or in part with any Selling Period specified in another Placement Notice (as amended by the corresponding Acceptance, if applicable) delivered hereunder unless the Securities to be sold under such other Placement Notice have all been sold; no Placement Notice may be delivered hereunder if any Selling Period specified therein would overlap in whole or in part with any Unwind Period (as defined in the applicable Confirmation) under any Confirmation entered into between the Company and a Forward Purchaser; and no Placement Notice specifying that it relates to a Forward may be delivered if such Placement Notice, together with all prior Placement Notices (as amended by any applicable Acceptance) delivered by the Company relating to Forwards hereunder, would result in the sum of the number of Confirmation Securities issued and delivered under all Confirmations that have completely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1" w:name="page22"/>
    <w:bookmarkEnd w:id="21"/>
    <w:p>
      <w:pPr>
        <w:ind w:right="4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settled, plus the sum of the Share Cap (as defined in such Confirmation) under each Confirmation then outstanding or to be entered into, exceeding 19.99% of the number of Common Shares outstanding as of the date of this Agreement.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Sale of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36"/>
        <w:spacing w:after="0" w:line="254" w:lineRule="auto"/>
        <w:tabs>
          <w:tab w:leader="none" w:pos="6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Sections 2(b) and 6(a), each Sales Agent, for the period specified in the applicable Placement Notice (as amended by the corresponding Acceptance, if applicable) for an Issuance, will use its commercially reasonable efforts consistent with its normal trading and sales practices to sell the Issuance Securities up to the amount specified, and otherwise in accordance with the terms of such Placement Notice (as amended by the corresponding Acceptance, if applicable). The Sales Agent will provide written confirmation to the Company no later than the opening of the Trading Day (as defined below) immediately following the Trading Day on which it has made sales of Issuance Securities hereunder setting forth the number of Issuance Securities sold on such day, the compensation payable by the Company to such Sales Agent pursuant to Section 2(b) with respect to such sales, and the Net Proceeds (as defined below) payable to the Company, with an itemization of the deductions made by such Sales Agent (as set forth in Section 6(b)) from the gross proceeds that it receives from such sales.</w:t>
      </w:r>
    </w:p>
    <w:p>
      <w:pPr>
        <w:spacing w:after="0" w:line="191"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Sections 2(b) and 6(d) and the applicable Confirmation, each Forward Seller, for the period specified in the Placement Notice (as amended by the corresponding Acceptance, if applicable) for a Forward, will use its commercially reasonable efforts consistent with its normal trading and sales practices to sell Forward Hedge Securities up to the amount specified, and otherwise in accordance with the terms of such Placement Notice (as amended by the corresponding Acceptance, if applicable). The Forward Seller will provide written confirmation to the Company and the Forward Purchaser no later than the opening of the Trading Day immediately following the Trading Day on which it has made sales of Forward Hedge Securities hereunder setting forth the number of Forward Hedge Securities sold on such day, the Forward Hedge Selling Commission in respect of such Forward Hedge Securities and the corresponding Aggregate Sales Price.</w:t>
      </w:r>
    </w:p>
    <w:p>
      <w:pPr>
        <w:spacing w:after="0" w:line="188" w:lineRule="exact"/>
        <w:rPr>
          <w:rFonts w:ascii="Times New Roman" w:cs="Times New Roman" w:eastAsia="Times New Roman" w:hAnsi="Times New Roman"/>
          <w:sz w:val="18"/>
          <w:szCs w:val="18"/>
          <w:color w:val="auto"/>
        </w:rPr>
      </w:pPr>
    </w:p>
    <w:p>
      <w:pPr>
        <w:ind w:right="60" w:firstLine="436"/>
        <w:spacing w:after="0" w:line="255" w:lineRule="auto"/>
        <w:tabs>
          <w:tab w:leader="none" w:pos="6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Placement Notice (as amended by the corresponding Acceptance, if applicable), the Securities may be offered and sold by any method permitted by law deemed to be an “at the market” offering as defined in Rule 415 of the Securities Act, including without limitation sales made directly on the New York Stock Exchange (the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on any other existing trading market for the Common Shares or to or through a market maker. Subject to the terms of the Placement Notice (as amended by the corresponding Acceptance, if applicable), the Sales Agents and the Forward Sellers may also sell Securities by any other method permitted by law, including but not limited to sales in privately negotiated transactions. For the purposes hereof,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Common Shares are purchased and sold on the principal market on which the Common Shares are listed or quoted.</w:t>
      </w:r>
    </w:p>
    <w:p>
      <w:pPr>
        <w:spacing w:after="0" w:line="188" w:lineRule="exact"/>
        <w:rPr>
          <w:rFonts w:ascii="Times New Roman" w:cs="Times New Roman" w:eastAsia="Times New Roman" w:hAnsi="Times New Roman"/>
          <w:sz w:val="18"/>
          <w:szCs w:val="18"/>
          <w:color w:val="auto"/>
        </w:rPr>
      </w:pPr>
    </w:p>
    <w:p>
      <w:pPr>
        <w:ind w:right="600" w:firstLine="436"/>
        <w:spacing w:after="0" w:line="282"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Operating Partnership acknowledges and agrees that (i) there can be no assurance that a Sales Agent or a Forward Seller, as applicable, will be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2" w:name="page23"/>
    <w:bookmarkEnd w:id="22"/>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successful in selling Securities, and (ii) a Sales Agent or a Forward Seller, as applicable, will incur no liability or obligation to the Company, the Operating Partnership or any other person or entity if it does not sell Securities for any reason other than a failure by such Sales Agent or such Forward Seller, as applicable, to use its commercially reasonable efforts consistent with its normal trading and sales practices to sell such Securities as required under this Section 3. Each of the Company and the Operating Partnership agrees that any offer to sell, any solicitation of an offer to buy, or any sales of Securities pursuant to this Agreement shall be effected by or through only one Sales Agent or Forward Seller on any single given day, and neither the Company nor the Operating Partnership shall request that a Sales Agent and a Forward Seller sell Securities on the same day.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54" w:lineRule="auto"/>
        <w:tabs>
          <w:tab w:leader="none" w:pos="6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and pursuant to the terms of each Confirmation, in the event that in the commercially reasonable judgment of a Forward Purchaser, it or its affiliate (i) is unable to hedge in a commercially reasonable manner its exposure under such Forward because insufficient Common Shares are made available for borrowing by securities lenders or (ii) would incur a cost to borrow (or to maintain a borrow of) Common Shares to hedge in a commercially reasonable manner its exposure under such Forward that is greater than a rate specified in such Confirmation, then such Forward Seller shall be obligated to use commercially reasonable efforts to sell only the aggregate number of Forward Hedge Securities that a Forward Purchaser or its affiliate is able to borrow at or below such cost. For the avoidance of doubt, the obligations of a Forward Seller hereunder with respect to the offer and sale of any Forward Hedge Securities in connection with a Forward shall be subject to the related Confirmation being effective and not having been terminated.</w:t>
      </w:r>
    </w:p>
    <w:p>
      <w:pPr>
        <w:spacing w:after="0" w:line="191" w:lineRule="exact"/>
        <w:rPr>
          <w:rFonts w:ascii="Times New Roman" w:cs="Times New Roman" w:eastAsia="Times New Roman" w:hAnsi="Times New Roman"/>
          <w:sz w:val="18"/>
          <w:szCs w:val="18"/>
          <w:color w:val="auto"/>
        </w:rPr>
      </w:pPr>
    </w:p>
    <w:p>
      <w:pPr>
        <w:ind w:right="100" w:firstLine="436"/>
        <w:spacing w:after="0" w:line="254"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 Sales Agent, a Forward Seller and a Forward Purchaser may, upon notice to the other applicable parties in writing (including by email correspondence to each of the individuals of the other party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email correspondence to each of the individuals of the other party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suspend any future sale of Securities, under this Agreement. Each of the parties agrees that no such notice under this Section 4 shall be effective against the other applicable parties unless it is made to one of the individuals (or to each of the individuals, if notice is made by email correspondence) named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hereto, as such Exhibit may be amended from time to time, and (i) receipt is actually acknowledged, other than via auto-reply, by any of the individuals to whom the notice is sent if made by email correspondence or (ii) notice is confirmed promptly by email correspondence to each of the individuals of the other applicable parties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if notice is made by telephone. Each party shall acknowledge any notice received pursuant to this Section 4 as promptly as possible.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160" w:firstLine="436"/>
        <w:spacing w:after="0" w:line="261" w:lineRule="auto"/>
        <w:tabs>
          <w:tab w:leader="none" w:pos="6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by the Company and the Operating Partnership. </w:t>
      </w:r>
      <w:r>
        <w:rPr>
          <w:rFonts w:ascii="Times New Roman" w:cs="Times New Roman" w:eastAsia="Times New Roman" w:hAnsi="Times New Roman"/>
          <w:sz w:val="18"/>
          <w:szCs w:val="18"/>
          <w:color w:val="auto"/>
        </w:rPr>
        <w:t>Each of the Company and the Operating Partnership jointly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severally represents and warrants to the Sales Agents, the Forward Sellers and the Forward Purchasers as of the date hereof and as of each Representation Date (as defined below), as of each Applicable Time (as defined below) and as of each Settlement Date (as defined below), and agrees with the Sales Agents, the Forward Sellers and the Forward Purchasers as follows:</w:t>
      </w:r>
    </w:p>
    <w:p>
      <w:pPr>
        <w:spacing w:after="0" w:line="73" w:lineRule="exact"/>
        <w:rPr>
          <w:rFonts w:ascii="Times New Roman" w:cs="Times New Roman" w:eastAsia="Times New Roman" w:hAnsi="Times New Roman"/>
          <w:sz w:val="18"/>
          <w:szCs w:val="18"/>
          <w:color w:val="auto"/>
        </w:rPr>
      </w:pPr>
    </w:p>
    <w:p>
      <w:pPr>
        <w:ind w:left="440" w:right="80" w:firstLine="419"/>
        <w:spacing w:after="0" w:line="252" w:lineRule="auto"/>
        <w:tabs>
          <w:tab w:leader="none" w:pos="111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as a Well-Known Seasoned Issuer; Registration Statement Effective; Conform to Securities Act; No Misleading Statements; Conformity with EDGAR filings</w:t>
      </w:r>
      <w:r>
        <w:rPr>
          <w:rFonts w:ascii="Times New Roman" w:cs="Times New Roman" w:eastAsia="Times New Roman" w:hAnsi="Times New Roman"/>
          <w:sz w:val="18"/>
          <w:szCs w:val="18"/>
          <w:color w:val="auto"/>
        </w:rPr>
        <w:t>. (A) At the time of filing the Original Registration Statement, (B) at the time of the most recent amendment thereto for the purposes of complying with Section 10(a)(3) of the Securities Act (whether such amendment was by post-effective amendment, incorporated report filed pursuant to Section 13 or 15(d) of the Exchange Act or form of prospectus), (C) at the time the Company or any person acting on its behalf (within the meaning, for this clause only, of Rule 163(c) of the Securities Act) made any offer relating to the Securities in reliance on the exemption of Rule 163 of the Securities Act, (D) at the earliest time that the Company or another offering participant made a bona fide offer (within the meaning of Rule 164(h)(2) under the Securities Act) of the Securities and (E) at the date hereof, the Company was, is and will be a “well-known seasoned issuer” as defined in Rule 405 under the Securities Act,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 pursuant to Rule 401(g)(2) under the Securities Act objecting to the use of the automatic shelf registration statement form. The Company has paid, or if the Prospectus Supplement has not yet been filed with the Commission will pay, the required Commission filing fees relating to the Securities within the time required by</w:t>
      </w:r>
    </w:p>
    <w:p>
      <w:pPr>
        <w:spacing w:after="0" w:line="1" w:lineRule="exact"/>
        <w:rPr>
          <w:rFonts w:ascii="Times New Roman" w:cs="Times New Roman" w:eastAsia="Times New Roman" w:hAnsi="Times New Roman"/>
          <w:sz w:val="18"/>
          <w:szCs w:val="18"/>
          <w:color w:val="auto"/>
        </w:rPr>
      </w:pPr>
    </w:p>
    <w:p>
      <w:pPr>
        <w:ind w:left="440" w:right="2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78" w:lineRule="exact"/>
        <w:rPr>
          <w:sz w:val="20"/>
          <w:szCs w:val="20"/>
          <w:color w:val="auto"/>
        </w:rPr>
      </w:pPr>
    </w:p>
    <w:p>
      <w:pPr>
        <w:ind w:left="440" w:right="180" w:firstLine="423"/>
        <w:spacing w:after="0" w:line="258" w:lineRule="auto"/>
        <w:rPr>
          <w:sz w:val="20"/>
          <w:szCs w:val="20"/>
          <w:color w:val="auto"/>
        </w:rPr>
      </w:pPr>
      <w:r>
        <w:rPr>
          <w:rFonts w:ascii="Times New Roman" w:cs="Times New Roman" w:eastAsia="Times New Roman" w:hAnsi="Times New Roman"/>
          <w:sz w:val="18"/>
          <w:szCs w:val="18"/>
          <w:color w:val="auto"/>
        </w:rPr>
        <w:t>The Original Registration Statement became effective upon filing under Rule 462(e) on March 8, 2024, and any post-effective amendment thereto also became effective upon filing under Rule 462(e). No stop order suspending the effectiveness of the Registration Statement has been issued under the Securities Act and no proceedings for that purpose have been instituted or are pending or, to the knowledge of each of the Company and the Operating Partnership, are contemplated by the Commission, and any request on the part of the Commission for additional information has been complied with.</w:t>
      </w:r>
    </w:p>
    <w:p>
      <w:pPr>
        <w:spacing w:after="0" w:line="75" w:lineRule="exact"/>
        <w:rPr>
          <w:sz w:val="20"/>
          <w:szCs w:val="20"/>
          <w:color w:val="auto"/>
        </w:rPr>
      </w:pPr>
    </w:p>
    <w:p>
      <w:pPr>
        <w:ind w:left="440" w:firstLine="423"/>
        <w:spacing w:after="0" w:line="282" w:lineRule="auto"/>
        <w:rPr>
          <w:sz w:val="20"/>
          <w:szCs w:val="20"/>
          <w:color w:val="auto"/>
        </w:rPr>
      </w:pPr>
      <w:r>
        <w:rPr>
          <w:rFonts w:ascii="Times New Roman" w:cs="Times New Roman" w:eastAsia="Times New Roman" w:hAnsi="Times New Roman"/>
          <w:sz w:val="18"/>
          <w:szCs w:val="18"/>
          <w:color w:val="auto"/>
        </w:rPr>
        <w:t>At the respective times the Original Registration Statement and any amendment thereto became effective, at each deemed effective date with respect to a Sales Agent or a</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4" w:name="page25"/>
    <w:bookmarkEnd w:id="24"/>
    <w:p>
      <w:pPr>
        <w:jc w:val="both"/>
        <w:ind w:left="440"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 Seller and a Forward Purchaser and the Securities pursuant to Rule 430B(f)(2) under the Securities Act, and at each relevant Settlement Date, the Registration Statement complied, complies and will comply in all material respects with the requirements of the Securities Act, and did not and will not contain an untrue statement of a material fact or omit to state a material fact required to be stated therein or necessary to make the statements therein not misleading.</w:t>
      </w:r>
    </w:p>
    <w:p>
      <w:pPr>
        <w:spacing w:after="0" w:line="72" w:lineRule="exact"/>
        <w:rPr>
          <w:sz w:val="20"/>
          <w:szCs w:val="20"/>
          <w:color w:val="auto"/>
        </w:rPr>
      </w:pPr>
    </w:p>
    <w:p>
      <w:pPr>
        <w:ind w:left="440" w:firstLine="423"/>
        <w:spacing w:after="0" w:line="258" w:lineRule="auto"/>
        <w:rPr>
          <w:sz w:val="20"/>
          <w:szCs w:val="20"/>
          <w:color w:val="auto"/>
        </w:rPr>
      </w:pPr>
      <w:r>
        <w:rPr>
          <w:rFonts w:ascii="Times New Roman" w:cs="Times New Roman" w:eastAsia="Times New Roman" w:hAnsi="Times New Roman"/>
          <w:sz w:val="18"/>
          <w:szCs w:val="18"/>
          <w:color w:val="auto"/>
        </w:rPr>
        <w:t>The Prospectus and each amendment or supplement thereto, if any, at the time the Prospectus or any such amendment or supplement is issued and at each relevant Settlement Date, complied, complies and will comply, in all material respects with the requirements of the Securities Act, and neither the Prospectus nor any amendments or supplements thereto, at the time the Prospectus or any such amendment or supplement was issued, or at any Settlement Date, included, includes or will include an untrue statement of a material fact or omitted or will omit to state a material fact necessary in order to make the statements therein, in the light of the circumstances under which they were made, not misleading.</w:t>
      </w:r>
    </w:p>
    <w:p>
      <w:pPr>
        <w:spacing w:after="0" w:line="75" w:lineRule="exact"/>
        <w:rPr>
          <w:sz w:val="20"/>
          <w:szCs w:val="20"/>
          <w:color w:val="auto"/>
        </w:rPr>
      </w:pPr>
    </w:p>
    <w:p>
      <w:pPr>
        <w:ind w:left="440" w:right="500" w:firstLine="423"/>
        <w:spacing w:after="0" w:line="258" w:lineRule="auto"/>
        <w:rPr>
          <w:sz w:val="20"/>
          <w:szCs w:val="20"/>
          <w:color w:val="auto"/>
        </w:rPr>
      </w:pPr>
      <w:r>
        <w:rPr>
          <w:rFonts w:ascii="Times New Roman" w:cs="Times New Roman" w:eastAsia="Times New Roman" w:hAnsi="Times New Roman"/>
          <w:sz w:val="18"/>
          <w:szCs w:val="18"/>
          <w:color w:val="auto"/>
        </w:rPr>
        <w:t>Each preliminary prospectus (including the base prospectus or prospectuses filed as part of the Original Registration Statement or any amendment thereto) complied when so filed in all material respects with the Securities Act. Each preliminary prospectus and the Prospectus delivered to the Sales Agents, the Forward Sellers and the Forward Purchasers for use in connection with the offering of any Securities was identical to the electronically transmitted copies thereof filed with the Commission pursuant to EDGAR, except to the extent permitted by Regulation S-T.</w:t>
      </w:r>
    </w:p>
    <w:p>
      <w:pPr>
        <w:spacing w:after="0" w:line="75" w:lineRule="exact"/>
        <w:rPr>
          <w:sz w:val="20"/>
          <w:szCs w:val="20"/>
          <w:color w:val="auto"/>
        </w:rPr>
      </w:pPr>
    </w:p>
    <w:p>
      <w:pPr>
        <w:ind w:left="440" w:right="20" w:firstLine="423"/>
        <w:spacing w:after="0" w:line="255" w:lineRule="auto"/>
        <w:rPr>
          <w:sz w:val="20"/>
          <w:szCs w:val="20"/>
          <w:color w:val="auto"/>
        </w:rPr>
      </w:pPr>
      <w:r>
        <w:rPr>
          <w:rFonts w:ascii="Times New Roman" w:cs="Times New Roman" w:eastAsia="Times New Roman" w:hAnsi="Times New Roman"/>
          <w:sz w:val="18"/>
          <w:szCs w:val="18"/>
          <w:color w:val="auto"/>
        </w:rPr>
        <w:t>Each Issuer Free Writing Prospectus, as of its issue date and as of the relevant Applicable Time and Settlement Date, or until any earlier date that the Company notified or notifies the Sales Agents or the Forward Sellers and the Forward Purchasers as described in Section 7(d), did not, does not and will not (i)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or (ii) when taken together with the Prospectus, include an untrue statement of any material fact or omit to state a material fact necessary in order to make the statements therein, in the light of the circumstances under which they were made, not misleading.</w:t>
      </w:r>
    </w:p>
    <w:p>
      <w:pPr>
        <w:spacing w:after="0" w:line="81" w:lineRule="exact"/>
        <w:rPr>
          <w:sz w:val="20"/>
          <w:szCs w:val="20"/>
          <w:color w:val="auto"/>
        </w:rPr>
      </w:pPr>
    </w:p>
    <w:p>
      <w:pPr>
        <w:jc w:val="both"/>
        <w:ind w:left="440" w:right="200" w:firstLine="423"/>
        <w:spacing w:after="0" w:line="261" w:lineRule="auto"/>
        <w:rPr>
          <w:sz w:val="20"/>
          <w:szCs w:val="20"/>
          <w:color w:val="auto"/>
        </w:rPr>
      </w:pPr>
      <w:r>
        <w:rPr>
          <w:rFonts w:ascii="Times New Roman" w:cs="Times New Roman" w:eastAsia="Times New Roman" w:hAnsi="Times New Roman"/>
          <w:sz w:val="18"/>
          <w:szCs w:val="18"/>
          <w:color w:val="auto"/>
        </w:rPr>
        <w:t>The representations and warranties in this Section 5(a)(1) shall not apply to statements in or omissions from the Registration Statement or any post-effective amendment thereto, the Prospectus or any amendments or supplements thereto or any Issuer Free Writing Prospectus made in reliance upon and in conformity with information furnished to the Company in writing by the Sales Agents or the Forward Sellers expressly for use therein.</w:t>
      </w:r>
    </w:p>
    <w:p>
      <w:pPr>
        <w:spacing w:after="0" w:line="180" w:lineRule="exact"/>
        <w:rPr>
          <w:sz w:val="20"/>
          <w:szCs w:val="20"/>
          <w:color w:val="auto"/>
        </w:rPr>
      </w:pPr>
    </w:p>
    <w:p>
      <w:pPr>
        <w:ind w:right="480" w:firstLine="436"/>
        <w:spacing w:after="0" w:line="282"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The documents incorporated by reference in the Registration Statement and the Prospectus, when they became effective or at the time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5" w:name="page26"/>
    <w:bookmarkEnd w:id="25"/>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they were or hereafter are filed with the Commission, as the case may be, conformed or will conform in all material respects to the requirements of the Securities Act or the Exchange Act, as applicable, and the rules and regulations of the Commission thereunder.</w:t>
      </w:r>
    </w:p>
    <w:p>
      <w:pPr>
        <w:spacing w:after="0" w:line="54" w:lineRule="exact"/>
        <w:rPr>
          <w:sz w:val="20"/>
          <w:szCs w:val="20"/>
          <w:color w:val="auto"/>
        </w:rPr>
      </w:pPr>
    </w:p>
    <w:p>
      <w:pPr>
        <w:ind w:firstLine="419"/>
        <w:spacing w:after="0" w:line="251" w:lineRule="auto"/>
        <w:tabs>
          <w:tab w:leader="none" w:pos="6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the Company, the Operating Partnership and the Significant Subsidiaries</w:t>
      </w:r>
      <w:r>
        <w:rPr>
          <w:rFonts w:ascii="Times New Roman" w:cs="Times New Roman" w:eastAsia="Times New Roman" w:hAnsi="Times New Roman"/>
          <w:sz w:val="18"/>
          <w:szCs w:val="18"/>
          <w:color w:val="auto"/>
        </w:rPr>
        <w:t>. The Company has been duly organized and is validly existing and in good standing as a real estate investment trust (“REIT”) under the laws of the State of Maryland, with full power and authority to own, lease and operate its properties and conduct its business as described in the Registration Statement and the Prospectus; the Operating Partnership has been duly formed and is validly existing as a limited partnership in good standing under the laws of the State of Delaware and has full power and authority necessary to own or lease, as the case may be, its properties and to operate its properties and conduct its business as described in the Registration Statement and the Prospectus; each “significant subsidiary” (as such term is defined in Rule 1-02 of Regulation S-X) of the Company other than the Operating Partnership (each, a “Subsidiary” and collectively, the “Subsidiaries”) has been duly organized and is validly existing as a corporation, partnership, limited liability company, trust or joint venture, as the case may be, in good standing under the laws of the jurisdiction of its organization (except for joint ventures, which have no good standing certificate requirements), with full power and authority to own, lease and operate its properties and conduct its business as described in the Registration Statement and the Prospectus, except where the failure to be in good standing would not have a material adverse effect on the condition, financial or otherwise, or on the earnings, business affairs or business prospects of the Company, the Operating Partnership and their respective subsidiaries, considered as one enterprise; all of the equity interests in the Subsidiaries are owned directly or indirectly by the Company or the Operating Partnership, free and clear of all pledges, liens, encumbrances, claims, security interests and defects; all of the issued and outstanding stock of each Subsidiary that is a corporation has been duly authorized and validly issued and is fully paid and non-assessable; no options, warrants or other rights to convert any obligations into partnership or other ownership interests in any Subsidiary are outstanding other than contractual rights existing on the date hereof by the current and former holders of partnership or other interests in certain of the “DownREIT” and other subsidiaries, which may result in the issuance of Common Shares of the Company; and the Company, the Operating Partnership and the Subsidiaries are duly qualified to transact business in all jurisdictions in which the Company, the Operating Partnership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the Operating Partnership and their respective subsidiaries, considered as one enterprise.</w:t>
      </w:r>
    </w:p>
    <w:p>
      <w:pPr>
        <w:spacing w:after="0" w:line="97" w:lineRule="exact"/>
        <w:rPr>
          <w:rFonts w:ascii="Times New Roman" w:cs="Times New Roman" w:eastAsia="Times New Roman" w:hAnsi="Times New Roman"/>
          <w:sz w:val="18"/>
          <w:szCs w:val="18"/>
          <w:color w:val="auto"/>
        </w:rPr>
      </w:pPr>
    </w:p>
    <w:p>
      <w:pPr>
        <w:ind w:right="140" w:firstLine="419"/>
        <w:spacing w:after="0" w:line="266" w:lineRule="auto"/>
        <w:tabs>
          <w:tab w:leader="none" w:pos="6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The Company, the Operating Partnership, and their respective subsidiaries, considered as one enterprise, have not, since the date of the latest audited financial statements included or incorporated by reference in the Registration Statement and the Prospectus, sustained any material loss or interference</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40"/>
          </w:cols>
          <w:pgMar w:left="880" w:top="270" w:right="479" w:bottom="1440" w:gutter="0" w:footer="0" w:header="0"/>
        </w:sectPr>
      </w:pPr>
    </w:p>
    <w:bookmarkStart w:id="26" w:name="page27"/>
    <w:bookmarkEnd w:id="26"/>
    <w:p>
      <w:pPr>
        <w:ind w:left="4"/>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their business from fire, explosion, flood or other calamity, whether or not covered by insurance, or from any labor dispute or court or governmental action, order or decree, otherwise than as set forth or contemplated in the Registration Statement and the Prospectus; and, since the date as of which information is given in the Prospectus, there has not been any change in the authorized, issued or outstanding capital shares of the Company (except for subsequent issuances, if any, of Common Shares pursuant to (i) the terms of this Agreement, (ii) conversion of any of the Company’s Preferred Shares outstanding as of the date hereof or exercise of the exchange option under any of the Operating Partnership’s exchangeable notes outstanding as of the date hereof, or the conversion of Preferred Shares, or exercise of an exchange option under exchangeable notes, in each case issued subsequent to the date hereof and disclosed in a report filed pursuant to the Exchange Act (excluding Current Reports of Form 8-K responsive to Item 2.02 or Item 7.01 of such form), (iii) the Company’s Dividend Reinvestment and Share Purchase Plan as in effect on the date hereof or established subsequent to the date hereof and disclosed in a report filed pursuant to the Exchange Act (excluding Current Reports of Form 8-K responsive to Item 2.02 or Item 7.01 of such form), (iv) any of the Company’s employee or trustee benefits plans or employee inducement awards, including upon exercise of share options granted pursuant thereto, as such plans are in effect on the date hereof or consistent with past practice, (v) the exercise of contractual rights by the holders of partnership or other interests in the Operating Partnership and in certain of the “DownREIT” and other subsidiaries, which issuances are either (A) disclosed in the Registration Statement and the Prospectus or</w:t>
      </w:r>
    </w:p>
    <w:p>
      <w:pPr>
        <w:spacing w:after="0" w:line="10" w:lineRule="exact"/>
        <w:rPr>
          <w:sz w:val="20"/>
          <w:szCs w:val="20"/>
          <w:color w:val="auto"/>
        </w:rPr>
      </w:pPr>
    </w:p>
    <w:p>
      <w:pPr>
        <w:ind w:left="4" w:right="180" w:hanging="4"/>
        <w:spacing w:after="0" w:line="252" w:lineRule="auto"/>
        <w:tabs>
          <w:tab w:leader="none" w:pos="28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material, or (vi) any non-material acquisition, merger or purchase of assets), any material increase in the consolidated long-term debt of the Company, any material adverse change, any dividend or distribution of any kind declared, paid or made by the Company on any class of its capital stock or by the Operating Partnership with respect to its OP Units (other than ordinary-course dividends or distributions) or any development involving a prospective material adverse change, in or affecting the general affairs, management, financial position, shareholders’ equity or results of operations of the Company, the Operating Partnership, and their subsidiaries taken as a whole, in each case otherwise than as set forth or contemplated in the Prospectus.</w:t>
      </w:r>
    </w:p>
    <w:p>
      <w:pPr>
        <w:spacing w:after="0" w:line="81" w:lineRule="exact"/>
        <w:rPr>
          <w:rFonts w:ascii="Times New Roman" w:cs="Times New Roman" w:eastAsia="Times New Roman" w:hAnsi="Times New Roman"/>
          <w:sz w:val="18"/>
          <w:szCs w:val="18"/>
          <w:color w:val="auto"/>
        </w:rPr>
      </w:pPr>
    </w:p>
    <w:p>
      <w:pPr>
        <w:ind w:left="4" w:right="140" w:firstLine="419"/>
        <w:spacing w:after="0" w:line="258" w:lineRule="auto"/>
        <w:tabs>
          <w:tab w:leader="none" w:pos="68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Company has an authorized capitalization as set forth in the Company’s consolidated balance sheet as of the latest financial statements, audited or unaudited, as applicable, included or incorporated by reference in the Registration Statement and the Prospectus; all of the issued capital shares of the Company have been duly and validly authorized and issued and are fully paid and non-assessable, and none of the outstanding capital shares of the Company were issued in violation of any preemptive or other similar rights of any securityholder of the Company.</w:t>
      </w:r>
    </w:p>
    <w:p>
      <w:pPr>
        <w:spacing w:after="0" w:line="75" w:lineRule="exact"/>
        <w:rPr>
          <w:rFonts w:ascii="Times New Roman" w:cs="Times New Roman" w:eastAsia="Times New Roman" w:hAnsi="Times New Roman"/>
          <w:sz w:val="18"/>
          <w:szCs w:val="18"/>
          <w:color w:val="auto"/>
        </w:rPr>
      </w:pPr>
    </w:p>
    <w:p>
      <w:pPr>
        <w:ind w:left="4" w:right="100" w:firstLine="419"/>
        <w:spacing w:after="0" w:line="261" w:lineRule="auto"/>
        <w:tabs>
          <w:tab w:leader="none" w:pos="68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Agreement and Confirmations</w:t>
      </w:r>
      <w:r>
        <w:rPr>
          <w:rFonts w:ascii="Times New Roman" w:cs="Times New Roman" w:eastAsia="Times New Roman" w:hAnsi="Times New Roman"/>
          <w:sz w:val="18"/>
          <w:szCs w:val="18"/>
          <w:color w:val="auto"/>
        </w:rPr>
        <w:t>. Each of the Company and the Operating Partnership has full right, power and authority under its organizational documents to enter into this Agreement and any Confirmation, as applicable. This Agreement has been duly and validly authorized, executed and delivered by the Company and the Operating Partnership, as applicable. Prior to the sale of any Forward Hedge Securities, the related Confirmation will be duly authorized, executed and delivered by the Company.</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4"/>
          </w:cols>
          <w:pgMar w:left="876" w:top="270" w:right="459" w:bottom="1440" w:gutter="0" w:footer="0" w:header="0"/>
        </w:sectPr>
      </w:pPr>
    </w:p>
    <w:bookmarkStart w:id="27" w:name="page28"/>
    <w:bookmarkEnd w:id="27"/>
    <w:p>
      <w:pPr>
        <w:ind w:right="40" w:firstLine="419"/>
        <w:spacing w:after="0" w:line="255"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Authorization of the Limited Partnership Agreement</w:t>
      </w:r>
      <w:r>
        <w:rPr>
          <w:rFonts w:ascii="Times New Roman" w:cs="Times New Roman" w:eastAsia="Times New Roman" w:hAnsi="Times New Roman"/>
          <w:sz w:val="18"/>
          <w:szCs w:val="18"/>
          <w:color w:val="auto"/>
        </w:rPr>
        <w:t>. The Agreement of Limited Partnership of the Operating Partnership, as the same has been or may be amended and/or restated from time to time (the “Operating Partnership Agreement”), has been duly and validly authorized, executed and delivered by the Company and the General Partner; and is a valid and binding agreement of each of the Company and the Operating Partnership, respectively, enforceable against the Company and the Operating Partnership in accordance with its terms, except to the extent that such enforceability may be limited by applicable bankruptcy, insolvency, reorganization, or other similar laws relating to creditors’ rights and general principles of equity and except as rights to indemnity and contribution thereunder may be limited by applicable law or policies underlying such law.</w:t>
      </w:r>
    </w:p>
    <w:p>
      <w:pPr>
        <w:spacing w:after="0" w:line="80"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Description of Securities</w:t>
      </w:r>
      <w:r>
        <w:rPr>
          <w:rFonts w:ascii="Times New Roman" w:cs="Times New Roman" w:eastAsia="Times New Roman" w:hAnsi="Times New Roman"/>
          <w:sz w:val="18"/>
          <w:szCs w:val="18"/>
          <w:color w:val="auto"/>
        </w:rPr>
        <w:t>. The Securities have been duly and validly authorized by the Company, and, when such Securities are issued, delivered and paid for pursuant to this Agreement, such Securities will be duly and validly issued and fully paid and non-assessable; and the issuance and sale of the Securities is not subject to any preemptive, co-sale right, right of first refusal or other similar rights arising under applicable law, under the Charter or bylaws or similar organizational documents of the Company or under any agreement to which the Company, the Operating Partnership or any Subsidiary is a party or otherwise. The Securities conform in all material respects to all statements related thereto contained in the Registration Statement and the Prospectus as amended or supplemented with respect to such Securities and such description conforms in all material respects to the rights set forth in the instruments defining the same; except as set forth under the caption “Description of Securities that may be Offered by Federal Realty Investment Trust—Certain Provisions of Maryland Law and our Declaration of Trust and Bylaws—Shareholder Liability and Indemnification” in the Prospectus, no holder of the Securities is or will be subject to personal liability by reason of being such a holder.</w:t>
      </w:r>
    </w:p>
    <w:p>
      <w:pPr>
        <w:spacing w:after="0" w:line="86" w:lineRule="exact"/>
        <w:rPr>
          <w:rFonts w:ascii="Times New Roman" w:cs="Times New Roman" w:eastAsia="Times New Roman" w:hAnsi="Times New Roman"/>
          <w:sz w:val="18"/>
          <w:szCs w:val="18"/>
          <w:color w:val="auto"/>
        </w:rPr>
      </w:pPr>
    </w:p>
    <w:p>
      <w:pPr>
        <w:ind w:right="40" w:firstLine="419"/>
        <w:spacing w:after="0" w:line="254"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Description of Confirmation Securities</w:t>
      </w:r>
      <w:r>
        <w:rPr>
          <w:rFonts w:ascii="Times New Roman" w:cs="Times New Roman" w:eastAsia="Times New Roman" w:hAnsi="Times New Roman"/>
          <w:sz w:val="18"/>
          <w:szCs w:val="18"/>
          <w:color w:val="auto"/>
        </w:rPr>
        <w:t>. A number of Common Shares equal to the sum of the Share Cap of each outstanding Confirmation has been duly authorized, has been reserved for issuance for the purpose of settlement of such Confirmation and will be kept available at all times, free from preemptive or similar rights and free from any lien, charge, claim or other encumbrance until settlement of such Confirmation. With respect to each Confirmation, when issued, sold and/or delivered by the Company to the applicable Forward Purchaser pursuant thereto, against payment of any consideration required to be paid by such Forward Purchaser, the Confirmation Securities will be duly and validly issued and fully paid and non-assessable; and the issuance, sale and/or delivery of such Confirmation Securities will not be subject to any preemptive, co-sale right, right of first refusal or other similar rights arising under applicable law, under the Charter or bylaws or similar organizational documents of the Company or under any agreement to which the Company, the Operating Partnership or</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40"/>
          </w:cols>
          <w:pgMar w:left="880" w:top="270" w:right="479" w:bottom="1440" w:gutter="0" w:footer="0" w:header="0"/>
        </w:sectPr>
      </w:pPr>
    </w:p>
    <w:bookmarkStart w:id="28" w:name="page29"/>
    <w:bookmarkEnd w:id="28"/>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Subsidiary is a party or otherwise. The Confirmation Securities, when issued, sold and/or delivered, will conform in all material respects to all statements related thereto contained in the Registration Statement and the Prospectus as amended or supplemented with respect to such Confirmation Securities, and such description conforms in all material respects to the rights set forth in the instruments defining the same; except as set forth under the caption “Description of Securities that may be Offered by Federal Realty Investment Trust—Certain Provisions of Maryland Law and our Declaration of Trust and Bylaws—Shareholder Liability and Indemnification” in the Prospectus, no holder of the Confirmation Securities will be subject to personal liability by reason of being such a holder.</w:t>
      </w:r>
    </w:p>
    <w:p>
      <w:pPr>
        <w:spacing w:after="0" w:line="79" w:lineRule="exact"/>
        <w:rPr>
          <w:sz w:val="20"/>
          <w:szCs w:val="20"/>
          <w:color w:val="auto"/>
        </w:rPr>
      </w:pPr>
    </w:p>
    <w:p>
      <w:pPr>
        <w:ind w:right="220" w:firstLine="419"/>
        <w:spacing w:after="0" w:line="256" w:lineRule="auto"/>
        <w:tabs>
          <w:tab w:leader="none" w:pos="7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 of Units</w:t>
      </w:r>
      <w:r>
        <w:rPr>
          <w:rFonts w:ascii="Times New Roman" w:cs="Times New Roman" w:eastAsia="Times New Roman" w:hAnsi="Times New Roman"/>
          <w:sz w:val="18"/>
          <w:szCs w:val="18"/>
          <w:color w:val="auto"/>
        </w:rPr>
        <w:t>. The outstanding common units of limited partnership in the Operating Partnership (“</w:t>
      </w:r>
      <w:r>
        <w:rPr>
          <w:rFonts w:ascii="Times New Roman" w:cs="Times New Roman" w:eastAsia="Times New Roman" w:hAnsi="Times New Roman"/>
          <w:sz w:val="18"/>
          <w:szCs w:val="18"/>
          <w:u w:val="single" w:color="auto"/>
          <w:color w:val="auto"/>
        </w:rPr>
        <w:t>OP Units</w:t>
      </w:r>
      <w:r>
        <w:rPr>
          <w:rFonts w:ascii="Times New Roman" w:cs="Times New Roman" w:eastAsia="Times New Roman" w:hAnsi="Times New Roman"/>
          <w:sz w:val="18"/>
          <w:szCs w:val="18"/>
          <w:color w:val="auto"/>
        </w:rPr>
        <w:t>”) are validly issued. The OP Units have been offered, issued and sold in compliance with all applicable laws (including, without limitation, federal and state securities laws) in all material respects and conform to the description thereof contained in the Registration Statement and the Prospectus in all material respects. None of the OP Units were issued in violation of the preemptive or other similar rights of any securityholder of the Operating Partnership. Except as disclosed in the Registration Statement and the Prospectus, there are no outstanding options, rights (preemptive or otherwise) or warrants to purchase or subscribe for OP Units or other securities of the Operating Partnership.</w:t>
      </w:r>
    </w:p>
    <w:p>
      <w:pPr>
        <w:spacing w:after="0" w:line="79" w:lineRule="exact"/>
        <w:rPr>
          <w:rFonts w:ascii="Times New Roman" w:cs="Times New Roman" w:eastAsia="Times New Roman" w:hAnsi="Times New Roman"/>
          <w:sz w:val="18"/>
          <w:szCs w:val="18"/>
          <w:color w:val="auto"/>
        </w:rPr>
      </w:pPr>
    </w:p>
    <w:p>
      <w:pPr>
        <w:ind w:firstLine="419"/>
        <w:spacing w:after="0" w:line="253" w:lineRule="auto"/>
        <w:tabs>
          <w:tab w:leader="none" w:pos="76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General Partner and the Operating Partnership</w:t>
      </w:r>
      <w:r>
        <w:rPr>
          <w:rFonts w:ascii="Times New Roman" w:cs="Times New Roman" w:eastAsia="Times New Roman" w:hAnsi="Times New Roman"/>
          <w:sz w:val="18"/>
          <w:szCs w:val="18"/>
          <w:color w:val="auto"/>
        </w:rPr>
        <w:t>. Federal Realty GP LLC (the “</w:t>
      </w:r>
      <w:r>
        <w:rPr>
          <w:rFonts w:ascii="Times New Roman" w:cs="Times New Roman" w:eastAsia="Times New Roman" w:hAnsi="Times New Roman"/>
          <w:sz w:val="18"/>
          <w:szCs w:val="18"/>
          <w:u w:val="single" w:color="auto"/>
          <w:color w:val="auto"/>
        </w:rPr>
        <w:t>General Partner</w:t>
      </w:r>
      <w:r>
        <w:rPr>
          <w:rFonts w:ascii="Times New Roman" w:cs="Times New Roman" w:eastAsia="Times New Roman" w:hAnsi="Times New Roman"/>
          <w:sz w:val="18"/>
          <w:szCs w:val="18"/>
          <w:color w:val="auto"/>
        </w:rPr>
        <w:t>”) has been duly organized and is validly existing and in good standing as a limited liability company under the laws of the State of Delaware. The Company is the sole member of the General Partner, and the General Partner is the sole general partner of the Operating Partnership. Each of the Company and the General Partner holds its partnership interests in the Operating Partnership free and clear of all pledges, liens, encumbrances, claims, security interests and defects, except as disclosed in the Registration Statement and the Prospectus or where such restrictions would not have a material adverse effect on the condition, financial or otherwise, or on the earnings, business affairs or business prospects of the Company, the Operating Partnership and their subsidiaries, considered as one enterprise. The aggregate percentage interests of the General Partner and the limited partners in the Operating Partnership are as set forth in the Registration Statement and the Prospectus in all material respects. Except as disclosed in the Registration Statement and the Prospectus, and except for immaterial issuances subsequent to the dates as of which information is given in the Registration Statement and the Prospectus, no units or other securities of the Operating Partnership are outstanding that are exchangeable or exercisable for or convertible into securities of the Company. The General Partner has the limited liability company power and authority, as the sole general partner of the Operating Partnership, to cause the Operating Partnership to enter into and perform the Operating Partnership’s obligations under this Agreement.</w:t>
      </w:r>
    </w:p>
    <w:p>
      <w:pPr>
        <w:spacing w:after="0" w:line="79" w:lineRule="exact"/>
        <w:rPr>
          <w:rFonts w:ascii="Times New Roman" w:cs="Times New Roman" w:eastAsia="Times New Roman" w:hAnsi="Times New Roman"/>
          <w:sz w:val="18"/>
          <w:szCs w:val="18"/>
          <w:color w:val="auto"/>
        </w:rPr>
      </w:pPr>
    </w:p>
    <w:p>
      <w:pPr>
        <w:ind w:right="700" w:firstLine="419"/>
        <w:spacing w:after="0" w:line="282" w:lineRule="auto"/>
        <w:tabs>
          <w:tab w:leader="none" w:pos="7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Units to be Issued</w:t>
      </w:r>
      <w:r>
        <w:rPr>
          <w:rFonts w:ascii="Times New Roman" w:cs="Times New Roman" w:eastAsia="Times New Roman" w:hAnsi="Times New Roman"/>
          <w:sz w:val="18"/>
          <w:szCs w:val="18"/>
          <w:color w:val="auto"/>
        </w:rPr>
        <w:t>. The OP Units to be issued by the Operating Partnership to the Company in connection with the Company’s contribution of the proceeds from the</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29" w:name="page30"/>
    <w:bookmarkEnd w:id="29"/>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sale of the Securities or any Confirmation Securities to the Operating Partnership will, at each Settlement Date or date upon which a Confirmation is settled, as applicable, be validly issued, and none of such OP Units will be issued in violation of the preemptive or other similar rights of any securityholder of the Operating Partnership. Such OP Units will be exempt from registration or qualification under the Securities Act and applicable state securities laws.</w:t>
      </w:r>
    </w:p>
    <w:p>
      <w:pPr>
        <w:spacing w:after="0" w:line="72" w:lineRule="exact"/>
        <w:rPr>
          <w:sz w:val="20"/>
          <w:szCs w:val="20"/>
          <w:color w:val="auto"/>
        </w:rPr>
      </w:pPr>
    </w:p>
    <w:p>
      <w:pPr>
        <w:ind w:right="60" w:firstLine="419"/>
        <w:spacing w:after="0" w:line="253"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Violations</w:t>
      </w:r>
      <w:r>
        <w:rPr>
          <w:rFonts w:ascii="Times New Roman" w:cs="Times New Roman" w:eastAsia="Times New Roman" w:hAnsi="Times New Roman"/>
          <w:sz w:val="18"/>
          <w:szCs w:val="18"/>
          <w:color w:val="auto"/>
        </w:rPr>
        <w:t>. (i) None of the Company, the Operating Partnership or any of the Subsidiaries is in violation of its charter or bylaws or similar organizational documents; (ii) no subsidiary of the Company not referred to in clause (i) above is in violation of its charter or bylaws or similar organizational documents; (iii) none of the Company, the Operating Partnership or any of their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the Operating Partnership, or any of their subsidiaries is a party or by which the Company, the Operating Partnership, or any of their subsidiaries is bound or to which any of the property or assets of the Company, the Operating Partnership or any of their subsidiaries is subject; or (iv) none of the Company, the Operating Partnership or any of their subsidiaries is in violation of any law or statute or any judgment, order, rule or regulation of any court or arbitrator or governmental or regulatory authority, except, in the case of clauses (ii), (iii) and (iv) above, for any such default or violation that would not, individually or in the aggregate, have a material adverse effect on the condition, financial or otherwise, or on the earnings, business affairs or business prospects of the Company, the Operating Partnership or their subsidiaries, considered as one enterprise.</w:t>
      </w:r>
    </w:p>
    <w:p>
      <w:pPr>
        <w:spacing w:after="0" w:line="83" w:lineRule="exact"/>
        <w:rPr>
          <w:rFonts w:ascii="Times New Roman" w:cs="Times New Roman" w:eastAsia="Times New Roman" w:hAnsi="Times New Roman"/>
          <w:sz w:val="18"/>
          <w:szCs w:val="18"/>
          <w:color w:val="auto"/>
        </w:rPr>
      </w:pPr>
    </w:p>
    <w:p>
      <w:pPr>
        <w:ind w:firstLine="419"/>
        <w:spacing w:after="0" w:line="253"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Conflicts; Absence of Further Requirements</w:t>
      </w:r>
      <w:r>
        <w:rPr>
          <w:rFonts w:ascii="Times New Roman" w:cs="Times New Roman" w:eastAsia="Times New Roman" w:hAnsi="Times New Roman"/>
          <w:sz w:val="18"/>
          <w:szCs w:val="18"/>
          <w:color w:val="auto"/>
        </w:rPr>
        <w:t>. The offering and sale of the Securities and the compliance by the Company and the Operating Partnership with all of the provisions of this Agreement and any Confirmation with respect to such Securities or Confirmation Securities, and the consummation by the Company and the Operating Partnership of the transactions herein and therein contemplated, (i) will not conflict with or result in a breach or violation of any of the terms or provisions of, or constitute a default under, any indenture, mortgage, deed of trust, loan agreement or other agreement or instrument to which the Company, the Operating Partnership or any of their subsidiaries is a party or by which the Company, the Operating Partnership or any of their subsidiaries is bound or to which any of the property or assets of the Company, the Operating Partnership or any of their subsidiaries is subject, nor will such action result in any violation of the provisions of the Charter or the bylaws of the Company or any statute or any order, rule or regulation of any court or governmental agency or body having jurisdiction over the Company, the Operating Partnership or any of their subsidiaries or any of their properties; and no consent, approval, authorization, order, registration or qualification of or with any such court or governmental agency or body is required for the offering and sale of the Securities and the Confirmation Securities or the consummation by the Company and the Operating Partnership of the transactions contemplated by this</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30" w:name="page31"/>
    <w:bookmarkEnd w:id="30"/>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and each Confirmation, as applicable, except such as have been obtained under the Securities Act, the Exchange Act and such consents, approvals, authorizations, registrations or qualifications as may be required under state securities or “Blue Sky” laws in connection with the purchase and distribution of the Securities, and further except for the approval of the NYSE, which will be obtained prior to the first sale of Securities pursuant to this Agreement.</w:t>
      </w:r>
    </w:p>
    <w:p>
      <w:pPr>
        <w:spacing w:after="0" w:line="72" w:lineRule="exact"/>
        <w:rPr>
          <w:sz w:val="20"/>
          <w:szCs w:val="20"/>
          <w:color w:val="auto"/>
        </w:rPr>
      </w:pPr>
    </w:p>
    <w:p>
      <w:pPr>
        <w:ind w:right="80" w:firstLine="419"/>
        <w:spacing w:after="0" w:line="255" w:lineRule="auto"/>
        <w:tabs>
          <w:tab w:leader="none" w:pos="7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Other than as set forth in the Registration Statement and the Prospectus, there are no legal or governmental proceedings pending to which the Company, the Operating Partnership or any of their subsidiaries is a party or of which any property of the Company, the Operating Partnership or any of their subsidiaries is the subject which, if determined adversely to the Company, the Operating Partnership or any of their subsidiaries, would individually or in the aggregate have a material adverse effect on the consolidated financial position, shareholders’ equity or results of operations of the Company, the Operating Partnership or their subsidiaries, considered as one enterprise; and, to the best of the Company’s and the Operating Partnership’s knowledge, no such proceedings are threatened or contemplated by governmental authorities or threatened by others.</w:t>
      </w:r>
    </w:p>
    <w:p>
      <w:pPr>
        <w:spacing w:after="0" w:line="80" w:lineRule="exact"/>
        <w:rPr>
          <w:rFonts w:ascii="Times New Roman" w:cs="Times New Roman" w:eastAsia="Times New Roman" w:hAnsi="Times New Roman"/>
          <w:sz w:val="18"/>
          <w:szCs w:val="18"/>
          <w:color w:val="auto"/>
        </w:rPr>
      </w:pPr>
    </w:p>
    <w:p>
      <w:pPr>
        <w:ind w:right="40" w:firstLine="419"/>
        <w:spacing w:after="0" w:line="254" w:lineRule="auto"/>
        <w:tabs>
          <w:tab w:leader="none" w:pos="7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consolidated financial statements of the Company, the Operating Partnership and their subsidiaries, together with related notes and schedules, as set forth or incorporated by reference in the Registration Statement and the Prospectus present fairly the financial position and the results of operations of the Company, the Operating Partnership and their subsidiaries, as applicable, at the indicated dates and for the indicated periods. Such consolidated financial statements have been prepared in accordance with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consistently applied throughout the periods involved, and all adjustments necessary for a fair presentation of results for such periods have been made. Any summary financial and statistical data contained in the Prospectus present fairly the information shown therein and have been compiled on a basis consistent with the consolidated financial statements incorporated by reference therein.</w:t>
      </w:r>
    </w:p>
    <w:p>
      <w:pPr>
        <w:spacing w:after="0" w:line="83" w:lineRule="exact"/>
        <w:rPr>
          <w:rFonts w:ascii="Times New Roman" w:cs="Times New Roman" w:eastAsia="Times New Roman" w:hAnsi="Times New Roman"/>
          <w:sz w:val="18"/>
          <w:szCs w:val="18"/>
          <w:color w:val="auto"/>
        </w:rPr>
      </w:pPr>
    </w:p>
    <w:p>
      <w:pPr>
        <w:jc w:val="both"/>
        <w:ind w:right="60" w:firstLine="419"/>
        <w:spacing w:after="0" w:line="261" w:lineRule="auto"/>
        <w:tabs>
          <w:tab w:leader="none" w:pos="7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Title</w:t>
      </w:r>
      <w:r>
        <w:rPr>
          <w:rFonts w:ascii="Times New Roman" w:cs="Times New Roman" w:eastAsia="Times New Roman" w:hAnsi="Times New Roman"/>
          <w:sz w:val="18"/>
          <w:szCs w:val="18"/>
          <w:color w:val="auto"/>
        </w:rPr>
        <w:t>. The Company, the Operating Partnership and their subsidiaries have good and marketable title to, or valid and enforceable leasehold estates in, all items of real and personal property referred to in the Registration Statement and the Prospectus as owned or leased by the Company, the Operating Partnership or any of their subsidiaries, in each case free and clear of all pledges, liens, encumbrances, claims, security interests and defects, other than those referred to in the Prospectus or which are not material in amount.</w:t>
      </w:r>
    </w:p>
    <w:p>
      <w:pPr>
        <w:spacing w:after="0" w:line="71" w:lineRule="exact"/>
        <w:rPr>
          <w:rFonts w:ascii="Times New Roman" w:cs="Times New Roman" w:eastAsia="Times New Roman" w:hAnsi="Times New Roman"/>
          <w:sz w:val="18"/>
          <w:szCs w:val="18"/>
          <w:color w:val="auto"/>
        </w:rPr>
      </w:pPr>
    </w:p>
    <w:p>
      <w:pPr>
        <w:ind w:right="60" w:firstLine="419"/>
        <w:spacing w:after="0" w:line="261" w:lineRule="auto"/>
        <w:tabs>
          <w:tab w:leader="none" w:pos="7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the Operating Partnership and their subsidiaries have timely filed all federal, state, local and foreign income tax returns which have been required to be filed, or appropriate extensions for such filings have been obtained as required by law, and all federal, state, local and foreign taxes of the Company, the Operating Partnership and their subsidiaries have been paid, except such taxes as (i) are not yet due, (ii) are being contested in good faith by appropriate proceedings diligently</w:t>
      </w:r>
    </w:p>
    <w:p>
      <w:pPr>
        <w:spacing w:after="0" w:line="11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00"/>
          </w:cols>
          <w:pgMar w:left="880" w:top="270" w:right="519" w:bottom="1440" w:gutter="0" w:footer="0" w:header="0"/>
        </w:sectPr>
      </w:pPr>
    </w:p>
    <w:bookmarkStart w:id="31" w:name="page32"/>
    <w:bookmarkEnd w:id="31"/>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conducted and for which adequate reserves are being maintained in accordance with GAAP, or (iii) could not reasonably be expected to have, individually or in the aggregate, a material adverse effect on the condition, financial or otherwise, or on the earnings, business affairs or business prospects of the Company, the Operating Partnership and their subsidiaries, considered as one enterprise.</w:t>
      </w:r>
    </w:p>
    <w:p>
      <w:pPr>
        <w:spacing w:after="0" w:line="68" w:lineRule="exact"/>
        <w:rPr>
          <w:sz w:val="20"/>
          <w:szCs w:val="20"/>
          <w:color w:val="auto"/>
        </w:rPr>
      </w:pPr>
    </w:p>
    <w:p>
      <w:pPr>
        <w:ind w:firstLine="419"/>
        <w:spacing w:after="0" w:line="261" w:lineRule="auto"/>
        <w:tabs>
          <w:tab w:leader="none" w:pos="7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Licenses and Permits</w:t>
      </w:r>
      <w:r>
        <w:rPr>
          <w:rFonts w:ascii="Times New Roman" w:cs="Times New Roman" w:eastAsia="Times New Roman" w:hAnsi="Times New Roman"/>
          <w:sz w:val="18"/>
          <w:szCs w:val="18"/>
          <w:color w:val="auto"/>
        </w:rPr>
        <w:t>. The Company, the Operating Partnership and their subsidiaries hold all material licenses, certificates and permits from governmental authorities which are necessary to the conduct of their respective businesses; and none of the Company, the Operating Partnership or their subsidiaries has infringed any patents, patent rights, trade names, trademarks or copyrights, which infringement is material to the business of the Company or the Operating Partnership.</w:t>
      </w:r>
    </w:p>
    <w:p>
      <w:pPr>
        <w:spacing w:after="0" w:line="71" w:lineRule="exact"/>
        <w:rPr>
          <w:rFonts w:ascii="Times New Roman" w:cs="Times New Roman" w:eastAsia="Times New Roman" w:hAnsi="Times New Roman"/>
          <w:sz w:val="18"/>
          <w:szCs w:val="18"/>
          <w:color w:val="auto"/>
        </w:rPr>
      </w:pPr>
    </w:p>
    <w:p>
      <w:pPr>
        <w:ind w:right="140" w:firstLine="419"/>
        <w:spacing w:after="0" w:line="266" w:lineRule="auto"/>
        <w:tabs>
          <w:tab w:leader="none" w:pos="7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The accounting firm that certified the financial statements and supporting schedules incorporated by reference in the Registration Statement and the Prospectus, is an independent registered public accounting firm as required by the Securities Act and the Public Company Accounting Oversight Board (United States) (the “</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right="40" w:firstLine="419"/>
        <w:spacing w:after="0" w:line="252" w:lineRule="auto"/>
        <w:tabs>
          <w:tab w:leader="none" w:pos="7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Controls Over Financial Reporting</w:t>
      </w:r>
      <w:r>
        <w:rPr>
          <w:rFonts w:ascii="Times New Roman" w:cs="Times New Roman" w:eastAsia="Times New Roman" w:hAnsi="Times New Roman"/>
          <w:sz w:val="18"/>
          <w:szCs w:val="18"/>
          <w:color w:val="auto"/>
        </w:rPr>
        <w:t>. The Company, the Operating Partnership and their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GAAP. The Company’s auditors and the Audit Committee of the board of trustees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2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20"/>
          </w:cols>
          <w:pgMar w:left="880" w:top="270" w:right="499" w:bottom="1440" w:gutter="0" w:footer="0" w:header="0"/>
        </w:sectPr>
      </w:pPr>
    </w:p>
    <w:bookmarkStart w:id="32" w:name="page33"/>
    <w:bookmarkEnd w:id="32"/>
    <w:p>
      <w:pPr>
        <w:ind w:firstLine="419"/>
        <w:spacing w:after="0" w:line="282" w:lineRule="auto"/>
        <w:tabs>
          <w:tab w:leader="none" w:pos="7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S-3 Requirements</w:t>
      </w:r>
      <w:r>
        <w:rPr>
          <w:rFonts w:ascii="Times New Roman" w:cs="Times New Roman" w:eastAsia="Times New Roman" w:hAnsi="Times New Roman"/>
          <w:sz w:val="18"/>
          <w:szCs w:val="18"/>
          <w:color w:val="auto"/>
        </w:rPr>
        <w:t>. The conditions for use of registration statements on Form S-3 set forth in the General Instructions on Form S-3 have been satisfied and the Company is entitled to use such form for the transactions contemplated by this Agreement.</w:t>
      </w:r>
    </w:p>
    <w:p>
      <w:pPr>
        <w:spacing w:after="0" w:line="53" w:lineRule="exact"/>
        <w:rPr>
          <w:rFonts w:ascii="Times New Roman" w:cs="Times New Roman" w:eastAsia="Times New Roman" w:hAnsi="Times New Roman"/>
          <w:sz w:val="18"/>
          <w:szCs w:val="18"/>
          <w:color w:val="auto"/>
        </w:rPr>
      </w:pPr>
    </w:p>
    <w:p>
      <w:pPr>
        <w:ind w:right="180" w:firstLine="419"/>
        <w:spacing w:after="0" w:line="254" w:lineRule="auto"/>
        <w:tabs>
          <w:tab w:leader="none" w:pos="7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Although the Company is aware of the presence of hazardous substances, hazardous materials, toxic substances or waste materials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on certain of its properties, nothing has come to the attention of the Company or the Operating Partnership which, at this time, would lead the Company or the Operating Partnership to believe that the presence of such Hazardous Materials, when considered in the aggregate, would materially adversely affect the financial condition of the Company or the Operating Partnership. In connection with the construction on or operation and use of the properties owned or leased by the Company or its subsidiaries (including the Operating Partnership), each of the Company and the Operating Partnership represents that, as of the date hereof, it has no knowledge of any material failure by the Company or its subsidiaries (including the Operating Partnership)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80" w:lineRule="exact"/>
        <w:rPr>
          <w:rFonts w:ascii="Times New Roman" w:cs="Times New Roman" w:eastAsia="Times New Roman" w:hAnsi="Times New Roman"/>
          <w:sz w:val="18"/>
          <w:szCs w:val="18"/>
          <w:color w:val="auto"/>
        </w:rPr>
      </w:pPr>
    </w:p>
    <w:p>
      <w:pPr>
        <w:ind w:firstLine="419"/>
        <w:spacing w:after="0" w:line="255" w:lineRule="auto"/>
        <w:tabs>
          <w:tab w:leader="none" w:pos="7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Investment Company Act</w:t>
      </w:r>
      <w:r>
        <w:rPr>
          <w:rFonts w:ascii="Times New Roman" w:cs="Times New Roman" w:eastAsia="Times New Roman" w:hAnsi="Times New Roman"/>
          <w:sz w:val="18"/>
          <w:szCs w:val="18"/>
          <w:color w:val="auto"/>
        </w:rPr>
        <w:t>. With respect to all tax periods regarding which the Internal Revenue Service is or will be entitled to assert any claim, the Company has met the requirements for qualification as a REIT under Sections 856 through 860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the Company’s present and contemplated operations, assets and income meet and will enable it to continue to meet such requirements; and the Operating Partnership has been and will continue to be properly classified as a disregarded entity, or as a partnership which is not a “publicly traded partnership” taxable as a corporation, for U.S. federal income tax purposes; and the Company is neither an “investment company” nor a company “controlled” by an “investment company” within the meaning of the Investment Company Act of 1940, as amended (the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right="20" w:firstLine="419"/>
        <w:spacing w:after="0" w:line="255" w:lineRule="auto"/>
        <w:tabs>
          <w:tab w:leader="none" w:pos="7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 and Procedures</w:t>
      </w:r>
      <w:r>
        <w:rPr>
          <w:rFonts w:ascii="Times New Roman" w:cs="Times New Roman" w:eastAsia="Times New Roman" w:hAnsi="Times New Roman"/>
          <w:sz w:val="18"/>
          <w:szCs w:val="18"/>
          <w:color w:val="auto"/>
        </w:rPr>
        <w:t>. The Company, the Operating Partnership and their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the Operating Partnership and their subsidiaries have carried out evaluations of the effectiveness of their disclosure controls and procedures as required by Rule 13a-15 of the Exchange Act.</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33" w:name="page34"/>
    <w:bookmarkEnd w:id="33"/>
    <w:p>
      <w:pPr>
        <w:ind w:right="20" w:firstLine="419"/>
        <w:spacing w:after="0" w:line="253" w:lineRule="auto"/>
        <w:tabs>
          <w:tab w:leader="none" w:pos="7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Corrupt Practices</w:t>
      </w:r>
      <w:r>
        <w:rPr>
          <w:rFonts w:ascii="Times New Roman" w:cs="Times New Roman" w:eastAsia="Times New Roman" w:hAnsi="Times New Roman"/>
          <w:sz w:val="18"/>
          <w:szCs w:val="18"/>
          <w:color w:val="auto"/>
        </w:rPr>
        <w:t>. Neither the Company nor any of its subsidiaries (including the Operating Partnership) nor, to the best knowledge of the Company or the Operating Partnership, any director, trustee, officer, agent, employee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made any direct or indirect unlawful payment to any foreign or domestic government official or employee from corporate funds; (iv) violated or is in violation of any provision of the Foreign Corrupt Practices Act of 1977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(v) made any bribe, rebate, payoff, influence payment, kickback or other unlawful payment.</w:t>
      </w:r>
    </w:p>
    <w:p>
      <w:pPr>
        <w:spacing w:after="0" w:line="83" w:lineRule="exact"/>
        <w:rPr>
          <w:rFonts w:ascii="Times New Roman" w:cs="Times New Roman" w:eastAsia="Times New Roman" w:hAnsi="Times New Roman"/>
          <w:sz w:val="18"/>
          <w:szCs w:val="18"/>
          <w:color w:val="auto"/>
        </w:rPr>
      </w:pPr>
    </w:p>
    <w:p>
      <w:pPr>
        <w:ind w:firstLine="419"/>
        <w:spacing w:after="0" w:line="255" w:lineRule="auto"/>
        <w:tabs>
          <w:tab w:leader="none" w:pos="7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Anti-Money Laundering</w:t>
      </w:r>
      <w:r>
        <w:rPr>
          <w:rFonts w:ascii="Times New Roman" w:cs="Times New Roman" w:eastAsia="Times New Roman" w:hAnsi="Times New Roman"/>
          <w:sz w:val="18"/>
          <w:szCs w:val="18"/>
          <w:color w:val="auto"/>
        </w:rPr>
        <w:t>. The operations of the Company, the Operating Partnership and their respective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the Operating Partnership or any of their respective subsidiaries with respect to the Money Laundering Laws is pending or, to the best knowledge of the Company or the Operating Partnership, threatened.</w:t>
      </w:r>
    </w:p>
    <w:p>
      <w:pPr>
        <w:spacing w:after="0" w:line="80" w:lineRule="exact"/>
        <w:rPr>
          <w:rFonts w:ascii="Times New Roman" w:cs="Times New Roman" w:eastAsia="Times New Roman" w:hAnsi="Times New Roman"/>
          <w:sz w:val="18"/>
          <w:szCs w:val="18"/>
          <w:color w:val="auto"/>
        </w:rPr>
      </w:pPr>
    </w:p>
    <w:p>
      <w:pPr>
        <w:ind w:right="20" w:firstLine="419"/>
        <w:spacing w:after="0" w:line="254" w:lineRule="auto"/>
        <w:tabs>
          <w:tab w:leader="none" w:pos="7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None of the Company, the Operating Partnership, or any of their respective subsidiaries or, to the knowledge of the Company or the Operating Partnership, any director, trustee, officer, agent, employee or affiliate of the Company or any of its subsidiaries is (i) currently subject to any sanctions administered or enforced by the U.S. Government (including, without limitation,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(ii) located, organized or resident in a country or territory that is, or whose government is, the subject of Sanctions that broadly prohibit dealings with that country or territory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and the Company will not directly or indirectly use the proceeds of the offering of the Securities or pursuant to any Confirmation hereunder, or lend, contribute or otherwise make available such proceeds to any subsidiary, joint venture partner or other person or entity, for the purpose of financing the activities of any person currently subject to any Sanctions.</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0"/>
          </w:cols>
          <w:pgMar w:left="880" w:top="270" w:right="459" w:bottom="1440" w:gutter="0" w:footer="0" w:header="0"/>
        </w:sectPr>
      </w:pPr>
    </w:p>
    <w:bookmarkStart w:id="34" w:name="page35"/>
    <w:bookmarkEnd w:id="34"/>
    <w:p>
      <w:pPr>
        <w:ind w:firstLine="419"/>
        <w:spacing w:after="0" w:line="254" w:lineRule="auto"/>
        <w:tabs>
          <w:tab w:leader="none" w:pos="7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NYSE</w:t>
      </w:r>
      <w:r>
        <w:rPr>
          <w:rFonts w:ascii="Times New Roman" w:cs="Times New Roman" w:eastAsia="Times New Roman" w:hAnsi="Times New Roman"/>
          <w:sz w:val="18"/>
          <w:szCs w:val="18"/>
          <w:color w:val="auto"/>
        </w:rPr>
        <w:t>. The outstanding Common Shares have been, and prior to the first sale of Securities pursuant to this Agreement, the Securities to be sold hereunder and the Confirmation Securities will be, approved for listing, subject only to official notice of issuance, on the NYSE, and are registered pursuant to Section 12(b) of the Exchange Act, and the Company has taken no action designed to, or likely to have the effect of, terminating the registration of the Common Shares under the Exchange Act or delisting any such securities from the NYSE, nor has the Company received any notification that the Commission or the NYSE is contemplating terminating such registration or listing. The Company has taken all necessary actions to ensure that it is in compliance with all applicable NYSE listing standards that are currently in effect and will take such steps as are necessary to ensure that the Company will be in compliance with other applicable requirements set forth in the NYSE’s listing standards not currently in effect upon the effectiveness of such requirements.</w:t>
      </w:r>
    </w:p>
    <w:p>
      <w:pPr>
        <w:spacing w:after="0" w:line="83" w:lineRule="exact"/>
        <w:rPr>
          <w:rFonts w:ascii="Times New Roman" w:cs="Times New Roman" w:eastAsia="Times New Roman" w:hAnsi="Times New Roman"/>
          <w:sz w:val="18"/>
          <w:szCs w:val="18"/>
          <w:color w:val="auto"/>
        </w:rPr>
      </w:pPr>
    </w:p>
    <w:p>
      <w:pPr>
        <w:ind w:right="100" w:firstLine="419"/>
        <w:spacing w:after="0" w:line="261" w:lineRule="auto"/>
        <w:tabs>
          <w:tab w:leader="none" w:pos="7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None of the Company, the Operating Partnership or any of their subsidiaries has distributed or will distribute any offering material in connection with the offering and sale of the Securities to be sold hereunder by a Sales Agent or a Forward Seller, other than the Prospectus and any Permitted Free Writing Prospectus (as defined below) reviewed and consented to by the Sales Agents, the Forward Sellers and the Forward Purchasers.</w:t>
      </w:r>
    </w:p>
    <w:p>
      <w:pPr>
        <w:spacing w:after="0" w:line="71" w:lineRule="exact"/>
        <w:rPr>
          <w:rFonts w:ascii="Times New Roman" w:cs="Times New Roman" w:eastAsia="Times New Roman" w:hAnsi="Times New Roman"/>
          <w:sz w:val="18"/>
          <w:szCs w:val="18"/>
          <w:color w:val="auto"/>
        </w:rPr>
      </w:pPr>
    </w:p>
    <w:p>
      <w:pPr>
        <w:ind w:right="680" w:firstLine="419"/>
        <w:spacing w:after="0" w:line="282" w:lineRule="auto"/>
        <w:tabs>
          <w:tab w:leader="none" w:pos="7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Actively Traded Security</w:t>
      </w:r>
      <w:r>
        <w:rPr>
          <w:rFonts w:ascii="Times New Roman" w:cs="Times New Roman" w:eastAsia="Times New Roman" w:hAnsi="Times New Roman"/>
          <w:sz w:val="18"/>
          <w:szCs w:val="18"/>
          <w:color w:val="auto"/>
        </w:rPr>
        <w:t>. The Common Shares are “actively traded securities” excepted from the requirements of Rule 101 of Regulation M under the Exchange Act by subsection (c)(1) of such rule.</w:t>
      </w:r>
    </w:p>
    <w:p>
      <w:pPr>
        <w:spacing w:after="0" w:line="53" w:lineRule="exact"/>
        <w:rPr>
          <w:rFonts w:ascii="Times New Roman" w:cs="Times New Roman" w:eastAsia="Times New Roman" w:hAnsi="Times New Roman"/>
          <w:sz w:val="18"/>
          <w:szCs w:val="18"/>
          <w:color w:val="auto"/>
        </w:rPr>
      </w:pPr>
    </w:p>
    <w:p>
      <w:pPr>
        <w:ind w:firstLine="419"/>
        <w:spacing w:after="0" w:line="261" w:lineRule="auto"/>
        <w:tabs>
          <w:tab w:leader="none" w:pos="7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Manipulation</w:t>
      </w:r>
      <w:r>
        <w:rPr>
          <w:rFonts w:ascii="Times New Roman" w:cs="Times New Roman" w:eastAsia="Times New Roman" w:hAnsi="Times New Roman"/>
          <w:sz w:val="18"/>
          <w:szCs w:val="18"/>
          <w:color w:val="auto"/>
        </w:rPr>
        <w:t>. None of the Company, the Operating Partnership, their subsidiaries or any of their officers, directors, trustees or partners thereof has taken, nor will any of them take, directly or indirectly, any action resulting in a violation of Regulation M under the Exchange Act or designed to cause or result in, or which has constituted or which reasonably might be expected to constitute, the stabilization or manipulation of the price of the Securities or facilitation of the sale or resale of the Securities.</w:t>
      </w:r>
    </w:p>
    <w:p>
      <w:pPr>
        <w:spacing w:after="0" w:line="71" w:lineRule="exact"/>
        <w:rPr>
          <w:rFonts w:ascii="Times New Roman" w:cs="Times New Roman" w:eastAsia="Times New Roman" w:hAnsi="Times New Roman"/>
          <w:sz w:val="18"/>
          <w:szCs w:val="18"/>
          <w:color w:val="auto"/>
        </w:rPr>
      </w:pPr>
    </w:p>
    <w:p>
      <w:pPr>
        <w:ind w:right="20" w:firstLine="419"/>
        <w:spacing w:after="0" w:line="255" w:lineRule="auto"/>
        <w:tabs>
          <w:tab w:leader="none" w:pos="7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Prohibition on Dividends by Subsidiaries</w:t>
      </w:r>
      <w:r>
        <w:rPr>
          <w:rFonts w:ascii="Times New Roman" w:cs="Times New Roman" w:eastAsia="Times New Roman" w:hAnsi="Times New Roman"/>
          <w:sz w:val="18"/>
          <w:szCs w:val="18"/>
          <w:color w:val="auto"/>
        </w:rPr>
        <w:t>. Except as disclosed in or contemplated by the Registration Statement and the Prospectus (including with respect to restrictions on transfer of property or assets pursuant to the terms of mortgage debt on any properties held directly or indirectly by any of the Company, the Operating Partnership or their subsidiaries, or pursuant to the express terms of any joint venture arrangement of the Company, the Operating Partnership or any of their subsidiaries), no subsidiary of the Company (including the Operating Partnership) is currently prohibited, directly or indirectly, from paying any distributions to the Company to the extent permitted by applicable law, from making any other distribution on the Operating Partnership’s partnership interests, or from repaying to the Company any loans or advances made by the Company to the Operating Partnership or any such subsidiary.</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40"/>
          </w:cols>
          <w:pgMar w:left="880" w:top="270" w:right="479" w:bottom="1440" w:gutter="0" w:footer="0" w:header="0"/>
        </w:sectPr>
      </w:pPr>
    </w:p>
    <w:bookmarkStart w:id="35" w:name="page36"/>
    <w:bookmarkEnd w:id="35"/>
    <w:p>
      <w:pPr>
        <w:ind w:right="180" w:firstLine="419"/>
        <w:spacing w:after="0" w:line="258" w:lineRule="auto"/>
        <w:tabs>
          <w:tab w:leader="none" w:pos="7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Proprietary Trading by the Sales Agents and the Forward Sellers</w:t>
      </w:r>
      <w:r>
        <w:rPr>
          <w:rFonts w:ascii="Times New Roman" w:cs="Times New Roman" w:eastAsia="Times New Roman" w:hAnsi="Times New Roman"/>
          <w:sz w:val="18"/>
          <w:szCs w:val="18"/>
          <w:color w:val="auto"/>
        </w:rPr>
        <w:t>. The Company acknowledges and agrees that each Sales Agent and each Forward Seller have informed the Company that such Sales Agent or such Forward Seller may, to the extent permitted under the Securities Act and the Exchange Act, purchase and sell Common Shares for their own respective accounts while this Agreement is in effect, and shall be under no obligation to purchase Securities on a principal basis pursuant to this Agreement, except as otherwise agreed to by such Sales Agent or such Forward Seller in the applicable Placement Notice (as amended by the corresponding Acceptance, if applicable).</w:t>
      </w:r>
    </w:p>
    <w:p>
      <w:pPr>
        <w:spacing w:after="0" w:line="75" w:lineRule="exact"/>
        <w:rPr>
          <w:rFonts w:ascii="Times New Roman" w:cs="Times New Roman" w:eastAsia="Times New Roman" w:hAnsi="Times New Roman"/>
          <w:sz w:val="18"/>
          <w:szCs w:val="18"/>
          <w:color w:val="auto"/>
        </w:rPr>
      </w:pPr>
    </w:p>
    <w:p>
      <w:pPr>
        <w:ind w:right="20" w:firstLine="419"/>
        <w:spacing w:after="0" w:line="266" w:lineRule="auto"/>
        <w:tabs>
          <w:tab w:leader="none" w:pos="7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eXtensible Business Reporting Language</w:t>
      </w:r>
      <w:r>
        <w:rPr>
          <w:rFonts w:ascii="Times New Roman" w:cs="Times New Roman" w:eastAsia="Times New Roman" w:hAnsi="Times New Roman"/>
          <w:sz w:val="18"/>
          <w:szCs w:val="18"/>
          <w:color w:val="auto"/>
        </w:rPr>
        <w:t>. The interactive data in the eXtensible Business Reporting Language incorporated by reference in the Registration Statement or the Prospectus fairly presents the information called for in all material respects and has been prepared in accordance with the Commission’s rules and guidelines applicable thereto.</w:t>
      </w:r>
    </w:p>
    <w:p>
      <w:pPr>
        <w:spacing w:after="0" w:line="67" w:lineRule="exact"/>
        <w:rPr>
          <w:rFonts w:ascii="Times New Roman" w:cs="Times New Roman" w:eastAsia="Times New Roman" w:hAnsi="Times New Roman"/>
          <w:sz w:val="18"/>
          <w:szCs w:val="18"/>
          <w:color w:val="auto"/>
        </w:rPr>
      </w:pPr>
    </w:p>
    <w:p>
      <w:pPr>
        <w:ind w:firstLine="419"/>
        <w:spacing w:after="0" w:line="252" w:lineRule="auto"/>
        <w:tabs>
          <w:tab w:leader="none" w:pos="7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(A) To the knowledge of each of the Company and the Operating Partnership, there has been no security breach or incident, unauthorized access or disclosure, or other compromise of or relating to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the Operating Partnership or their subsidiaries, and any such data processed or stored by third parties on behalf of the Company, the Operating Partnership or their subsidiaries), equipment or technology (collectively, “IT Systems and Data”); (B) none of the Company, the Operating Partnership or any of their subsidiaries have been notified of, and have no knowledge of any event or condition that would result in, any security breach or incident, unauthorized access or disclosure or other compromise to their IT Systems and Data; and (C) the Company, the Operating Partnership and their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except with respect to clauses (A) and (B), for any such security breach or incident, unauthorized access or disclosure, or other compromises, as would not, individually or in the aggregate, have a material adverse effect on the condition, financial or otherwise, or on the earnings, business affairs or business prospects of the Company, the Operating Partnership and their subsidiaries, considered as one enterprise, or with respect to clause (C), where the failure to do so would not, individually or in the aggregate, have a material adverse effect on the condition, financial or otherwise, or on the earnings, business affairs or business prospects of the Company, the Operating Partnership and their subsidiaries, considered as one enterprise. The Company, the Operating Partnership and their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0"/>
          </w:cols>
          <w:pgMar w:left="880" w:top="270" w:right="459" w:bottom="1440" w:gutter="0" w:footer="0" w:header="0"/>
        </w:sectPr>
      </w:pPr>
    </w:p>
    <w:bookmarkStart w:id="36" w:name="page37"/>
    <w:bookmarkEnd w:id="36"/>
    <w:p>
      <w:pPr>
        <w:ind w:left="440"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Systems and Data and to the protection of such IT Systems and Data from unauthorized use, access, misappropriation or modification, except where the failure to be so in compliance would not, individually or in the aggregate, have a material adverse effect on the condition, financial or otherwise, or on the earnings, business affairs or business prospects of the Company, the Operating Partnership and their subsidiaries, considered as one enterprise.</w:t>
      </w:r>
    </w:p>
    <w:p>
      <w:pPr>
        <w:spacing w:after="0" w:line="178" w:lineRule="exact"/>
        <w:rPr>
          <w:sz w:val="20"/>
          <w:szCs w:val="20"/>
          <w:color w:val="auto"/>
        </w:rPr>
      </w:pPr>
    </w:p>
    <w:p>
      <w:pPr>
        <w:ind w:right="40" w:firstLine="436"/>
        <w:spacing w:after="0" w:line="267"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Certificates. </w:t>
      </w:r>
      <w:r>
        <w:rPr>
          <w:rFonts w:ascii="Times New Roman" w:cs="Times New Roman" w:eastAsia="Times New Roman" w:hAnsi="Times New Roman"/>
          <w:sz w:val="18"/>
          <w:szCs w:val="18"/>
          <w:color w:val="auto"/>
        </w:rPr>
        <w:t>Any certificate signed by any officer of the Company or the Operating Partnership and delivered to the Sales Agents, the Forward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Sellers and the Forward Purchasers, or to their respective counsel, shall be deemed a representation and warranty by the Company and the Operating Partnership to the Sales Agents, the Forward Sellers and the Forward Purchasers as to the matters covered thereby.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Sale and Delivery; Settlement</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firstLine="436"/>
        <w:spacing w:after="0" w:line="253" w:lineRule="auto"/>
        <w:tabs>
          <w:tab w:leader="none" w:pos="6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 of Issuance Securities. </w:t>
      </w:r>
      <w:r>
        <w:rPr>
          <w:rFonts w:ascii="Times New Roman" w:cs="Times New Roman" w:eastAsia="Times New Roman" w:hAnsi="Times New Roman"/>
          <w:sz w:val="18"/>
          <w:szCs w:val="18"/>
          <w:color w:val="auto"/>
        </w:rPr>
        <w:t>On the basis of the representations and warranties herein contained and subject to the terms and conditions 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forth, upon a Sales Agent’s acceptance of the terms of a Placement Notice specifying that it relates to an Issuance or upon receipt by a Sales Agent of an Acceptance, as the case may be, and unless the sale of the Issuance Securities described therein has been declined, suspended, or otherwise terminated in accordance with the terms of this Agreement, such Sales Agent, for the period specified in the Placement Notice (as amended by the corresponding Acceptance, if applicable), will use its commercially reasonable efforts consistent with its normal trading and sales practices to sell such Issuance Securities up to the amount specified, and otherwise in accordance with the terms of such Placement Notice (as amended by the corresponding Acceptance, if applicable). Each of the Company and the Operating Partnership acknowledges and agrees that (i) there can be no assurance that the Sales Agents will be successful in selling Issuance Securities, (ii) the Sales Agents will incur no liability or obligation to the Company or any other person or entity if it does not sell Issuance Securities for any reason other than a failure by a Sales Agent to use its commercially reasonable efforts consistent with its normal trading and sales practices to sell such Issuance Securities as required under this Section 6 and (iii) the Sales Agents shall be under no obligation to purchase Issuance Securities on a principal basis pursuant to this Agreement, except as otherwise agreed by a Sales Agent in the Placement Notice (as amended by the corresponding Acceptance, if applicable).</w:t>
      </w:r>
    </w:p>
    <w:p>
      <w:pPr>
        <w:spacing w:after="0" w:line="191" w:lineRule="exact"/>
        <w:rPr>
          <w:rFonts w:ascii="Times New Roman" w:cs="Times New Roman" w:eastAsia="Times New Roman" w:hAnsi="Times New Roman"/>
          <w:sz w:val="18"/>
          <w:szCs w:val="18"/>
          <w:color w:val="auto"/>
        </w:rPr>
      </w:pPr>
    </w:p>
    <w:p>
      <w:pPr>
        <w:ind w:right="120" w:firstLine="436"/>
        <w:spacing w:after="0" w:line="239"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Issuance Securities. Unless otherwise specified in the applicable Placement Notice (as amended by the corresponding Acceptance, if applicable), settlement for sales of Issuance Securities will occur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Trading Day (or such earlier day as is industry practice for regular-way trading) following the date on which such sales are made (each, an “</w:t>
      </w:r>
      <w:r>
        <w:rPr>
          <w:rFonts w:ascii="Times New Roman" w:cs="Times New Roman" w:eastAsia="Times New Roman" w:hAnsi="Times New Roman"/>
          <w:sz w:val="18"/>
          <w:szCs w:val="18"/>
          <w:u w:val="single" w:color="auto"/>
          <w:color w:val="auto"/>
        </w:rPr>
        <w:t>Issuance Settlement Date</w:t>
      </w:r>
      <w:r>
        <w:rPr>
          <w:rFonts w:ascii="Times New Roman" w:cs="Times New Roman" w:eastAsia="Times New Roman" w:hAnsi="Times New Roman"/>
          <w:sz w:val="18"/>
          <w:szCs w:val="18"/>
          <w:color w:val="auto"/>
        </w:rPr>
        <w:t>”). The amount of proceeds to be delivered to the Company on an Issuance Settlement Date against receipt of the Issuance Securities sold (the “</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will be equal to the aggregate offering price received by the applicable Sales Agent at which such Issuance Securities were sold, after deduction for (i) such Sales Agent’s commission, discount or other compensation for such sales payable by the Company pursuant to Section 2 hereof, (ii) any other amounts due and payable by the Company to such Sales Agent hereunder pursuant to Section 8(a) hereof, and (iii) any transaction fees imposed by any governmental or self-regulatory organization in respect of such sales.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7" w:name="page38"/>
    <w:bookmarkEnd w:id="37"/>
    <w:p>
      <w:pPr>
        <w:ind w:firstLine="436"/>
        <w:spacing w:after="0" w:line="253"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Issuance Securities</w:t>
      </w:r>
      <w:r>
        <w:rPr>
          <w:rFonts w:ascii="Times New Roman" w:cs="Times New Roman" w:eastAsia="Times New Roman" w:hAnsi="Times New Roman"/>
          <w:sz w:val="18"/>
          <w:szCs w:val="18"/>
          <w:color w:val="auto"/>
        </w:rPr>
        <w:t>. On or before each Issuance Settlement Date, the Company will, or will cause its transfer agent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electronically transfer the Issuance Securities being sold by crediting the applicable Sales Agent’s or its designee’s account (provided such Sales Agent shall have given the Company written notice of such designee prior to the Issuance Settlement Date) at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through its Deposit and Withdrawal at Custodian System or by such other means of delivery as may be mutually agreed upon by the parties hereto which in all cases shall be freely tradable, transferable, registered shares in good deliverable form. On each Issuance Settlement Date, such Sales Agent will deliver the related Net Proceeds in same day funds to an account designated by the Company prior to the Issuance Settlement Date. The Company agrees that if the Company, or its transfer agent (if applicable), defaults in its obligation to deliver Issuance Securities on an Issuance Settlement Date, the Company agrees that in addition to and in no way limiting the rights and obligations set forth in Section 10(a) and Section 11 hereto, it will (i) hold such Sales Agent harmless against any loss, liability, claim, damage, or expense whatsoever (including reasonable legal fees and expenses), as incurred, arising out of or in connection with such default by the Company or its transfer agent (if applicable) and (ii) pay to such Sales Agent any commission, discount, or other compensation to which it would otherwise have been entitled absent such default.</w:t>
      </w:r>
    </w:p>
    <w:p>
      <w:pPr>
        <w:spacing w:after="0" w:line="191" w:lineRule="exact"/>
        <w:rPr>
          <w:rFonts w:ascii="Times New Roman" w:cs="Times New Roman" w:eastAsia="Times New Roman" w:hAnsi="Times New Roman"/>
          <w:sz w:val="18"/>
          <w:szCs w:val="18"/>
          <w:color w:val="auto"/>
        </w:rPr>
      </w:pPr>
    </w:p>
    <w:p>
      <w:pPr>
        <w:ind w:right="40" w:firstLine="436"/>
        <w:spacing w:after="0" w:line="256"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ale of Forward Hedge Securities</w:t>
      </w:r>
      <w:r>
        <w:rPr>
          <w:rFonts w:ascii="Times New Roman" w:cs="Times New Roman" w:eastAsia="Times New Roman" w:hAnsi="Times New Roman"/>
          <w:sz w:val="18"/>
          <w:szCs w:val="18"/>
          <w:color w:val="auto"/>
        </w:rPr>
        <w:t>. On the basis of the representations and warranties herein contained and subject to the terms and conditions in this Agreement and the applicable Confirmation, upon the Forward Seller’s and the Forward Purchaser’s acceptance of the terms of a Placement Notice specifying that it relates to a Forward or upon receipt by a Forward Seller and a Forward Purchaser of an Acceptance, as the case may be, and unless the sale of the Forward Hedge Securities described therein has been declined, suspended, or otherwise terminated in accordance with the terms of this Agreement or the applicable Confirmation, such Forward Seller will use its commercially reasonable efforts consistent with its normal trading and sales practices to sell such Forward Hedge Securities, and otherwise in accordance with the terms of such Placement Notice (as amended by the corresponding Acceptance, if applicable).</w:t>
      </w:r>
    </w:p>
    <w:p>
      <w:pPr>
        <w:spacing w:after="0" w:line="182" w:lineRule="exact"/>
        <w:rPr>
          <w:rFonts w:ascii="Times New Roman" w:cs="Times New Roman" w:eastAsia="Times New Roman" w:hAnsi="Times New Roman"/>
          <w:sz w:val="18"/>
          <w:szCs w:val="18"/>
          <w:color w:val="auto"/>
        </w:rPr>
      </w:pPr>
    </w:p>
    <w:p>
      <w:pPr>
        <w:ind w:right="240" w:firstLine="436"/>
        <w:spacing w:after="0" w:line="267"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Forward Hedge Securities</w:t>
      </w:r>
      <w:r>
        <w:rPr>
          <w:rFonts w:ascii="Times New Roman" w:cs="Times New Roman" w:eastAsia="Times New Roman" w:hAnsi="Times New Roman"/>
          <w:sz w:val="18"/>
          <w:szCs w:val="18"/>
          <w:color w:val="auto"/>
        </w:rPr>
        <w:t>. Unless otherwise specified in the applicable Placement Notice (as amended by the corresponding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Acceptance, if applicable), settlement for sales of Forward Hedge Securities will occur on the date (each, a “</w:t>
      </w:r>
      <w:r>
        <w:rPr>
          <w:rFonts w:ascii="Times New Roman" w:cs="Times New Roman" w:eastAsia="Times New Roman" w:hAnsi="Times New Roman"/>
          <w:sz w:val="18"/>
          <w:szCs w:val="18"/>
          <w:u w:val="single" w:color="auto"/>
          <w:color w:val="auto"/>
        </w:rPr>
        <w:t>Forward Hedge Settlement Date</w:t>
      </w:r>
      <w:r>
        <w:rPr>
          <w:rFonts w:ascii="Times New Roman" w:cs="Times New Roman" w:eastAsia="Times New Roman" w:hAnsi="Times New Roman"/>
          <w:sz w:val="18"/>
          <w:szCs w:val="18"/>
          <w:color w:val="auto"/>
        </w:rPr>
        <w:t>”) and in the manner agreed to by the applicable Forward Seller and the applicable Forward Purchaser.</w:t>
      </w:r>
    </w:p>
    <w:p>
      <w:pPr>
        <w:spacing w:after="0" w:line="173" w:lineRule="exact"/>
        <w:rPr>
          <w:rFonts w:ascii="Times New Roman" w:cs="Times New Roman" w:eastAsia="Times New Roman" w:hAnsi="Times New Roman"/>
          <w:sz w:val="18"/>
          <w:szCs w:val="18"/>
          <w:color w:val="auto"/>
        </w:rPr>
      </w:pPr>
    </w:p>
    <w:p>
      <w:pPr>
        <w:ind w:right="100" w:firstLine="436"/>
        <w:spacing w:after="0" w:line="267" w:lineRule="auto"/>
        <w:tabs>
          <w:tab w:leader="none" w:pos="6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Denominations; Registration. </w:t>
      </w:r>
      <w:r>
        <w:rPr>
          <w:rFonts w:ascii="Times New Roman" w:cs="Times New Roman" w:eastAsia="Times New Roman" w:hAnsi="Times New Roman"/>
          <w:sz w:val="18"/>
          <w:szCs w:val="18"/>
          <w:color w:val="auto"/>
        </w:rPr>
        <w:t>The Securities shall be in such denominations and registered in such names as the Sales Agents or the Forward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Sellers, as applicable, may request in writing at least one full business day before the Settlement Date. The Company shall deliver the Securities, if any, through the facilities of DTC unless such Sales Agent shall otherwise instruct.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68" w:right="459" w:bottom="1440" w:gutter="0" w:footer="0" w:header="0"/>
        </w:sectPr>
      </w:pPr>
    </w:p>
    <w:bookmarkStart w:id="38" w:name="page39"/>
    <w:bookmarkEnd w:id="38"/>
    <w:p>
      <w:pPr>
        <w:ind w:left="4" w:right="340" w:firstLine="436"/>
        <w:spacing w:after="0" w:line="262" w:lineRule="auto"/>
        <w:tabs>
          <w:tab w:leader="none" w:pos="69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Limitations on Offering Size</w:t>
      </w:r>
      <w:r>
        <w:rPr>
          <w:rFonts w:ascii="Times New Roman" w:cs="Times New Roman" w:eastAsia="Times New Roman" w:hAnsi="Times New Roman"/>
          <w:sz w:val="18"/>
          <w:szCs w:val="18"/>
          <w:color w:val="auto"/>
        </w:rPr>
        <w:t>. Under no circumstances shall the Company cause or request the offer or sale of any Securities, if after giving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to the sale of such Securities, the aggregate offering price of the Securities sold pursuant to this Agreement would exceed the lesser of</w:t>
      </w:r>
    </w:p>
    <w:p>
      <w:pPr>
        <w:ind w:left="4" w:hanging="4"/>
        <w:spacing w:after="0" w:line="252" w:lineRule="auto"/>
        <w:tabs>
          <w:tab w:leader="none" w:pos="29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all the sales of Securities under this Agreement, the Maximum Amount, (B) the amount available for offer and sale under the currently effective Registration Statement, if applicable, and (C) the amount authorized from time to time to be offered and sold under this Agreement by the Company and notified to the Sales Agents, the Forward Sellers and the Forward Purchasers in writing. Under no circumstances shall the Company cause or request the offer or sale of any Securities pursuant to this Agreement at a price lower than the minimum price authorized from time to time by the Company and notified to the Sales Agents, the Forward Sellers and the Forward Purchasers in writing. Further, under no circumstances shall the aggregate offering price of Securities sold pursuant to this Agreement, including any separate underwriting or similar agreement covering principal transactions referred to in Section 1 of this Agreement, exceed the Maximum Amount.</w:t>
      </w:r>
    </w:p>
    <w:p>
      <w:pPr>
        <w:spacing w:after="0" w:line="186" w:lineRule="exact"/>
        <w:rPr>
          <w:rFonts w:ascii="Times New Roman" w:cs="Times New Roman" w:eastAsia="Times New Roman" w:hAnsi="Times New Roman"/>
          <w:sz w:val="18"/>
          <w:szCs w:val="18"/>
          <w:color w:val="auto"/>
        </w:rPr>
      </w:pPr>
    </w:p>
    <w:p>
      <w:pPr>
        <w:ind w:left="4" w:right="40" w:firstLine="436"/>
        <w:spacing w:after="0" w:line="267" w:lineRule="auto"/>
        <w:tabs>
          <w:tab w:leader="none" w:pos="699"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Limitation on Sales Agents and Forward Sellers. </w:t>
      </w:r>
      <w:r>
        <w:rPr>
          <w:rFonts w:ascii="Times New Roman" w:cs="Times New Roman" w:eastAsia="Times New Roman" w:hAnsi="Times New Roman"/>
          <w:sz w:val="17"/>
          <w:szCs w:val="17"/>
          <w:color w:val="auto"/>
        </w:rPr>
        <w:t>The Company agrees that any offer to sell, any solicitation of an offer to buy or any sales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Securities shall only be effected by or through, on any single given day, only one of the Sales Agents or the Forward Sellers, and in no event more than one, and the Company shall in no event request that a Sales Agent and a Forward Seller sell Securities on the same day;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 the foregoing limitation shall not apply to (i) exercise of any option, warrant, right or any conversion privilege set forth in the instrument governing such security or (ii) sales solely to employees or security holders of the Company or its subsidiaries, or to a trustee or other person acquiring such securities for the accounts of such persons, and (b) such limitation shall not apply on any day during which no sales are made pursuant to this Agreement. Notwithstanding the foregoing or anything to the contrary contained herein, the Company shall be permitted, at any time and from time to time, to engage one or more additional agents and/or principals and/or forward sellers, that, once engaged, may offer to sell, solicit an offer to buy or sell the Securities, and at such time(s) a Sales Agent or a Forward Seller (x) shall promptly, upon request by the Company, enter into an amendment to this Agreement, or into a new agreement superseding this Agreement upon terms and conditions substantially similar to those contained herein or such other terms and conditions otherwise agreed to between such Sales Agent or such Forward Seller and the Company, providing for such engagement(s) and/or</w:t>
      </w:r>
    </w:p>
    <w:p>
      <w:pPr>
        <w:spacing w:after="0" w:line="4"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shall agree to cooperate with and do such other things reasonably requested by the Company in order to allow for such engagement(s).</w:t>
      </w:r>
    </w:p>
    <w:p>
      <w:pPr>
        <w:spacing w:after="0" w:line="96" w:lineRule="exact"/>
        <w:rPr>
          <w:rFonts w:ascii="Times New Roman" w:cs="Times New Roman" w:eastAsia="Times New Roman" w:hAnsi="Times New Roman"/>
          <w:sz w:val="17"/>
          <w:szCs w:val="17"/>
          <w:color w:val="auto"/>
        </w:rPr>
      </w:pPr>
    </w:p>
    <w:p>
      <w:pPr>
        <w:ind w:left="4" w:right="20" w:firstLine="436"/>
        <w:spacing w:after="0" w:line="256" w:lineRule="auto"/>
        <w:tabs>
          <w:tab w:leader="none" w:pos="65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Period for Restriction on Offers and Sales. </w:t>
      </w:r>
      <w:r>
        <w:rPr>
          <w:rFonts w:ascii="Times New Roman" w:cs="Times New Roman" w:eastAsia="Times New Roman" w:hAnsi="Times New Roman"/>
          <w:sz w:val="18"/>
          <w:szCs w:val="18"/>
          <w:color w:val="auto"/>
        </w:rPr>
        <w:t>Notwithstanding any other provision of this Agreement, the Company shall not offer, sell or deliver,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request the offer or sale of, any Securities and, by notice to a Sales Agent (in the case of an Issuance) or a Forward Seller and a Forward Purchaser (in the case of a Forward) given by telephone (confirmed promptly by email), shall cancel any instructions for the offer or sale of any Securities, and such Sales Agent, or such Forward Seller, as applicable, shall not be obligated to offer or sell any Securities, (i) during any period in which the Company is, or could be deemed to be, in possession of material non-public information or (ii) except as provided in Section 6(j) below, at any time from and including the date (each, an “</w:t>
      </w:r>
      <w:r>
        <w:rPr>
          <w:rFonts w:ascii="Times New Roman" w:cs="Times New Roman" w:eastAsia="Times New Roman" w:hAnsi="Times New Roman"/>
          <w:sz w:val="18"/>
          <w:szCs w:val="18"/>
          <w:u w:val="single" w:color="auto"/>
          <w:color w:val="auto"/>
        </w:rPr>
        <w:t>Announcement Date</w:t>
      </w:r>
      <w:r>
        <w:rPr>
          <w:rFonts w:ascii="Times New Roman" w:cs="Times New Roman" w:eastAsia="Times New Roman" w:hAnsi="Times New Roman"/>
          <w:sz w:val="18"/>
          <w:szCs w:val="18"/>
          <w:color w:val="auto"/>
        </w:rPr>
        <w:t>”) on which the Company shall issue a press release containing, or shall otherwise publicly announce, its earnings, revenues or other results of</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68" w:right="459" w:bottom="1440" w:gutter="0" w:footer="0" w:header="0"/>
        </w:sectPr>
      </w:pPr>
    </w:p>
    <w:bookmarkStart w:id="39" w:name="page40"/>
    <w:bookmarkEnd w:id="39"/>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operations (each, an “</w:t>
      </w:r>
      <w:r>
        <w:rPr>
          <w:rFonts w:ascii="Times New Roman" w:cs="Times New Roman" w:eastAsia="Times New Roman" w:hAnsi="Times New Roman"/>
          <w:sz w:val="18"/>
          <w:szCs w:val="18"/>
          <w:u w:val="single" w:color="auto"/>
          <w:color w:val="auto"/>
        </w:rPr>
        <w:t>Earnings Announcement</w:t>
      </w:r>
      <w:r>
        <w:rPr>
          <w:rFonts w:ascii="Times New Roman" w:cs="Times New Roman" w:eastAsia="Times New Roman" w:hAnsi="Times New Roman"/>
          <w:sz w:val="18"/>
          <w:szCs w:val="18"/>
          <w:color w:val="auto"/>
        </w:rPr>
        <w:t>”) through and including the time that is 24 hours after the time that the Company files (a “</w:t>
      </w:r>
      <w:r>
        <w:rPr>
          <w:rFonts w:ascii="Times New Roman" w:cs="Times New Roman" w:eastAsia="Times New Roman" w:hAnsi="Times New Roman"/>
          <w:sz w:val="18"/>
          <w:szCs w:val="18"/>
          <w:u w:val="single" w:color="auto"/>
          <w:color w:val="auto"/>
        </w:rPr>
        <w:t>Filing Time</w:t>
      </w:r>
      <w:r>
        <w:rPr>
          <w:rFonts w:ascii="Times New Roman" w:cs="Times New Roman" w:eastAsia="Times New Roman" w:hAnsi="Times New Roman"/>
          <w:sz w:val="18"/>
          <w:szCs w:val="18"/>
          <w:color w:val="auto"/>
        </w:rPr>
        <w:t>”) a Quarterly Report on Form 10-Q or an Annual Report on Form 10-K that includes consolidated financial statements as of and for the same period or periods, as the case may be, covered by such Earnings Announcement.</w:t>
      </w:r>
    </w:p>
    <w:p>
      <w:pPr>
        <w:spacing w:after="0" w:line="174" w:lineRule="exact"/>
        <w:rPr>
          <w:sz w:val="20"/>
          <w:szCs w:val="20"/>
          <w:color w:val="auto"/>
        </w:rPr>
      </w:pPr>
    </w:p>
    <w:p>
      <w:pPr>
        <w:ind w:left="4" w:right="40" w:firstLine="436"/>
        <w:spacing w:after="0" w:line="267" w:lineRule="auto"/>
        <w:tabs>
          <w:tab w:leader="none" w:pos="659"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Removal of Restriction on Offers and Sales. </w:t>
      </w:r>
      <w:r>
        <w:rPr>
          <w:rFonts w:ascii="Times New Roman" w:cs="Times New Roman" w:eastAsia="Times New Roman" w:hAnsi="Times New Roman"/>
          <w:sz w:val="17"/>
          <w:szCs w:val="17"/>
          <w:color w:val="auto"/>
        </w:rPr>
        <w:t>If the Company wishes that Securities be offered, sold and/or delivered at any time during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from and including an Announcement Date through and including the time that is 24 hours after the corresponding Filing Time, the Company shall (i) prepare and deliver to the applicable Sales Agent (in the case of an Issuance) or the applicable Forward Seller and the applicable Forward Purchaser (in the case of a Forward) (with a copy to their respective counsel) a Current Report on Form 8-K which shall include substantially the same financial and related information as was set forth in the relevant Earnings Announcement (other than any earnings projections, similar forward-looking data and officers’ quotations) (each, an “</w:t>
      </w:r>
      <w:r>
        <w:rPr>
          <w:rFonts w:ascii="Times New Roman" w:cs="Times New Roman" w:eastAsia="Times New Roman" w:hAnsi="Times New Roman"/>
          <w:sz w:val="17"/>
          <w:szCs w:val="17"/>
          <w:u w:val="single" w:color="auto"/>
          <w:color w:val="auto"/>
        </w:rPr>
        <w:t>Earnings 8-K</w:t>
      </w:r>
      <w:r>
        <w:rPr>
          <w:rFonts w:ascii="Times New Roman" w:cs="Times New Roman" w:eastAsia="Times New Roman" w:hAnsi="Times New Roman"/>
          <w:sz w:val="17"/>
          <w:szCs w:val="17"/>
          <w:color w:val="auto"/>
        </w:rPr>
        <w:t>”), in form and substance reasonably satisfactory to such Sales Agent or such Forward Seller and such Forward Purchaser, as applicable, and obtain the consent of such Sales Agent or such Forward Seller and such Forward Purchaser, as applicable, to such filing thereof (such consent not to be unreasonably withheld), (ii) provide such Sales Agent or such Forward Seller and such Forward Purchaser, as applicable, with the officer’s certificate, opinions/letters of counsel and accountants’ letter called for by Sections 7(o), (p) and (q) hereof; respectively,</w:t>
      </w:r>
    </w:p>
    <w:p>
      <w:pPr>
        <w:spacing w:after="0" w:line="7" w:lineRule="exact"/>
        <w:rPr>
          <w:rFonts w:ascii="Times New Roman" w:cs="Times New Roman" w:eastAsia="Times New Roman" w:hAnsi="Times New Roman"/>
          <w:sz w:val="17"/>
          <w:szCs w:val="17"/>
          <w:color w:val="auto"/>
        </w:rPr>
      </w:pPr>
    </w:p>
    <w:p>
      <w:pPr>
        <w:ind w:left="4" w:hanging="4"/>
        <w:spacing w:after="0" w:line="250" w:lineRule="auto"/>
        <w:tabs>
          <w:tab w:leader="none" w:pos="3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afford such Sales Agent or such Forward Seller and such Forward Purchaser, as applicable, the opportunity to conduct a due diligence review in accordance with Section 7(m) hereof and (iv) file such Earnings 8-K with the Commission, then the provisions of clause (iii) of Section 6(i) shall not be applicable for the period from and after the time at which the foregoing conditions shall have been satisfied (or, if later, the time that is 24 hours after the time that the relevant Earnings Announcement was first publicly released) through and including the time that is 24 hours after the Filing Time of the relevant Quarterly Report on Form 10-Q or Annual Report on Form 10-K under the Exchange Act, as the case may be. For purposes of clarity, the parties hereto agree that (A) the delivery of any officer’s certificate, opinions/letters of counsel and accountants’ letter pursuant to this Section 6(j) shall not relieve the Company from any of its obligations under this Agreement with respect to any Quarterly Report on Form 10-Q or Annual Report on Form 10-K, as the case may be, including, without limitation, the obligation to deliver officer’s certificates, opinions/letters of counsel and accountants’ letters as provided in Sections 7(o), (p) and (q) hereof and (B) this Section 6(i) shall in no way affect or limit the operation of the provisions of clauses</w:t>
      </w:r>
    </w:p>
    <w:p>
      <w:pPr>
        <w:spacing w:after="0" w:line="3"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of Section 6(i), which shall have independent application.</w:t>
      </w:r>
    </w:p>
    <w:p>
      <w:pPr>
        <w:spacing w:after="0" w:line="207"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Covenants of the Company and the Operating Partnership</w:t>
      </w:r>
      <w:r>
        <w:rPr>
          <w:rFonts w:ascii="Times New Roman" w:cs="Times New Roman" w:eastAsia="Times New Roman" w:hAnsi="Times New Roman"/>
          <w:sz w:val="18"/>
          <w:szCs w:val="18"/>
          <w:color w:val="auto"/>
        </w:rPr>
        <w:t>. Each of the Company and the Operating Partnership jointly and severally agree and covenant with the Sales Agents, the Forward Sellers and the Forward Purchasers as follows:</w:t>
      </w:r>
    </w:p>
    <w:p>
      <w:pPr>
        <w:spacing w:after="0" w:line="160" w:lineRule="exact"/>
        <w:rPr>
          <w:sz w:val="20"/>
          <w:szCs w:val="20"/>
          <w:color w:val="auto"/>
        </w:rPr>
      </w:pPr>
    </w:p>
    <w:p>
      <w:pPr>
        <w:ind w:left="4" w:firstLine="436"/>
        <w:spacing w:after="0" w:line="267" w:lineRule="auto"/>
        <w:tabs>
          <w:tab w:leader="none" w:pos="68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Statement Amendments</w:t>
      </w:r>
      <w:r>
        <w:rPr>
          <w:rFonts w:ascii="Times New Roman" w:cs="Times New Roman" w:eastAsia="Times New Roman" w:hAnsi="Times New Roman"/>
          <w:sz w:val="18"/>
          <w:szCs w:val="18"/>
          <w:color w:val="auto"/>
        </w:rPr>
        <w:t>. After the date of this Agreement and during any Selling Period or period in which a Prospectus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Securities is required to be delivered by the Sales Agents or the Forward Sellers under the Securities Act (including in circumstances where such requirement may be satisfied pursuant to Rule 172 under the Securities Act), (i) the Company will notify the Sales Agents, the Forward Sellers and the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40" w:name="page41"/>
    <w:bookmarkEnd w:id="40"/>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 Purchasers promptly of the time when any subsequent amendment to the Registration Statement, other than documents incorporated by reference, has been filed with the Commission and/or has become effective or any subsequent supplement to the Prospectus has been filed and of any comment letter from the Commission or any request by the Commission for any amendment or supplement to the Registration Statement or Prospectus or for additional information; (ii) the Company will prepare and file with the Commission, promptly upon a Sales Agent’s, a Forward Seller’s or a Forward Purchaser’s request, any amendments or supplements to the Registration Statement or Prospectus that, in such Sales Agent’s, such Forward Seller’s or such Forward Purchaser’s reasonable opinion, may be necessary or advisable in connection with the distribution of the Securities by such Sales Agent or such Forward Seller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such Sales Agent, such Forward Seller or Forward Purchaser to make such request shall not relieve the Company of any obligation or liability hereunder, or affect such Sales Agent’s, such Forward Seller’s or such Forward Purchaser’s right to rely on the representations and warranties made by the Company in this Agreement); (iii) the Company will not file any amendment or supplement to the Registration Statement or Prospectus, other than documents incorporated by reference, relating to the Securities or a security convertible into the Securities unless a copy thereof has been submitted to such Sales Agent, such Forward Seller and such Forward Purchaser within a reasonable period of time before the filing and such Sales Agent, such Forward Seller and such Forward Purchaser has not reasonably objected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such Sales Agent, such Forward Seller or such Forward Purchaser to make such objection shall not relieve the Company of any obligation or liability hereunder, or affect such Sales Agent’s, such Forward Seller’s or such Forward Purchaser’s right to rely on the representations and warranties made by the Company in this Agreement) and the Company will furnish to such Sales Agent, such Forward Seller or such Forward Purchaser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other than documents incorporated by reference, to be filed with the Commission as required pursuant to the applicable paragraph of Rule 424(b) of the Securities Act (without reliance on Rule 424(b)(8) of the Securities Act).</w:t>
      </w:r>
    </w:p>
    <w:p>
      <w:pPr>
        <w:spacing w:after="0" w:line="189" w:lineRule="exact"/>
        <w:rPr>
          <w:sz w:val="20"/>
          <w:szCs w:val="20"/>
          <w:color w:val="auto"/>
        </w:rPr>
      </w:pPr>
    </w:p>
    <w:p>
      <w:pPr>
        <w:ind w:firstLine="436"/>
        <w:spacing w:after="0" w:line="254"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Commission Stop Orders</w:t>
      </w:r>
      <w:r>
        <w:rPr>
          <w:rFonts w:ascii="Times New Roman" w:cs="Times New Roman" w:eastAsia="Times New Roman" w:hAnsi="Times New Roman"/>
          <w:sz w:val="18"/>
          <w:szCs w:val="18"/>
          <w:color w:val="auto"/>
        </w:rPr>
        <w:t>. The Company will advise the Sales Agents, the Forward Sellers and the Forward Purchasers promptly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receives notice or obtains knowledge thereof, of the issuance or threatened issuance by the Commission of any stop order suspending the effectiveness of the Registration Statement or of any other order preventing or suspending the use of the Prospectus or any Issuer Free Writing Prospectus, or of the suspension of the qualification of the Securities for offering or sale in any jurisdiction or of the loss or suspension of any exemption from any such qualification, or of the initiation or threatening of any proceedings for any of such purposes, or of any examination pursuant to Section 8(e) of the Securities Act concerning the Registration Statement or if the Company becomes the subject of a proceeding under Section 8A of the Securities Act in connection with the offering of the Securities. The Company will make every reasonable effort to prevent the issuance of any stop order, the suspension of any qualification of the Securities for offering or sale and any loss or suspension of any exemption from any such qualification, and if any such stop order is issued or any such suspension or loss occurs, to obtain the lifting thereof at the earliest possible moment.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41" w:name="page42"/>
    <w:bookmarkEnd w:id="41"/>
    <w:p>
      <w:pPr>
        <w:ind w:right="160" w:firstLine="436"/>
        <w:spacing w:after="0" w:line="270" w:lineRule="auto"/>
        <w:tabs>
          <w:tab w:leader="none" w:pos="68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Delivery of Registration Statement and Prospectus. </w:t>
      </w:r>
      <w:r>
        <w:rPr>
          <w:rFonts w:ascii="Times New Roman" w:cs="Times New Roman" w:eastAsia="Times New Roman" w:hAnsi="Times New Roman"/>
          <w:sz w:val="17"/>
          <w:szCs w:val="17"/>
          <w:color w:val="auto"/>
        </w:rPr>
        <w:t>The Company will furnish to the Sales Agents, the Forward Sellers, the Forward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Purchasers and their respective counsel (at the expense of the Company) copies of the Registration Statement, the Prospectus (including all documents incorporated by reference therein) and all amendments and supplements to the Registration Statement or Prospectus, and any Issuer Free Writing Prospectuses, that are filed with the Commission during any Selling Period or period in which a Prospectus relating to the Securities is required to be delivered under the Securities Act (including all documents filed with the Commission during such period that are deemed to be incorporated by reference therein), in each case as soon as reasonably practicable and in such quantities and at such locations as the Sales Agents, the Forward Sellers and the Forward Purchasers may from time to time reasonably request; provided, however, the Company shall not be required to furnish to a Sales Agent, a Forward Seller or a Forward Purchaser any document that is available via EDGAR. The copies of the Registration Statement and the Prospectus and any supplements or amendments thereto furnished to a Sales Agent, a Forward Seller or a Forward Purchaser will be identical to the electronically transmitted copies thereof filed with the Commission pursuant to EDGAR, except to the extent permitted by Regulation S-T.</w:t>
      </w:r>
    </w:p>
    <w:p>
      <w:pPr>
        <w:spacing w:after="0" w:line="176" w:lineRule="exact"/>
        <w:rPr>
          <w:rFonts w:ascii="Times New Roman" w:cs="Times New Roman" w:eastAsia="Times New Roman" w:hAnsi="Times New Roman"/>
          <w:sz w:val="17"/>
          <w:szCs w:val="17"/>
          <w:color w:val="auto"/>
        </w:rPr>
      </w:pPr>
    </w:p>
    <w:p>
      <w:pPr>
        <w:ind w:firstLine="436"/>
        <w:spacing w:after="0" w:line="252"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Continued Compliance with Securities Laws. </w:t>
      </w:r>
      <w:r>
        <w:rPr>
          <w:rFonts w:ascii="Times New Roman" w:cs="Times New Roman" w:eastAsia="Times New Roman" w:hAnsi="Times New Roman"/>
          <w:sz w:val="18"/>
          <w:szCs w:val="18"/>
          <w:color w:val="auto"/>
        </w:rPr>
        <w:t>If at any time during any Selling Period or period when a Prospectus is required by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or the Exchange Act to be delivered in connection with a pending sale of the Securities (including, without limitation, pursuant to Rule 172), any event shall occur or condition shall exist as a result of which it is necessary, in the opinion of counsel for the Sales Agents, the Forward Sellers or the Forward Purchasers or counsel to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Securities Act, the Company will promptly notify the Sales Agents or the Forward Sellers and the Forward Purchasers, as applicable, to suspend the offering of Securities during such period and the Company will promptly prepare and file with the Commission such amendment, supplement or new registration statement as may be necessary to correct such statement or omission or to comply with such requirements, the Company will use its reasonable best efforts to have such amendment or new registration statement declared effective as soon as practicable (if it is not an automatic shelf registration statement with respect to the Securities) and the Company will furnish to the Sales Agents, the Forward Sellers and the Forward Purchasers such number of copies of such amendment, supplement or new registration statement as the Sales Agents, the Forward Sellers and the Forward Purchasers may reasonably request. If at any time following issuance of an Issuer Free Writing Prospectus there occurred or occurs an event or development as a result of which such Issuer Free Writing Prospectus conflicted, conflicts or would conflict with the information contained in the Registration Statement or the Prospectus or included, includes or would include an untrue statement of a material fact or omitted, omits or would omit to state a material fact necessary in order to make the statements therein, in the light of the circumstances, prevailing at that subsequent time, not misleading, the Company will promptly notify the Sales Agents or the Forward Sellers and the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8" w:right="459" w:bottom="1440" w:gutter="0" w:footer="0" w:header="0"/>
        </w:sectPr>
      </w:pPr>
    </w:p>
    <w:bookmarkStart w:id="42" w:name="page43"/>
    <w:bookmarkEnd w:id="42"/>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 Purchasers, as applicable, to suspend the offering of Securities during such period and the Company will, subject to Section 7(a) hereof, promptly amend or supplement, at its own expense, such Issuer Free Writing Prospectus to eliminate or correct such conflict, untrue statement or omission.</w:t>
      </w:r>
    </w:p>
    <w:p>
      <w:pPr>
        <w:spacing w:after="0" w:line="174" w:lineRule="exact"/>
        <w:rPr>
          <w:sz w:val="20"/>
          <w:szCs w:val="20"/>
          <w:color w:val="auto"/>
        </w:rPr>
      </w:pPr>
    </w:p>
    <w:p>
      <w:pPr>
        <w:ind w:firstLine="436"/>
        <w:spacing w:after="0" w:line="271" w:lineRule="auto"/>
        <w:tabs>
          <w:tab w:leader="none" w:pos="68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Blue Sky and Other Qualifications. </w:t>
      </w:r>
      <w:r>
        <w:rPr>
          <w:rFonts w:ascii="Times New Roman" w:cs="Times New Roman" w:eastAsia="Times New Roman" w:hAnsi="Times New Roman"/>
          <w:sz w:val="17"/>
          <w:szCs w:val="17"/>
          <w:color w:val="auto"/>
        </w:rPr>
        <w:t>The Company will use its commercially reasonable efforts, in cooperation with the Sales Agents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Forward Sellers, to qualify the Securities for offering and sale, or to obtain an exemption for the Securities to be offered and sold, under the applicable securities laws of such states and other jurisdictions (domestic or foreign) as the Sales Agents and the Forward Sellers may designate and to maintain such qualifications and exemptions in effect for so long as required for the distribution of the Securities (but in no event for less than one year from the date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Securities have been so qualified or exempted, the Company will file such statements and reports as may be required by the laws of such jurisdiction to continue such qualification or exemption, as the case may be, in effect for so long as required for the distribution of the Securities (but in no event for less than one year from the date of this Agreement).</w:t>
      </w:r>
    </w:p>
    <w:p>
      <w:pPr>
        <w:spacing w:after="0" w:line="173" w:lineRule="exact"/>
        <w:rPr>
          <w:rFonts w:ascii="Times New Roman" w:cs="Times New Roman" w:eastAsia="Times New Roman" w:hAnsi="Times New Roman"/>
          <w:sz w:val="17"/>
          <w:szCs w:val="17"/>
          <w:color w:val="auto"/>
        </w:rPr>
      </w:pPr>
    </w:p>
    <w:p>
      <w:pPr>
        <w:jc w:val="both"/>
        <w:ind w:right="80" w:firstLine="436"/>
        <w:spacing w:after="0" w:line="267" w:lineRule="auto"/>
        <w:tabs>
          <w:tab w:leader="none" w:pos="6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Rule 158. </w:t>
      </w:r>
      <w:r>
        <w:rPr>
          <w:rFonts w:ascii="Times New Roman" w:cs="Times New Roman" w:eastAsia="Times New Roman" w:hAnsi="Times New Roman"/>
          <w:sz w:val="18"/>
          <w:szCs w:val="18"/>
          <w:color w:val="auto"/>
        </w:rPr>
        <w:t>The Company will timely file such reports pursuant to the Exchange Act as are necessary in order to make generally available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securityholders as soon as practicable an earnings statement for the purposes of, and to provide to the Sales Agents and the Forward Sellers the benefits contemplated by, the last paragraph of Section 11(a) of the Securities Act.</w:t>
      </w:r>
    </w:p>
    <w:p>
      <w:pPr>
        <w:spacing w:after="0" w:line="173" w:lineRule="exact"/>
        <w:rPr>
          <w:rFonts w:ascii="Times New Roman" w:cs="Times New Roman" w:eastAsia="Times New Roman" w:hAnsi="Times New Roman"/>
          <w:sz w:val="18"/>
          <w:szCs w:val="18"/>
          <w:color w:val="auto"/>
        </w:rPr>
      </w:pPr>
    </w:p>
    <w:p>
      <w:pPr>
        <w:ind w:right="280" w:firstLine="436"/>
        <w:spacing w:after="0" w:line="284"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use the Net Proceeds received by it from the sale of the Securities and the net proceeds received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Confirmation in the manner specified in the Prospectus under the caption “Use of Proceeds.”</w:t>
      </w:r>
    </w:p>
    <w:p>
      <w:pPr>
        <w:spacing w:after="0" w:line="158" w:lineRule="exact"/>
        <w:rPr>
          <w:rFonts w:ascii="Times New Roman" w:cs="Times New Roman" w:eastAsia="Times New Roman" w:hAnsi="Times New Roman"/>
          <w:sz w:val="18"/>
          <w:szCs w:val="18"/>
          <w:color w:val="auto"/>
        </w:rPr>
      </w:pPr>
    </w:p>
    <w:p>
      <w:pPr>
        <w:ind w:right="380" w:firstLine="436"/>
        <w:spacing w:after="0" w:line="261"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Listing. </w:t>
      </w:r>
      <w:r>
        <w:rPr>
          <w:rFonts w:ascii="Times New Roman" w:cs="Times New Roman" w:eastAsia="Times New Roman" w:hAnsi="Times New Roman"/>
          <w:sz w:val="18"/>
          <w:szCs w:val="18"/>
          <w:color w:val="auto"/>
        </w:rPr>
        <w:t>During any Selling Period or any period in which the Prospectus relating to the Securities is required to be delivered by the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Agents or the Forward Sellers under the Securities Act with respect to a pending sale of the Securities (including in circumstances where such requirement may be satisfied pursuant to Rule 172 under the Securities Act), the Company will use its commercially reasonable efforts to cause the Securities and the Confirmation Securities to be listed on the NYSE.</w:t>
      </w:r>
    </w:p>
    <w:p>
      <w:pPr>
        <w:spacing w:after="0" w:line="179" w:lineRule="exact"/>
        <w:rPr>
          <w:rFonts w:ascii="Times New Roman" w:cs="Times New Roman" w:eastAsia="Times New Roman" w:hAnsi="Times New Roman"/>
          <w:sz w:val="18"/>
          <w:szCs w:val="18"/>
          <w:color w:val="auto"/>
        </w:rPr>
      </w:pPr>
    </w:p>
    <w:p>
      <w:pPr>
        <w:ind w:right="160" w:firstLine="436"/>
        <w:spacing w:after="0" w:line="284"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Filings with the NYSE</w:t>
      </w:r>
      <w:r>
        <w:rPr>
          <w:rFonts w:ascii="Times New Roman" w:cs="Times New Roman" w:eastAsia="Times New Roman" w:hAnsi="Times New Roman"/>
          <w:sz w:val="18"/>
          <w:szCs w:val="18"/>
          <w:color w:val="auto"/>
        </w:rPr>
        <w:t>. The Company will timely file with the NYSE all material documents and notices required by the NYSE of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have or will issue securities that are traded on the NYSE.</w:t>
      </w:r>
    </w:p>
    <w:p>
      <w:pPr>
        <w:spacing w:after="0" w:line="158" w:lineRule="exact"/>
        <w:rPr>
          <w:rFonts w:ascii="Times New Roman" w:cs="Times New Roman" w:eastAsia="Times New Roman" w:hAnsi="Times New Roman"/>
          <w:sz w:val="18"/>
          <w:szCs w:val="18"/>
          <w:color w:val="auto"/>
        </w:rPr>
      </w:pPr>
    </w:p>
    <w:p>
      <w:pPr>
        <w:ind w:right="280" w:firstLine="436"/>
        <w:spacing w:after="0" w:line="26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Reporting Requirements. </w:t>
      </w:r>
      <w:r>
        <w:rPr>
          <w:rFonts w:ascii="Times New Roman" w:cs="Times New Roman" w:eastAsia="Times New Roman" w:hAnsi="Times New Roman"/>
          <w:sz w:val="18"/>
          <w:szCs w:val="18"/>
          <w:color w:val="auto"/>
        </w:rPr>
        <w:t>The Company, during any Selling Period or period when the Prospectus is required to be delivered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Securities Act and the Exchange Act (including in circumstances where such requirement may be satisfied pursuant to Rule 172 under </w:t>
      </w:r>
      <w:r>
        <w:rPr>
          <w:rFonts w:ascii="Times New Roman" w:cs="Times New Roman" w:eastAsia="Times New Roman" w:hAnsi="Times New Roman"/>
          <w:sz w:val="18"/>
          <w:szCs w:val="18"/>
          <w:i w:val="1"/>
          <w:iCs w:val="1"/>
          <w:color w:val="auto"/>
        </w:rPr>
        <w:t>the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 will file all documents required to be filed with the Commission pursuant to the Exchange Act within the time periods required by the Exchange Act.</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43" w:name="page44"/>
    <w:bookmarkEnd w:id="43"/>
    <w:p>
      <w:pPr>
        <w:ind w:left="4" w:firstLine="436"/>
        <w:spacing w:after="0" w:line="267" w:lineRule="auto"/>
        <w:tabs>
          <w:tab w:leader="none" w:pos="699"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Other Sales</w:t>
      </w:r>
      <w:r>
        <w:rPr>
          <w:rFonts w:ascii="Times New Roman" w:cs="Times New Roman" w:eastAsia="Times New Roman" w:hAnsi="Times New Roman"/>
          <w:sz w:val="17"/>
          <w:szCs w:val="17"/>
          <w:color w:val="auto"/>
        </w:rPr>
        <w:t>. During the pendency of any Placement Notice (as amended by the corresponding Acceptance, if applicable) given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hereunder, the Company shall provide the Sales Agents, the Forward Sellers and the Forward Purchasers notice as promptly as reasonably possible before it offers to sell, contracts to sell, sells, grants any option to sell or otherwise disposes of any Common Shares (other than Securities offered pursuant to the provisions of this Agreement) or securities convertible into or exchangeable for Common Shares, warrants or any rights to purchase or acquire Common Shares;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notice shall not be required in connection with (i) the issuance, grant or sale of Common Shares, options to purchase Common Shares or Common Shares issuable upon the exercise of options or other equity awards pursuant to any stock option, stock bonus or other stock or compensatory plan or arrangement, or any similar plan or arrangement, described in the Prospectus, (ii) the issuance of securities in connection with an acquisition, merger or sale or purchase of assets described in the Prospectus, (iii) the issuance or sale of Common Shares pursuant to any dividend reinvestment and/or share purchase plan currently in effect or established subsequent to the date hereof and disclosed in a report filed pursuant to the Exchange Act (excluding Current Reports of Form 8-K responsive to Item 2.02 or Item 7.01 of such form), (iv) the issuance of securities upon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w:t>
      </w:r>
    </w:p>
    <w:p>
      <w:pPr>
        <w:spacing w:after="0" w:line="2" w:lineRule="exact"/>
        <w:rPr>
          <w:rFonts w:ascii="Times New Roman" w:cs="Times New Roman" w:eastAsia="Times New Roman" w:hAnsi="Times New Roman"/>
          <w:sz w:val="17"/>
          <w:szCs w:val="17"/>
          <w:color w:val="auto"/>
        </w:rPr>
      </w:pPr>
    </w:p>
    <w:p>
      <w:pPr>
        <w:ind w:left="4" w:right="260" w:hanging="4"/>
        <w:spacing w:after="0" w:line="253" w:lineRule="auto"/>
        <w:tabs>
          <w:tab w:leader="none" w:pos="2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non-material acquisition, merger or purchase of assets, (vi) the issuance or sale of Common Shares pursuant to the exercise of contractual rights described in the Registration Statement and the Prospectus by the current holders of partnership or other interests in certain “DownREIT” and other subsidiaries which may result in the issuance of Common Shares of the Company, (vii) the issuance of an immaterial amount of Common Shares in connection with the conversion or redemption of OP Units, and (viii) the issuance of OP Units or preferred interests in the Operating Partnership in connection with the acquisition of additional properties disclosed in the Registration Statement and the Prospectus.</w:t>
      </w:r>
    </w:p>
    <w:p>
      <w:pPr>
        <w:spacing w:after="0" w:line="184" w:lineRule="exact"/>
        <w:rPr>
          <w:rFonts w:ascii="Times New Roman" w:cs="Times New Roman" w:eastAsia="Times New Roman" w:hAnsi="Times New Roman"/>
          <w:sz w:val="18"/>
          <w:szCs w:val="18"/>
          <w:color w:val="auto"/>
        </w:rPr>
      </w:pPr>
    </w:p>
    <w:p>
      <w:pPr>
        <w:ind w:left="4" w:firstLine="436"/>
        <w:spacing w:after="0" w:line="261" w:lineRule="auto"/>
        <w:tabs>
          <w:tab w:leader="none" w:pos="65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Circumstances</w:t>
      </w:r>
      <w:r>
        <w:rPr>
          <w:rFonts w:ascii="Times New Roman" w:cs="Times New Roman" w:eastAsia="Times New Roman" w:hAnsi="Times New Roman"/>
          <w:sz w:val="18"/>
          <w:szCs w:val="18"/>
          <w:color w:val="auto"/>
        </w:rPr>
        <w:t>. The Company will, prior to tendering a Placement Notice or selling Securities, advise the Sales Agents, the Forward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Sellers and the Forward Purchasers promptly after it shall have received notice or obtained knowledge thereof, of any information or fact that would alter or affect in any material respect any opinion, certificate, letter or other document provided to the Sales Agents, the Forward Sellers and the Forward Purchasers pursuant to this Agreement.</w:t>
      </w:r>
    </w:p>
    <w:p>
      <w:pPr>
        <w:spacing w:after="0" w:line="179" w:lineRule="exact"/>
        <w:rPr>
          <w:rFonts w:ascii="Times New Roman" w:cs="Times New Roman" w:eastAsia="Times New Roman" w:hAnsi="Times New Roman"/>
          <w:sz w:val="18"/>
          <w:szCs w:val="18"/>
          <w:color w:val="auto"/>
        </w:rPr>
      </w:pPr>
    </w:p>
    <w:p>
      <w:pPr>
        <w:ind w:left="4" w:right="320" w:firstLine="436"/>
        <w:spacing w:after="0" w:line="261" w:lineRule="auto"/>
        <w:tabs>
          <w:tab w:leader="none" w:pos="74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Diligence Cooperation</w:t>
      </w:r>
      <w:r>
        <w:rPr>
          <w:rFonts w:ascii="Times New Roman" w:cs="Times New Roman" w:eastAsia="Times New Roman" w:hAnsi="Times New Roman"/>
          <w:sz w:val="18"/>
          <w:szCs w:val="18"/>
          <w:color w:val="auto"/>
        </w:rPr>
        <w:t>. The Company will cooperate with any reasonable due diligence review conducted by the Sales Agents,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 Sellers and the Forward Purchasers, or their respective agents in connection with the transactions contemplated hereby, including, without limitation, providing information and making available documents and senior officers, during regular business hours and at the Company’s principal offices, as the Sales Agents, the Forward Sellers or the Forward Purchasers may reasonably request.</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68" w:right="459" w:bottom="1440" w:gutter="0" w:footer="0" w:header="0"/>
        </w:sectPr>
      </w:pPr>
    </w:p>
    <w:bookmarkStart w:id="44" w:name="page45"/>
    <w:bookmarkEnd w:id="44"/>
    <w:p>
      <w:pPr>
        <w:ind w:right="200" w:firstLine="436"/>
        <w:spacing w:after="0" w:line="267"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Disclosure of Sales. </w:t>
      </w:r>
      <w:r>
        <w:rPr>
          <w:rFonts w:ascii="Times New Roman" w:cs="Times New Roman" w:eastAsia="Times New Roman" w:hAnsi="Times New Roman"/>
          <w:sz w:val="18"/>
          <w:szCs w:val="18"/>
          <w:color w:val="auto"/>
        </w:rPr>
        <w:t>The Company will disclose in its quarterly reports on Form 10-Q, in its annual report on Form 10-K and/or in a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on Form 8-K, the number of Securities sold under this Agreement, the Net Proceeds to the Company and the compensation payable by the Company with respect to such sales.</w:t>
      </w:r>
    </w:p>
    <w:p>
      <w:pPr>
        <w:spacing w:after="0" w:line="173" w:lineRule="exact"/>
        <w:rPr>
          <w:rFonts w:ascii="Times New Roman" w:cs="Times New Roman" w:eastAsia="Times New Roman" w:hAnsi="Times New Roman"/>
          <w:sz w:val="18"/>
          <w:szCs w:val="18"/>
          <w:color w:val="auto"/>
        </w:rPr>
      </w:pPr>
    </w:p>
    <w:p>
      <w:pPr>
        <w:ind w:right="140" w:firstLine="436"/>
        <w:spacing w:after="0" w:line="284"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 Dates; Certificates</w:t>
      </w:r>
      <w:r>
        <w:rPr>
          <w:rFonts w:ascii="Times New Roman" w:cs="Times New Roman" w:eastAsia="Times New Roman" w:hAnsi="Times New Roman"/>
          <w:sz w:val="18"/>
          <w:szCs w:val="18"/>
          <w:color w:val="auto"/>
        </w:rPr>
        <w:t>. On or prior to the date that the first Securities are sold pursuant to the terms of this Agreement, each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are delivered to a Sales Agent as principal on a Settlement Date and:</w:t>
      </w:r>
    </w:p>
    <w:p>
      <w:pPr>
        <w:spacing w:after="0" w:line="52"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time the Company:</w:t>
      </w:r>
    </w:p>
    <w:p>
      <w:pPr>
        <w:spacing w:after="0" w:line="130" w:lineRule="exact"/>
        <w:rPr>
          <w:rFonts w:ascii="Times New Roman" w:cs="Times New Roman" w:eastAsia="Times New Roman" w:hAnsi="Times New Roman"/>
          <w:sz w:val="18"/>
          <w:szCs w:val="18"/>
          <w:color w:val="auto"/>
        </w:rPr>
      </w:pPr>
    </w:p>
    <w:p>
      <w:pPr>
        <w:ind w:left="1420" w:right="160" w:hanging="439"/>
        <w:spacing w:after="0" w:line="266" w:lineRule="auto"/>
        <w:tabs>
          <w:tab w:leader="none" w:pos="142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the Prospectus relating to the Securities or amends or supplements the Registration Statement or the Prospectus relating to the Securities by means of a post-effective amendment, sticker, or supplement but not by means of incorporation of documents by reference into the Registration Statement or the Prospectus relating to the Securities;</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 Annual Report on Form 10-K under the Exchange Act;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Quarterly Report on Form 10-Q under the Exchange Act; or</w:t>
      </w:r>
    </w:p>
    <w:p>
      <w:pPr>
        <w:spacing w:after="0" w:line="130" w:lineRule="exact"/>
        <w:rPr>
          <w:rFonts w:ascii="Times New Roman" w:cs="Times New Roman" w:eastAsia="Times New Roman" w:hAnsi="Times New Roman"/>
          <w:sz w:val="18"/>
          <w:szCs w:val="18"/>
          <w:color w:val="auto"/>
        </w:rPr>
      </w:pPr>
    </w:p>
    <w:p>
      <w:pPr>
        <w:ind w:left="1420" w:right="760" w:hanging="439"/>
        <w:spacing w:after="0" w:line="282" w:lineRule="auto"/>
        <w:tabs>
          <w:tab w:leader="none" w:pos="142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Current Report on Form 8-K containing amended financial information (other than an earnings release, to “furnish” information pursuant to Items 2.02 or 7.01 of Form 8-K) under the Exchange Act; and</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11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other time reasonably requested by the Sales Agents, the Forward Sellers or the Forward Purchasers (each such date of filing of one or more of the documents referred to in clauses (1)(i) through (iv) and any time of request pursuant to this Section 7(o) shall be a “</w:t>
      </w:r>
      <w:r>
        <w:rPr>
          <w:rFonts w:ascii="Times New Roman" w:cs="Times New Roman" w:eastAsia="Times New Roman" w:hAnsi="Times New Roman"/>
          <w:sz w:val="18"/>
          <w:szCs w:val="18"/>
          <w:u w:val="single" w:color="auto"/>
          <w:color w:val="auto"/>
        </w:rPr>
        <w:t>Representation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color w:val="auto"/>
        </w:rPr>
        <w:t xml:space="preserve">the Company shall furnish the Sales Agents, the Forward Sellers and the Forward Purchasers with a certificate, in the form attached hereto as </w:t>
      </w:r>
      <w:r>
        <w:rPr>
          <w:rFonts w:ascii="Times New Roman" w:cs="Times New Roman" w:eastAsia="Times New Roman" w:hAnsi="Times New Roman"/>
          <w:sz w:val="17"/>
          <w:szCs w:val="17"/>
          <w:u w:val="single" w:color="auto"/>
          <w:color w:val="auto"/>
        </w:rPr>
        <w:t>Exhibit E</w:t>
      </w:r>
      <w:r>
        <w:rPr>
          <w:rFonts w:ascii="Times New Roman" w:cs="Times New Roman" w:eastAsia="Times New Roman" w:hAnsi="Times New Roman"/>
          <w:sz w:val="17"/>
          <w:szCs w:val="17"/>
          <w:color w:val="auto"/>
        </w:rPr>
        <w:t xml:space="preserve"> as promptly as possible and in no event later than three (3) Trading Days of any Representation Date. The requirement to provide a certificate under this Section 7(o) shall be waived for any Representation Date occurring at a time at which no Placement Notice (as amended by the corresponding Acceptance, if applicable) is pending, which waiver shall continue until the earlier to occur of the date the Company delivers a Placement Notice hereunder (which for such calendar quarter shall be considered a Representation Date) and the next occurring Representation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such waiver shall not apply for any Representation Date on which the Company files its annual report on Form 10-K. Notwithstanding the foregoing, if the Company subsequently decides that Securities be offered and sold following a Representation Date when the Company relied on such waiver and did not provide the Sales Agents, the Forward Sellers and the Forward Purchasers with a certificate under this Section 7(o), then before the Company delivers the Placement Notice or the Sales Agents or the Forward Sellers sell any Securities, the Company shall provide the Sales Agents, the Forward Sellers and the Forward Purchasers with a certificate, in the form attached hereto as </w:t>
      </w:r>
      <w:r>
        <w:rPr>
          <w:rFonts w:ascii="Times New Roman" w:cs="Times New Roman" w:eastAsia="Times New Roman" w:hAnsi="Times New Roman"/>
          <w:sz w:val="17"/>
          <w:szCs w:val="17"/>
          <w:u w:val="single" w:color="auto"/>
          <w:color w:val="auto"/>
        </w:rPr>
        <w:t>Exhibit E</w:t>
      </w:r>
      <w:r>
        <w:rPr>
          <w:rFonts w:ascii="Times New Roman" w:cs="Times New Roman" w:eastAsia="Times New Roman" w:hAnsi="Times New Roman"/>
          <w:sz w:val="17"/>
          <w:szCs w:val="17"/>
          <w:color w:val="auto"/>
        </w:rPr>
        <w:t>, dated the date of the Placement Notice.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68" w:right="479" w:bottom="1440" w:gutter="0" w:footer="0" w:header="0"/>
        </w:sectPr>
      </w:pPr>
    </w:p>
    <w:bookmarkStart w:id="45" w:name="page46"/>
    <w:bookmarkEnd w:id="45"/>
    <w:p>
      <w:pPr>
        <w:ind w:left="-20" w:firstLine="436"/>
        <w:spacing w:after="0" w:line="253" w:lineRule="auto"/>
        <w:tabs>
          <w:tab w:leader="none" w:pos="6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Legal Opinions</w:t>
      </w:r>
      <w:r>
        <w:rPr>
          <w:rFonts w:ascii="Times New Roman" w:cs="Times New Roman" w:eastAsia="Times New Roman" w:hAnsi="Times New Roman"/>
          <w:sz w:val="18"/>
          <w:szCs w:val="18"/>
          <w:color w:val="auto"/>
        </w:rPr>
        <w:t>. On or prior to the date that the first Securities are sold pursuant to the terms of this Agreement and each time Securities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delivered to a Sales Agent as principal on a Settlement Date, as promptly as possible and in no event later than three (3) Trading Days of each Representation Date with respect to which the Company is obligated to deliver a certificate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for which no waiver is applicable, the Company shall cause to be furnished to the Sales Agents, the Forward Sellers and the Forward Purchasers written opinions of Pillsbury Winthrop Shaw Pittman LLP (“</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xml:space="preserve">”), or other counsel satisfactory to the Sales Agents, the Forward Sellers and the Forward Purchasers, in form and substance satisfactory to the Sales Agents, the Forward Sellers and the Forward Purchasers and their respective counsel, dated the date that the opinion is required to be delivered, substantially similar to the forms attached hereto as </w:t>
      </w:r>
      <w:r>
        <w:rPr>
          <w:rFonts w:ascii="Times New Roman" w:cs="Times New Roman" w:eastAsia="Times New Roman" w:hAnsi="Times New Roman"/>
          <w:sz w:val="18"/>
          <w:szCs w:val="18"/>
          <w:u w:val="single" w:color="auto"/>
          <w:color w:val="auto"/>
        </w:rPr>
        <w:t>Exhibit D-1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D-2</w:t>
      </w:r>
      <w:r>
        <w:rPr>
          <w:rFonts w:ascii="Times New Roman" w:cs="Times New Roman" w:eastAsia="Times New Roman" w:hAnsi="Times New Roman"/>
          <w:sz w:val="18"/>
          <w:szCs w:val="18"/>
          <w:color w:val="auto"/>
        </w:rPr>
        <w:t xml:space="preserve">, subject to such assumptions, exceptions and qualifications reasonably acceptable to the Sales Agents, the Forward Sellers and the Forward Purchasers and their respective counsel, and modified, as necessary, to relate to the Registration Statement and the Prospectus as then amended or supplemented;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lieu of such opinions for subsequent Representation Dates, any such counsel may furnish the Sales Agents, the Forward Sellers and the Forward Purchasers with a letter to the effect that the Sales Agents, the Forward Sellers and the Forward Purchasers may rely on a prior opinion delivered under this Section 7(p) to the same extent as if it were dated the date of such letter (except that statements in such prior opinion shall be deemed to relate to the Registration Statement and the Prospectus as amended or supplemented at such Representation Date).</w:t>
      </w:r>
    </w:p>
    <w:p>
      <w:pPr>
        <w:spacing w:after="0" w:line="187" w:lineRule="exact"/>
        <w:rPr>
          <w:rFonts w:ascii="Times New Roman" w:cs="Times New Roman" w:eastAsia="Times New Roman" w:hAnsi="Times New Roman"/>
          <w:sz w:val="18"/>
          <w:szCs w:val="18"/>
          <w:color w:val="auto"/>
        </w:rPr>
      </w:pPr>
    </w:p>
    <w:p>
      <w:pPr>
        <w:ind w:left="-20" w:right="60" w:firstLine="436"/>
        <w:spacing w:after="0" w:line="253" w:lineRule="auto"/>
        <w:tabs>
          <w:tab w:leader="none" w:pos="6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Comfort Letter</w:t>
      </w:r>
      <w:r>
        <w:rPr>
          <w:rFonts w:ascii="Times New Roman" w:cs="Times New Roman" w:eastAsia="Times New Roman" w:hAnsi="Times New Roman"/>
          <w:sz w:val="18"/>
          <w:szCs w:val="18"/>
          <w:color w:val="auto"/>
        </w:rPr>
        <w:t>. On or prior to the date that the first Securities are sold pursuant to the terms of this Agreement and each time Securities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delivered to a Sales Agent, a Forward Seller or a Forward Purchaser, as principal, on a Settlement Date, as promptly as possible and in no event later than three (3) Trading Days of each Representation Date with respect to which the Company is obligated to deliver a certificate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for which no waiver is applicable, the Company shall cause its independent accountants to furnish the Sales Agents and the Forward Sellers letter(s) (the “</w:t>
      </w: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dated the date the Comfort Letter is delivered, in form and substance satisfactory to the Sales Agents and the Forward Sellers, (i) confirming that they are an independent registered public accounting firm within the meaning of the Securities Act, the Exchange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8"/>
          <w:szCs w:val="18"/>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91" w:lineRule="exact"/>
        <w:rPr>
          <w:rFonts w:ascii="Times New Roman" w:cs="Times New Roman" w:eastAsia="Times New Roman" w:hAnsi="Times New Roman"/>
          <w:sz w:val="18"/>
          <w:szCs w:val="18"/>
          <w:color w:val="auto"/>
        </w:rPr>
      </w:pPr>
    </w:p>
    <w:p>
      <w:pPr>
        <w:ind w:left="-20" w:right="60" w:firstLine="436"/>
        <w:spacing w:after="0" w:line="284" w:lineRule="auto"/>
        <w:tabs>
          <w:tab w:leader="none" w:pos="6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Activities</w:t>
      </w:r>
      <w:r>
        <w:rPr>
          <w:rFonts w:ascii="Times New Roman" w:cs="Times New Roman" w:eastAsia="Times New Roman" w:hAnsi="Times New Roman"/>
          <w:sz w:val="18"/>
          <w:szCs w:val="18"/>
          <w:color w:val="auto"/>
        </w:rPr>
        <w:t>. Neither the Company nor the Operating Partnership will, directly or indirectly, (i) take any action designed to cause or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or that constitutes or</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60" w:top="268" w:right="459" w:bottom="1440" w:gutter="0" w:footer="0" w:header="0"/>
        </w:sectPr>
      </w:pPr>
    </w:p>
    <w:bookmarkStart w:id="46" w:name="page47"/>
    <w:bookmarkEnd w:id="46"/>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might reasonably be expected to constitute, the stabilization or manipulation of the price of any security of the Company to facilitate the sale or resale of the Securities or (ii) sell, bid for, or purchase the Securities to be offered and sold pursuant to this Agreement, or pay anyone any compensation for soliciting purchases of the Securities to be offered and sold pursuant to this Agreement other than the Sales Agents or the Forward Sellers;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may bid for and purchase its Common Shares in accordance with Rule 10b-18 under the Exchange Act,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such bids or purchases shall be made by the Company during the three (3) Trading Days before or after any sale of any Securities pursuant to this Agreement. In connection with entering into any Confirmation, the Company will not acquire any long position (either directly or indirectly, including through an Affiliate or through a derivative transaction) with respect to Common Shares. For purposes of the foregoing, Affiliate means, with respect to any person or entity, any other person or entity directly or indirectly controlling, controlled by, or under common control with such person or entity. For purposes of this definition, “control” when used with respect to any person or entity means ownership of 50% or more of the voting power or value of such person or entity.</w:t>
      </w:r>
    </w:p>
    <w:p>
      <w:pPr>
        <w:spacing w:after="0" w:line="192" w:lineRule="exact"/>
        <w:rPr>
          <w:sz w:val="20"/>
          <w:szCs w:val="20"/>
          <w:color w:val="auto"/>
        </w:rPr>
      </w:pPr>
    </w:p>
    <w:p>
      <w:pPr>
        <w:ind w:firstLine="436"/>
        <w:spacing w:after="0" w:line="261" w:lineRule="auto"/>
        <w:tabs>
          <w:tab w:leader="none" w:pos="6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Company, the Operating Partnership and their subsidiaries shall maintain, or cause to be maintained, insurance in such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covering such risks as is reasonable and customary for companies engaged in similar businesses in similar industries, except where the failure to maintain such insurance would not have a material adverse effect on the condition, financial or otherwise, or on the earnings, business affairs or business prospects of the Company, the Operating Partnership and their subsidiaries, considered as one enterprise.</w:t>
      </w:r>
    </w:p>
    <w:p>
      <w:pPr>
        <w:spacing w:after="0" w:line="179" w:lineRule="exact"/>
        <w:rPr>
          <w:rFonts w:ascii="Times New Roman" w:cs="Times New Roman" w:eastAsia="Times New Roman" w:hAnsi="Times New Roman"/>
          <w:sz w:val="18"/>
          <w:szCs w:val="18"/>
          <w:color w:val="auto"/>
        </w:rPr>
      </w:pPr>
    </w:p>
    <w:p>
      <w:pPr>
        <w:ind w:firstLine="436"/>
        <w:spacing w:after="0" w:line="257"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Laws</w:t>
      </w:r>
      <w:r>
        <w:rPr>
          <w:rFonts w:ascii="Times New Roman" w:cs="Times New Roman" w:eastAsia="Times New Roman" w:hAnsi="Times New Roman"/>
          <w:sz w:val="18"/>
          <w:szCs w:val="18"/>
          <w:color w:val="auto"/>
        </w:rPr>
        <w:t>. The Company and each of its subsidiaries shall maintain, or cause to be maintained, all material environmental permits,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have a material adverse effect on the condition, financial or otherwise, or on the earnings, business affairs or business prospects of the Company and its subsidiaries, considered as one enterprise.</w:t>
      </w:r>
    </w:p>
    <w:p>
      <w:pPr>
        <w:spacing w:after="0" w:line="182"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Each of the Company and the Operating Partnership will conduct its affairs in such a manner so as to reasonably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ensure that neither the Company, the Operating Partnership nor any of their subsidiaries will be or become, at any time prior to the termination of this Agreement and the settlement of all Confirmations, required to register as an “investment company,” as such term is defined in the Investment Company Act, assuming no change in the Commission’s current interpretation as to entities that are not considered an investment company.</w:t>
      </w:r>
    </w:p>
    <w:p>
      <w:pPr>
        <w:spacing w:after="0" w:line="179" w:lineRule="exact"/>
        <w:rPr>
          <w:rFonts w:ascii="Times New Roman" w:cs="Times New Roman" w:eastAsia="Times New Roman" w:hAnsi="Times New Roman"/>
          <w:sz w:val="18"/>
          <w:szCs w:val="18"/>
          <w:color w:val="auto"/>
        </w:rPr>
      </w:pPr>
    </w:p>
    <w:p>
      <w:pPr>
        <w:jc w:val="both"/>
        <w:ind w:right="80" w:firstLine="436"/>
        <w:spacing w:after="0" w:line="267"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Act and Exchange Act</w:t>
      </w:r>
      <w:r>
        <w:rPr>
          <w:rFonts w:ascii="Times New Roman" w:cs="Times New Roman" w:eastAsia="Times New Roman" w:hAnsi="Times New Roman"/>
          <w:sz w:val="18"/>
          <w:szCs w:val="18"/>
          <w:color w:val="auto"/>
        </w:rPr>
        <w:t>. The Company will use its best efforts to comply with all requirements imposed upon it by the Securities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Exchange Act as from time to time in force and effect, so far as necessary to permit the continuance of sales of, or dealings in, the Securities as contemplated by the provisions hereof and the Prospectus.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47" w:name="page48"/>
    <w:bookmarkEnd w:id="47"/>
    <w:p>
      <w:pPr>
        <w:jc w:val="both"/>
        <w:ind w:right="100" w:firstLine="436"/>
        <w:spacing w:after="0" w:line="261" w:lineRule="auto"/>
        <w:tabs>
          <w:tab w:leader="none" w:pos="7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Offer to Sell</w:t>
      </w:r>
      <w:r>
        <w:rPr>
          <w:rFonts w:ascii="Times New Roman" w:cs="Times New Roman" w:eastAsia="Times New Roman" w:hAnsi="Times New Roman"/>
          <w:sz w:val="18"/>
          <w:szCs w:val="18"/>
          <w:color w:val="auto"/>
        </w:rPr>
        <w:t>. Other than a free writing prospectus (as defined in Rule 405 under the Securities Act) approved in advance in writing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Sales Agents and the Forward Sellers, the Company (including its agents and representatives, other than the Sales Agents or the Forward Sellers, each in their capacity as such) will not, directly or indirectly, make, use, prepare, authorize, approve or refer to any free writing prospectus relating to the Securities to be sold by a Sales Agent, as principal or agent hereunder or by the Forward Sellers as agent hereunder.</w:t>
      </w:r>
    </w:p>
    <w:p>
      <w:pPr>
        <w:spacing w:after="0" w:line="179" w:lineRule="exact"/>
        <w:rPr>
          <w:rFonts w:ascii="Times New Roman" w:cs="Times New Roman" w:eastAsia="Times New Roman" w:hAnsi="Times New Roman"/>
          <w:sz w:val="18"/>
          <w:szCs w:val="18"/>
          <w:color w:val="auto"/>
        </w:rPr>
      </w:pPr>
    </w:p>
    <w:p>
      <w:pPr>
        <w:ind w:right="400" w:firstLine="436"/>
        <w:spacing w:after="0" w:line="284"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 Company and its subsidiaries shall comply in all material respects with all effective applicable provisions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Sarbanes-Oxley Act.</w:t>
      </w:r>
    </w:p>
    <w:p>
      <w:pPr>
        <w:spacing w:after="0" w:line="158"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Regulation M. </w:t>
      </w:r>
      <w:r>
        <w:rPr>
          <w:rFonts w:ascii="Times New Roman" w:cs="Times New Roman" w:eastAsia="Times New Roman" w:hAnsi="Times New Roman"/>
          <w:sz w:val="18"/>
          <w:szCs w:val="18"/>
          <w:color w:val="auto"/>
        </w:rPr>
        <w:t>If the Company has reason to believe that the exemptive provisions set forth in Rule 101(c)(1) of Regulation M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are not satisfied with respect to the Company or the Common Shares, it shall promptly notify the other parties to this Agreement and sales of the Securities under this Agreement shall be suspended until that or other exemptive provisions have been satisfied in the judgment of all parties to this Agreement.</w:t>
      </w:r>
    </w:p>
    <w:p>
      <w:pPr>
        <w:spacing w:after="0" w:line="179" w:lineRule="exact"/>
        <w:rPr>
          <w:rFonts w:ascii="Times New Roman" w:cs="Times New Roman" w:eastAsia="Times New Roman" w:hAnsi="Times New Roman"/>
          <w:sz w:val="18"/>
          <w:szCs w:val="18"/>
          <w:color w:val="auto"/>
        </w:rPr>
      </w:pPr>
    </w:p>
    <w:p>
      <w:pPr>
        <w:jc w:val="both"/>
        <w:ind w:right="180" w:firstLine="436"/>
        <w:spacing w:after="0" w:line="261" w:lineRule="auto"/>
        <w:tabs>
          <w:tab w:leader="none" w:pos="6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REIT Treatment</w:t>
      </w:r>
      <w:r>
        <w:rPr>
          <w:rFonts w:ascii="Times New Roman" w:cs="Times New Roman" w:eastAsia="Times New Roman" w:hAnsi="Times New Roman"/>
          <w:sz w:val="18"/>
          <w:szCs w:val="18"/>
          <w:color w:val="auto"/>
        </w:rPr>
        <w:t>. The Company will use its best efforts to meet the requirements to qualify as a “real estate investment trust” under the Code,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Operating Partnership will use its best efforts to maintain its classification for U.S. federal income tax purposes as a disregarded entity, or as a partnership that is not a “publicly traded partnership” taxable as a corporation, for any taxable years that include any portion of the term of this Agreement.</w:t>
      </w:r>
    </w:p>
    <w:p>
      <w:pPr>
        <w:spacing w:after="0" w:line="180" w:lineRule="exact"/>
        <w:rPr>
          <w:sz w:val="20"/>
          <w:szCs w:val="20"/>
          <w:color w:val="auto"/>
        </w:rPr>
      </w:pPr>
    </w:p>
    <w:p>
      <w:pPr>
        <w:ind w:right="60" w:firstLine="436"/>
        <w:spacing w:after="0" w:line="254" w:lineRule="auto"/>
        <w:tabs>
          <w:tab w:leader="none" w:pos="76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Renewal of Registration Statement. </w:t>
      </w:r>
      <w:r>
        <w:rPr>
          <w:rFonts w:ascii="Times New Roman" w:cs="Times New Roman" w:eastAsia="Times New Roman" w:hAnsi="Times New Roman"/>
          <w:sz w:val="18"/>
          <w:szCs w:val="18"/>
          <w:color w:val="auto"/>
        </w:rPr>
        <w:t>The date of this Agreement is not more than three years subsequent to the initial effective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w:t>
      </w:r>
      <w:r>
        <w:rPr>
          <w:rFonts w:ascii="Times New Roman" w:cs="Times New Roman" w:eastAsia="Times New Roman" w:hAnsi="Times New Roman"/>
          <w:sz w:val="18"/>
          <w:szCs w:val="18"/>
          <w:u w:val="single" w:color="auto"/>
          <w:color w:val="auto"/>
        </w:rPr>
        <w:t>Renewal Date</w:t>
      </w:r>
      <w:r>
        <w:rPr>
          <w:rFonts w:ascii="Times New Roman" w:cs="Times New Roman" w:eastAsia="Times New Roman" w:hAnsi="Times New Roman"/>
          <w:sz w:val="18"/>
          <w:szCs w:val="18"/>
          <w:color w:val="auto"/>
        </w:rPr>
        <w:t>”). If, immediately prior to the third anniversary of the Renewal Date, this Agreement has not terminated and a prospectus is required to be delivered or made available by a Sales Agent or a Forward Seller under the Securities Act or the Exchange Act in connection with the sale of such Securities, the Company will, prior to the Renewal Date, file, if it has not already done so, a new shelf registration statement or, if applicable, an automatic shelf registration statement relating to such Securities, and, if such registration statement is not an automatic shelf registration statement, will use its best efforts to cause such registration statement to be declared effective within 180 days after the Renewal Date, and will take all other reasonable actions necessary or appropriate to permit the public offer and sale of such Securities to continue as contemplated in the expired registration statement relating to such Securities. References herein to the “Registration Statement” shall include such new shelf registration statement or automatic shelf registration statement, as the case may be.</w:t>
      </w:r>
    </w:p>
    <w:p>
      <w:pPr>
        <w:spacing w:after="0" w:line="188" w:lineRule="exact"/>
        <w:rPr>
          <w:rFonts w:ascii="Times New Roman" w:cs="Times New Roman" w:eastAsia="Times New Roman" w:hAnsi="Times New Roman"/>
          <w:sz w:val="18"/>
          <w:szCs w:val="18"/>
          <w:color w:val="auto"/>
        </w:rPr>
      </w:pPr>
    </w:p>
    <w:p>
      <w:pPr>
        <w:jc w:val="both"/>
        <w:ind w:right="340" w:firstLine="436"/>
        <w:spacing w:after="0" w:line="261" w:lineRule="auto"/>
        <w:tabs>
          <w:tab w:leader="none" w:pos="7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Rights to Refuse Purchase. </w:t>
      </w:r>
      <w:r>
        <w:rPr>
          <w:rFonts w:ascii="Times New Roman" w:cs="Times New Roman" w:eastAsia="Times New Roman" w:hAnsi="Times New Roman"/>
          <w:sz w:val="18"/>
          <w:szCs w:val="18"/>
          <w:color w:val="auto"/>
        </w:rPr>
        <w:t>If, to the knowledge of the Company, all filings required by Rule 424 in connection with the offering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shall not have been made or the representations and warranties of the Company in Section 5 hereof shall not be true and correct on any applicable Settlement Date, the Company will offer to any person who has agreed to purchase Securities from the Company as a result of an offer to purchase solicited by a Sales Agent the right to refuse to purchase and pay for such Securities.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68" w:right="459" w:bottom="1440" w:gutter="0" w:footer="0" w:header="0"/>
        </w:sectPr>
      </w:pPr>
    </w:p>
    <w:bookmarkStart w:id="48" w:name="page49"/>
    <w:bookmarkEnd w:id="48"/>
    <w:p>
      <w:pPr>
        <w:ind w:left="4" w:firstLine="436"/>
        <w:spacing w:after="0" w:line="267" w:lineRule="auto"/>
        <w:tabs>
          <w:tab w:leader="none" w:pos="76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Reservation of Shares</w:t>
      </w:r>
      <w:r>
        <w:rPr>
          <w:rFonts w:ascii="Times New Roman" w:cs="Times New Roman" w:eastAsia="Times New Roman" w:hAnsi="Times New Roman"/>
          <w:sz w:val="18"/>
          <w:szCs w:val="18"/>
          <w:color w:val="auto"/>
        </w:rPr>
        <w:t>. In respect of any Forward, a number of authorized but unissued Common Shares at least equal to the Share Cap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reserved for issuance by the Company’s board of directors or a duly authorized committee thereof and will be kept available at all times, free from preemptive or similar rights and free from any lien, charge, claim or other encumbrance until settlement of the related Confirmation.</w:t>
      </w:r>
    </w:p>
    <w:p>
      <w:pPr>
        <w:spacing w:after="0" w:line="1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 xml:space="preserve">SECTION 8. </w:t>
      </w:r>
      <w:r>
        <w:rPr>
          <w:rFonts w:ascii="Times New Roman" w:cs="Times New Roman" w:eastAsia="Times New Roman" w:hAnsi="Times New Roman"/>
          <w:sz w:val="18"/>
          <w:szCs w:val="18"/>
          <w:i w:val="1"/>
          <w:iCs w:val="1"/>
          <w:u w:val="single" w:color="auto"/>
          <w:color w:val="auto"/>
        </w:rPr>
        <w:t>Payment of Expenses</w:t>
      </w:r>
      <w:r>
        <w:rPr>
          <w:rFonts w:ascii="Times New Roman" w:cs="Times New Roman" w:eastAsia="Times New Roman" w:hAnsi="Times New Roman"/>
          <w:sz w:val="18"/>
          <w:szCs w:val="18"/>
          <w:i w:val="1"/>
          <w:iCs w:val="1"/>
          <w:color w:val="auto"/>
        </w:rPr>
        <w:t>.</w:t>
      </w:r>
    </w:p>
    <w:p>
      <w:pPr>
        <w:spacing w:after="0" w:line="225" w:lineRule="exact"/>
        <w:rPr>
          <w:sz w:val="20"/>
          <w:szCs w:val="20"/>
          <w:color w:val="auto"/>
        </w:rPr>
      </w:pPr>
    </w:p>
    <w:p>
      <w:pPr>
        <w:ind w:left="4" w:firstLine="436"/>
        <w:spacing w:after="0" w:line="267" w:lineRule="auto"/>
        <w:tabs>
          <w:tab w:leader="none" w:pos="689"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Expenses. </w:t>
      </w:r>
      <w:r>
        <w:rPr>
          <w:rFonts w:ascii="Times New Roman" w:cs="Times New Roman" w:eastAsia="Times New Roman" w:hAnsi="Times New Roman"/>
          <w:sz w:val="17"/>
          <w:szCs w:val="17"/>
          <w:color w:val="auto"/>
        </w:rPr>
        <w:t>The Company will pay all expenses incident to the performance of its obligations under this Agreement and each Confirmation,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(i) the preparation, printing and filing of the Registration Statement (including financial statements and exhibits) as originally filed and of each amendment and supplement thereto, (ii) the preparation, issuance and delivery of the certificates for the Securities to the Sales Agents and the Confirmation Securities to the Forward Purchasers, including any stock or other transfer taxes and any capital duties, stamp duties or other duties or taxes payable upon the sale, issuance or delivery of such Common Shares, (iii) the fees and disbursements of the counsel, accountants and other advisors to the Company, (iv) the qualification or exemption of the Securities under securities laws in accordance with the provisions of Section 7(e) hereof, including filing fees and the reasonable fees and disbursements of counsel for the Sales Agents and the Forward Sellers in connection therewith and in connection with the preparation of a state securities law or “blue sky” survey and any supplements thereto, (v) the printing and delivery to the Sales Agents, the Forward Sellers and the Forward Purchasers of copies of any Permitted Free Writing Prospectus and the Prospectus and any amendments or supplements thereto and any costs associated with electronic delivery of any of the foregoing by the Sales Agents or the Forward Sellers to investors,</w:t>
      </w:r>
    </w:p>
    <w:p>
      <w:pPr>
        <w:spacing w:after="0" w:line="5" w:lineRule="exact"/>
        <w:rPr>
          <w:rFonts w:ascii="Times New Roman" w:cs="Times New Roman" w:eastAsia="Times New Roman" w:hAnsi="Times New Roman"/>
          <w:sz w:val="17"/>
          <w:szCs w:val="17"/>
          <w:color w:val="auto"/>
        </w:rPr>
      </w:pPr>
    </w:p>
    <w:p>
      <w:pPr>
        <w:ind w:left="4" w:right="80" w:hanging="4"/>
        <w:spacing w:after="0" w:line="251" w:lineRule="auto"/>
        <w:tabs>
          <w:tab w:leader="none" w:pos="30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printing and delivery to the Sales Agents or the Forward Sellers of copies of the Blue Sky Survey and any Canadian “wrapper” and any supplements thereto, (vii) the fees and expenses of the custodian and the transfer agent and registrar for the Securities and the Confirmation Securities, (viii) the filing fees incident to, and the reasonable fees and disbursements of counsel for the Sales Agents and the Forward Sellers in connection with, the review by FINRA of the terms of the sale of the Securities, (ix) the fees and expenses incurred in connection with the listing of the Securities and the Confirmation Securities on the NYSE, (x) the disbursements of counsel for the Sales Agents, the Forward Sellers and the Forward Purchasers in connection with the copying and delivery of closing documents delivered by the Company or the Company’s accountants or counsel (including any local counsel) and (xi) if Securities having an aggregate offering price of $50,000,000 or more have not been offered and sold under this Agreement by the eighteen-month anniversary of this Agreement (or such earlier date at which the Company terminates this Agreement) (the “</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the Company shall reimburse the Sales Agents, the Forward Sellers and the Forward Purchasers for all of their reasonable out-of-pocket expenses, including the reasonable fees and disbursements of their respective counsel incurred by the Sales Agents, the Forward Sellers and the Forward Purchasers in connection with the transactions contemplated by this Agreement (the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Expenses shall be due and payable by the Company within five (5) business days of the Determination Date.</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68" w:right="459" w:bottom="1440" w:gutter="0" w:footer="0" w:header="0"/>
        </w:sectPr>
      </w:pPr>
    </w:p>
    <w:bookmarkStart w:id="49" w:name="page50"/>
    <w:bookmarkEnd w:id="49"/>
    <w:p>
      <w:pPr>
        <w:ind w:firstLine="436"/>
        <w:spacing w:after="0" w:line="258" w:lineRule="auto"/>
        <w:tabs>
          <w:tab w:leader="none" w:pos="6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Termination of Agreement. </w:t>
      </w:r>
      <w:r>
        <w:rPr>
          <w:rFonts w:ascii="Times New Roman" w:cs="Times New Roman" w:eastAsia="Times New Roman" w:hAnsi="Times New Roman"/>
          <w:sz w:val="18"/>
          <w:szCs w:val="18"/>
          <w:color w:val="auto"/>
        </w:rPr>
        <w:t>If this Agreement is terminated by a Sales Agent, a Forward Seller or a Forward Purchaser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Section 9 or Section 13(a)(i) or (iii) (with respect to the first clause only) hereof, the Company shall reimburse the applicable Sales Agents, the applicable Forward Sellers and the applicable Forward Purchasers for all of its out-of-pocket expenses, including the reasonable fees and disbursements their respective counsel, unless Securities having an aggregate offering price of $50,000,000 or more have previously been offered and sold under this Agreement.</w:t>
      </w:r>
    </w:p>
    <w:p>
      <w:pPr>
        <w:spacing w:after="0" w:line="183"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SECTION 9. Conditions of the Obligations of the Sales Agents and the Forward Sellers. </w:t>
      </w:r>
      <w:r>
        <w:rPr>
          <w:rFonts w:ascii="Times New Roman" w:cs="Times New Roman" w:eastAsia="Times New Roman" w:hAnsi="Times New Roman"/>
          <w:sz w:val="18"/>
          <w:szCs w:val="18"/>
          <w:color w:val="auto"/>
        </w:rPr>
        <w:t>The obligations of each of the Sales Agents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 Sellers hereunder with respect to the offer and sale of Securities in connection with any Issuance or Forward hereunder will be subject to the continuing accuracy and completeness of the representations and warranties of the Company and the Operating Partnership contained in this Agreement or in certificates of any officer of the Company, the Operating Partnership or any subsidiary delivered pursuant to the provisions hereof, to the performance by the Company of its covenants and other obligations hereunder, and to the following further conditions:</w:t>
      </w:r>
    </w:p>
    <w:p>
      <w:pPr>
        <w:spacing w:after="0" w:line="183" w:lineRule="exact"/>
        <w:rPr>
          <w:sz w:val="20"/>
          <w:szCs w:val="20"/>
          <w:color w:val="auto"/>
        </w:rPr>
      </w:pPr>
    </w:p>
    <w:p>
      <w:pPr>
        <w:ind w:right="80" w:firstLine="436"/>
        <w:spacing w:after="0" w:line="256" w:lineRule="auto"/>
        <w:tabs>
          <w:tab w:leader="none" w:pos="6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Effectiveness of Registration Statement; Payment of Filing Fee. </w:t>
      </w:r>
      <w:r>
        <w:rPr>
          <w:rFonts w:ascii="Times New Roman" w:cs="Times New Roman" w:eastAsia="Times New Roman" w:hAnsi="Times New Roman"/>
          <w:sz w:val="18"/>
          <w:szCs w:val="18"/>
          <w:color w:val="auto"/>
        </w:rPr>
        <w:t>The Registration Statement shall have become effective and shall be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 all sales of Securities offered pursuant to all prior Placement Notices (each as amended by a corresponding Acceptance, if applicable) and (ii) the sale of all Securities contemplated to be issued by any Placement Notice (as amended by the corresponding Acceptance, if applicable). The Company shall have paid the required Commission filing fees relating to the Securities within the time required by 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182" w:lineRule="exact"/>
        <w:rPr>
          <w:rFonts w:ascii="Times New Roman" w:cs="Times New Roman" w:eastAsia="Times New Roman" w:hAnsi="Times New Roman"/>
          <w:sz w:val="18"/>
          <w:szCs w:val="18"/>
          <w:color w:val="auto"/>
        </w:rPr>
      </w:pPr>
    </w:p>
    <w:p>
      <w:pPr>
        <w:ind w:right="60" w:firstLine="436"/>
        <w:spacing w:after="0" w:line="254"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the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or any of their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Securities for sale in any jurisdiction or the initiation or threatening of any proceeding for such purpose; or (iv) the occurrence of any event that makes any material statement made in the Registration Statement or the Prospectus, or any Issuer Free Writing Prospectus, or any material document incorporated or deemed to be incorporated therein by reference untrue in any material respect or that requires the making of any changes in the Registration Statement, related Prospectus, or any Issuer Free Writing Prospectus, or such documents so that, in the case of the Registration Statement, it will not contain any untrue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68" w:right="459" w:bottom="1440" w:gutter="0" w:footer="0" w:header="0"/>
        </w:sectPr>
      </w:pPr>
    </w:p>
    <w:bookmarkStart w:id="50" w:name="page51"/>
    <w:bookmarkEnd w:id="50"/>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 of a material fact or omit to state any material fact required to be stated therein or necessary to make the statements therein not misleading and, that in the case of the Prospectus and any Issuer Free Writing Prospectus,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78" w:lineRule="exact"/>
        <w:rPr>
          <w:sz w:val="20"/>
          <w:szCs w:val="20"/>
          <w:color w:val="auto"/>
        </w:rPr>
      </w:pPr>
    </w:p>
    <w:p>
      <w:pPr>
        <w:ind w:right="60" w:firstLine="436"/>
        <w:spacing w:after="0" w:line="257" w:lineRule="auto"/>
        <w:tabs>
          <w:tab w:leader="none" w:pos="6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Misstatement or Material Omission</w:t>
      </w:r>
      <w:r>
        <w:rPr>
          <w:rFonts w:ascii="Times New Roman" w:cs="Times New Roman" w:eastAsia="Times New Roman" w:hAnsi="Times New Roman"/>
          <w:sz w:val="18"/>
          <w:szCs w:val="18"/>
          <w:color w:val="auto"/>
        </w:rPr>
        <w:t>. None of the Sales Agents, the Forward Sellers and the Forward Purchasers shall have advised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that the Registration Statement or Prospectus, or any Issuer Free Writing Prospectus, or any amendment or supplement thereto, contains an untrue statement of fact that in such Sales Agent’s, such Forward Seller’s or such Forward Purchaser’s opinion is material, or omits to state a fact that in such Sales Agent’s, such Forward Seller’s or such Forward Purchaser’s opinion is material and is required to be stated therein or is necessary to make the statements therein not misleading, unless the Company has amended such Registration Statement or Prospectus, or any Issuer Free Writing Prospectus, or any amendment or supplement thereto, in accordance with the provisions of Section 7(d).</w:t>
      </w:r>
    </w:p>
    <w:p>
      <w:pPr>
        <w:spacing w:after="0" w:line="182" w:lineRule="exact"/>
        <w:rPr>
          <w:rFonts w:ascii="Times New Roman" w:cs="Times New Roman" w:eastAsia="Times New Roman" w:hAnsi="Times New Roman"/>
          <w:sz w:val="18"/>
          <w:szCs w:val="18"/>
          <w:color w:val="auto"/>
        </w:rPr>
      </w:pPr>
    </w:p>
    <w:p>
      <w:pPr>
        <w:ind w:right="40" w:firstLine="436"/>
        <w:spacing w:after="0" w:line="267"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any material adverse change, or any development involving a prospective material adverse change, in or affecting the general affairs, management, financial position, shareholders’ equity or results of operations of the Company and its subsidiaries taken as a whole.</w:t>
      </w:r>
    </w:p>
    <w:p>
      <w:pPr>
        <w:spacing w:after="0" w:line="173" w:lineRule="exact"/>
        <w:rPr>
          <w:rFonts w:ascii="Times New Roman" w:cs="Times New Roman" w:eastAsia="Times New Roman" w:hAnsi="Times New Roman"/>
          <w:sz w:val="18"/>
          <w:szCs w:val="18"/>
          <w:color w:val="auto"/>
        </w:rPr>
      </w:pPr>
    </w:p>
    <w:p>
      <w:pPr>
        <w:jc w:val="both"/>
        <w:ind w:firstLine="436"/>
        <w:spacing w:after="0" w:line="267" w:lineRule="auto"/>
        <w:tabs>
          <w:tab w:leader="none" w:pos="6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Counsel for Company. </w:t>
      </w:r>
      <w:r>
        <w:rPr>
          <w:rFonts w:ascii="Times New Roman" w:cs="Times New Roman" w:eastAsia="Times New Roman" w:hAnsi="Times New Roman"/>
          <w:sz w:val="18"/>
          <w:szCs w:val="18"/>
          <w:color w:val="auto"/>
        </w:rPr>
        <w:t>The Sales Agents, the Forward Sellers and the Forward Purchasers shall have received the favorable opinion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Company Counsel, required to be delivered pursuant to Section 7(p) on or before the date on which such delivery of such opinion is required pursuant to Section 7(p).</w:t>
      </w:r>
    </w:p>
    <w:p>
      <w:pPr>
        <w:spacing w:after="0" w:line="173" w:lineRule="exact"/>
        <w:rPr>
          <w:rFonts w:ascii="Times New Roman" w:cs="Times New Roman" w:eastAsia="Times New Roman" w:hAnsi="Times New Roman"/>
          <w:sz w:val="18"/>
          <w:szCs w:val="18"/>
          <w:color w:val="auto"/>
        </w:rPr>
      </w:pPr>
    </w:p>
    <w:p>
      <w:pPr>
        <w:ind w:right="40" w:firstLine="436"/>
        <w:spacing w:after="0" w:line="284" w:lineRule="auto"/>
        <w:tabs>
          <w:tab w:leader="none" w:pos="6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 Certificate. </w:t>
      </w:r>
      <w:r>
        <w:rPr>
          <w:rFonts w:ascii="Times New Roman" w:cs="Times New Roman" w:eastAsia="Times New Roman" w:hAnsi="Times New Roman"/>
          <w:sz w:val="18"/>
          <w:szCs w:val="18"/>
          <w:color w:val="auto"/>
        </w:rPr>
        <w:t>The Sales Agents, the Forward Sellers and the Forward Purchasers shall have received the certificate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pursuant to Section 7(o) on or before the date on which delivery of such certificate is required pursuant to Section 7(o).</w:t>
      </w:r>
    </w:p>
    <w:p>
      <w:pPr>
        <w:spacing w:after="0" w:line="158" w:lineRule="exact"/>
        <w:rPr>
          <w:rFonts w:ascii="Times New Roman" w:cs="Times New Roman" w:eastAsia="Times New Roman" w:hAnsi="Times New Roman"/>
          <w:sz w:val="18"/>
          <w:szCs w:val="18"/>
          <w:color w:val="auto"/>
        </w:rPr>
      </w:pPr>
    </w:p>
    <w:p>
      <w:pPr>
        <w:ind w:right="120" w:firstLine="436"/>
        <w:spacing w:after="0" w:line="315" w:lineRule="auto"/>
        <w:tabs>
          <w:tab w:leader="none" w:pos="69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Accountant’s Comfort Letter. </w:t>
      </w:r>
      <w:r>
        <w:rPr>
          <w:rFonts w:ascii="Times New Roman" w:cs="Times New Roman" w:eastAsia="Times New Roman" w:hAnsi="Times New Roman"/>
          <w:sz w:val="17"/>
          <w:szCs w:val="17"/>
          <w:color w:val="auto"/>
        </w:rPr>
        <w:t>The Sales Agents, the Forward Sellers and the Forward Purchasers shall have received the Comfort Letter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required to be delivered pursuant Section 7(q) on or before the date on which such delivery of such Comfort Letter is required pursuant to Section 7(q).</w:t>
      </w:r>
    </w:p>
    <w:p>
      <w:pPr>
        <w:spacing w:after="0" w:line="134" w:lineRule="exact"/>
        <w:rPr>
          <w:rFonts w:ascii="Times New Roman" w:cs="Times New Roman" w:eastAsia="Times New Roman" w:hAnsi="Times New Roman"/>
          <w:sz w:val="17"/>
          <w:szCs w:val="17"/>
          <w:color w:val="auto"/>
        </w:rPr>
      </w:pPr>
    </w:p>
    <w:p>
      <w:pPr>
        <w:jc w:val="both"/>
        <w:ind w:right="100" w:firstLine="436"/>
        <w:spacing w:after="0" w:line="267"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Approval for Listing</w:t>
      </w:r>
      <w:r>
        <w:rPr>
          <w:rFonts w:ascii="Times New Roman" w:cs="Times New Roman" w:eastAsia="Times New Roman" w:hAnsi="Times New Roman"/>
          <w:sz w:val="18"/>
          <w:szCs w:val="18"/>
          <w:color w:val="auto"/>
        </w:rPr>
        <w:t>. The Securities and the Confirmation Securities shall either have been (i) approved for listing on the NYSE, subject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notice of issuance, or (ii) the Company shall have filed an application for listing of the Securities and the Confirmation Securities on the NYSE at, or prior to, the issuance of any Placement Notice.</w:t>
      </w:r>
    </w:p>
    <w:p>
      <w:pPr>
        <w:spacing w:after="0" w:line="173"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Suspension</w:t>
      </w:r>
      <w:r>
        <w:rPr>
          <w:rFonts w:ascii="Times New Roman" w:cs="Times New Roman" w:eastAsia="Times New Roman" w:hAnsi="Times New Roman"/>
          <w:sz w:val="18"/>
          <w:szCs w:val="18"/>
          <w:color w:val="auto"/>
        </w:rPr>
        <w:t>. Trading in the Common Shares shall not have been suspended on the NYSE.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51" w:name="page52"/>
    <w:bookmarkEnd w:id="51"/>
    <w:p>
      <w:pPr>
        <w:ind w:right="100" w:firstLine="436"/>
        <w:spacing w:after="0" w:line="261"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Additional Documents. </w:t>
      </w:r>
      <w:r>
        <w:rPr>
          <w:rFonts w:ascii="Times New Roman" w:cs="Times New Roman" w:eastAsia="Times New Roman" w:hAnsi="Times New Roman"/>
          <w:sz w:val="18"/>
          <w:szCs w:val="18"/>
          <w:color w:val="auto"/>
        </w:rPr>
        <w:t>On each date on which the Company is required to deliver a certificate pursuant to Section 7(o), counsel for the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Agents, the Forward Sellers and the Forward Purchasers, as applicable, shall 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contained in this Agreement.</w:t>
      </w:r>
    </w:p>
    <w:p>
      <w:pPr>
        <w:spacing w:after="0" w:line="179" w:lineRule="exact"/>
        <w:rPr>
          <w:rFonts w:ascii="Times New Roman" w:cs="Times New Roman" w:eastAsia="Times New Roman" w:hAnsi="Times New Roman"/>
          <w:sz w:val="18"/>
          <w:szCs w:val="18"/>
          <w:color w:val="auto"/>
        </w:rPr>
      </w:pPr>
    </w:p>
    <w:p>
      <w:pPr>
        <w:ind w:right="340" w:firstLine="436"/>
        <w:spacing w:after="0" w:line="284" w:lineRule="auto"/>
        <w:tabs>
          <w:tab w:leader="none" w:pos="6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Act Filings Made</w:t>
      </w:r>
      <w:r>
        <w:rPr>
          <w:rFonts w:ascii="Times New Roman" w:cs="Times New Roman" w:eastAsia="Times New Roman" w:hAnsi="Times New Roman"/>
          <w:sz w:val="18"/>
          <w:szCs w:val="18"/>
          <w:color w:val="auto"/>
        </w:rPr>
        <w:t>. All filings with the Commission required by Rule 424 under the Securities Act to have been filed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of any Placement Notice hereunder shall have been made within the applicable time period prescribed for such filing by Rule 424.</w:t>
      </w:r>
    </w:p>
    <w:p>
      <w:pPr>
        <w:spacing w:after="0" w:line="158" w:lineRule="exact"/>
        <w:rPr>
          <w:rFonts w:ascii="Times New Roman" w:cs="Times New Roman" w:eastAsia="Times New Roman" w:hAnsi="Times New Roman"/>
          <w:sz w:val="18"/>
          <w:szCs w:val="18"/>
          <w:color w:val="auto"/>
        </w:rPr>
      </w:pPr>
    </w:p>
    <w:p>
      <w:pPr>
        <w:ind w:right="20" w:firstLine="436"/>
        <w:spacing w:after="0" w:line="284"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of Confirmation</w:t>
      </w:r>
      <w:r>
        <w:rPr>
          <w:rFonts w:ascii="Times New Roman" w:cs="Times New Roman" w:eastAsia="Times New Roman" w:hAnsi="Times New Roman"/>
          <w:sz w:val="18"/>
          <w:szCs w:val="18"/>
          <w:color w:val="auto"/>
        </w:rPr>
        <w:t>. In respect of any Placement Notice delivered in respect of any Forward, the related Confirmation shall be in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force and effect.</w:t>
      </w:r>
    </w:p>
    <w:p>
      <w:pPr>
        <w:spacing w:after="0" w:line="158" w:lineRule="exact"/>
        <w:rPr>
          <w:rFonts w:ascii="Times New Roman" w:cs="Times New Roman" w:eastAsia="Times New Roman" w:hAnsi="Times New Roman"/>
          <w:sz w:val="18"/>
          <w:szCs w:val="18"/>
          <w:color w:val="auto"/>
        </w:rPr>
      </w:pPr>
    </w:p>
    <w:p>
      <w:pPr>
        <w:ind w:right="80" w:firstLine="436"/>
        <w:spacing w:after="0" w:line="258" w:lineRule="auto"/>
        <w:tabs>
          <w:tab w:leader="none" w:pos="74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Agreement. </w:t>
      </w:r>
      <w:r>
        <w:rPr>
          <w:rFonts w:ascii="Times New Roman" w:cs="Times New Roman" w:eastAsia="Times New Roman" w:hAnsi="Times New Roman"/>
          <w:sz w:val="18"/>
          <w:szCs w:val="18"/>
          <w:color w:val="auto"/>
        </w:rPr>
        <w:t>If any condition specified in this Section 9 shall not have been fulfilled in all material respects when and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fulfilled, this Agreement may be terminated by the applicable Sales Agent(s), the applicable Forward Seller(s) or the applicable Forward Purchaser(s) by notice to the Company, and such termination shall be without liability of any party to any other party except as provided in Section 8 hereof and except that, in the case of any termination of this Agreement, Sections 5, 10, 11, 12 and 21 hereof shall survive such termination and remain in full force and effect.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by the Company and the Operating Partnership. Each of the Company and the Operating Partnership agrees, jointly and severally, to indemnify and hold harmless each Agent, each Forward Seller and each Forward Purchaser, their respective affiliates (as such term is defined in Rule 501(b) under the Securities Act (each, an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their respective selling agents and each person, if any, who controls a Sales Agent, a Forward Seller or a Forward Purchaser, within the meaning of Section 15 of the Securities Act or Section 20 of the Exchange Act, against any losses, claims, damages or liabilities, joint or several, to which the Sales Agents, the Forward Sellers or the Forward Purchasers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the Sales Agents, the Forward Sellers and the Forward Purchasers for any legal or other expenses reasonably incurred by such Sales Agent, such Forward Seller or such Forward Purchaser in connection with investigating or defending any such action or claim as such expenses are incurred; provided, however, that the Company and the Operating Partnership shall not be liable in any such case to the extent that any such loss, claim, damage or liability (or actions in respect</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440" w:top="268" w:right="499" w:bottom="1440" w:gutter="0" w:footer="0" w:header="0"/>
        </w:sectPr>
      </w:pPr>
    </w:p>
    <w:bookmarkStart w:id="52" w:name="page53"/>
    <w:bookmarkEnd w:id="52"/>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thereof) arises out of or is based upon an untrue statement or alleged untrue statement or omission or alleged omission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a Sales Agent or a Forward Seller expressly for use in the Prospectus, as amended or supplemented, relating to such Securities.</w:t>
      </w:r>
    </w:p>
    <w:p>
      <w:pPr>
        <w:spacing w:after="0" w:line="178" w:lineRule="exact"/>
        <w:rPr>
          <w:sz w:val="20"/>
          <w:szCs w:val="20"/>
          <w:color w:val="auto"/>
        </w:rPr>
      </w:pPr>
    </w:p>
    <w:p>
      <w:pPr>
        <w:ind w:firstLine="436"/>
        <w:spacing w:after="0" w:line="252"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by the Sales Agents and the Forward Sellers</w:t>
      </w:r>
      <w:r>
        <w:rPr>
          <w:rFonts w:ascii="Times New Roman" w:cs="Times New Roman" w:eastAsia="Times New Roman" w:hAnsi="Times New Roman"/>
          <w:sz w:val="18"/>
          <w:szCs w:val="18"/>
          <w:color w:val="auto"/>
        </w:rPr>
        <w:t>. Each of the Sales Agents and the Forward Sellers, severally and not jointly,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agrees to indemnify and hold harmless the Company, the Operating Partnership, the Company’s trustees and the Company’s and Operating Partnership’s officers who signed the Registration Statement and each person, if any, who controls the Company or the Operating Partnership within the meaning of Section 15 of the Securities Act or Section 20 of the Exchange Act to the same extent as the indemnity set forth in paragraph (a) above, but only with respect to any losses, claims, damages or liabilities to which the Company or the Operating Partnership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a Sales Agent or a Forward Seller expressly for use therein, and will reimburse the Company or the Operating Partnership for any legal or other expenses reasonably incurred by the Company or the Operating Partnership in connection with investigating or defending any such action or claim as to which the Company and the Operating Partnership shall be entitled to indemnification under this subsection (b) as such expenses are incurred.</w:t>
      </w:r>
    </w:p>
    <w:p>
      <w:pPr>
        <w:spacing w:after="0" w:line="195" w:lineRule="exact"/>
        <w:rPr>
          <w:rFonts w:ascii="Times New Roman" w:cs="Times New Roman" w:eastAsia="Times New Roman" w:hAnsi="Times New Roman"/>
          <w:sz w:val="18"/>
          <w:szCs w:val="18"/>
          <w:color w:val="auto"/>
        </w:rPr>
      </w:pPr>
    </w:p>
    <w:p>
      <w:pPr>
        <w:ind w:right="40" w:firstLine="436"/>
        <w:spacing w:after="0" w:line="254" w:lineRule="auto"/>
        <w:tabs>
          <w:tab w:leader="none" w:pos="685"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Actions against Parties; Notification. </w:t>
      </w:r>
      <w:r>
        <w:rPr>
          <w:rFonts w:ascii="Times New Roman" w:cs="Times New Roman" w:eastAsia="Times New Roman" w:hAnsi="Times New Roman"/>
          <w:sz w:val="18"/>
          <w:szCs w:val="18"/>
          <w:color w:val="auto"/>
        </w:rPr>
        <w:t>Promptly after receipt by an indemnified party under subsection (a) or (b) above of notice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commencement of any action, such indemnified party shall, if a claim in respect thereof is to be made against the indemnifying party under such subsection, notify the indemnifying party in writing of the commencement thereof. However,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70" w:right="479" w:bottom="1440" w:gutter="0" w:footer="0" w:header="0"/>
        </w:sectPr>
      </w:pPr>
    </w:p>
    <w:bookmarkStart w:id="53" w:name="page54"/>
    <w:bookmarkEnd w:id="53"/>
    <w:p>
      <w:pPr>
        <w:ind w:left="4" w:right="10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w:t>
      </w:r>
    </w:p>
    <w:p>
      <w:pPr>
        <w:spacing w:after="0" w:line="3" w:lineRule="exact"/>
        <w:rPr>
          <w:sz w:val="20"/>
          <w:szCs w:val="20"/>
          <w:color w:val="auto"/>
        </w:rPr>
      </w:pPr>
    </w:p>
    <w:p>
      <w:pPr>
        <w:ind w:left="4" w:right="40" w:hanging="4"/>
        <w:spacing w:after="0" w:line="260" w:lineRule="auto"/>
        <w:tabs>
          <w:tab w:leader="none" w:pos="21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81" w:lineRule="exact"/>
        <w:rPr>
          <w:sz w:val="20"/>
          <w:szCs w:val="20"/>
          <w:color w:val="auto"/>
        </w:rPr>
      </w:pPr>
    </w:p>
    <w:p>
      <w:pPr>
        <w:ind w:left="4" w:right="20"/>
        <w:spacing w:after="0" w:line="269" w:lineRule="auto"/>
        <w:rPr>
          <w:sz w:val="20"/>
          <w:szCs w:val="20"/>
          <w:color w:val="auto"/>
        </w:rPr>
      </w:pPr>
      <w:r>
        <w:rPr>
          <w:rFonts w:ascii="Times New Roman" w:cs="Times New Roman" w:eastAsia="Times New Roman" w:hAnsi="Times New Roman"/>
          <w:sz w:val="17"/>
          <w:szCs w:val="17"/>
          <w:color w:val="auto"/>
        </w:rPr>
        <w:t>SECTION 11. Contribution . If the indemnification provided for in Section 10 hereof is unavailable to or insufficient to hold harmless an indemnified party under Section 10(a) or Section 10(b)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and the Operating Partnership on the one hand and the applicable Sales Agents(s) or the applicable Forward Seller(s) on the other from the offering of Securities pursuant to this Agreement to which such loss, claim, damage or liability (or action in respect thereof) relates. If, however, the allocation provided by the immediately preceding sentence is not permitted by applicable law or if the indemnified party failed to give the notice required under Section 10(c) above, then each indemnifying party shall contribute to such amount paid or payable by such indemnified party in such proportion as is appropriate to reflect not only such relative benefits but also the relative fault of the Company and the Operating Partnership on the one hand and the applicable Sales Agent(s), the applicable Forward Seller(s) or the applicable Forward Purchaser(s) on the other in connection with the statements or omissions which resulted in such losses, claims, damages or liabilities (or actions in respect thereof), as well as any other relevant equitable considerations.</w:t>
      </w:r>
    </w:p>
    <w:p>
      <w:pPr>
        <w:spacing w:after="0" w:line="182"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The relative benefits received by the Company and the Operating Partnership on the one hand and the applicable Sales Agent(s) or the applicable Forward Seller(s) on the other shall be deemed to be in the same proportion as the net proceeds from the offering of Securities (before deducting expenses) received by the Company bear to the total commissions received by the applicable Sales Agent(s) or the applicable Forward Seller(s) (and, for purposes of the foregoing, the Company shall be deemed to have received net proceeds from the sale of any Forward Hedge Securities, in an amount equal to the proceeds that would have been received by the Company upon full physical settlement of the related Confirmation, assuming that the aggregate amount payable by the Forward Purchaser to the Company for the corresponding Confirmation Securities is equal to the aggregate amount of net proceeds received by the Forward Purchaser from the sale of such Forward Hedge Securities through the Forward Seller).</w:t>
      </w:r>
    </w:p>
    <w:p>
      <w:pPr>
        <w:spacing w:after="0" w:line="189"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The relative fault shall be determined by reference to, among other things, whether the untrue or alleged untrue statement of a material fact or the omission or alleged omission to state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70" w:right="459" w:bottom="1440" w:gutter="0" w:footer="0" w:header="0"/>
        </w:sectPr>
      </w:pPr>
    </w:p>
    <w:bookmarkStart w:id="54" w:name="page55"/>
    <w:bookmarkEnd w:id="54"/>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material fact relates to information supplied by the Company and the Operating Partnership on the one hand or by the applicable Sales Agent(s) or Forward Seller(s) on the other and the parties’ relative intent, knowledge, access to information and opportunity to correct or prevent such statement or omission. The parties hereto agree that it would not be just and equitable if contribution pursuant to this Section 11 were determined by pro rata allocation or by any other method of allocation which does not take account of the equitable considerations referred to above in this Section 11. The amount paid or payable by an indemnified party as a result of the losses, claims, damages or liabilities (or actions in respect thereof) referred to above in this Section 11 shall be deemed to include any legal or other expenses reasonably incurred by such indemnified party in connection with investigating or defending any such action or claim.</w:t>
      </w:r>
    </w:p>
    <w:p>
      <w:pPr>
        <w:spacing w:after="0" w:line="189"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Notwithstanding the provisions of this Section 11, none of the Sales Agents or the Forward Sellers shall be required to contribute any amount in excess of the amount by which the total price at which, in the case of a Sales Agent, the Issuance Securities or, in the case of a Forward Seller, the Forward Hedge Securities were sold and distributed to the public pursuant to this Agreement exceeds the amount of any damages which such party would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obligations of the Company under Section 10 and this Section 11 shall be in addition to any liability which the Company may otherwise have and shall extend, upon the same terms and conditions, to each person, if any, who controls a Sales Agent, a Forward Seller or a Forward Purchaser within the meaning of the Securities Act; and the obligations of a Sales Agent, a Forward Seller under Section 10 and this Section 11 shall be in addition to any liability which it may otherwise have and shall extend, upon the same terms and conditions, to each officer of the Company or the Operating Partnership who signed the Registration Statement, to each trustee of the Company and to each person, if any, who controls the Company or the Operating Partnership within the meaning of the Securities Act.</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Representations, Warranties and Agreements to Survive Delivery</w:t>
      </w:r>
      <w:r>
        <w:rPr>
          <w:rFonts w:ascii="Times New Roman" w:cs="Times New Roman" w:eastAsia="Times New Roman" w:hAnsi="Times New Roman"/>
          <w:sz w:val="18"/>
          <w:szCs w:val="18"/>
          <w:color w:val="auto"/>
        </w:rPr>
        <w:t>. All indemnities, agreements, representations, warranties and other statements contained in this Agreement or in certificates of officers of the Company, the Operating Partnership or any subsidiary submitted pursuant hereto, shall remain operative and in full force and effect, regardless of any investigation (or any statement as to the results thereof) made by or on behalf of a Sales Agent, a Forward Seller, a Forward Purchaser or any controlling person, or by or on behalf of the Company, the Operating Partnership or any controlling person, and shall survive delivery and acceptance of the Securities and payment therefor and the settlement of any Confirmation or any termination of this Agreement or the Confirmation.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20" w:firstLine="436"/>
        <w:spacing w:after="0" w:line="284" w:lineRule="auto"/>
        <w:tabs>
          <w:tab w:leader="none" w:pos="6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General. </w:t>
      </w:r>
      <w:r>
        <w:rPr>
          <w:rFonts w:ascii="Times New Roman" w:cs="Times New Roman" w:eastAsia="Times New Roman" w:hAnsi="Times New Roman"/>
          <w:sz w:val="18"/>
          <w:szCs w:val="18"/>
          <w:color w:val="auto"/>
        </w:rPr>
        <w:t>Each of the Sales Agents, the Forward Sellers and the Forward Purchasers may terminate this Agreement, by notice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as hereinafter specified at any time (i) if there has been, since the time of execution of this Agreement or since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40" w:top="270" w:right="479" w:bottom="1440" w:gutter="0" w:footer="0" w:header="0"/>
        </w:sectPr>
      </w:pPr>
    </w:p>
    <w:bookmarkStart w:id="55" w:name="page56"/>
    <w:bookmarkEnd w:id="55"/>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date as of which information is given in the Prospectus, any material adverse change, or any development involving a prospective material adverse change, in or affecting the general affairs, management, financial position, shareholders’ equity or results of operations of the Company, the Operating Partnership and their subsidiaries taken as a whole,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Sales Agent(s), the Forward Seller(s) or the Forward Purchaser(s), impracticable or inadvisable to market the Securities or to enforce contracts for the sale of the Securities, or (iii) if trading in the Securities has been suspended or limited by the Commission or the NYSE, or if trading generally on the NYSE Amex Equities, the NYSE or the Nasdaq Global Market has been suspended or limited, or minimum or maximum prices for trading have been fixed, or maximum ranges for prices have been required, by any of said exchanges or by order of the Commission, FINRA or any other governmental authority, or a material disruption has occurred in commercial banking or securities settlement or clearance services in the United States or in Europe, or (iv) if a banking moratorium has been declared by either Federal or New York authorities.</w:t>
      </w:r>
    </w:p>
    <w:p>
      <w:pPr>
        <w:spacing w:after="0" w:line="188" w:lineRule="exact"/>
        <w:rPr>
          <w:sz w:val="20"/>
          <w:szCs w:val="20"/>
          <w:color w:val="auto"/>
        </w:rPr>
      </w:pPr>
    </w:p>
    <w:p>
      <w:pPr>
        <w:ind w:left="4" w:right="160" w:firstLine="987"/>
        <w:spacing w:after="0" w:line="284" w:lineRule="auto"/>
        <w:tabs>
          <w:tab w:leader="none" w:pos="125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by the Company. </w:t>
      </w:r>
      <w:r>
        <w:rPr>
          <w:rFonts w:ascii="Times New Roman" w:cs="Times New Roman" w:eastAsia="Times New Roman" w:hAnsi="Times New Roman"/>
          <w:sz w:val="18"/>
          <w:szCs w:val="18"/>
          <w:color w:val="auto"/>
        </w:rPr>
        <w:t>The Company shall have the right, by giving three (3) days’ notice, unless such notice is waived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recipient, as hereinafter specified to terminate this Agreement in its sole discretion at any time after the date of this Agreement.</w:t>
      </w:r>
    </w:p>
    <w:p>
      <w:pPr>
        <w:spacing w:after="0" w:line="158" w:lineRule="exact"/>
        <w:rPr>
          <w:rFonts w:ascii="Times New Roman" w:cs="Times New Roman" w:eastAsia="Times New Roman" w:hAnsi="Times New Roman"/>
          <w:sz w:val="18"/>
          <w:szCs w:val="18"/>
          <w:color w:val="auto"/>
        </w:rPr>
      </w:pPr>
    </w:p>
    <w:p>
      <w:pPr>
        <w:ind w:left="4" w:right="220" w:firstLine="987"/>
        <w:spacing w:after="0" w:line="267" w:lineRule="auto"/>
        <w:tabs>
          <w:tab w:leader="none" w:pos="12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by the Sales Agents, the Forward Sellers or the Forward Purchasers. </w:t>
      </w:r>
      <w:r>
        <w:rPr>
          <w:rFonts w:ascii="Times New Roman" w:cs="Times New Roman" w:eastAsia="Times New Roman" w:hAnsi="Times New Roman"/>
          <w:sz w:val="18"/>
          <w:szCs w:val="18"/>
          <w:color w:val="auto"/>
        </w:rPr>
        <w:t>Each of the Sales Agents, the Forward Sellers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Forward Purchasers shall have the right, by giving three (3) days notice, unless such notice is waived by the recipient, as hereinafter specified, to terminate this Agreement, as to itself, in its sole discretion at any time after the date of this Agreement.</w:t>
      </w:r>
    </w:p>
    <w:p>
      <w:pPr>
        <w:spacing w:after="0" w:line="173" w:lineRule="exact"/>
        <w:rPr>
          <w:rFonts w:ascii="Times New Roman" w:cs="Times New Roman" w:eastAsia="Times New Roman" w:hAnsi="Times New Roman"/>
          <w:sz w:val="18"/>
          <w:szCs w:val="18"/>
          <w:color w:val="auto"/>
        </w:rPr>
      </w:pPr>
    </w:p>
    <w:p>
      <w:pPr>
        <w:ind w:left="4" w:firstLine="987"/>
        <w:spacing w:after="0" w:line="267" w:lineRule="auto"/>
        <w:tabs>
          <w:tab w:leader="none" w:pos="125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Automatic Termination. </w:t>
      </w:r>
      <w:r>
        <w:rPr>
          <w:rFonts w:ascii="Times New Roman" w:cs="Times New Roman" w:eastAsia="Times New Roman" w:hAnsi="Times New Roman"/>
          <w:sz w:val="18"/>
          <w:szCs w:val="18"/>
          <w:color w:val="auto"/>
        </w:rPr>
        <w:t>Unless earlier terminated pursuant to this Section 13, this Agreement shall automatically terminate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of Securities by the Sales Agents and the Forward Sellers on the terms and subject to the conditions set forth herein with an aggregate offering price equal to the Maximum Amount set forth in Section 1 of this Agreement.</w:t>
      </w:r>
    </w:p>
    <w:p>
      <w:pPr>
        <w:spacing w:after="0" w:line="17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Continued Force and Effect. </w:t>
      </w:r>
      <w:r>
        <w:rPr>
          <w:rFonts w:ascii="Times New Roman" w:cs="Times New Roman" w:eastAsia="Times New Roman" w:hAnsi="Times New Roman"/>
          <w:sz w:val="18"/>
          <w:szCs w:val="18"/>
          <w:color w:val="auto"/>
        </w:rPr>
        <w:t>This Agreement shall remain in full force and effect unless terminated pursuant to Sections 13(a), (b),</w:t>
      </w:r>
    </w:p>
    <w:p>
      <w:pPr>
        <w:spacing w:after="0" w:line="29"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(d) above or otherwise by mutual agreement of the parties.</w:t>
      </w:r>
    </w:p>
    <w:p>
      <w:pPr>
        <w:spacing w:after="0" w:line="204" w:lineRule="exact"/>
        <w:rPr>
          <w:rFonts w:ascii="Times New Roman" w:cs="Times New Roman" w:eastAsia="Times New Roman" w:hAnsi="Times New Roman"/>
          <w:sz w:val="18"/>
          <w:szCs w:val="18"/>
          <w:color w:val="auto"/>
        </w:rPr>
      </w:pPr>
    </w:p>
    <w:p>
      <w:pPr>
        <w:jc w:val="both"/>
        <w:ind w:left="4" w:right="20" w:firstLine="987"/>
        <w:spacing w:after="0" w:line="261" w:lineRule="auto"/>
        <w:tabs>
          <w:tab w:leader="none" w:pos="12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Effectiveness of Termination. </w:t>
      </w:r>
      <w:r>
        <w:rPr>
          <w:rFonts w:ascii="Times New Roman" w:cs="Times New Roman" w:eastAsia="Times New Roman" w:hAnsi="Times New Roman"/>
          <w:sz w:val="18"/>
          <w:szCs w:val="18"/>
          <w:color w:val="auto"/>
        </w:rPr>
        <w:t>Any termination of this Agreement shall be effective on the date specified in such notice of 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termination shall not be effective until the close of business on the date of receipt of such notice by the Sales Agents, the Forward Sellers, the Forward Purchasers or the Company, as the case may be. If such termination shall occur prior to the Settlement Date for any sale of Securities, such Securities shall settle in accordance with the provisions of this Agreement.</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4"/>
          </w:cols>
          <w:pgMar w:left="436" w:top="270" w:right="479" w:bottom="1440" w:gutter="0" w:footer="0" w:header="0"/>
        </w:sectPr>
      </w:pPr>
    </w:p>
    <w:bookmarkStart w:id="56" w:name="page57"/>
    <w:bookmarkEnd w:id="56"/>
    <w:p>
      <w:pPr>
        <w:ind w:right="360" w:firstLine="436"/>
        <w:spacing w:after="0" w:line="267" w:lineRule="auto"/>
        <w:tabs>
          <w:tab w:leader="none" w:pos="6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Liabilities. </w:t>
      </w:r>
      <w:r>
        <w:rPr>
          <w:rFonts w:ascii="Times New Roman" w:cs="Times New Roman" w:eastAsia="Times New Roman" w:hAnsi="Times New Roman"/>
          <w:sz w:val="18"/>
          <w:szCs w:val="18"/>
          <w:color w:val="auto"/>
        </w:rPr>
        <w:t>If this Agreement is terminated pursuant to this Section 13, such termination shall be without liability of any party to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except as provided in Section 8 hereof, and except that, in the case of any termination of this Agreement, Section 5, Section 10, Section 11, Section 12 and Section 23 hereof shall survive such termination and remain in full force and effect.</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otherwise provided in this Agreement, all notices and other communications hereunder shall be in writing and shall be deemed to have been duly given if mailed or transmitted by any standard form of telecommunication, and if to the Sales Agents, the Forward Sellers, the Forward Purchasers, the Company or the Operating Partnership shall be delivered or sent by mail to:</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Sales Agents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500 West 33rd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Equity Syndicate Department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212-214-5918</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Robert McDonald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dl.nyk.ste@us.bnpparibas.com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ATM Execution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dg.atm_execution@bofa.com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 ECM Legal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212-230-8730</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646-291-1469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Matthew Morris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Phone: 212-723-7833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setg.origination@citi.com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68"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Deutsche Bank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Columbus Circle, 19th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Equity Capital Markets – Syndicate Desk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Deutsche Bank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Columbus Circle, 19th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dbcapmarkets.gcnotices@list.db.com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 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Sanjeet Dewal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212-622-8783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sanjeet.s.dewal@jpmorgan.com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 (shall be delivered, mailed or sent 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615 S College St, Suite 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ECM 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Emails: brit.stephens@regions.com,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ed.armstrong@regions.com,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matthew.stewart@regions.com,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scott.williams2@regions.com,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ECMDesk@regions.com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Vesey Street, 24th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Equity Capital Markets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212-225-6653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Emails: us.ecm@scotiabank.com and us.legal@scotiabank.com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SMBC Nikko Securities America,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277 Park Avenue, 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NYECM@smbcnikko-si.com</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9039"/>
          </w:cols>
          <w:pgMar w:left="1420" w:top="270" w:right="1440" w:bottom="1440" w:gutter="0" w:footer="0" w:header="0"/>
        </w:sectPr>
      </w:pPr>
    </w:p>
    <w:bookmarkStart w:id="58" w:name="page59"/>
    <w:bookmarkEnd w:id="5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TD Securities (USA)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Equity Capital Markets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TDS_ATM@tdsecurities.com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3333 Peachtree Road NE, 11th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Atlanta, Georgia 30326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Equity Syndicate Department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404-926-5995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dl.atm.offering@truist.com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Forward Sellers and the Forward Purchasers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500 West 33rd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Structuring Services Group</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212-214-5913</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BNP Paribas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Robert McDonald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dl.nyk.ste@us.bnpparibas.com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Strategic Equity Solutions Group</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dg.issuer_derivatives_notices@bofa.com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390 Greenwich Street, 4th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Theodore Finkelstein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Phone: 212-723-1693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eq.us.ses.notifications@citi.com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Deutsche Bank AG, London Branch</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Deutsche Bank Securities Inc.</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 Columbus Circle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Joachim Sciard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Phone: 212-250-7099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joachim.sciard@db.com)</w:t>
      </w:r>
    </w:p>
    <w:p>
      <w:pPr>
        <w:spacing w:after="0" w:line="1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019"/>
          </w:cols>
          <w:pgMar w:left="440" w:top="270" w:right="1440" w:bottom="1440" w:gutter="0" w:footer="0" w:header="0"/>
        </w:sectPr>
      </w:pPr>
    </w:p>
    <w:bookmarkStart w:id="59" w:name="page60"/>
    <w:bookmarkEnd w:id="59"/>
    <w:p>
      <w:pPr>
        <w:ind w:left="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an email notification to equity-linked.notifications@list.db.com</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JPMorgan Chase Bank, National Association</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EDG Marketing Support</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Emails: edg_notices@jpmorgan.com and</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edg_ny_corporate_sales_support@jpmorgan.com</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with a copy to Sanjeet Dewal</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Email: sanjeet.s.dewal@jpmorgan.com</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Attention: Strategic Equity Transactions Group</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Phone: 212-708-2734</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Emails: SETG-US@jefferies.com and CorpEqDeriv@jefferies.com</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615 S College St, Suite 600</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Attention: ECM Team</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Emails: brit.stephens@regions.com,</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ed.armstrong@regions.com,</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matthew.stewart@regions.com,</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scott.williams2@regions.com and</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ECMDesk@regions.com</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Bank of Nova Scotia</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44 King Street West, Central Mail Room</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Toronto, Ontario M5H 1H1, Canada</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 Scotia Capital (USA) Inc.</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250 Vesey Street, 24th Floor</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New York, New York 10281</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Attention: Bahar Lorenzo</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Phone: 212-225-5230</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Email: bahar.lorenzo@scotiabank.com</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with a copy to GWO - OTC Confirmations</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Email: BNSEquityConfirmations@scotiabank.com</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Toronto-Dominion Bank</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 TD Securities (USA) LLC</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Attention: Global Equity Derivatives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9019"/>
          </w:cols>
          <w:pgMar w:left="1440" w:top="270" w:right="1440" w:bottom="1440" w:gutter="0" w:footer="0" w:header="0"/>
        </w:sectPr>
      </w:pPr>
    </w:p>
    <w:bookmarkStart w:id="60" w:name="page61"/>
    <w:bookmarkEnd w:id="60"/>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Phone: 212-827-7306</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Emails: TDUSA-GEDUSInvestorSolutionsSales@tdsecurities.com,</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vanessa.simonetti@tdsecurities.com,</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christopher.obalde@tdsecurities.com,</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Michael.murphy3@tdsecurities.com and</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adriano.pierroz@tdsecurities.com</w:t>
      </w:r>
    </w:p>
    <w:p>
      <w:pPr>
        <w:spacing w:after="0" w:line="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Truist Bank</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3333 Peachtree Road NE, 11th Floor</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Atlanta, Georgia 30326</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Fax: 404-926-5995</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Attention: Equity Syndicate Department</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Email: dl.atm.offering@truist.com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to the Company or the Operating Partnership to:</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909 Rose Avenue</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Suite 200</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This Agreement shall inure to the benefit of and be binding upon the Sales Agents, the Forward Sellers, the Forward Purchasers, the Company, the Operating Partnership and their respective successors. Nothing expressed or mentioned in this Agreement is intended or shall be construed to give any person, firm or corporation, other than the Sales Agents, the Forward Sellers, the Forward Purchasers, their respective Affiliates, the Company, the Operating Partnership and their respective successors and the controlling persons and officers, trustees and directors referred to in Sections 10 and 11 and their heirs and legal representatives, any legal or equitable right, remedy or claim under or in respect of this Agreement or any provision herein contained. This Agreement and all conditions and provisions hereof are intended to be for the sole and exclusive benefit of the Sales Agents, the Forward Sellers, the Forward Purchasers, their respective Affiliates, the Company, the Operating Partnership and their respective successors, and said controlling persons and officers, trustees and directors and their heirs and legal representatives, and for the benefit of no other person, firm or corporation. No purchaser of Securities from the Sales Agents or the Forward Sellers shall be deemed to be a successor by reason merely of such purchase.</w:t>
      </w:r>
    </w:p>
    <w:p>
      <w:pPr>
        <w:spacing w:after="0" w:line="19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SECTION 16. Adjustments for Stock Splits . The parties acknowledge and agree that all stock-related numbers contained in this Agreement shall be adjusted to take into account any stock split, stock dividend or similar event effected with respect to the Securities.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SECTION 17. Governing Law and Time . THIS AGREEMENT SHALL BE GOVERNED BY AND CONSTRUED IN ACCORDANCE WITH THE LAWS OF THE STATE OF NEW YORK. SPECIFIED TIMES OF DAY REFER TO NEW YORK CITY TIME.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61" w:name="page62"/>
    <w:bookmarkEnd w:id="61"/>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by any one or more of the parties hereto and thereto in any number of counterparts, each of which shall be deemed to be an original, but all such respective counterparts shall together constitute one and the same instrument. Delivery of an executed Agreement by one party to the other may be made by electronic mail (including any electronic signature complying with the New York Electronic Signatures and Records Act (N.Y. State Tech. §§ 301-309), as amended from time to time, or other applicable law) or other transmission method, and the parties hereto agree that any counterpart so delivered shall be deemed to have been duly and validly delivered and be valid and effective for all purposes.</w:t>
      </w:r>
    </w:p>
    <w:p>
      <w:pPr>
        <w:spacing w:after="0" w:line="187"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 In the event that any Sales Agent, any Forward Seller or any Forward Purchaser that is a Covered Entity becomes subject to a proceeding under a U.S. Special Resolution Regime, the transfer from such Sales Agent, such Forward Seller or such Forward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3"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In the event that the entity acting as Forward Purchaser (the “</w:t>
      </w:r>
      <w:r>
        <w:rPr>
          <w:rFonts w:ascii="Times New Roman" w:cs="Times New Roman" w:eastAsia="Times New Roman" w:hAnsi="Times New Roman"/>
          <w:sz w:val="18"/>
          <w:szCs w:val="18"/>
          <w:u w:val="single" w:color="auto"/>
          <w:color w:val="auto"/>
        </w:rPr>
        <w:t>Previous Forward Purchaser</w:t>
      </w:r>
      <w:r>
        <w:rPr>
          <w:rFonts w:ascii="Times New Roman" w:cs="Times New Roman" w:eastAsia="Times New Roman" w:hAnsi="Times New Roman"/>
          <w:sz w:val="18"/>
          <w:szCs w:val="18"/>
          <w:color w:val="auto"/>
        </w:rPr>
        <w:t>”) is replaced as a party hereunder by its affiliate (the “</w:t>
      </w:r>
      <w:r>
        <w:rPr>
          <w:rFonts w:ascii="Times New Roman" w:cs="Times New Roman" w:eastAsia="Times New Roman" w:hAnsi="Times New Roman"/>
          <w:sz w:val="18"/>
          <w:szCs w:val="18"/>
          <w:u w:val="single" w:color="auto"/>
          <w:color w:val="auto"/>
        </w:rPr>
        <w:t>New Forward Purchaser</w:t>
      </w:r>
      <w:r>
        <w:rPr>
          <w:rFonts w:ascii="Times New Roman" w:cs="Times New Roman" w:eastAsia="Times New Roman" w:hAnsi="Times New Roman"/>
          <w:sz w:val="18"/>
          <w:szCs w:val="18"/>
          <w:color w:val="auto"/>
        </w:rPr>
        <w:t>”), then, from the date of such transfer or assignment, the New Forward Purchaser shall for all purposes of this Agreement be substituted for the Previous Forward Purchaser as a Forward Purchaser party hereto (as transferee or assignee of the Previous Forward Purchaser).</w:t>
      </w:r>
    </w:p>
    <w:p>
      <w:pPr>
        <w:spacing w:after="0" w:line="180"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any Sales Agent, any Forward Seller or any Forward Purchaser that is a Covered Entity or a BHC Act Affiliate of such Sales Agent, such Forward Seller or such Forward Purchaser becomes subject to a proceeding under a U.S. Special Resolution Regime, Default Rights under this Agreement that may be exercised against such Sales Agent, such Forward Seller or such Forward Purchaser are permitted to be exercised to no greater extent than such Default Rights could be exercised under the U.S. Special Resolution Regime if this Agreement were governed by the laws of the United States or a state of the United States.</w:t>
      </w:r>
    </w:p>
    <w:p>
      <w:pPr>
        <w:spacing w:after="0" w:line="183" w:lineRule="exact"/>
        <w:rPr>
          <w:sz w:val="20"/>
          <w:szCs w:val="20"/>
          <w:color w:val="auto"/>
        </w:rPr>
      </w:pPr>
    </w:p>
    <w:p>
      <w:pPr>
        <w:ind w:left="4" w:right="20" w:firstLine="440"/>
        <w:spacing w:after="0" w:line="269" w:lineRule="auto"/>
        <w:rPr>
          <w:sz w:val="20"/>
          <w:szCs w:val="20"/>
          <w:color w:val="auto"/>
        </w:rPr>
      </w:pPr>
      <w:r>
        <w:rPr>
          <w:rFonts w:ascii="Times New Roman" w:cs="Times New Roman" w:eastAsia="Times New Roman" w:hAnsi="Times New Roman"/>
          <w:sz w:val="17"/>
          <w:szCs w:val="17"/>
          <w:color w:val="auto"/>
        </w:rPr>
        <w:t>For purposes of foregoing two paragraphs,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and “U.S. Special Resolution Regime” means each of</w:t>
      </w:r>
    </w:p>
    <w:p>
      <w:pPr>
        <w:spacing w:after="0" w:line="3" w:lineRule="exact"/>
        <w:rPr>
          <w:sz w:val="20"/>
          <w:szCs w:val="20"/>
          <w:color w:val="auto"/>
        </w:rPr>
      </w:pPr>
    </w:p>
    <w:p>
      <w:pPr>
        <w:ind w:left="4" w:right="120" w:hanging="4"/>
        <w:spacing w:after="0" w:line="260" w:lineRule="auto"/>
        <w:tabs>
          <w:tab w:leader="none" w:pos="21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Deposit Insurance Act and the regulations promulgated thereunder and (ii) Title II of the Dodd-Frank Wall Street Reform and Consumer Protection Act and the regulations promulgated thereunder.</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70" w:right="459" w:bottom="1440" w:gutter="0" w:footer="0" w:header="0"/>
        </w:sectPr>
      </w:pPr>
    </w:p>
    <w:bookmarkStart w:id="62" w:name="page63"/>
    <w:bookmarkEnd w:id="6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and Exhibit Headings herein are for convenience only and shall not affect the construction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have the respective meanings set forth below:</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“Aggregate Sales Price” means, with respect to a period, the sum of the Sales Prices for all Issuance Securities or Forward Hedge Securities, as applicable, sold during such period.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the time of each sale of any Securities pursuant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means the Company’s Declaration of Trust,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means the Company’s common shares of beneficial interest, par value $.01 per share.</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Confirmation</w:t>
      </w:r>
      <w:r>
        <w:rPr>
          <w:rFonts w:ascii="Times New Roman" w:cs="Times New Roman" w:eastAsia="Times New Roman" w:hAnsi="Times New Roman"/>
          <w:sz w:val="18"/>
          <w:szCs w:val="18"/>
          <w:color w:val="auto"/>
        </w:rPr>
        <w:t>” means the agreement in respect of the share forward sale transaction by and between the Company and the applicable Forward Purchaser, including all provisions incorporated by reference therein.</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Confirmation Securities</w:t>
      </w:r>
      <w:r>
        <w:rPr>
          <w:rFonts w:ascii="Times New Roman" w:cs="Times New Roman" w:eastAsia="Times New Roman" w:hAnsi="Times New Roman"/>
          <w:sz w:val="18"/>
          <w:szCs w:val="18"/>
          <w:color w:val="auto"/>
        </w:rPr>
        <w:t>” means any Common Shares to be issued, sold and/or delivered by the Company to the applicable Forward Purchaser, whether by settlement, acceleration, termination or otherwise, pursuant to any Confirmation.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means the Commission’s Electronic Data Gathering, Analysis and Retrieval system.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means the Financial Industry Regulatory Authority, Inc.</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w:t>
      </w:r>
      <w:r>
        <w:rPr>
          <w:rFonts w:ascii="Times New Roman" w:cs="Times New Roman" w:eastAsia="Times New Roman" w:hAnsi="Times New Roman"/>
          <w:sz w:val="18"/>
          <w:szCs w:val="18"/>
          <w:color w:val="auto"/>
        </w:rPr>
        <w:t>” means each share forward sale transaction (or proposed share forward transaction) corresponding to a particular Placement Notice (as amended by the corresponding Acceptance, if applicable), pursuant to the terms and conditions of this Agreement.</w:t>
      </w:r>
    </w:p>
    <w:p>
      <w:pPr>
        <w:spacing w:after="0" w:line="162" w:lineRule="exact"/>
        <w:rPr>
          <w:sz w:val="20"/>
          <w:szCs w:val="20"/>
          <w:color w:val="auto"/>
        </w:rPr>
      </w:pPr>
    </w:p>
    <w:p>
      <w:pPr>
        <w:ind w:right="8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Price</w:t>
      </w:r>
      <w:r>
        <w:rPr>
          <w:rFonts w:ascii="Times New Roman" w:cs="Times New Roman" w:eastAsia="Times New Roman" w:hAnsi="Times New Roman"/>
          <w:sz w:val="18"/>
          <w:szCs w:val="18"/>
          <w:color w:val="auto"/>
        </w:rPr>
        <w:t>” means, for any Confirmation, the product of (x) an amount equal to one (1) minus the Forward Hedge Selling Commission Rate for such Confirmation and (y) the Volume-Weighted Hedge Price.</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Securities</w:t>
      </w:r>
      <w:r>
        <w:rPr>
          <w:rFonts w:ascii="Times New Roman" w:cs="Times New Roman" w:eastAsia="Times New Roman" w:hAnsi="Times New Roman"/>
          <w:sz w:val="18"/>
          <w:szCs w:val="18"/>
          <w:color w:val="auto"/>
        </w:rPr>
        <w:t>” means all Common Shares offered and sold (or to be offered and sold) by the Forward Sellers in connection with any Forward or proposed Forward that has occurred or may occur in accordance with the terms and conditions of this Agreement and related Placement Notice (as amended by the corresponding Acceptance, if applicable).</w:t>
      </w:r>
    </w:p>
    <w:p>
      <w:pPr>
        <w:spacing w:after="0" w:line="176"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Selling Commission</w:t>
      </w:r>
      <w:r>
        <w:rPr>
          <w:rFonts w:ascii="Times New Roman" w:cs="Times New Roman" w:eastAsia="Times New Roman" w:hAnsi="Times New Roman"/>
          <w:sz w:val="18"/>
          <w:szCs w:val="18"/>
          <w:color w:val="auto"/>
        </w:rPr>
        <w:t>” means, for any Confirmation, the product of (x) the Forward Hedge Selling Commission Rate for such Confirmation and (y) the Volume-Weighted Hedge Price.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40"/>
          </w:cols>
          <w:pgMar w:left="440" w:top="270" w:right="519" w:bottom="1440" w:gutter="0" w:footer="0" w:header="0"/>
        </w:sectPr>
      </w:pPr>
    </w:p>
    <w:bookmarkStart w:id="63" w:name="page64"/>
    <w:bookmarkEnd w:id="63"/>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Forward Hedge Selling Commission Rate</w:t>
      </w:r>
      <w:r>
        <w:rPr>
          <w:rFonts w:ascii="Times New Roman" w:cs="Times New Roman" w:eastAsia="Times New Roman" w:hAnsi="Times New Roman"/>
          <w:sz w:val="17"/>
          <w:szCs w:val="17"/>
          <w:color w:val="auto"/>
        </w:rPr>
        <w:t>” means, for any Confirmation, a rate mutually agreed to between the Company, the Forward Sellers and the Forward Purchasers and specified in the applicable Placement Notice (as amended by the corresponding Acceptance, if applicable), up to 2.0%.</w:t>
      </w:r>
    </w:p>
    <w:p>
      <w:pPr>
        <w:spacing w:after="0" w:line="14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Selling Period</w:t>
      </w:r>
      <w:r>
        <w:rPr>
          <w:rFonts w:ascii="Times New Roman" w:cs="Times New Roman" w:eastAsia="Times New Roman" w:hAnsi="Times New Roman"/>
          <w:sz w:val="18"/>
          <w:szCs w:val="18"/>
          <w:color w:val="auto"/>
        </w:rPr>
        <w:t>” means, subject to Section 2(c) hereof, the period of consecutive Trading Days beginning on the date specified in the applicable Placement Notice (as amended by the corresponding Acceptance, if applicable) or, if such date is not a Trading Day, the next Trading Day following such date and ending on the Hedge Completion Date (as defined in the applicable Confirmation). For the avoidance of doubt, any Forward Hedge Selling Period then in effect shall immediately terminate upon the termination of this Agreement.</w:t>
      </w:r>
    </w:p>
    <w:p>
      <w:pPr>
        <w:spacing w:after="0" w:line="180"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w:t>
      </w:r>
      <w:r>
        <w:rPr>
          <w:rFonts w:ascii="Times New Roman" w:cs="Times New Roman" w:eastAsia="Times New Roman" w:hAnsi="Times New Roman"/>
          <w:sz w:val="18"/>
          <w:szCs w:val="18"/>
          <w:color w:val="auto"/>
        </w:rPr>
        <w:t>” means each transaction (or proposed transaction) corresponding to a particular Placement Notice in which Common Shares issuable by the Company are offered and sold by a Sales Agent pursuant to the terms and conditions of this Agreement.</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Selling Period</w:t>
      </w:r>
      <w:r>
        <w:rPr>
          <w:rFonts w:ascii="Times New Roman" w:cs="Times New Roman" w:eastAsia="Times New Roman" w:hAnsi="Times New Roman"/>
          <w:sz w:val="18"/>
          <w:szCs w:val="18"/>
          <w:color w:val="auto"/>
        </w:rPr>
        <w:t>” means the period of consecutive Trading Days specifying that it relates to an Issuance beginning on the date specified in the applicable Placement Notice (as amended by the corresponding Acceptance, if applicable) or, if such date is not a Trading Day, the next Trading Day following such date.</w:t>
      </w:r>
    </w:p>
    <w:p>
      <w:pPr>
        <w:spacing w:after="0" w:line="176"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Securities</w:t>
      </w:r>
      <w:r>
        <w:rPr>
          <w:rFonts w:ascii="Times New Roman" w:cs="Times New Roman" w:eastAsia="Times New Roman" w:hAnsi="Times New Roman"/>
          <w:sz w:val="18"/>
          <w:szCs w:val="18"/>
          <w:color w:val="auto"/>
        </w:rPr>
        <w:t>” means all Common Shares issued or issuable pursuant to an Issuance or proposed Issuance that has occurred or may occur in accordance with the terms and conditions of this Agreement and related Placement Notice (including any applicable Acceptance).</w:t>
      </w:r>
    </w:p>
    <w:p>
      <w:pPr>
        <w:spacing w:after="0" w:line="162"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xml:space="preserve">” means any “issuer free writing prospectus,” as defined in Rule 433, relating to the Securities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the Securities or of the offering that does not reflect the final terms, and all free writing prospectuses that are listed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hereto, in each case in the form furnished (electronically or otherwise) to the Sales Agents, the Forward Sellers and the Forward Purchasers for use in connection with the offering of the Securities.</w:t>
      </w:r>
    </w:p>
    <w:p>
      <w:pPr>
        <w:spacing w:after="0" w:line="187" w:lineRule="exact"/>
        <w:rPr>
          <w:sz w:val="20"/>
          <w:szCs w:val="20"/>
          <w:color w:val="auto"/>
        </w:rPr>
      </w:pPr>
    </w:p>
    <w:p>
      <w:pPr>
        <w:ind w:right="1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Preferred Shares</w:t>
      </w:r>
      <w:r>
        <w:rPr>
          <w:rFonts w:ascii="Times New Roman" w:cs="Times New Roman" w:eastAsia="Times New Roman" w:hAnsi="Times New Roman"/>
          <w:sz w:val="17"/>
          <w:szCs w:val="17"/>
          <w:color w:val="auto"/>
        </w:rPr>
        <w:t>” means the Company’s preferred shares of beneficial interest, par value $.01 per share, including the Company’s outstanding 5.417% Series 1 Cumulative Convertible Preferred Shares and the Company’s outstanding 5.000% Series C Cumulative Redeemable Preferred Shares.</w:t>
      </w:r>
    </w:p>
    <w:p>
      <w:pPr>
        <w:spacing w:after="0" w:line="140" w:lineRule="exact"/>
        <w:rPr>
          <w:sz w:val="20"/>
          <w:szCs w:val="20"/>
          <w:color w:val="auto"/>
        </w:rPr>
      </w:pPr>
    </w:p>
    <w:p>
      <w:pPr>
        <w:jc w:val="center"/>
        <w:ind w:left="500" w:right="38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462(e)</w:t>
      </w:r>
      <w:r>
        <w:rPr>
          <w:rFonts w:ascii="Times New Roman" w:cs="Times New Roman" w:eastAsia="Times New Roman" w:hAnsi="Times New Roman"/>
          <w:sz w:val="18"/>
          <w:szCs w:val="18"/>
          <w:color w:val="auto"/>
        </w:rPr>
        <w:t>” refer to such rules under the Securities Act. 47</w:t>
      </w:r>
    </w:p>
    <w:p>
      <w:pPr>
        <w:sectPr>
          <w:pgSz w:w="11900" w:h="16838" w:orient="portrait"/>
          <w:cols w:equalWidth="0" w:num="1">
            <w:col w:w="11000"/>
          </w:cols>
          <w:pgMar w:left="440" w:top="270" w:right="459" w:bottom="1440" w:gutter="0" w:footer="0" w:header="0"/>
        </w:sectPr>
      </w:pPr>
    </w:p>
    <w:bookmarkStart w:id="64" w:name="page65"/>
    <w:bookmarkEnd w:id="64"/>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Sales Price</w:t>
      </w:r>
      <w:r>
        <w:rPr>
          <w:rFonts w:ascii="Times New Roman" w:cs="Times New Roman" w:eastAsia="Times New Roman" w:hAnsi="Times New Roman"/>
          <w:sz w:val="18"/>
          <w:szCs w:val="18"/>
          <w:color w:val="auto"/>
        </w:rPr>
        <w:t>” means, for each Forward or each Issuance hereunder, the actual sale execution price of each Forward Hedge Security or Issuance Security, as the case may be, sold by the Sales Agents or the Forward Sellers, as applicable, on the NYSE hereunder in the case of ordinary brokers’ transactions, or as otherwise agreed by the parties in other methods of sale.</w:t>
      </w:r>
    </w:p>
    <w:p>
      <w:pPr>
        <w:spacing w:after="0" w:line="176"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 and the rules and regulations promulgated thereunder or implementing the provisions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Issuance Securities and/or Forward Hedge Securities, as applicable.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Period</w:t>
      </w:r>
      <w:r>
        <w:rPr>
          <w:rFonts w:ascii="Times New Roman" w:cs="Times New Roman" w:eastAsia="Times New Roman" w:hAnsi="Times New Roman"/>
          <w:sz w:val="18"/>
          <w:szCs w:val="18"/>
          <w:color w:val="auto"/>
        </w:rPr>
        <w:t>” means any Forward Hedge Selling Period or any Issuance Selling Period.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means, unless the applicable parties hereto otherwise agree, any Forward Hedge Settlement Date or any Issuance Settlement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Volume-Weighted Hedge Price</w:t>
      </w:r>
      <w:r>
        <w:rPr>
          <w:rFonts w:ascii="Times New Roman" w:cs="Times New Roman" w:eastAsia="Times New Roman" w:hAnsi="Times New Roman"/>
          <w:sz w:val="18"/>
          <w:szCs w:val="18"/>
          <w:color w:val="auto"/>
        </w:rPr>
        <w:t>” means, with respect to any Forward, the volume-weighted average price at which the applicable Forward Hedge Securities are sold.</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Securities by the Sales Agents or the Forward Sellers outside of the United States.</w:t>
      </w:r>
    </w:p>
    <w:p>
      <w:pPr>
        <w:spacing w:after="0" w:line="29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Permitted Free Writing Prospectuses</w:t>
      </w:r>
      <w:r>
        <w:rPr>
          <w:rFonts w:ascii="Times New Roman" w:cs="Times New Roman" w:eastAsia="Times New Roman" w:hAnsi="Times New Roman"/>
          <w:sz w:val="18"/>
          <w:szCs w:val="18"/>
          <w:color w:val="auto"/>
        </w:rPr>
        <w:t>. Each of the Company and the Operating Partnership represents, warrants and agrees that, unless it obtains the prior consent of the Sales Agents, the Forward Sellers and the Forward Purchasers, and each Sales Agent and each Forward Seller, represents, warrants and agrees that, unless it obtains the prior consent of the Company, it has not made and will not make any offer relating to the Securities that would constitute an Issuer Free Writing Prospectus, or that would otherwise constitute a “free writing prospectus,” as defined in</w:t>
      </w:r>
    </w:p>
    <w:p>
      <w:pPr>
        <w:spacing w:after="0" w:line="3"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18"/>
          <w:szCs w:val="18"/>
          <w:color w:val="auto"/>
        </w:rPr>
        <w:t>Rule 405, required to be filed with the Commission. Any such free writing prospectus consented to by the Sales Agents or Forward Sellers and the Forward Purchasers, as applicable, or by the Company, as the case may be, is hereinafter referred to as a “</w:t>
      </w: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40"/>
          </w:cols>
          <w:pgMar w:left="440" w:top="270" w:right="519" w:bottom="1440" w:gutter="0" w:footer="0" w:header="0"/>
        </w:sectPr>
      </w:pPr>
    </w:p>
    <w:bookmarkStart w:id="65" w:name="page66"/>
    <w:bookmarkEnd w:id="65"/>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Commission where required, legending and record keeping. For the purposes of clarity, the parties hereto agree that all free writing prospectuses, if any, listed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hereto are Permitted Free Writing Prospectuses.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Each of the Company and the Operating Partnership acknowledges and agrees that:</w:t>
      </w:r>
    </w:p>
    <w:p>
      <w:pPr>
        <w:spacing w:after="0" w:line="117" w:lineRule="exact"/>
        <w:rPr>
          <w:sz w:val="20"/>
          <w:szCs w:val="20"/>
          <w:color w:val="auto"/>
        </w:rPr>
      </w:pPr>
    </w:p>
    <w:p>
      <w:pPr>
        <w:ind w:firstLine="436"/>
        <w:spacing w:after="0" w:line="254" w:lineRule="auto"/>
        <w:tabs>
          <w:tab w:leader="none" w:pos="6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Sales Agents and the Forward Sellers is acting solely as agent and/or principal in connection with the public offering of the Securities and in connection with each transaction contemplated by this Agreement and the process leading to such transactions. No fiduciary or advisory relationship between the Company, the Operating Partnership or any of their respective affiliates, stockholders (or other equity holders), creditors or employees or any other party, on the one hand, and the Sales Agents, the Forward Sellers and the Forward Purchasers, on the other hand, has been or will be created in respect of any of the transactions contemplated by this Agreement, irrespective of whether or not a Sales Agent, a Forward Seller or a Forward Purchaser has advised or is advising the Company and/or the Operating Partnership on other matters, and none of the Sales Agents, the Forward Sellers and the Forward Purchasers has any obligation to the Company or the Operating Partnership with respect to the transactions contemplated by this Agreement except the obligations expressly set forth in this Agreement;</w:t>
      </w:r>
    </w:p>
    <w:p>
      <w:pPr>
        <w:spacing w:after="0" w:line="191" w:lineRule="exact"/>
        <w:rPr>
          <w:rFonts w:ascii="Times New Roman" w:cs="Times New Roman" w:eastAsia="Times New Roman" w:hAnsi="Times New Roman"/>
          <w:sz w:val="18"/>
          <w:szCs w:val="18"/>
          <w:color w:val="auto"/>
        </w:rPr>
      </w:pPr>
    </w:p>
    <w:p>
      <w:pPr>
        <w:ind w:right="640" w:firstLine="436"/>
        <w:spacing w:after="0" w:line="282" w:lineRule="auto"/>
        <w:tabs>
          <w:tab w:leader="none" w:pos="6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or minimum market price of the Securities set forth in this Agreement was not established by the Sales Agents, the Forward Sellers and the Forward Purchasers;</w:t>
      </w:r>
    </w:p>
    <w:p>
      <w:pPr>
        <w:spacing w:after="0" w:line="161" w:lineRule="exact"/>
        <w:rPr>
          <w:rFonts w:ascii="Times New Roman" w:cs="Times New Roman" w:eastAsia="Times New Roman" w:hAnsi="Times New Roman"/>
          <w:sz w:val="18"/>
          <w:szCs w:val="18"/>
          <w:color w:val="auto"/>
        </w:rPr>
      </w:pPr>
    </w:p>
    <w:p>
      <w:pPr>
        <w:ind w:right="80" w:firstLine="436"/>
        <w:spacing w:after="0" w:line="282" w:lineRule="auto"/>
        <w:tabs>
          <w:tab w:leader="none" w:pos="6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capable of evaluating and understanding, and understands and accepts, the terms, risks and conditions of the transactions contemplated by this Agreement;</w:t>
      </w:r>
    </w:p>
    <w:p>
      <w:pPr>
        <w:spacing w:after="0" w:line="161"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Sales Agents, the Forward Sellers and the Forward Purchasers has provided any legal, accounting, regulatory or tax advice with respect to the transactions contemplated by this Agreement and the Company has consulted its own legal, accounting, regulatory and tax advisors to the extent the Company has deemed appropriate;</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6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aware that the Sales Agents, the Forward Sellers, the Forward Purchasers and their respective affiliates are engaged in a broad range of transactions which may involve interests that differ from those of the Company and the Operating Partnership, and the Sales Agents, the Forward Sellers and the Forward Purchasers have no obligation to disclose such interests and transactions to the Company or the Operating Partnership by virtue of any fiduciary, advisory or agency relationship or otherwise; and</w:t>
      </w:r>
    </w:p>
    <w:p>
      <w:pPr>
        <w:spacing w:after="0" w:line="179" w:lineRule="exact"/>
        <w:rPr>
          <w:rFonts w:ascii="Times New Roman" w:cs="Times New Roman" w:eastAsia="Times New Roman" w:hAnsi="Times New Roman"/>
          <w:sz w:val="18"/>
          <w:szCs w:val="18"/>
          <w:color w:val="auto"/>
        </w:rPr>
      </w:pPr>
    </w:p>
    <w:p>
      <w:pPr>
        <w:ind w:right="100" w:firstLine="436"/>
        <w:spacing w:after="0" w:line="258" w:lineRule="auto"/>
        <w:tabs>
          <w:tab w:leader="none" w:pos="66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waives, to the fullest extent permitted by law, any claims it may have against the Sales Agents, the Forward Sellers and the Forward Purchasers for breach of fiduciary duty or alleged breach of fiduciary duty and agrees that the Sales Agents, the Forward Sellers and the Forward Purchasers shall not have any liability (whether direct or indirect, in contract, tort or otherwise) to it in respect of such a fiduciary duty claim or to any person asserting a fiduciary duty claim on its behalf or in right of it or the Company, the Operating Partnership, employees or creditors of the Company or the Operating Partnership.</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 Follows]</w:t>
      </w:r>
    </w:p>
    <w:p>
      <w:pPr>
        <w:sectPr>
          <w:pgSz w:w="11900" w:h="16838" w:orient="portrait"/>
          <w:cols w:equalWidth="0" w:num="1">
            <w:col w:w="9019"/>
          </w:cols>
          <w:pgMar w:left="1440" w:top="266" w:right="1440"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9019"/>
          </w:cols>
          <w:pgMar w:left="1440" w:top="266" w:right="1440" w:bottom="1440" w:gutter="0" w:footer="0" w:header="0"/>
          <w:type w:val="continuous"/>
        </w:sectPr>
      </w:pPr>
    </w:p>
    <w:bookmarkStart w:id="67" w:name="page68"/>
    <w:bookmarkEnd w:id="67"/>
    <w:p>
      <w:pPr>
        <w:ind w:right="68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parties hereto in accordance with its terms.</w:t>
      </w:r>
    </w:p>
    <w:p>
      <w:pPr>
        <w:spacing w:after="0" w:line="16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4051935</wp:posOffset>
            </wp:positionH>
            <wp:positionV relativeFrom="paragraph">
              <wp:posOffset>17145</wp:posOffset>
            </wp:positionV>
            <wp:extent cx="29400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9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Name: Daniel Guglielmone</w:t>
      </w:r>
    </w:p>
    <w:p>
      <w:pPr>
        <w:spacing w:after="0" w:line="27" w:lineRule="exact"/>
        <w:rPr>
          <w:sz w:val="20"/>
          <w:szCs w:val="20"/>
          <w:color w:val="auto"/>
        </w:rPr>
      </w:pPr>
    </w:p>
    <w:p>
      <w:pPr>
        <w:ind w:left="5900"/>
        <w:spacing w:after="0"/>
        <w:tabs>
          <w:tab w:leader="none" w:pos="6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President-Chief Financial Officer and Treasurer</w:t>
      </w:r>
    </w:p>
    <w:p>
      <w:pPr>
        <w:spacing w:after="0" w:line="20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FEDERAL REALTY OP LP</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4051935</wp:posOffset>
            </wp:positionH>
            <wp:positionV relativeFrom="paragraph">
              <wp:posOffset>17145</wp:posOffset>
            </wp:positionV>
            <wp:extent cx="29400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9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Name: Daniel Guglielmone</w:t>
      </w:r>
    </w:p>
    <w:p>
      <w:pPr>
        <w:spacing w:after="0" w:line="117" w:lineRule="exact"/>
        <w:rPr>
          <w:sz w:val="20"/>
          <w:szCs w:val="20"/>
          <w:color w:val="auto"/>
        </w:rPr>
      </w:pPr>
    </w:p>
    <w:p>
      <w:pPr>
        <w:ind w:left="5900"/>
        <w:spacing w:after="0"/>
        <w:tabs>
          <w:tab w:leader="none" w:pos="6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President-Chief Financial Officer and Treasurer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AND ACCEPTED,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ATM Equity Distribution Agreement Signature Page</w:t>
      </w:r>
    </w:p>
    <w:p>
      <w:pPr>
        <w:sectPr>
          <w:pgSz w:w="11900" w:h="16838" w:orient="portrait"/>
          <w:cols w:equalWidth="0" w:num="1">
            <w:col w:w="11020"/>
          </w:cols>
          <w:pgMar w:left="440" w:top="270"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Wells Fargo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Sales Agents and Forward Sellers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AND ACCEPTED,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National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15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019"/>
          </w:cols>
          <w:pgMar w:left="440" w:top="270"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Forward Purchasers, solely as the recipients and/or beneficiaries of certain representations, warranties, covenants and indemnities set forth in this Agreement</w:t>
      </w:r>
    </w:p>
    <w:p>
      <w:pPr>
        <w:spacing w:after="0" w:line="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40"/>
          </w:cols>
          <w:pgMar w:left="440" w:top="270" w:right="819" w:bottom="1440" w:gutter="0" w:footer="0" w:header="0"/>
        </w:sectPr>
      </w:pPr>
    </w:p>
    <w:bookmarkStart w:id="70" w:name="page71"/>
    <w:bookmarkEnd w:id="70"/>
    <w:p>
      <w:pPr>
        <w:jc w:val="center"/>
        <w:ind w:right="-1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u w:val="single" w:color="auto"/>
          <w:color w:val="auto"/>
        </w:rPr>
        <w:t>[FORM OF PLACEMENT NOTICE]</w:t>
      </w:r>
    </w:p>
    <w:p>
      <w:pPr>
        <w:spacing w:after="0" w:line="117"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3"/>
              </w:rPr>
              <w:t>From:   [ 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Cc:     </w:t>
            </w:r>
          </w:p>
        </w:tc>
        <w:tc>
          <w:tcPr>
            <w:tcW w:w="2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4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To:     </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1"/>
              </w:rPr>
              <w:t>]</w:t>
            </w:r>
            <w:r>
              <w:rPr>
                <w:rFonts w:ascii="Times New Roman" w:cs="Times New Roman" w:eastAsia="Times New Roman" w:hAnsi="Times New Roman"/>
                <w:sz w:val="26"/>
                <w:szCs w:val="26"/>
                <w:color w:val="auto"/>
                <w:w w:val="81"/>
                <w:vertAlign w:val="superscript"/>
              </w:rPr>
              <w:t>1</w:t>
            </w:r>
          </w:p>
        </w:tc>
      </w:tr>
    </w:tbl>
    <w:p>
      <w:pPr>
        <w:ind w:left="4"/>
        <w:spacing w:after="0"/>
        <w:rPr>
          <w:sz w:val="20"/>
          <w:szCs w:val="20"/>
          <w:color w:val="auto"/>
        </w:rPr>
      </w:pPr>
      <w:r>
        <w:rPr>
          <w:rFonts w:ascii="Times New Roman" w:cs="Times New Roman" w:eastAsia="Times New Roman" w:hAnsi="Times New Roman"/>
          <w:sz w:val="18"/>
          <w:szCs w:val="18"/>
          <w:color w:val="auto"/>
        </w:rPr>
        <w:t>Subject: Equity Distribution—Placement Notice</w:t>
      </w:r>
    </w:p>
    <w:p>
      <w:pPr>
        <w:spacing w:after="0" w:line="3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Gentlemen:</w:t>
      </w:r>
    </w:p>
    <w:p>
      <w:pPr>
        <w:spacing w:after="0" w:line="117" w:lineRule="exact"/>
        <w:rPr>
          <w:sz w:val="20"/>
          <w:szCs w:val="20"/>
          <w:color w:val="auto"/>
        </w:rPr>
      </w:pPr>
    </w:p>
    <w:p>
      <w:pPr>
        <w:ind w:left="4" w:firstLine="440"/>
        <w:spacing w:after="0" w:line="269" w:lineRule="auto"/>
        <w:rPr>
          <w:sz w:val="20"/>
          <w:szCs w:val="20"/>
          <w:color w:val="auto"/>
        </w:rPr>
      </w:pPr>
      <w:r>
        <w:rPr>
          <w:rFonts w:ascii="Times New Roman" w:cs="Times New Roman" w:eastAsia="Times New Roman" w:hAnsi="Times New Roman"/>
          <w:sz w:val="18"/>
          <w:szCs w:val="18"/>
          <w:color w:val="auto"/>
        </w:rPr>
        <w:t>Reference is made to the Equity Distribution Agreement among Federal Realty Investment Trust, [BANK NAME] and the other parties thereto, dated February 14, 2022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Capitalized terms used in this Placement Notice without definition shall have the respective definitions ascribed to them in the Agreement. Pursuant to the terms and subject to the conditions contained in the Agreement, this Placement Notice relates to [an Issuance]</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 Forward].</w:t>
      </w:r>
      <w:r>
        <w:rPr>
          <w:rFonts w:ascii="Times New Roman" w:cs="Times New Roman" w:eastAsia="Times New Roman" w:hAnsi="Times New Roman"/>
          <w:sz w:val="26"/>
          <w:szCs w:val="26"/>
          <w:color w:val="auto"/>
          <w:vertAlign w:val="superscript"/>
        </w:rPr>
        <w:t>3</w:t>
      </w:r>
    </w:p>
    <w:p>
      <w:pPr>
        <w:spacing w:after="0" w:line="4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Anticipated number of Trading Days in [Issuance]</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[Forward Hedge]</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Selling Period: [   ]</w:t>
      </w:r>
    </w:p>
    <w:p>
      <w:pPr>
        <w:spacing w:after="0" w:line="4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[Deadline for Forward Hedge Selling Period: [   ]]</w:t>
      </w:r>
      <w:r>
        <w:rPr>
          <w:rFonts w:ascii="Times New Roman" w:cs="Times New Roman" w:eastAsia="Times New Roman" w:hAnsi="Times New Roman"/>
          <w:sz w:val="26"/>
          <w:szCs w:val="26"/>
          <w:color w:val="auto"/>
          <w:vertAlign w:val="superscript"/>
        </w:rPr>
        <w:t>6</w:t>
      </w: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First day of [Issuance]</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[Forward Hedge]</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 xml:space="preserve"> Selling Period: [   ]</w:t>
      </w: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Maximum amount of Securities to be sold: [$][   ]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715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2" w:lineRule="exact"/>
        <w:rPr>
          <w:sz w:val="20"/>
          <w:szCs w:val="20"/>
          <w:color w:val="auto"/>
        </w:rPr>
      </w:pPr>
    </w:p>
    <w:p>
      <w:pPr>
        <w:ind w:left="424" w:hanging="424"/>
        <w:spacing w:after="0"/>
        <w:tabs>
          <w:tab w:leader="none" w:pos="424" w:val="left"/>
        </w:tabs>
        <w:numPr>
          <w:ilvl w:val="0"/>
          <w:numId w:val="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Sales Agent’s or Forward Seller and Forward Purchaser’s names.</w:t>
      </w:r>
    </w:p>
    <w:p>
      <w:pPr>
        <w:spacing w:after="0" w:line="27" w:lineRule="exact"/>
        <w:rPr>
          <w:sz w:val="20"/>
          <w:szCs w:val="20"/>
          <w:color w:val="auto"/>
        </w:rPr>
      </w:pPr>
    </w:p>
    <w:p>
      <w:pPr>
        <w:ind w:left="424" w:hanging="424"/>
        <w:spacing w:after="0"/>
        <w:tabs>
          <w:tab w:leader="none" w:pos="424" w:val="left"/>
        </w:tabs>
        <w:numPr>
          <w:ilvl w:val="0"/>
          <w:numId w:val="6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for a Placement Notice that relates to an Issuance.</w:t>
      </w:r>
    </w:p>
    <w:p>
      <w:pPr>
        <w:spacing w:after="0" w:line="27" w:lineRule="exact"/>
        <w:rPr>
          <w:sz w:val="20"/>
          <w:szCs w:val="20"/>
          <w:color w:val="auto"/>
        </w:rPr>
      </w:pPr>
    </w:p>
    <w:p>
      <w:pPr>
        <w:ind w:left="424" w:hanging="424"/>
        <w:spacing w:after="0"/>
        <w:tabs>
          <w:tab w:leader="none" w:pos="424" w:val="left"/>
        </w:tabs>
        <w:numPr>
          <w:ilvl w:val="0"/>
          <w:numId w:val="6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for a Placement Notice that relates to a Forward.</w:t>
      </w:r>
    </w:p>
    <w:p>
      <w:pPr>
        <w:spacing w:after="0" w:line="27" w:lineRule="exact"/>
        <w:rPr>
          <w:sz w:val="20"/>
          <w:szCs w:val="20"/>
          <w:color w:val="auto"/>
        </w:rPr>
      </w:pPr>
    </w:p>
    <w:p>
      <w:pPr>
        <w:ind w:left="424" w:hanging="424"/>
        <w:spacing w:after="0"/>
        <w:tabs>
          <w:tab w:leader="none" w:pos="424" w:val="left"/>
        </w:tabs>
        <w:numPr>
          <w:ilvl w:val="0"/>
          <w:numId w:val="6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for a Placement Notice that relates to an Issuance.</w:t>
      </w:r>
    </w:p>
    <w:p>
      <w:pPr>
        <w:spacing w:after="0" w:line="27" w:lineRule="exact"/>
        <w:rPr>
          <w:sz w:val="20"/>
          <w:szCs w:val="20"/>
          <w:color w:val="auto"/>
        </w:rPr>
      </w:pPr>
    </w:p>
    <w:p>
      <w:pPr>
        <w:ind w:left="424" w:hanging="424"/>
        <w:spacing w:after="0"/>
        <w:tabs>
          <w:tab w:leader="none" w:pos="424" w:val="left"/>
        </w:tabs>
        <w:numPr>
          <w:ilvl w:val="0"/>
          <w:numId w:val="6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for a Placement Notice that relates to a Forward.</w:t>
      </w:r>
    </w:p>
    <w:p>
      <w:pPr>
        <w:spacing w:after="0" w:line="27" w:lineRule="exact"/>
        <w:rPr>
          <w:sz w:val="20"/>
          <w:szCs w:val="20"/>
          <w:color w:val="auto"/>
        </w:rPr>
      </w:pPr>
    </w:p>
    <w:p>
      <w:pPr>
        <w:ind w:left="424" w:hanging="424"/>
        <w:spacing w:after="0"/>
        <w:tabs>
          <w:tab w:leader="none" w:pos="424" w:val="left"/>
        </w:tabs>
        <w:numPr>
          <w:ilvl w:val="0"/>
          <w:numId w:val="6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for a Placement Notice that relates to a Forward.</w:t>
      </w:r>
    </w:p>
    <w:p>
      <w:pPr>
        <w:spacing w:after="0" w:line="27" w:lineRule="exact"/>
        <w:rPr>
          <w:sz w:val="20"/>
          <w:szCs w:val="20"/>
          <w:color w:val="auto"/>
        </w:rPr>
      </w:pPr>
    </w:p>
    <w:p>
      <w:pPr>
        <w:ind w:left="424" w:hanging="424"/>
        <w:spacing w:after="0"/>
        <w:tabs>
          <w:tab w:leader="none" w:pos="424" w:val="left"/>
        </w:tabs>
        <w:numPr>
          <w:ilvl w:val="0"/>
          <w:numId w:val="6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for a Placement Notice that relates to an Issuance.</w:t>
      </w:r>
    </w:p>
    <w:p>
      <w:pPr>
        <w:spacing w:after="0" w:line="27" w:lineRule="exact"/>
        <w:rPr>
          <w:sz w:val="20"/>
          <w:szCs w:val="20"/>
          <w:color w:val="auto"/>
        </w:rPr>
      </w:pPr>
    </w:p>
    <w:p>
      <w:pPr>
        <w:ind w:left="424" w:hanging="424"/>
        <w:spacing w:after="0"/>
        <w:tabs>
          <w:tab w:leader="none" w:pos="424" w:val="left"/>
        </w:tabs>
        <w:numPr>
          <w:ilvl w:val="0"/>
          <w:numId w:val="6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for a Placement Notice that relates to a Forward.</w:t>
      </w:r>
    </w:p>
    <w:p>
      <w:pPr>
        <w:spacing w:after="0" w:line="130"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Exh A-1</w:t>
      </w:r>
    </w:p>
    <w:p>
      <w:pPr>
        <w:sectPr>
          <w:pgSz w:w="11900" w:h="16838" w:orient="portrait"/>
          <w:cols w:equalWidth="0" w:num="1">
            <w:col w:w="10884"/>
          </w:cols>
          <w:pgMar w:left="436" w:top="270" w:right="579" w:bottom="1440" w:gutter="0" w:footer="0" w:header="0"/>
        </w:sectPr>
      </w:pPr>
    </w:p>
    <w:bookmarkStart w:id="71" w:name="page72"/>
    <w:bookmarkEnd w:id="7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 Hedge Selling Commission Rate: [   ]%</w:t>
      </w:r>
    </w:p>
    <w:p>
      <w:pPr>
        <w:spacing w:after="0" w:line="24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56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Forward Price Reduction Dates</w:t>
            </w:r>
          </w:p>
        </w:tc>
        <w:tc>
          <w:tcPr>
            <w:tcW w:w="23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Forward Price Reduction Amounts</w:t>
            </w:r>
          </w:p>
        </w:tc>
        <w:tc>
          <w:tcPr>
            <w:tcW w:w="360" w:type="dxa"/>
            <w:vAlign w:val="bottom"/>
          </w:tcPr>
          <w:p>
            <w:pPr>
              <w:spacing w:after="0"/>
              <w:rPr>
                <w:sz w:val="13"/>
                <w:szCs w:val="13"/>
                <w:color w:val="auto"/>
              </w:rPr>
            </w:pPr>
          </w:p>
        </w:tc>
      </w:tr>
      <w:tr>
        <w:trPr>
          <w:trHeight w:val="216"/>
        </w:trPr>
        <w:tc>
          <w:tcPr>
            <w:tcW w:w="132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7"/>
                <w:szCs w:val="17"/>
                <w:color w:val="auto"/>
                <w:w w:val="70"/>
              </w:rPr>
              <w:t>[ </w:t>
            </w:r>
          </w:p>
        </w:tc>
        <w:tc>
          <w:tcPr>
            <w:tcW w:w="504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7"/>
                <w:szCs w:val="17"/>
                <w:color w:val="auto"/>
                <w:w w:val="70"/>
              </w:rPr>
              <w:t>[ </w:t>
            </w:r>
          </w:p>
        </w:tc>
        <w:tc>
          <w:tcPr>
            <w:tcW w:w="504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p>
        </w:tc>
      </w:tr>
      <w:tr>
        <w:trPr>
          <w:trHeight w:val="540"/>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Spread: [   ]</w:t>
            </w:r>
          </w:p>
        </w:tc>
        <w:tc>
          <w:tcPr>
            <w:tcW w:w="50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loan fee permitting adjustments in Confirmation: [   ] basis points per annum</w:t>
            </w:r>
          </w:p>
        </w:tc>
        <w:tc>
          <w:tcPr>
            <w:tcW w:w="23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Stock loan fee triggering a stock borrow event in the Confirmation: [   ] basis points per annum</w:t>
            </w:r>
          </w:p>
        </w:tc>
        <w:tc>
          <w:tcPr>
            <w:tcW w:w="23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Regular Dividend Amounts:</w:t>
            </w:r>
          </w:p>
        </w:tc>
        <w:tc>
          <w:tcPr>
            <w:tcW w:w="23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43"/>
        </w:trPr>
        <w:tc>
          <w:tcPr>
            <w:tcW w:w="1320" w:type="dxa"/>
            <w:vAlign w:val="bottom"/>
          </w:tcPr>
          <w:p>
            <w:pPr>
              <w:spacing w:after="0"/>
              <w:rPr>
                <w:sz w:val="21"/>
                <w:szCs w:val="21"/>
                <w:color w:val="auto"/>
              </w:rPr>
            </w:pPr>
          </w:p>
        </w:tc>
        <w:tc>
          <w:tcPr>
            <w:tcW w:w="5660" w:type="dxa"/>
            <w:vAlign w:val="bottom"/>
            <w:gridSpan w:val="2"/>
          </w:tcPr>
          <w:p>
            <w:pPr>
              <w:spacing w:after="0"/>
              <w:rPr>
                <w:sz w:val="21"/>
                <w:szCs w:val="21"/>
                <w:color w:val="auto"/>
              </w:rPr>
            </w:pPr>
          </w:p>
        </w:tc>
        <w:tc>
          <w:tcPr>
            <w:tcW w:w="23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16"/>
        </w:trPr>
        <w:tc>
          <w:tcPr>
            <w:tcW w:w="13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any calendar month ending on or prior to [December 31, 20[ ]]:</w:t>
            </w:r>
          </w:p>
        </w:tc>
        <w:tc>
          <w:tcPr>
            <w:tcW w:w="234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w w:val="84"/>
              </w:rPr>
              <w:t>$[ </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355"/>
        </w:trPr>
        <w:tc>
          <w:tcPr>
            <w:tcW w:w="1320" w:type="dxa"/>
            <w:vAlign w:val="bottom"/>
          </w:tcPr>
          <w:p>
            <w:pPr>
              <w:spacing w:after="0"/>
              <w:rPr>
                <w:sz w:val="24"/>
                <w:szCs w:val="24"/>
                <w:color w:val="auto"/>
              </w:rPr>
            </w:pPr>
          </w:p>
        </w:tc>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any calendar month ending after [December 31, 20[   ]]:</w:t>
            </w:r>
          </w:p>
        </w:tc>
        <w:tc>
          <w:tcPr>
            <w:tcW w:w="234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84"/>
              </w:rPr>
              <w:t>$[ </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26"/>
                <w:szCs w:val="26"/>
                <w:color w:val="auto"/>
                <w:vertAlign w:val="superscript"/>
              </w:rPr>
              <w:t>9</w:t>
            </w:r>
          </w:p>
        </w:tc>
      </w:tr>
    </w:tbl>
    <w:p>
      <w:pPr>
        <w:spacing w:after="0" w:line="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Floor price (adjustable by Company during the Selling Period, and in no event less than $0.01 per share): $[   ] per share</w:t>
      </w:r>
    </w:p>
    <w:p>
      <w:pPr>
        <w:spacing w:after="0" w:line="221" w:lineRule="exact"/>
        <w:rPr>
          <w:sz w:val="20"/>
          <w:szCs w:val="20"/>
          <w:color w:val="auto"/>
        </w:rPr>
      </w:pPr>
    </w:p>
    <w:p>
      <w:pPr>
        <w:ind w:left="4"/>
        <w:spacing w:after="0" w:line="262" w:lineRule="auto"/>
        <w:rPr>
          <w:sz w:val="20"/>
          <w:szCs w:val="20"/>
          <w:color w:val="auto"/>
        </w:rPr>
      </w:pPr>
      <w:r>
        <w:rPr>
          <w:rFonts w:ascii="Times New Roman" w:cs="Times New Roman" w:eastAsia="Times New Roman" w:hAnsi="Times New Roman"/>
          <w:sz w:val="18"/>
          <w:szCs w:val="18"/>
          <w:b w:val="1"/>
          <w:bCs w:val="1"/>
          <w:color w:val="auto"/>
        </w:rPr>
        <w:t>[ADDITIONAL SALES PARAMETERS MAY BE ADDED, SUCH AS THE TIME PERIOD IN WHICH SALES ARE REQUESTED TO BE MADE, SPECIFIC DATES THE SECURITIES MAY NOT BE SOLD ON, THE MANNER IN WHICH SALES ARE TO BE MADE BY THE SALES AGENT OR THE FORWARD SELLER, AND/OR THE CAPACITY IN WHICH THE SALES AGENT OR THE FORWARD SELLER MAY ACT IN SELLING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7715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55" w:lineRule="exact"/>
        <w:rPr>
          <w:sz w:val="20"/>
          <w:szCs w:val="20"/>
          <w:color w:val="auto"/>
        </w:rPr>
      </w:pPr>
    </w:p>
    <w:p>
      <w:pPr>
        <w:ind w:left="424" w:right="40" w:hanging="424"/>
        <w:spacing w:after="0" w:line="208" w:lineRule="auto"/>
        <w:tabs>
          <w:tab w:leader="none" w:pos="424" w:val="left"/>
        </w:tabs>
        <w:numPr>
          <w:ilvl w:val="0"/>
          <w:numId w:val="6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for a Placement Notice that relates to a Forward. Regular Dividend Amounts shall not exceed the Forward Price Reduction Amount for the Forward Price Reduction Date occurring in the relevant month (or, if none, shall not exceed zero).</w:t>
      </w:r>
    </w:p>
    <w:p>
      <w:pPr>
        <w:spacing w:after="0" w:line="132"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Exh A-2</w:t>
      </w:r>
    </w:p>
    <w:p>
      <w:pPr>
        <w:sectPr>
          <w:pgSz w:w="11900" w:h="16838" w:orient="portrait"/>
          <w:cols w:equalWidth="0" w:num="1">
            <w:col w:w="10924"/>
          </w:cols>
          <w:pgMar w:left="436" w:top="270" w:right="539" w:bottom="1440" w:gutter="0" w:footer="0" w:header="0"/>
        </w:sectPr>
      </w:pPr>
    </w:p>
    <w:bookmarkStart w:id="72" w:name="page73"/>
    <w:bookmarkEnd w:id="72"/>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B-1</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FORM OF CONFIRMATION</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Form of Forward Confirmation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 • ]</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Federal Realty Investment Trust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909 Rose Avenue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Suite 200</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 • ]</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From: [DEALER]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The purpose of this letter agreement is to confirm the terms and conditions of the Transaction entered into between [DEALER] (“</w:t>
      </w:r>
      <w:r>
        <w:rPr>
          <w:rFonts w:ascii="Times New Roman" w:cs="Times New Roman" w:eastAsia="Times New Roman" w:hAnsi="Times New Roman"/>
          <w:sz w:val="18"/>
          <w:szCs w:val="18"/>
          <w:b w:val="1"/>
          <w:bCs w:val="1"/>
          <w:i w:val="1"/>
          <w:iCs w:val="1"/>
          <w:color w:val="auto"/>
        </w:rPr>
        <w:t>Dealer</w:t>
      </w:r>
      <w:r>
        <w:rPr>
          <w:rFonts w:ascii="Times New Roman" w:cs="Times New Roman" w:eastAsia="Times New Roman" w:hAnsi="Times New Roman"/>
          <w:sz w:val="18"/>
          <w:szCs w:val="18"/>
          <w:color w:val="auto"/>
        </w:rPr>
        <w:t>”) and Federal Realty Investment Trust (the “</w:t>
      </w:r>
      <w:r>
        <w:rPr>
          <w:rFonts w:ascii="Times New Roman" w:cs="Times New Roman" w:eastAsia="Times New Roman" w:hAnsi="Times New Roman"/>
          <w:sz w:val="18"/>
          <w:szCs w:val="18"/>
          <w:b w:val="1"/>
          <w:bCs w:val="1"/>
          <w:i w:val="1"/>
          <w:iCs w:val="1"/>
          <w:color w:val="auto"/>
        </w:rPr>
        <w:t>Counterparty</w:t>
      </w:r>
      <w:r>
        <w:rPr>
          <w:rFonts w:ascii="Times New Roman" w:cs="Times New Roman" w:eastAsia="Times New Roman" w:hAnsi="Times New Roman"/>
          <w:sz w:val="18"/>
          <w:szCs w:val="18"/>
          <w:color w:val="auto"/>
        </w:rPr>
        <w:t>”) on the Trade Date specified below (the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This letter agreement constitutes a “Confirmation” as referred to in the ISDA 2002 Master Agreement specified below.</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The definitions and provisions contained in the 2002 ISDA Equity Derivatives Definitions (the “</w:t>
      </w:r>
      <w:r>
        <w:rPr>
          <w:rFonts w:ascii="Times New Roman" w:cs="Times New Roman" w:eastAsia="Times New Roman" w:hAnsi="Times New Roman"/>
          <w:sz w:val="18"/>
          <w:szCs w:val="18"/>
          <w:b w:val="1"/>
          <w:bCs w:val="1"/>
          <w:i w:val="1"/>
          <w:iCs w:val="1"/>
          <w:color w:val="auto"/>
        </w:rPr>
        <w:t>Equity Definitions</w:t>
      </w:r>
      <w:r>
        <w:rPr>
          <w:rFonts w:ascii="Times New Roman" w:cs="Times New Roman" w:eastAsia="Times New Roman" w:hAnsi="Times New Roman"/>
          <w:sz w:val="18"/>
          <w:szCs w:val="18"/>
          <w:color w:val="auto"/>
        </w:rPr>
        <w:t>”), as published by the International Swaps and Derivatives Association, Inc. (“</w:t>
      </w:r>
      <w:r>
        <w:rPr>
          <w:rFonts w:ascii="Times New Roman" w:cs="Times New Roman" w:eastAsia="Times New Roman" w:hAnsi="Times New Roman"/>
          <w:sz w:val="18"/>
          <w:szCs w:val="18"/>
          <w:b w:val="1"/>
          <w:bCs w:val="1"/>
          <w:i w:val="1"/>
          <w:iCs w:val="1"/>
          <w:color w:val="auto"/>
        </w:rPr>
        <w:t>ISDA</w:t>
      </w:r>
      <w:r>
        <w:rPr>
          <w:rFonts w:ascii="Times New Roman" w:cs="Times New Roman" w:eastAsia="Times New Roman" w:hAnsi="Times New Roman"/>
          <w:sz w:val="18"/>
          <w:szCs w:val="18"/>
          <w:color w:val="auto"/>
        </w:rPr>
        <w:t>”), are incorporated into this Confirmation. In the event of any inconsistency between the Equity Definitions and this Confirmation, this Confirmation shall govern.</w:t>
      </w:r>
    </w:p>
    <w:p>
      <w:pPr>
        <w:spacing w:after="0" w:line="17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76" w:lineRule="exact"/>
        <w:rPr>
          <w:sz w:val="20"/>
          <w:szCs w:val="20"/>
          <w:color w:val="auto"/>
        </w:rPr>
      </w:pPr>
    </w:p>
    <w:p>
      <w:pPr>
        <w:ind w:right="80" w:firstLine="436"/>
        <w:spacing w:after="0" w:line="261" w:lineRule="auto"/>
        <w:tabs>
          <w:tab w:leader="none" w:pos="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Confirmation and the pricing supplement delivered hereunder evidence a complete and binding agreement between Dealer and Counterparty as to the terms of the Transaction to which this Confirmation relates. This Confirmation, together with any other Confirmations for registered forward transactions entered into between Dealer and Counterparty (each, an “</w:t>
      </w:r>
      <w:r>
        <w:rPr>
          <w:rFonts w:ascii="Times New Roman" w:cs="Times New Roman" w:eastAsia="Times New Roman" w:hAnsi="Times New Roman"/>
          <w:sz w:val="18"/>
          <w:szCs w:val="18"/>
          <w:b w:val="1"/>
          <w:bCs w:val="1"/>
          <w:i w:val="1"/>
          <w:iCs w:val="1"/>
          <w:color w:val="auto"/>
        </w:rPr>
        <w:t>Additional Confirmation</w:t>
      </w:r>
      <w:r>
        <w:rPr>
          <w:rFonts w:ascii="Times New Roman" w:cs="Times New Roman" w:eastAsia="Times New Roman" w:hAnsi="Times New Roman"/>
          <w:sz w:val="18"/>
          <w:szCs w:val="18"/>
          <w:color w:val="auto"/>
        </w:rPr>
        <w:t>”), shall supplement, form a part of, and be subject to an</w:t>
      </w:r>
    </w:p>
    <w:p>
      <w:pPr>
        <w:sectPr>
          <w:pgSz w:w="11900" w:h="16838" w:orient="portrait"/>
          <w:cols w:equalWidth="0" w:num="1">
            <w:col w:w="10900"/>
          </w:cols>
          <w:pgMar w:left="440" w:top="270" w:right="559" w:bottom="1440" w:gutter="0" w:footer="0" w:header="0"/>
        </w:sectPr>
      </w:pPr>
    </w:p>
    <w:bookmarkStart w:id="73" w:name="page74"/>
    <w:bookmarkEnd w:id="7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in the form of the ISDA 2002 Master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as if Dealer and Counterparty had executed an agreement in such form (without any Schedule but (i) with the elections set forth in this Confirmation and (ii) with the election that the “Cross Default” provisions of Section 5(a)(vi) of the Agreement will apply to Dealer as if (a) the phrase “, or becoming capable at such time of being declared,” were deleted from Section 5(a)(vi)(1) of the Agreement; (b) the “Threshold Amount” with respect to Dealer were three percent of the [shareholders’] [members’] equity of [Dealer][ [ • ] (“</w:t>
      </w:r>
      <w:r>
        <w:rPr>
          <w:rFonts w:ascii="Times New Roman" w:cs="Times New Roman" w:eastAsia="Times New Roman" w:hAnsi="Times New Roman"/>
          <w:sz w:val="18"/>
          <w:szCs w:val="18"/>
          <w:b w:val="1"/>
          <w:bCs w:val="1"/>
          <w:i w:val="1"/>
          <w:iCs w:val="1"/>
          <w:color w:val="auto"/>
        </w:rPr>
        <w:t>Dealer Parent</w:t>
      </w:r>
      <w:r>
        <w:rPr>
          <w:rFonts w:ascii="Times New Roman" w:cs="Times New Roman" w:eastAsia="Times New Roman" w:hAnsi="Times New Roman"/>
          <w:sz w:val="18"/>
          <w:szCs w:val="18"/>
          <w:color w:val="auto"/>
        </w:rPr>
        <w:t>”)]; (c) the following language were added to the end of Section 5(a)(vi) of the Agreement: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 and (d) the term “Specified Indebtedness” had the meaning specified in Section 14 of the Agreement, except that such term shall not include obligations in respect of deposits received in the ordinary course of a party’s banking business). In the event of any inconsistency between provisions of the Agreement and this Confirmation, this Confirmation will prevail for the purpose of the Transaction to which this Confirmation relates. For the avoidance of doubt, “Cross Default” shall not apply to Counterparty. The parties hereby agree that, other than the Transaction to which this Confirmation relates and the Transactions to which the Additional Confirmations, if any, relate (each, an “</w:t>
      </w:r>
      <w:r>
        <w:rPr>
          <w:rFonts w:ascii="Times New Roman" w:cs="Times New Roman" w:eastAsia="Times New Roman" w:hAnsi="Times New Roman"/>
          <w:sz w:val="18"/>
          <w:szCs w:val="18"/>
          <w:b w:val="1"/>
          <w:bCs w:val="1"/>
          <w:i w:val="1"/>
          <w:iCs w:val="1"/>
          <w:color w:val="auto"/>
        </w:rPr>
        <w:t>Additional Transaction</w:t>
      </w:r>
      <w:r>
        <w:rPr>
          <w:rFonts w:ascii="Times New Roman" w:cs="Times New Roman" w:eastAsia="Times New Roman" w:hAnsi="Times New Roman"/>
          <w:sz w:val="18"/>
          <w:szCs w:val="18"/>
          <w:color w:val="auto"/>
        </w:rPr>
        <w:t>”), no Transaction shall be governed by the Agreement. For purposes of the Equity Definitions, this Transaction is a Share Forward Transaction.</w:t>
      </w:r>
    </w:p>
    <w:p>
      <w:pPr>
        <w:spacing w:after="0" w:line="2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 The terms of the particular Transaction to which this Confirmation relates are as follows: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Terms:</w:t>
      </w:r>
    </w:p>
    <w:p>
      <w:pPr>
        <w:sectPr>
          <w:pgSz w:w="11900" w:h="16838" w:orient="portrait"/>
          <w:cols w:equalWidth="0" w:num="1">
            <w:col w:w="10960"/>
          </w:cols>
          <w:pgMar w:left="440" w:top="266" w:right="499" w:bottom="1440" w:gutter="0" w:footer="0" w:header="0"/>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 ], 202[ • ]</w:t>
      </w:r>
    </w:p>
    <w:p>
      <w:pPr>
        <w:spacing w:after="0" w:line="129"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Effective Date:</w:t>
      </w:r>
    </w:p>
    <w:p>
      <w:pPr>
        <w:spacing w:after="0" w:line="20" w:lineRule="exact"/>
        <w:rPr>
          <w:sz w:val="20"/>
          <w:szCs w:val="20"/>
          <w:color w:val="auto"/>
        </w:rPr>
      </w:pPr>
      <w:r>
        <w:rPr>
          <w:sz w:val="20"/>
          <w:szCs w:val="20"/>
          <w:color w:val="auto"/>
        </w:rPr>
        <w:br w:type="column"/>
      </w:r>
    </w:p>
    <w:p>
      <w:pPr>
        <w:ind w:right="160"/>
        <w:spacing w:after="0" w:line="261" w:lineRule="auto"/>
        <w:rPr>
          <w:sz w:val="20"/>
          <w:szCs w:val="20"/>
          <w:color w:val="auto"/>
        </w:rPr>
      </w:pPr>
      <w:r>
        <w:rPr>
          <w:rFonts w:ascii="Times New Roman" w:cs="Times New Roman" w:eastAsia="Times New Roman" w:hAnsi="Times New Roman"/>
          <w:sz w:val="18"/>
          <w:szCs w:val="18"/>
          <w:color w:val="auto"/>
        </w:rPr>
        <w:t>The first day occurring on or after the Trade Date on which Shares sold through [AGENT], acting as forward seller for Dealer in such capacity (the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pursuant to the Equity Distribution Agreement dated February 14, 2022, as may be amended from time to time, between Counterparty, Dealer, the Agent and the other parties thereto (the “</w:t>
      </w:r>
      <w:r>
        <w:rPr>
          <w:rFonts w:ascii="Times New Roman" w:cs="Times New Roman" w:eastAsia="Times New Roman" w:hAnsi="Times New Roman"/>
          <w:sz w:val="18"/>
          <w:szCs w:val="18"/>
          <w:b w:val="1"/>
          <w:bCs w:val="1"/>
          <w:i w:val="1"/>
          <w:iCs w:val="1"/>
          <w:color w:val="auto"/>
        </w:rPr>
        <w:t>Equity Distribution Agreement</w:t>
      </w:r>
      <w:r>
        <w:rPr>
          <w:rFonts w:ascii="Times New Roman" w:cs="Times New Roman" w:eastAsia="Times New Roman" w:hAnsi="Times New Roman"/>
          <w:sz w:val="18"/>
          <w:szCs w:val="18"/>
          <w:color w:val="auto"/>
        </w:rPr>
        <w:t>”), have settled.</w:t>
      </w:r>
    </w:p>
    <w:p>
      <w:pPr>
        <w:spacing w:after="0" w:line="72"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Counterparty</w:t>
      </w:r>
    </w:p>
    <w:p>
      <w:pPr>
        <w:spacing w:after="0" w:line="129"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Dealer</w:t>
      </w:r>
    </w:p>
    <w:p>
      <w:pPr>
        <w:spacing w:after="0" w:line="117"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common shares of beneficial interest of Counterparty, par value USD 0.01 per share (Ticker Symbol: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“FRT”)</w:t>
      </w:r>
    </w:p>
    <w:p>
      <w:pPr>
        <w:spacing w:after="0" w:line="139"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color w:val="auto"/>
        </w:rPr>
        <w:t>B-1-2</w:t>
      </w:r>
    </w:p>
    <w:p>
      <w:pPr>
        <w:sectPr>
          <w:pgSz w:w="11900" w:h="16838" w:orient="portrait"/>
          <w:cols w:equalWidth="0" w:num="1">
            <w:col w:w="10960"/>
          </w:cols>
          <w:pgMar w:left="440" w:top="266" w:right="49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12"/>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84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As specified in the placement notice substantially in the form attached to the Equity Distribution</w:t>
            </w:r>
          </w:p>
        </w:tc>
      </w:tr>
      <w:tr>
        <w:trPr>
          <w:trHeight w:val="218"/>
        </w:trPr>
        <w:tc>
          <w:tcPr>
            <w:tcW w:w="2540" w:type="dxa"/>
            <w:vAlign w:val="bottom"/>
          </w:tcPr>
          <w:p>
            <w:pPr>
              <w:spacing w:after="0"/>
              <w:rPr>
                <w:sz w:val="18"/>
                <w:szCs w:val="18"/>
                <w:color w:val="auto"/>
              </w:rPr>
            </w:pPr>
          </w:p>
        </w:tc>
        <w:tc>
          <w:tcPr>
            <w:tcW w:w="84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 xml:space="preserve">Agreement as Exhibit A (the </w:t>
            </w:r>
            <w:r>
              <w:rPr>
                <w:rFonts w:ascii="Times New Roman" w:cs="Times New Roman" w:eastAsia="Times New Roman" w:hAnsi="Times New Roman"/>
                <w:sz w:val="18"/>
                <w:szCs w:val="18"/>
                <w:b w:val="1"/>
                <w:bCs w:val="1"/>
                <w:i w:val="1"/>
                <w:iCs w:val="1"/>
                <w:color w:val="auto"/>
              </w:rPr>
              <w:t>“Placement Notice”</w:t>
            </w:r>
            <w:r>
              <w:rPr>
                <w:rFonts w:ascii="Times New Roman" w:cs="Times New Roman" w:eastAsia="Times New Roman" w:hAnsi="Times New Roman"/>
                <w:sz w:val="18"/>
                <w:szCs w:val="18"/>
                <w:color w:val="auto"/>
              </w:rPr>
              <w:t>) delivered by Counterparty to Dealer in respect of the</w:t>
            </w:r>
          </w:p>
        </w:tc>
      </w:tr>
      <w:tr>
        <w:trPr>
          <w:trHeight w:val="218"/>
        </w:trPr>
        <w:tc>
          <w:tcPr>
            <w:tcW w:w="2540" w:type="dxa"/>
            <w:vAlign w:val="bottom"/>
          </w:tcPr>
          <w:p>
            <w:pPr>
              <w:spacing w:after="0"/>
              <w:rPr>
                <w:sz w:val="18"/>
                <w:szCs w:val="18"/>
                <w:color w:val="auto"/>
              </w:rPr>
            </w:pPr>
          </w:p>
        </w:tc>
        <w:tc>
          <w:tcPr>
            <w:tcW w:w="84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 xml:space="preserve">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event that Dealer, in its commercially reasonable judgment,</w:t>
            </w:r>
          </w:p>
        </w:tc>
      </w:tr>
      <w:tr>
        <w:trPr>
          <w:trHeight w:val="216"/>
        </w:trPr>
        <w:tc>
          <w:tcPr>
            <w:tcW w:w="2540" w:type="dxa"/>
            <w:vAlign w:val="bottom"/>
          </w:tcPr>
          <w:p>
            <w:pPr>
              <w:spacing w:after="0"/>
              <w:rPr>
                <w:sz w:val="18"/>
                <w:szCs w:val="18"/>
                <w:color w:val="auto"/>
              </w:rPr>
            </w:pPr>
          </w:p>
        </w:tc>
        <w:tc>
          <w:tcPr>
            <w:tcW w:w="84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determines that it is unable (via the Agent) through commercially reasonable efforts to establish a</w:t>
            </w:r>
          </w:p>
        </w:tc>
      </w:tr>
      <w:tr>
        <w:trPr>
          <w:trHeight w:val="216"/>
        </w:trPr>
        <w:tc>
          <w:tcPr>
            <w:tcW w:w="2540" w:type="dxa"/>
            <w:vAlign w:val="bottom"/>
          </w:tcPr>
          <w:p>
            <w:pPr>
              <w:spacing w:after="0"/>
              <w:rPr>
                <w:sz w:val="18"/>
                <w:szCs w:val="18"/>
                <w:color w:val="auto"/>
              </w:rPr>
            </w:pPr>
          </w:p>
        </w:tc>
        <w:tc>
          <w:tcPr>
            <w:tcW w:w="84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commercially reasonable hedge position in such number of Shares in accordance with the Placement</w:t>
            </w:r>
          </w:p>
        </w:tc>
      </w:tr>
      <w:tr>
        <w:trPr>
          <w:trHeight w:val="216"/>
        </w:trPr>
        <w:tc>
          <w:tcPr>
            <w:tcW w:w="2540" w:type="dxa"/>
            <w:vAlign w:val="bottom"/>
          </w:tcPr>
          <w:p>
            <w:pPr>
              <w:spacing w:after="0"/>
              <w:rPr>
                <w:sz w:val="18"/>
                <w:szCs w:val="18"/>
                <w:color w:val="auto"/>
              </w:rPr>
            </w:pPr>
          </w:p>
        </w:tc>
        <w:tc>
          <w:tcPr>
            <w:tcW w:w="84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Notice in light of market liquidity conditions and/or the provisions of Section 3 of the Equity Distribution</w:t>
            </w:r>
          </w:p>
        </w:tc>
      </w:tr>
      <w:tr>
        <w:trPr>
          <w:trHeight w:val="216"/>
        </w:trPr>
        <w:tc>
          <w:tcPr>
            <w:tcW w:w="2540" w:type="dxa"/>
            <w:vAlign w:val="bottom"/>
          </w:tcPr>
          <w:p>
            <w:pPr>
              <w:spacing w:after="0"/>
              <w:rPr>
                <w:sz w:val="18"/>
                <w:szCs w:val="18"/>
                <w:color w:val="auto"/>
              </w:rPr>
            </w:pPr>
          </w:p>
        </w:tc>
        <w:tc>
          <w:tcPr>
            <w:tcW w:w="84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Agreement, the Number of Shares shall equal the aggregate number of Shares actually sold through the</w:t>
            </w:r>
          </w:p>
        </w:tc>
      </w:tr>
      <w:tr>
        <w:trPr>
          <w:trHeight w:val="216"/>
        </w:trPr>
        <w:tc>
          <w:tcPr>
            <w:tcW w:w="2540" w:type="dxa"/>
            <w:vAlign w:val="bottom"/>
          </w:tcPr>
          <w:p>
            <w:pPr>
              <w:spacing w:after="0"/>
              <w:rPr>
                <w:sz w:val="18"/>
                <w:szCs w:val="18"/>
                <w:color w:val="auto"/>
              </w:rPr>
            </w:pPr>
          </w:p>
        </w:tc>
        <w:tc>
          <w:tcPr>
            <w:tcW w:w="84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Agent acting as forward seller for Dealer (in connection with the establishment of a commercially</w:t>
            </w:r>
          </w:p>
        </w:tc>
      </w:tr>
      <w:tr>
        <w:trPr>
          <w:trHeight w:val="214"/>
        </w:trPr>
        <w:tc>
          <w:tcPr>
            <w:tcW w:w="2540" w:type="dxa"/>
            <w:vAlign w:val="bottom"/>
          </w:tcPr>
          <w:p>
            <w:pPr>
              <w:spacing w:after="0"/>
              <w:rPr>
                <w:sz w:val="18"/>
                <w:szCs w:val="18"/>
                <w:color w:val="auto"/>
              </w:rPr>
            </w:pPr>
          </w:p>
        </w:tc>
        <w:tc>
          <w:tcPr>
            <w:tcW w:w="84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reasonable hedge position) pursuant to the Equity Distribution Agreement during the period from and</w:t>
            </w:r>
          </w:p>
        </w:tc>
      </w:tr>
      <w:tr>
        <w:trPr>
          <w:trHeight w:val="218"/>
        </w:trPr>
        <w:tc>
          <w:tcPr>
            <w:tcW w:w="2540" w:type="dxa"/>
            <w:vAlign w:val="bottom"/>
          </w:tcPr>
          <w:p>
            <w:pPr>
              <w:spacing w:after="0"/>
              <w:rPr>
                <w:sz w:val="18"/>
                <w:szCs w:val="18"/>
                <w:color w:val="auto"/>
              </w:rPr>
            </w:pPr>
          </w:p>
        </w:tc>
        <w:tc>
          <w:tcPr>
            <w:tcW w:w="84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 xml:space="preserve">including the Trade Date through and including the Hedge Completion Date;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w:t>
            </w:r>
          </w:p>
        </w:tc>
      </w:tr>
      <w:tr>
        <w:trPr>
          <w:trHeight w:val="216"/>
        </w:trPr>
        <w:tc>
          <w:tcPr>
            <w:tcW w:w="2540" w:type="dxa"/>
            <w:vAlign w:val="bottom"/>
          </w:tcPr>
          <w:p>
            <w:pPr>
              <w:spacing w:after="0"/>
              <w:rPr>
                <w:sz w:val="18"/>
                <w:szCs w:val="18"/>
                <w:color w:val="auto"/>
              </w:rPr>
            </w:pPr>
          </w:p>
        </w:tc>
        <w:tc>
          <w:tcPr>
            <w:tcW w:w="84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that on each Settlement Date, the Number of Shares shall be reduced by the number of Settlement Shares</w:t>
            </w:r>
          </w:p>
        </w:tc>
      </w:tr>
      <w:tr>
        <w:trPr>
          <w:trHeight w:val="234"/>
        </w:trPr>
        <w:tc>
          <w:tcPr>
            <w:tcW w:w="2540" w:type="dxa"/>
            <w:vAlign w:val="bottom"/>
          </w:tcPr>
          <w:p>
            <w:pPr>
              <w:spacing w:after="0"/>
              <w:rPr>
                <w:sz w:val="20"/>
                <w:szCs w:val="20"/>
                <w:color w:val="auto"/>
              </w:rPr>
            </w:pPr>
          </w:p>
        </w:tc>
        <w:tc>
          <w:tcPr>
            <w:tcW w:w="84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settled on such date.</w:t>
            </w:r>
          </w:p>
        </w:tc>
      </w:tr>
      <w:tr>
        <w:trPr>
          <w:trHeight w:val="30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Hedge Completion Date:</w:t>
            </w:r>
          </w:p>
        </w:tc>
        <w:tc>
          <w:tcPr>
            <w:tcW w:w="84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The earliest of (i) the date specified in writing as the Hedge Completion Date by Counterparty, (ii) any</w:t>
            </w:r>
          </w:p>
        </w:tc>
      </w:tr>
      <w:tr>
        <w:trPr>
          <w:trHeight w:val="216"/>
        </w:trPr>
        <w:tc>
          <w:tcPr>
            <w:tcW w:w="2540" w:type="dxa"/>
            <w:vAlign w:val="bottom"/>
          </w:tcPr>
          <w:p>
            <w:pPr>
              <w:spacing w:after="0"/>
              <w:rPr>
                <w:sz w:val="18"/>
                <w:szCs w:val="18"/>
                <w:color w:val="auto"/>
              </w:rPr>
            </w:pPr>
          </w:p>
        </w:tc>
        <w:tc>
          <w:tcPr>
            <w:tcW w:w="84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Settlement Date and (iii) [DATE]. Promptly after the Hedge Completion Date (but in any case no later</w:t>
            </w:r>
          </w:p>
        </w:tc>
      </w:tr>
      <w:tr>
        <w:trPr>
          <w:trHeight w:val="212"/>
        </w:trPr>
        <w:tc>
          <w:tcPr>
            <w:tcW w:w="2540" w:type="dxa"/>
            <w:vAlign w:val="bottom"/>
          </w:tcPr>
          <w:p>
            <w:pPr>
              <w:spacing w:after="0"/>
              <w:rPr>
                <w:sz w:val="18"/>
                <w:szCs w:val="18"/>
                <w:color w:val="auto"/>
              </w:rPr>
            </w:pPr>
          </w:p>
        </w:tc>
        <w:tc>
          <w:tcPr>
            <w:tcW w:w="84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w w:val="99"/>
              </w:rPr>
              <w:t>than the open of the Trading Day immediately following the Hedge Completion Date), Dealer will furnish</w:t>
            </w:r>
          </w:p>
        </w:tc>
      </w:tr>
      <w:tr>
        <w:trPr>
          <w:trHeight w:val="216"/>
        </w:trPr>
        <w:tc>
          <w:tcPr>
            <w:tcW w:w="2540" w:type="dxa"/>
            <w:vAlign w:val="bottom"/>
          </w:tcPr>
          <w:p>
            <w:pPr>
              <w:spacing w:after="0"/>
              <w:rPr>
                <w:sz w:val="18"/>
                <w:szCs w:val="18"/>
                <w:color w:val="auto"/>
              </w:rPr>
            </w:pPr>
          </w:p>
        </w:tc>
        <w:tc>
          <w:tcPr>
            <w:tcW w:w="84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w w:val="99"/>
              </w:rPr>
              <w:t>Counterparty with a pricing supplement (the “</w:t>
            </w:r>
            <w:r>
              <w:rPr>
                <w:rFonts w:ascii="Times New Roman" w:cs="Times New Roman" w:eastAsia="Times New Roman" w:hAnsi="Times New Roman"/>
                <w:sz w:val="18"/>
                <w:szCs w:val="18"/>
                <w:b w:val="1"/>
                <w:bCs w:val="1"/>
                <w:i w:val="1"/>
                <w:iCs w:val="1"/>
                <w:color w:val="auto"/>
                <w:w w:val="99"/>
              </w:rPr>
              <w:t>Pricing Supplement</w:t>
            </w:r>
            <w:r>
              <w:rPr>
                <w:rFonts w:ascii="Times New Roman" w:cs="Times New Roman" w:eastAsia="Times New Roman" w:hAnsi="Times New Roman"/>
                <w:sz w:val="18"/>
                <w:szCs w:val="18"/>
                <w:color w:val="auto"/>
                <w:w w:val="99"/>
              </w:rPr>
              <w:t>”) substantially in the form of Annex A</w:t>
            </w:r>
          </w:p>
        </w:tc>
      </w:tr>
      <w:tr>
        <w:trPr>
          <w:trHeight w:val="216"/>
        </w:trPr>
        <w:tc>
          <w:tcPr>
            <w:tcW w:w="2540" w:type="dxa"/>
            <w:vAlign w:val="bottom"/>
          </w:tcPr>
          <w:p>
            <w:pPr>
              <w:spacing w:after="0"/>
              <w:rPr>
                <w:sz w:val="18"/>
                <w:szCs w:val="18"/>
                <w:color w:val="auto"/>
              </w:rPr>
            </w:pPr>
          </w:p>
        </w:tc>
        <w:tc>
          <w:tcPr>
            <w:tcW w:w="84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hereto specifying the Number of Shares as of the Hedge Completion Date (the “</w:t>
            </w:r>
            <w:r>
              <w:rPr>
                <w:rFonts w:ascii="Times New Roman" w:cs="Times New Roman" w:eastAsia="Times New Roman" w:hAnsi="Times New Roman"/>
                <w:sz w:val="18"/>
                <w:szCs w:val="18"/>
                <w:b w:val="1"/>
                <w:bCs w:val="1"/>
                <w:i w:val="1"/>
                <w:iCs w:val="1"/>
                <w:color w:val="auto"/>
              </w:rPr>
              <w:t>Initial Number of</w:t>
            </w:r>
          </w:p>
        </w:tc>
      </w:tr>
      <w:tr>
        <w:trPr>
          <w:trHeight w:val="238"/>
        </w:trPr>
        <w:tc>
          <w:tcPr>
            <w:tcW w:w="2540" w:type="dxa"/>
            <w:vAlign w:val="bottom"/>
          </w:tcPr>
          <w:p>
            <w:pPr>
              <w:spacing w:after="0"/>
              <w:rPr>
                <w:sz w:val="20"/>
                <w:szCs w:val="20"/>
                <w:color w:val="auto"/>
              </w:rPr>
            </w:pPr>
          </w:p>
        </w:tc>
        <w:tc>
          <w:tcPr>
            <w:tcW w:w="840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and the Initial Forward Price, all determined in accordance with the terms hereof.</w:t>
            </w:r>
          </w:p>
        </w:tc>
      </w:tr>
      <w:tr>
        <w:trPr>
          <w:trHeight w:val="30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Initial Forward Price:</w:t>
            </w:r>
          </w:p>
        </w:tc>
        <w:tc>
          <w:tcPr>
            <w:tcW w:w="84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The Forward Hedge Price as defined in the Equity Distribution Agreement (with the Forward Hedge</w:t>
            </w:r>
          </w:p>
        </w:tc>
      </w:tr>
      <w:tr>
        <w:trPr>
          <w:trHeight w:val="216"/>
        </w:trPr>
        <w:tc>
          <w:tcPr>
            <w:tcW w:w="2540" w:type="dxa"/>
            <w:vAlign w:val="bottom"/>
          </w:tcPr>
          <w:p>
            <w:pPr>
              <w:spacing w:after="0"/>
              <w:rPr>
                <w:sz w:val="18"/>
                <w:szCs w:val="18"/>
                <w:color w:val="auto"/>
              </w:rPr>
            </w:pPr>
          </w:p>
        </w:tc>
        <w:tc>
          <w:tcPr>
            <w:tcW w:w="84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Selling Commission Rate (as defined in the Sales Agreement) equal to [•]% and assuming that the Agent</w:t>
            </w:r>
          </w:p>
        </w:tc>
      </w:tr>
      <w:tr>
        <w:trPr>
          <w:trHeight w:val="216"/>
        </w:trPr>
        <w:tc>
          <w:tcPr>
            <w:tcW w:w="2540" w:type="dxa"/>
            <w:vAlign w:val="bottom"/>
          </w:tcPr>
          <w:p>
            <w:pPr>
              <w:spacing w:after="0"/>
              <w:rPr>
                <w:sz w:val="18"/>
                <w:szCs w:val="18"/>
                <w:color w:val="auto"/>
              </w:rPr>
            </w:pPr>
          </w:p>
        </w:tc>
        <w:tc>
          <w:tcPr>
            <w:tcW w:w="84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sold such Shares in a commercially reasonable manner that reflects prevailing market prices), adjusted by</w:t>
            </w:r>
          </w:p>
        </w:tc>
      </w:tr>
      <w:tr>
        <w:trPr>
          <w:trHeight w:val="216"/>
        </w:trPr>
        <w:tc>
          <w:tcPr>
            <w:tcW w:w="2540" w:type="dxa"/>
            <w:vAlign w:val="bottom"/>
          </w:tcPr>
          <w:p>
            <w:pPr>
              <w:spacing w:after="0"/>
              <w:rPr>
                <w:sz w:val="18"/>
                <w:szCs w:val="18"/>
                <w:color w:val="auto"/>
              </w:rPr>
            </w:pPr>
          </w:p>
        </w:tc>
        <w:tc>
          <w:tcPr>
            <w:tcW w:w="84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the Calculation Agent in a commercially reasonable manner to (x) reflect on each day during such period</w:t>
            </w:r>
          </w:p>
        </w:tc>
      </w:tr>
      <w:tr>
        <w:trPr>
          <w:trHeight w:val="194"/>
        </w:trPr>
        <w:tc>
          <w:tcPr>
            <w:tcW w:w="2540" w:type="dxa"/>
            <w:vAlign w:val="bottom"/>
          </w:tcPr>
          <w:p>
            <w:pPr>
              <w:spacing w:after="0"/>
              <w:rPr>
                <w:sz w:val="16"/>
                <w:szCs w:val="16"/>
                <w:color w:val="auto"/>
              </w:rPr>
            </w:pPr>
          </w:p>
        </w:tc>
        <w:tc>
          <w:tcPr>
            <w:tcW w:w="8400" w:type="dxa"/>
            <w:vAlign w:val="bottom"/>
            <w:gridSpan w:val="5"/>
          </w:tcPr>
          <w:p>
            <w:pPr>
              <w:ind w:left="760"/>
              <w:spacing w:after="0" w:line="194" w:lineRule="exact"/>
              <w:rPr>
                <w:sz w:val="20"/>
                <w:szCs w:val="20"/>
                <w:color w:val="auto"/>
              </w:rPr>
            </w:pPr>
            <w:r>
              <w:rPr>
                <w:rFonts w:ascii="Times New Roman" w:cs="Times New Roman" w:eastAsia="Times New Roman" w:hAnsi="Times New Roman"/>
                <w:sz w:val="18"/>
                <w:szCs w:val="18"/>
                <w:color w:val="auto"/>
              </w:rPr>
              <w:t>the sum of 1 and the Daily Rate for such day multiplied by the then-Initial Forward Price as of such day</w:t>
            </w:r>
          </w:p>
        </w:tc>
      </w:tr>
      <w:tr>
        <w:trPr>
          <w:trHeight w:val="20"/>
        </w:trPr>
        <w:tc>
          <w:tcPr>
            <w:tcW w:w="2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18"/>
        </w:trPr>
        <w:tc>
          <w:tcPr>
            <w:tcW w:w="2540" w:type="dxa"/>
            <w:vAlign w:val="bottom"/>
          </w:tcPr>
          <w:p>
            <w:pPr>
              <w:spacing w:after="0"/>
              <w:rPr>
                <w:sz w:val="18"/>
                <w:szCs w:val="18"/>
                <w:color w:val="auto"/>
              </w:rPr>
            </w:pPr>
          </w:p>
        </w:tc>
        <w:tc>
          <w:tcPr>
            <w:tcW w:w="84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and (y) reduce the then-Initial Forward Price by the relevant Forward Price Reduction Amount on each</w:t>
            </w:r>
          </w:p>
        </w:tc>
      </w:tr>
      <w:tr>
        <w:trPr>
          <w:trHeight w:val="234"/>
        </w:trPr>
        <w:tc>
          <w:tcPr>
            <w:tcW w:w="2540" w:type="dxa"/>
            <w:vAlign w:val="bottom"/>
          </w:tcPr>
          <w:p>
            <w:pPr>
              <w:spacing w:after="0"/>
              <w:rPr>
                <w:sz w:val="20"/>
                <w:szCs w:val="20"/>
                <w:color w:val="auto"/>
              </w:rPr>
            </w:pPr>
          </w:p>
        </w:tc>
        <w:tc>
          <w:tcPr>
            <w:tcW w:w="84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Forward Price Reduction Date occurring on or before the Hedge Completion Date.</w:t>
            </w:r>
          </w:p>
        </w:tc>
      </w:tr>
      <w:tr>
        <w:trPr>
          <w:trHeight w:val="364"/>
        </w:trPr>
        <w:tc>
          <w:tcPr>
            <w:tcW w:w="2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8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B-1-3</w:t>
            </w:r>
          </w:p>
        </w:tc>
      </w:tr>
    </w:tbl>
    <w:p>
      <w:pPr>
        <w:ind w:left="1240"/>
        <w:spacing w:after="0"/>
        <w:rPr>
          <w:sz w:val="20"/>
          <w:szCs w:val="20"/>
          <w:color w:val="auto"/>
        </w:rPr>
        <w:sectPr>
          <w:pgSz w:w="11900" w:h="16838" w:orient="portrait"/>
          <w:cols w:equalWidth="0" w:num="1">
            <w:col w:w="10940"/>
          </w:cols>
          <w:pgMar w:left="440" w:top="378"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5" w:name="page76"/>
    <w:bookmarkEnd w:id="75"/>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Forward Price:</w:t>
            </w:r>
          </w:p>
        </w:tc>
        <w:tc>
          <w:tcPr>
            <w:tcW w:w="808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(a)    On the Hedge Completion Date, the Initial Forward Price; and</w:t>
            </w:r>
          </w:p>
        </w:tc>
      </w:tr>
      <w:tr>
        <w:trPr>
          <w:trHeight w:val="304"/>
        </w:trPr>
        <w:tc>
          <w:tcPr>
            <w:tcW w:w="2880" w:type="dxa"/>
            <w:vAlign w:val="bottom"/>
          </w:tcPr>
          <w:p>
            <w:pPr>
              <w:spacing w:after="0"/>
              <w:rPr>
                <w:sz w:val="24"/>
                <w:szCs w:val="24"/>
                <w:color w:val="auto"/>
              </w:rPr>
            </w:pPr>
          </w:p>
        </w:tc>
        <w:tc>
          <w:tcPr>
            <w:tcW w:w="808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(b)    on each calendar day thereafter, (i) the Forward Price as of the immediately preceding calendar day</w:t>
            </w:r>
          </w:p>
        </w:tc>
      </w:tr>
      <w:tr>
        <w:trPr>
          <w:trHeight w:val="196"/>
        </w:trPr>
        <w:tc>
          <w:tcPr>
            <w:tcW w:w="2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 xml:space="preserve">multiplied by (ii) the sum of 1 and the Daily Rate for such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on each Forward Price</w:t>
            </w:r>
          </w:p>
        </w:tc>
      </w:tr>
      <w:tr>
        <w:trPr>
          <w:trHeight w:val="20"/>
        </w:trPr>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8"/>
        </w:trPr>
        <w:tc>
          <w:tcPr>
            <w:tcW w:w="2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Reduction Date, the Forward Price in effect on such date shall be the Forward Price otherwise in effect</w:t>
            </w:r>
          </w:p>
        </w:tc>
      </w:tr>
      <w:tr>
        <w:trPr>
          <w:trHeight w:val="194"/>
        </w:trPr>
        <w:tc>
          <w:tcPr>
            <w:tcW w:w="2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auto"/>
              </w:rPr>
              <w:t>on such date, minus the Forward Price Reduction Amount for such Forward Price Reduction Date.</w:t>
            </w:r>
          </w:p>
        </w:tc>
      </w:tr>
      <w:tr>
        <w:trPr>
          <w:trHeight w:val="20"/>
        </w:trPr>
        <w:tc>
          <w:tcPr>
            <w:tcW w:w="28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0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Daily Rate:</w:t>
            </w:r>
          </w:p>
        </w:tc>
        <w:tc>
          <w:tcPr>
            <w:tcW w:w="808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For any day, (i)(A) Overnight Bank Rate for such day, minus (B) the Spread, divided by (ii) 365.</w:t>
            </w:r>
          </w:p>
        </w:tc>
      </w:tr>
      <w:tr>
        <w:trPr>
          <w:trHeight w:val="20"/>
        </w:trPr>
        <w:tc>
          <w:tcPr>
            <w:tcW w:w="2880" w:type="dxa"/>
            <w:vAlign w:val="bottom"/>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Overnight Bank Rate:</w:t>
            </w:r>
          </w:p>
        </w:tc>
        <w:tc>
          <w:tcPr>
            <w:tcW w:w="808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For any day, the rate set forth for such day opposite the caption “Overnight bank funding rate,” as such rate</w:t>
            </w:r>
          </w:p>
        </w:tc>
      </w:tr>
      <w:tr>
        <w:trPr>
          <w:trHeight w:val="218"/>
        </w:trPr>
        <w:tc>
          <w:tcPr>
            <w:tcW w:w="2880" w:type="dxa"/>
            <w:vAlign w:val="bottom"/>
          </w:tcPr>
          <w:p>
            <w:pPr>
              <w:spacing w:after="0"/>
              <w:rPr>
                <w:sz w:val="18"/>
                <w:szCs w:val="18"/>
                <w:color w:val="auto"/>
              </w:rPr>
            </w:pPr>
          </w:p>
        </w:tc>
        <w:tc>
          <w:tcPr>
            <w:tcW w:w="808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 xml:space="preserve">is displayed on Bloomberg Screen “OBFR01 &lt;Index&gt; &lt;GO&gt;”, or any successor page;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no</w:t>
            </w:r>
          </w:p>
        </w:tc>
      </w:tr>
      <w:tr>
        <w:trPr>
          <w:trHeight w:val="216"/>
        </w:trPr>
        <w:tc>
          <w:tcPr>
            <w:tcW w:w="2880" w:type="dxa"/>
            <w:vAlign w:val="bottom"/>
          </w:tcPr>
          <w:p>
            <w:pPr>
              <w:spacing w:after="0"/>
              <w:rPr>
                <w:sz w:val="18"/>
                <w:szCs w:val="18"/>
                <w:color w:val="auto"/>
              </w:rPr>
            </w:pPr>
          </w:p>
        </w:tc>
        <w:tc>
          <w:tcPr>
            <w:tcW w:w="808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rate appears for a particular day on such page, the rate for the immediately preceding day for which a rate</w:t>
            </w:r>
          </w:p>
        </w:tc>
      </w:tr>
      <w:tr>
        <w:trPr>
          <w:trHeight w:val="234"/>
        </w:trPr>
        <w:tc>
          <w:tcPr>
            <w:tcW w:w="2880" w:type="dxa"/>
            <w:vAlign w:val="bottom"/>
          </w:tcPr>
          <w:p>
            <w:pPr>
              <w:spacing w:after="0"/>
              <w:rPr>
                <w:sz w:val="20"/>
                <w:szCs w:val="20"/>
                <w:color w:val="auto"/>
              </w:rPr>
            </w:pPr>
          </w:p>
        </w:tc>
        <w:tc>
          <w:tcPr>
            <w:tcW w:w="808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does so appear shall be used for such day.</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Spread:</w:t>
            </w:r>
          </w:p>
        </w:tc>
        <w:tc>
          <w:tcPr>
            <w:tcW w:w="808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 • ] basis points</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Prepayment:</w:t>
            </w:r>
          </w:p>
        </w:tc>
        <w:tc>
          <w:tcPr>
            <w:tcW w:w="808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Variable Obligation:</w:t>
            </w:r>
          </w:p>
        </w:tc>
        <w:tc>
          <w:tcPr>
            <w:tcW w:w="808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Forward Price Reduction Dates:</w:t>
            </w:r>
          </w:p>
        </w:tc>
        <w:tc>
          <w:tcPr>
            <w:tcW w:w="808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As set forth on Schedule I</w:t>
            </w:r>
          </w:p>
        </w:tc>
      </w:tr>
      <w:tr>
        <w:trPr>
          <w:trHeight w:val="30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Forward Price Reduction Amounts:</w:t>
            </w:r>
          </w:p>
        </w:tc>
        <w:tc>
          <w:tcPr>
            <w:tcW w:w="808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For each Forward Price Reduction Date, the Forward Price Reduction Amount set forth opposite such date</w:t>
            </w:r>
          </w:p>
        </w:tc>
      </w:tr>
      <w:tr>
        <w:trPr>
          <w:trHeight w:val="234"/>
        </w:trPr>
        <w:tc>
          <w:tcPr>
            <w:tcW w:w="2880" w:type="dxa"/>
            <w:vAlign w:val="bottom"/>
          </w:tcPr>
          <w:p>
            <w:pPr>
              <w:spacing w:after="0"/>
              <w:rPr>
                <w:sz w:val="20"/>
                <w:szCs w:val="20"/>
                <w:color w:val="auto"/>
              </w:rPr>
            </w:pPr>
          </w:p>
        </w:tc>
        <w:tc>
          <w:tcPr>
            <w:tcW w:w="808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on Schedule I</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Exchange:</w:t>
            </w:r>
          </w:p>
        </w:tc>
        <w:tc>
          <w:tcPr>
            <w:tcW w:w="808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Related Exchange(s):</w:t>
            </w:r>
          </w:p>
        </w:tc>
        <w:tc>
          <w:tcPr>
            <w:tcW w:w="808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All Exchanges</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Clearance System:</w:t>
            </w:r>
          </w:p>
        </w:tc>
        <w:tc>
          <w:tcPr>
            <w:tcW w:w="808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The Depository Trust Company</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808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Securities Act of 1933, as amended</w:t>
            </w:r>
          </w:p>
        </w:tc>
      </w:tr>
      <w:tr>
        <w:trPr>
          <w:trHeight w:val="364"/>
        </w:trPr>
        <w:tc>
          <w:tcPr>
            <w:tcW w:w="2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8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B-1-4</w:t>
            </w:r>
          </w:p>
        </w:tc>
      </w:tr>
    </w:tbl>
    <w:p>
      <w:pPr>
        <w:ind w:left="320"/>
        <w:spacing w:after="0"/>
        <w:rPr>
          <w:sz w:val="20"/>
          <w:szCs w:val="20"/>
          <w:color w:val="auto"/>
        </w:rPr>
        <w:sectPr>
          <w:pgSz w:w="11900" w:h="16838" w:orient="portrait"/>
          <w:cols w:equalWidth="0" w:num="1">
            <w:col w:w="10960"/>
          </w:cols>
          <w:pgMar w:left="440" w:top="378"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6" w:name="page77"/>
    <w:bookmarkEnd w:id="76"/>
    <w:p>
      <w:pPr>
        <w:spacing w:after="0"/>
        <w:rPr>
          <w:sz w:val="20"/>
          <w:szCs w:val="20"/>
          <w:color w:val="auto"/>
        </w:rPr>
      </w:pPr>
      <w:r>
        <w:rPr>
          <w:rFonts w:ascii="Times New Roman" w:cs="Times New Roman" w:eastAsia="Times New Roman" w:hAnsi="Times New Roman"/>
          <w:sz w:val="17"/>
          <w:szCs w:val="17"/>
          <w:color w:val="auto"/>
        </w:rPr>
        <w:t>Exchange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-274955</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2480" w:space="720"/>
            <w:col w:w="7800"/>
          </w:cols>
          <w:pgMar w:left="440" w:top="378" w:right="4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Market Disruption Event:</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Section 6.3(a) of the Equity Definitions is hereby amended by replacing the first sentence in its entirety with the following: “‘Market Disruption Event’ means in respect of a Share or an Index, the occurrence or existence of (i) a Trading Disruption, (ii) an Exchange Disruption, (iii) an Early Closure or (iv) a Regulatory Disruption, in each case that the Calculation Agent determines, in its commercially reasonable judgment, is material”.</w:t>
      </w:r>
    </w:p>
    <w:p>
      <w:pPr>
        <w:spacing w:after="0" w:line="75" w:lineRule="exact"/>
        <w:rPr>
          <w:sz w:val="20"/>
          <w:szCs w:val="20"/>
          <w:color w:val="auto"/>
        </w:rPr>
      </w:pPr>
    </w:p>
    <w:p>
      <w:pPr>
        <w:sectPr>
          <w:pgSz w:w="11900" w:h="16838" w:orient="portrait"/>
          <w:cols w:equalWidth="0" w:num="2">
            <w:col w:w="2480" w:space="720"/>
            <w:col w:w="780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Early Closure:</w:t>
      </w:r>
    </w:p>
    <w:p>
      <w:pPr>
        <w:spacing w:after="0" w:line="20" w:lineRule="exact"/>
        <w:rPr>
          <w:sz w:val="20"/>
          <w:szCs w:val="20"/>
          <w:color w:val="auto"/>
        </w:rPr>
      </w:pPr>
      <w:r>
        <w:rPr>
          <w:sz w:val="20"/>
          <w:szCs w:val="20"/>
          <w:color w:val="auto"/>
        </w:rPr>
        <w:br w:type="column"/>
      </w:r>
    </w:p>
    <w:p>
      <w:pPr>
        <w:ind w:right="480"/>
        <w:spacing w:after="0" w:line="282" w:lineRule="auto"/>
        <w:rPr>
          <w:sz w:val="20"/>
          <w:szCs w:val="20"/>
          <w:color w:val="auto"/>
        </w:rPr>
      </w:pPr>
      <w:r>
        <w:rPr>
          <w:rFonts w:ascii="Times New Roman" w:cs="Times New Roman" w:eastAsia="Times New Roman" w:hAnsi="Times New Roman"/>
          <w:sz w:val="18"/>
          <w:szCs w:val="18"/>
          <w:color w:val="auto"/>
        </w:rPr>
        <w:t>Section 6.3(d) of the Equity Definitions is hereby amended by deleting the remainder of the provision following the term “Scheduled Closing Time” in the fourth line thereof.</w:t>
      </w:r>
    </w:p>
    <w:p>
      <w:pPr>
        <w:spacing w:after="0" w:line="54" w:lineRule="exact"/>
        <w:rPr>
          <w:sz w:val="20"/>
          <w:szCs w:val="20"/>
          <w:color w:val="auto"/>
        </w:rPr>
      </w:pPr>
    </w:p>
    <w:p>
      <w:pPr>
        <w:sectPr>
          <w:pgSz w:w="11900" w:h="16838" w:orient="portrait"/>
          <w:cols w:equalWidth="0" w:num="2">
            <w:col w:w="2480" w:space="720"/>
            <w:col w:w="780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Regulatory Disruption:</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Times New Roman" w:cs="Times New Roman" w:eastAsia="Times New Roman" w:hAnsi="Times New Roman"/>
          <w:sz w:val="17"/>
          <w:szCs w:val="17"/>
          <w:color w:val="auto"/>
        </w:rPr>
        <w:t>Any event that Dealer, based on the advice of counsel, determines makes it reasonably necessary or appropriate with regard to any legal, regulatory or self-regulatory requirements or related policies and procedures that generally apply to transactions of a nature and kind similar to the Transaction and have been adopted in good faith by Dealer and consistently applied to the relevant Transaction in a nondiscriminatory manner for Dealer to refrain from or decrease any market activity in connection with the Transaction.</w:t>
      </w:r>
    </w:p>
    <w:p>
      <w:pPr>
        <w:spacing w:after="0" w:line="60" w:lineRule="exact"/>
        <w:rPr>
          <w:sz w:val="20"/>
          <w:szCs w:val="20"/>
          <w:color w:val="auto"/>
        </w:rPr>
      </w:pPr>
    </w:p>
    <w:p>
      <w:pPr>
        <w:sectPr>
          <w:pgSz w:w="11900" w:h="16838" w:orient="portrait"/>
          <w:cols w:equalWidth="0" w:num="2">
            <w:col w:w="2480" w:space="720"/>
            <w:col w:w="780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Settlement: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Currency:</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USD (all amounts shall be converted to the Settlement Currency in good faith and in a commercially reasonable manner by the Calculation Agent)</w:t>
      </w:r>
    </w:p>
    <w:p>
      <w:pPr>
        <w:spacing w:after="0" w:line="54" w:lineRule="exact"/>
        <w:rPr>
          <w:sz w:val="20"/>
          <w:szCs w:val="20"/>
          <w:color w:val="auto"/>
        </w:rPr>
      </w:pPr>
    </w:p>
    <w:p>
      <w:pPr>
        <w:sectPr>
          <w:pgSz w:w="11900" w:h="16838" w:orient="portrait"/>
          <w:cols w:equalWidth="0" w:num="2">
            <w:col w:w="2480" w:space="720"/>
            <w:col w:w="780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ind w:right="360"/>
        <w:spacing w:after="0" w:line="282" w:lineRule="auto"/>
        <w:rPr>
          <w:sz w:val="20"/>
          <w:szCs w:val="20"/>
          <w:color w:val="auto"/>
        </w:rPr>
      </w:pPr>
      <w:r>
        <w:rPr>
          <w:rFonts w:ascii="Times New Roman" w:cs="Times New Roman" w:eastAsia="Times New Roman" w:hAnsi="Times New Roman"/>
          <w:sz w:val="18"/>
          <w:szCs w:val="18"/>
          <w:color w:val="auto"/>
        </w:rPr>
        <w:t>Any Scheduled Trading Day following the Effective Date and up to and including the Final Date that is either:</w:t>
      </w:r>
    </w:p>
    <w:p>
      <w:pPr>
        <w:spacing w:after="0" w:line="50" w:lineRule="exact"/>
        <w:rPr>
          <w:sz w:val="20"/>
          <w:szCs w:val="20"/>
          <w:color w:val="auto"/>
        </w:rPr>
      </w:pPr>
    </w:p>
    <w:p>
      <w:pPr>
        <w:sectPr>
          <w:pgSz w:w="11900" w:h="16838" w:orient="portrait"/>
          <w:cols w:equalWidth="0" w:num="2">
            <w:col w:w="2480" w:space="720"/>
            <w:col w:w="7800"/>
          </w:cols>
          <w:pgMar w:left="440" w:top="378" w:right="459" w:bottom="1440" w:gutter="0" w:footer="0" w:header="0"/>
          <w:type w:val="continuous"/>
        </w:sectPr>
      </w:pPr>
    </w:p>
    <w:p>
      <w:pPr>
        <w:ind w:left="3560" w:right="320" w:hanging="359"/>
        <w:spacing w:after="0" w:line="278" w:lineRule="auto"/>
        <w:rPr>
          <w:sz w:val="20"/>
          <w:szCs w:val="20"/>
          <w:color w:val="auto"/>
        </w:rPr>
      </w:pPr>
      <w:r>
        <w:rPr>
          <w:rFonts w:ascii="Times New Roman" w:cs="Times New Roman" w:eastAsia="Times New Roman" w:hAnsi="Times New Roman"/>
          <w:sz w:val="17"/>
          <w:szCs w:val="17"/>
          <w:color w:val="auto"/>
        </w:rPr>
        <w:t>(a)    designated by Counterparty as a “</w:t>
      </w:r>
      <w:r>
        <w:rPr>
          <w:rFonts w:ascii="Times New Roman" w:cs="Times New Roman" w:eastAsia="Times New Roman" w:hAnsi="Times New Roman"/>
          <w:sz w:val="17"/>
          <w:szCs w:val="17"/>
          <w:b w:val="1"/>
          <w:bCs w:val="1"/>
          <w:i w:val="1"/>
          <w:iCs w:val="1"/>
          <w:color w:val="auto"/>
        </w:rPr>
        <w:t>Settlement Date</w:t>
      </w:r>
      <w:r>
        <w:rPr>
          <w:rFonts w:ascii="Times New Roman" w:cs="Times New Roman" w:eastAsia="Times New Roman" w:hAnsi="Times New Roman"/>
          <w:sz w:val="17"/>
          <w:szCs w:val="17"/>
          <w:color w:val="auto"/>
        </w:rPr>
        <w:t>” by a written notice (a “</w:t>
      </w:r>
      <w:r>
        <w:rPr>
          <w:rFonts w:ascii="Times New Roman" w:cs="Times New Roman" w:eastAsia="Times New Roman" w:hAnsi="Times New Roman"/>
          <w:sz w:val="17"/>
          <w:szCs w:val="17"/>
          <w:b w:val="1"/>
          <w:bCs w:val="1"/>
          <w:i w:val="1"/>
          <w:iCs w:val="1"/>
          <w:color w:val="auto"/>
        </w:rPr>
        <w:t>Settlement Notice</w:t>
      </w:r>
      <w:r>
        <w:rPr>
          <w:rFonts w:ascii="Times New Roman" w:cs="Times New Roman" w:eastAsia="Times New Roman" w:hAnsi="Times New Roman"/>
          <w:sz w:val="17"/>
          <w:szCs w:val="17"/>
          <w:color w:val="auto"/>
        </w:rPr>
        <w:t>”) that satisfies the Settlement Notice Requirements, if applicable, and is delivered to Dealer no less than</w:t>
      </w:r>
    </w:p>
    <w:p>
      <w:pPr>
        <w:spacing w:after="0" w:line="1" w:lineRule="exact"/>
        <w:rPr>
          <w:sz w:val="20"/>
          <w:szCs w:val="20"/>
          <w:color w:val="auto"/>
        </w:rPr>
      </w:pPr>
    </w:p>
    <w:p>
      <w:pPr>
        <w:ind w:left="3560" w:right="40" w:hanging="5"/>
        <w:spacing w:after="0" w:line="253" w:lineRule="auto"/>
        <w:tabs>
          <w:tab w:leader="none" w:pos="377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two Scheduled Trading Days prior to such Settlement Date, which may be the Final Date, if Physical Settlement applies, and (ii) [ • ] Scheduled Trading Days prior to such Settlement Date, which may be the Final Date, if Cash Settlement or Net Share Settlement applies;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Dealer shall fully unwind its commercially reasonable hedge with respect to the portion of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B-1-5</w:t>
      </w:r>
    </w:p>
    <w:p>
      <w:pPr>
        <w:sectPr>
          <w:pgSz w:w="11900" w:h="16838" w:orient="portrait"/>
          <w:cols w:equalWidth="0" w:num="1">
            <w:col w:w="11000"/>
          </w:cols>
          <w:pgMar w:left="440" w:top="378" w:right="459" w:bottom="1440" w:gutter="0" w:footer="0" w:header="0"/>
          <w:type w:val="continuous"/>
        </w:sectPr>
      </w:pPr>
    </w:p>
    <w:bookmarkStart w:id="77" w:name="page78"/>
    <w:bookmarkEnd w:id="77"/>
    <w:p>
      <w:pPr>
        <w:ind w:left="3200"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Number of Shares to be settled during an Unwind Period by a date that is more than two Scheduled Trading Days prior to a Settlement Date specified above, Dealer may, by written notice to Counterparty, no fewer than two Scheduled Trading Days prior thereto, specify any Scheduled Trading Day prior to such original Settlement Date as the Settlement Date; or</w:t>
      </w:r>
    </w:p>
    <w:p>
      <w:pPr>
        <w:spacing w:after="0" w:line="7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(b)    designated by Dealer as a Settlement Date pursuant to the “Termination Settlement” provisions of</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Paragraph 7(g) below;</w:t>
      </w:r>
    </w:p>
    <w:p>
      <w:pPr>
        <w:spacing w:after="0" w:line="97" w:lineRule="exact"/>
        <w:rPr>
          <w:sz w:val="20"/>
          <w:szCs w:val="20"/>
          <w:color w:val="auto"/>
        </w:rPr>
      </w:pPr>
    </w:p>
    <w:p>
      <w:pPr>
        <w:ind w:left="3200" w:right="1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Final Date will be a Settlement Date if on such date the Number of Shares for which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Settlement Date has not already been designated is greater than zero,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following the occurrence of at least five consecutive Disrupted Days during an Unwind Period and while such Disrupted Days are continuing, Dealer may designate any subsequent Scheduled Trading Day as the Settlement Date with respect to the portion of the Settlement Shares, if any, for which Dealer has determined an Unwind Purchase Price during such Unwind Period, it being understood that the Unwind Period with respect to the remainder of such Settlement Shares shall recommence on the next succeeding Exchange Business Day that is not a Disrupted Day in whole.</w:t>
      </w:r>
    </w:p>
    <w:p>
      <w:pPr>
        <w:sectPr>
          <w:pgSz w:w="11900" w:h="16838" w:orient="portrait"/>
          <w:cols w:equalWidth="0" w:num="1">
            <w:col w:w="10960"/>
          </w:cols>
          <w:pgMar w:left="440" w:top="378" w:right="499" w:bottom="1440" w:gutter="0" w:footer="0" w:header="0"/>
        </w:sectPr>
      </w:pP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Final Date:</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 ], 202[ • ] (or if such day is not a Scheduled Trading Day, the next following Scheduled Trading Day)</w:t>
      </w:r>
    </w:p>
    <w:p>
      <w:pPr>
        <w:spacing w:after="0" w:line="129" w:lineRule="exact"/>
        <w:rPr>
          <w:sz w:val="20"/>
          <w:szCs w:val="20"/>
          <w:color w:val="auto"/>
        </w:rPr>
      </w:pPr>
    </w:p>
    <w:p>
      <w:pPr>
        <w:sectPr>
          <w:pgSz w:w="11900" w:h="16838" w:orient="portrait"/>
          <w:cols w:equalWidth="0" w:num="2">
            <w:col w:w="2480" w:space="720"/>
            <w:col w:w="7760"/>
          </w:cols>
          <w:pgMar w:left="440" w:top="378"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Shares:</w:t>
      </w:r>
    </w:p>
    <w:p>
      <w:pPr>
        <w:spacing w:after="0" w:line="20" w:lineRule="exact"/>
        <w:rPr>
          <w:sz w:val="20"/>
          <w:szCs w:val="20"/>
          <w:color w:val="auto"/>
        </w:rPr>
      </w:pPr>
      <w:r>
        <w:rPr>
          <w:sz w:val="20"/>
          <w:szCs w:val="20"/>
          <w:color w:val="auto"/>
        </w:rPr>
        <w:br w:type="column"/>
      </w:r>
    </w:p>
    <w:p>
      <w:pPr>
        <w:ind w:hanging="359"/>
        <w:spacing w:after="0" w:line="255" w:lineRule="auto"/>
        <w:rPr>
          <w:sz w:val="20"/>
          <w:szCs w:val="20"/>
          <w:color w:val="auto"/>
        </w:rPr>
      </w:pPr>
      <w:r>
        <w:rPr>
          <w:rFonts w:ascii="Times New Roman" w:cs="Times New Roman" w:eastAsia="Times New Roman" w:hAnsi="Times New Roman"/>
          <w:sz w:val="18"/>
          <w:szCs w:val="18"/>
          <w:color w:val="auto"/>
        </w:rPr>
        <w:t xml:space="preserve">(a)    With respect to any Settlement Date other than the Final Date, the number of Shares designated as such by Counterparty in the relevant Settlement Notice or designated by Dealer pursuant to the “Termination Settlement” provisions of Paragraph 7(g) below,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Settlement Shares so designated shall, in the case of a designation by Counterparty, (i) not exceed the Number of Shares at that time and (ii) be at least equal to the lesser of 100,000 and the Number of Shares at that time, in each case with the Number of Shares determined taking into account pending Settlement Shares; and</w:t>
      </w:r>
    </w:p>
    <w:p>
      <w:pPr>
        <w:spacing w:after="0" w:line="81" w:lineRule="exact"/>
        <w:rPr>
          <w:sz w:val="20"/>
          <w:szCs w:val="20"/>
          <w:color w:val="auto"/>
        </w:rPr>
      </w:pPr>
    </w:p>
    <w:p>
      <w:pPr>
        <w:sectPr>
          <w:pgSz w:w="11900" w:h="16838" w:orient="portrait"/>
          <w:cols w:equalWidth="0" w:num="2">
            <w:col w:w="2840" w:space="720"/>
            <w:col w:w="7400"/>
          </w:cols>
          <w:pgMar w:left="440" w:top="378" w:right="499" w:bottom="1440" w:gutter="0" w:footer="0" w:header="0"/>
          <w:type w:val="continuous"/>
        </w:sectPr>
      </w:pPr>
    </w:p>
    <w:p>
      <w:pPr>
        <w:ind w:left="3560" w:right="400" w:hanging="359"/>
        <w:spacing w:after="0" w:line="282" w:lineRule="auto"/>
        <w:rPr>
          <w:sz w:val="20"/>
          <w:szCs w:val="20"/>
          <w:color w:val="auto"/>
        </w:rPr>
      </w:pPr>
      <w:r>
        <w:rPr>
          <w:rFonts w:ascii="Times New Roman" w:cs="Times New Roman" w:eastAsia="Times New Roman" w:hAnsi="Times New Roman"/>
          <w:sz w:val="18"/>
          <w:szCs w:val="18"/>
          <w:color w:val="auto"/>
        </w:rPr>
        <w:t>(b)    with respect to the Settlement Date on the Final Date, a number of Shares equal to the Number of Shares at that time;</w:t>
      </w:r>
    </w:p>
    <w:p>
      <w:pPr>
        <w:spacing w:after="0" w:line="5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in each case with the Number of Shares determined taking into account pending Settlement Shares.</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B-1-6</w:t>
      </w:r>
    </w:p>
    <w:p>
      <w:pPr>
        <w:sectPr>
          <w:pgSz w:w="11900" w:h="16838" w:orient="portrait"/>
          <w:cols w:equalWidth="0" w:num="1">
            <w:col w:w="10960"/>
          </w:cols>
          <w:pgMar w:left="440" w:top="378" w:right="49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7"/>
          <w:szCs w:val="17"/>
          <w:color w:val="auto"/>
        </w:rPr>
        <w:t>Settlement Method Election:</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8"/>
          <w:szCs w:val="18"/>
          <w:color w:val="auto"/>
        </w:rPr>
        <w:t xml:space="preserve">Physical Settlement, Cash Settlement, or Net Share Settlement, at the election of Counterparty as set forth in a Settlement Notice that satisfies the Settlement Notice Requirements;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Physical Settlement shall apply (i) if no Settlement Method is validly selected, (ii) with respect to any Settlement Shares in respect of which Dealer is unable, in good faith and in its commercially reasonable judgment, to unwind its commercially reasonable hedge by the end of the Unwind Period (taking into account any Additional Transactions with overlapping “Unwind Periods” (as defined in the applicable Additional Confirmations)) (A) in a manner that, in the reasonable judgment of Dealer, based on advice of counsel, is consistent with the requirements for qualifying for the safe harbor provided by Rule 10b-18 under the Exchange Act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Rule 10b-18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(B) in its commercially reasonable judgment, due to the occurrence of five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Disrupted Days or to the lack of sufficient liquidity in the Shares on any Exchange Business Day during the Unwind Period, (iii) to any Termination Settlement Date (as defined under “Termination Settlement” in Paragraph 7(g) below) and (iv) if the Final Date is a Settlement Date other than as the result of a valid Settlement Notice, in respect of such Settlement Date;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Physical Settlement applies under clause (ii) immediately above, Dealer shall provide written notice to Counterparty at least two Scheduled Trading Days prior to the applicable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-2152015</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2480" w:space="720"/>
            <w:col w:w="7800"/>
          </w:cols>
          <w:pgMar w:left="440" w:top="270" w:right="4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Settlement Notice Requirements:</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Times New Roman" w:cs="Times New Roman" w:eastAsia="Times New Roman" w:hAnsi="Times New Roman"/>
          <w:sz w:val="18"/>
          <w:szCs w:val="18"/>
          <w:color w:val="auto"/>
        </w:rPr>
        <w:t>Notwithstanding any other provision hereof, a Settlement Notice delivered by Counterparty that specifies Cash Settlement or Net Share Settlement will not be effective to establish a Settlement Date or require Cash Settlement or Net Share Settlement unless Counterparty delivers to Dealer with such Settlement Notice a representation, dated as of the date of such Settlement Notice and signed by Counterparty, containing (x) the provisions set forth in clause (i) under the heading “Additional Representations and Agreements of Counterparty” in Paragraph 7(e) below and (y) the provision that neither Counterparty nor any of its subsidiaries has applied, and shall not until after the first</w:t>
      </w:r>
    </w:p>
    <w:p>
      <w:pPr>
        <w:spacing w:after="0" w:line="121"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B-1-7</w:t>
      </w:r>
    </w:p>
    <w:p>
      <w:pPr>
        <w:sectPr>
          <w:pgSz w:w="11900" w:h="16838" w:orient="portrait"/>
          <w:cols w:equalWidth="0" w:num="1">
            <w:col w:w="11000"/>
          </w:cols>
          <w:pgMar w:left="440" w:top="270" w:right="459" w:bottom="1440" w:gutter="0" w:footer="0" w:header="0"/>
          <w:type w:val="continuous"/>
        </w:sectPr>
      </w:pPr>
    </w:p>
    <w:bookmarkStart w:id="79" w:name="page80"/>
    <w:bookmarkEnd w:id="79"/>
    <w:p>
      <w:pPr>
        <w:ind w:left="320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date on which no portion of the Transaction remains outstanding following any final exercise and settlement, cancellation or early termination of the Transaction, apply for a loan, loan guarantee, direct loan (as that term is defined in the Coronavirus Aid, Relief and Economic Security Act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CARES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or other investment, or receive any financial assistance or relief under any program or facility (collectively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Financial Assistance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that (I) is established under applicable law (whether in existence as of the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Date or subsequently enacted, adopted or amended), including without limitation the CARES Act and the Federal Reserve Act, as amended, and (II) (X) requires under applicable law (or any regulation, guidance, interpretation or other pronouncement of a governmental authority with jurisdiction for such program or facility) as a condition of such Financial Assistance, that Counterparty comply with any requirement not to, or otherwise agree, attest, certify or warrant that it has not, as of the date specified in such condition, repurchased, or will not repurchase, any equity security of Issuer, and that it has not, as of the date specified in the condition, made a capital distribution or will make a capital distribution, or (Y) where the terms of the Transaction would cause Counterparty under any circumstance to fail to satisfy any condition for application for or receipt or retention of the Financial Assistance (collectively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Assistance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other than any such applications for Restricted Financial Assistance that were (or would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made (x) determined based on the advice of outside counsel of national standing that the terms of the Transaction would not cause Counterparty to fail to satisfy any condition for application for or receipt or retention of such Financial Assistance based on the terms of the program or facility as of the date of such advice or (y) after delivery to Dealer evidence or other guidance from a governmental authority with jurisdiction for such program or facility that the Transaction is permitted under such program or facility (either by specific reference to the Transaction or by general reference to transactions with the attributes of the Transaction in all relevant respects).</w:t>
      </w:r>
    </w:p>
    <w:p>
      <w:pPr>
        <w:sectPr>
          <w:pgSz w:w="11900" w:h="16838" w:orient="portrait"/>
          <w:cols w:equalWidth="0" w:num="1">
            <w:col w:w="11000"/>
          </w:cols>
          <w:pgMar w:left="440" w:top="486" w:right="459" w:bottom="1440" w:gutter="0" w:footer="0" w:header="0"/>
        </w:sectPr>
      </w:pP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Physical Settlement:</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Physical Settlement is applicable, then Counterparty shall deliver to Dealer through the Clearance System a number of Shares equal to the Settlement Shares for the related Settlement Date, and Dealer shall pay to Counterparty, by</w:t>
      </w:r>
    </w:p>
    <w:p>
      <w:pPr>
        <w:spacing w:after="0" w:line="108" w:lineRule="exact"/>
        <w:rPr>
          <w:sz w:val="20"/>
          <w:szCs w:val="20"/>
          <w:color w:val="auto"/>
        </w:rPr>
      </w:pPr>
    </w:p>
    <w:p>
      <w:pPr>
        <w:sectPr>
          <w:pgSz w:w="11900" w:h="16838" w:orient="portrait"/>
          <w:cols w:equalWidth="0" w:num="2">
            <w:col w:w="2480" w:space="720"/>
            <w:col w:w="7800"/>
          </w:cols>
          <w:pgMar w:left="440" w:top="486" w:right="4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B-1-8</w:t>
      </w:r>
    </w:p>
    <w:p>
      <w:pPr>
        <w:sectPr>
          <w:pgSz w:w="11900" w:h="16838" w:orient="portrait"/>
          <w:cols w:equalWidth="0" w:num="1">
            <w:col w:w="11000"/>
          </w:cols>
          <w:pgMar w:left="440" w:top="486" w:right="45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8340" w:type="dxa"/>
            <w:vAlign w:val="bottom"/>
            <w:gridSpan w:val="8"/>
          </w:tcPr>
          <w:p>
            <w:pPr>
              <w:ind w:left="540"/>
              <w:spacing w:after="0"/>
              <w:rPr>
                <w:sz w:val="20"/>
                <w:szCs w:val="20"/>
                <w:color w:val="auto"/>
              </w:rPr>
            </w:pPr>
            <w:r>
              <w:rPr>
                <w:rFonts w:ascii="Times New Roman" w:cs="Times New Roman" w:eastAsia="Times New Roman" w:hAnsi="Times New Roman"/>
                <w:sz w:val="18"/>
                <w:szCs w:val="18"/>
                <w:color w:val="auto"/>
              </w:rPr>
              <w:t>wire transfer of immediately available funds to an account designated by Counterparty, an amount equal to</w:t>
            </w:r>
          </w:p>
        </w:tc>
      </w:tr>
      <w:tr>
        <w:trPr>
          <w:trHeight w:val="216"/>
        </w:trPr>
        <w:tc>
          <w:tcPr>
            <w:tcW w:w="2660" w:type="dxa"/>
            <w:vAlign w:val="bottom"/>
          </w:tcPr>
          <w:p>
            <w:pPr>
              <w:spacing w:after="0"/>
              <w:rPr>
                <w:sz w:val="18"/>
                <w:szCs w:val="18"/>
                <w:color w:val="auto"/>
              </w:rPr>
            </w:pPr>
          </w:p>
        </w:tc>
        <w:tc>
          <w:tcPr>
            <w:tcW w:w="8340" w:type="dxa"/>
            <w:vAlign w:val="bottom"/>
            <w:gridSpan w:val="8"/>
          </w:tcPr>
          <w:p>
            <w:pPr>
              <w:ind w:left="540"/>
              <w:spacing w:after="0"/>
              <w:rPr>
                <w:sz w:val="20"/>
                <w:szCs w:val="20"/>
                <w:color w:val="auto"/>
              </w:rPr>
            </w:pPr>
            <w:r>
              <w:rPr>
                <w:rFonts w:ascii="Times New Roman" w:cs="Times New Roman" w:eastAsia="Times New Roman" w:hAnsi="Times New Roman"/>
                <w:sz w:val="18"/>
                <w:szCs w:val="18"/>
                <w:color w:val="auto"/>
              </w:rPr>
              <w:t>the Physical Settlement Amount for such Settlement Date, on a delivery versus payment basis. If, on any</w:t>
            </w:r>
          </w:p>
        </w:tc>
      </w:tr>
      <w:tr>
        <w:trPr>
          <w:trHeight w:val="212"/>
        </w:trPr>
        <w:tc>
          <w:tcPr>
            <w:tcW w:w="2660" w:type="dxa"/>
            <w:vAlign w:val="bottom"/>
          </w:tcPr>
          <w:p>
            <w:pPr>
              <w:spacing w:after="0"/>
              <w:rPr>
                <w:sz w:val="18"/>
                <w:szCs w:val="18"/>
                <w:color w:val="auto"/>
              </w:rPr>
            </w:pPr>
          </w:p>
        </w:tc>
        <w:tc>
          <w:tcPr>
            <w:tcW w:w="8340" w:type="dxa"/>
            <w:vAlign w:val="bottom"/>
            <w:gridSpan w:val="8"/>
          </w:tcPr>
          <w:p>
            <w:pPr>
              <w:ind w:left="540"/>
              <w:spacing w:after="0"/>
              <w:rPr>
                <w:sz w:val="20"/>
                <w:szCs w:val="20"/>
                <w:color w:val="auto"/>
              </w:rPr>
            </w:pPr>
            <w:r>
              <w:rPr>
                <w:rFonts w:ascii="Times New Roman" w:cs="Times New Roman" w:eastAsia="Times New Roman" w:hAnsi="Times New Roman"/>
                <w:sz w:val="18"/>
                <w:szCs w:val="18"/>
                <w:color w:val="auto"/>
              </w:rPr>
              <w:t>Settlement Date, the Shares to be delivered by Counterparty to Dealer hereunder are not so delivered (the</w:t>
            </w:r>
          </w:p>
        </w:tc>
      </w:tr>
      <w:tr>
        <w:trPr>
          <w:trHeight w:val="220"/>
        </w:trPr>
        <w:tc>
          <w:tcPr>
            <w:tcW w:w="2660" w:type="dxa"/>
            <w:vAlign w:val="bottom"/>
          </w:tcPr>
          <w:p>
            <w:pPr>
              <w:spacing w:after="0"/>
              <w:rPr>
                <w:sz w:val="19"/>
                <w:szCs w:val="19"/>
                <w:color w:val="auto"/>
              </w:rPr>
            </w:pPr>
          </w:p>
        </w:tc>
        <w:tc>
          <w:tcPr>
            <w:tcW w:w="8340" w:type="dxa"/>
            <w:vAlign w:val="bottom"/>
            <w:gridSpan w:val="8"/>
          </w:tcPr>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“Deferred Shares”</w:t>
            </w:r>
            <w:r>
              <w:rPr>
                <w:rFonts w:ascii="Times New Roman" w:cs="Times New Roman" w:eastAsia="Times New Roman" w:hAnsi="Times New Roman"/>
                <w:sz w:val="18"/>
                <w:szCs w:val="18"/>
                <w:color w:val="auto"/>
              </w:rPr>
              <w:t>), and a Forward Price Reduction Date occurs during the period from, and including,</w:t>
            </w:r>
          </w:p>
        </w:tc>
      </w:tr>
      <w:tr>
        <w:trPr>
          <w:trHeight w:val="216"/>
        </w:trPr>
        <w:tc>
          <w:tcPr>
            <w:tcW w:w="2660" w:type="dxa"/>
            <w:vAlign w:val="bottom"/>
          </w:tcPr>
          <w:p>
            <w:pPr>
              <w:spacing w:after="0"/>
              <w:rPr>
                <w:sz w:val="18"/>
                <w:szCs w:val="18"/>
                <w:color w:val="auto"/>
              </w:rPr>
            </w:pPr>
          </w:p>
        </w:tc>
        <w:tc>
          <w:tcPr>
            <w:tcW w:w="8340" w:type="dxa"/>
            <w:vAlign w:val="bottom"/>
            <w:gridSpan w:val="8"/>
          </w:tcPr>
          <w:p>
            <w:pPr>
              <w:ind w:left="540"/>
              <w:spacing w:after="0"/>
              <w:rPr>
                <w:sz w:val="20"/>
                <w:szCs w:val="20"/>
                <w:color w:val="auto"/>
              </w:rPr>
            </w:pPr>
            <w:r>
              <w:rPr>
                <w:rFonts w:ascii="Times New Roman" w:cs="Times New Roman" w:eastAsia="Times New Roman" w:hAnsi="Times New Roman"/>
                <w:sz w:val="18"/>
                <w:szCs w:val="18"/>
                <w:color w:val="auto"/>
              </w:rPr>
              <w:t>such Settlement Date to, but excluding, the date such Shares are actually delivered to Dealer, then the</w:t>
            </w:r>
          </w:p>
        </w:tc>
      </w:tr>
      <w:tr>
        <w:trPr>
          <w:trHeight w:val="216"/>
        </w:trPr>
        <w:tc>
          <w:tcPr>
            <w:tcW w:w="2660" w:type="dxa"/>
            <w:vAlign w:val="bottom"/>
          </w:tcPr>
          <w:p>
            <w:pPr>
              <w:spacing w:after="0"/>
              <w:rPr>
                <w:sz w:val="18"/>
                <w:szCs w:val="18"/>
                <w:color w:val="auto"/>
              </w:rPr>
            </w:pPr>
          </w:p>
        </w:tc>
        <w:tc>
          <w:tcPr>
            <w:tcW w:w="8340" w:type="dxa"/>
            <w:vAlign w:val="bottom"/>
            <w:gridSpan w:val="8"/>
          </w:tcPr>
          <w:p>
            <w:pPr>
              <w:ind w:left="540"/>
              <w:spacing w:after="0"/>
              <w:rPr>
                <w:sz w:val="20"/>
                <w:szCs w:val="20"/>
                <w:color w:val="auto"/>
              </w:rPr>
            </w:pPr>
            <w:r>
              <w:rPr>
                <w:rFonts w:ascii="Times New Roman" w:cs="Times New Roman" w:eastAsia="Times New Roman" w:hAnsi="Times New Roman"/>
                <w:sz w:val="18"/>
                <w:szCs w:val="18"/>
                <w:color w:val="auto"/>
              </w:rPr>
              <w:t>portion of the Physical Settlement Amount payable by Dealer to Counterparty in respect of the Deferred</w:t>
            </w:r>
          </w:p>
        </w:tc>
      </w:tr>
      <w:tr>
        <w:trPr>
          <w:trHeight w:val="216"/>
        </w:trPr>
        <w:tc>
          <w:tcPr>
            <w:tcW w:w="2660" w:type="dxa"/>
            <w:vAlign w:val="bottom"/>
          </w:tcPr>
          <w:p>
            <w:pPr>
              <w:spacing w:after="0"/>
              <w:rPr>
                <w:sz w:val="18"/>
                <w:szCs w:val="18"/>
                <w:color w:val="auto"/>
              </w:rPr>
            </w:pPr>
          </w:p>
        </w:tc>
        <w:tc>
          <w:tcPr>
            <w:tcW w:w="8340" w:type="dxa"/>
            <w:vAlign w:val="bottom"/>
            <w:gridSpan w:val="8"/>
          </w:tcPr>
          <w:p>
            <w:pPr>
              <w:ind w:left="540"/>
              <w:spacing w:after="0"/>
              <w:rPr>
                <w:sz w:val="20"/>
                <w:szCs w:val="20"/>
                <w:color w:val="auto"/>
              </w:rPr>
            </w:pPr>
            <w:r>
              <w:rPr>
                <w:rFonts w:ascii="Times New Roman" w:cs="Times New Roman" w:eastAsia="Times New Roman" w:hAnsi="Times New Roman"/>
                <w:sz w:val="18"/>
                <w:szCs w:val="18"/>
                <w:color w:val="auto"/>
                <w:w w:val="99"/>
              </w:rPr>
              <w:t>Shares shall be reduced by an amount equal to the Forward Price Reduction Amount for such Forward Price</w:t>
            </w:r>
          </w:p>
        </w:tc>
      </w:tr>
      <w:tr>
        <w:trPr>
          <w:trHeight w:val="194"/>
        </w:trPr>
        <w:tc>
          <w:tcPr>
            <w:tcW w:w="2660" w:type="dxa"/>
            <w:vAlign w:val="bottom"/>
          </w:tcPr>
          <w:p>
            <w:pPr>
              <w:spacing w:after="0"/>
              <w:rPr>
                <w:sz w:val="16"/>
                <w:szCs w:val="16"/>
                <w:color w:val="auto"/>
              </w:rPr>
            </w:pPr>
          </w:p>
        </w:tc>
        <w:tc>
          <w:tcPr>
            <w:tcW w:w="8340" w:type="dxa"/>
            <w:vAlign w:val="bottom"/>
            <w:gridSpan w:val="8"/>
          </w:tcPr>
          <w:p>
            <w:pPr>
              <w:ind w:left="540"/>
              <w:spacing w:after="0" w:line="194" w:lineRule="exact"/>
              <w:rPr>
                <w:sz w:val="20"/>
                <w:szCs w:val="20"/>
                <w:color w:val="auto"/>
              </w:rPr>
            </w:pPr>
            <w:r>
              <w:rPr>
                <w:rFonts w:ascii="Times New Roman" w:cs="Times New Roman" w:eastAsia="Times New Roman" w:hAnsi="Times New Roman"/>
                <w:sz w:val="18"/>
                <w:szCs w:val="18"/>
                <w:color w:val="auto"/>
              </w:rPr>
              <w:t>Reduction Date, multiplied by the number of Deferred Shares.</w:t>
            </w:r>
          </w:p>
        </w:tc>
      </w:tr>
      <w:tr>
        <w:trPr>
          <w:trHeight w:val="20"/>
        </w:trPr>
        <w:tc>
          <w:tcPr>
            <w:tcW w:w="2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2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Physical Settlement Amount:</w:t>
            </w:r>
          </w:p>
        </w:tc>
        <w:tc>
          <w:tcPr>
            <w:tcW w:w="8340" w:type="dxa"/>
            <w:vAlign w:val="bottom"/>
            <w:gridSpan w:val="8"/>
          </w:tcPr>
          <w:p>
            <w:pPr>
              <w:ind w:left="540"/>
              <w:spacing w:after="0"/>
              <w:rPr>
                <w:sz w:val="20"/>
                <w:szCs w:val="20"/>
                <w:color w:val="auto"/>
              </w:rPr>
            </w:pPr>
            <w:r>
              <w:rPr>
                <w:rFonts w:ascii="Times New Roman" w:cs="Times New Roman" w:eastAsia="Times New Roman" w:hAnsi="Times New Roman"/>
                <w:sz w:val="18"/>
                <w:szCs w:val="18"/>
                <w:color w:val="auto"/>
                <w:w w:val="99"/>
              </w:rPr>
              <w:t>For any Settlement Date for which Physical Settlement is applicable, an amount in cash equal to the product</w:t>
            </w:r>
          </w:p>
        </w:tc>
      </w:tr>
      <w:tr>
        <w:trPr>
          <w:trHeight w:val="194"/>
        </w:trPr>
        <w:tc>
          <w:tcPr>
            <w:tcW w:w="2660" w:type="dxa"/>
            <w:vAlign w:val="bottom"/>
          </w:tcPr>
          <w:p>
            <w:pPr>
              <w:spacing w:after="0"/>
              <w:rPr>
                <w:sz w:val="16"/>
                <w:szCs w:val="16"/>
                <w:color w:val="auto"/>
              </w:rPr>
            </w:pPr>
          </w:p>
        </w:tc>
        <w:tc>
          <w:tcPr>
            <w:tcW w:w="8340" w:type="dxa"/>
            <w:vAlign w:val="bottom"/>
            <w:gridSpan w:val="8"/>
          </w:tcPr>
          <w:p>
            <w:pPr>
              <w:ind w:left="540"/>
              <w:spacing w:after="0" w:line="194" w:lineRule="exact"/>
              <w:rPr>
                <w:sz w:val="20"/>
                <w:szCs w:val="20"/>
                <w:color w:val="auto"/>
              </w:rPr>
            </w:pPr>
            <w:r>
              <w:rPr>
                <w:rFonts w:ascii="Times New Roman" w:cs="Times New Roman" w:eastAsia="Times New Roman" w:hAnsi="Times New Roman"/>
                <w:sz w:val="18"/>
                <w:szCs w:val="18"/>
                <w:color w:val="auto"/>
                <w:w w:val="99"/>
              </w:rPr>
              <w:t>of (a) the Forward Price in effect on the relevant Settlement Date multiplied by (b) the Settlement Shares for</w:t>
            </w:r>
          </w:p>
        </w:tc>
      </w:tr>
      <w:tr>
        <w:trPr>
          <w:trHeight w:val="237"/>
        </w:trPr>
        <w:tc>
          <w:tcPr>
            <w:tcW w:w="2660" w:type="dxa"/>
            <w:vAlign w:val="bottom"/>
          </w:tcPr>
          <w:p>
            <w:pPr>
              <w:spacing w:after="0"/>
              <w:rPr>
                <w:sz w:val="20"/>
                <w:szCs w:val="20"/>
                <w:color w:val="auto"/>
              </w:rPr>
            </w:pPr>
          </w:p>
        </w:tc>
        <w:tc>
          <w:tcPr>
            <w:tcW w:w="526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such Settlement Date.</w:t>
            </w:r>
          </w:p>
        </w:tc>
        <w:tc>
          <w:tcPr>
            <w:tcW w:w="960" w:type="dxa"/>
            <w:vAlign w:val="bottom"/>
            <w:tcBorders>
              <w:top w:val="single" w:sz="8" w:color="auto"/>
            </w:tcBorders>
          </w:tcPr>
          <w:p>
            <w:pPr>
              <w:spacing w:after="0"/>
              <w:rPr>
                <w:sz w:val="20"/>
                <w:szCs w:val="20"/>
                <w:color w:val="auto"/>
              </w:rPr>
            </w:pPr>
          </w:p>
        </w:tc>
        <w:tc>
          <w:tcPr>
            <w:tcW w:w="2120" w:type="dxa"/>
            <w:vAlign w:val="bottom"/>
          </w:tcPr>
          <w:p>
            <w:pPr>
              <w:spacing w:after="0"/>
              <w:rPr>
                <w:sz w:val="20"/>
                <w:szCs w:val="20"/>
                <w:color w:val="auto"/>
              </w:rPr>
            </w:pPr>
          </w:p>
        </w:tc>
      </w:tr>
      <w:tr>
        <w:trPr>
          <w:trHeight w:val="30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Cash Settlement:</w:t>
            </w:r>
          </w:p>
        </w:tc>
        <w:tc>
          <w:tcPr>
            <w:tcW w:w="8340" w:type="dxa"/>
            <w:vAlign w:val="bottom"/>
            <w:gridSpan w:val="8"/>
          </w:tcPr>
          <w:p>
            <w:pPr>
              <w:ind w:left="540"/>
              <w:spacing w:after="0"/>
              <w:rPr>
                <w:sz w:val="20"/>
                <w:szCs w:val="20"/>
                <w:color w:val="auto"/>
              </w:rPr>
            </w:pPr>
            <w:r>
              <w:rPr>
                <w:rFonts w:ascii="Times New Roman" w:cs="Times New Roman" w:eastAsia="Times New Roman" w:hAnsi="Times New Roman"/>
                <w:sz w:val="18"/>
                <w:szCs w:val="18"/>
                <w:color w:val="auto"/>
              </w:rPr>
              <w:t>On any Settlement Date in respect of which Cash Settlement applies, (i) if the Cash Settlement Amount is a</w:t>
            </w:r>
          </w:p>
        </w:tc>
      </w:tr>
      <w:tr>
        <w:trPr>
          <w:trHeight w:val="216"/>
        </w:trPr>
        <w:tc>
          <w:tcPr>
            <w:tcW w:w="2660" w:type="dxa"/>
            <w:vAlign w:val="bottom"/>
          </w:tcPr>
          <w:p>
            <w:pPr>
              <w:spacing w:after="0"/>
              <w:rPr>
                <w:sz w:val="18"/>
                <w:szCs w:val="18"/>
                <w:color w:val="auto"/>
              </w:rPr>
            </w:pPr>
          </w:p>
        </w:tc>
        <w:tc>
          <w:tcPr>
            <w:tcW w:w="8340" w:type="dxa"/>
            <w:vAlign w:val="bottom"/>
            <w:gridSpan w:val="8"/>
          </w:tcPr>
          <w:p>
            <w:pPr>
              <w:ind w:left="540"/>
              <w:spacing w:after="0"/>
              <w:rPr>
                <w:sz w:val="20"/>
                <w:szCs w:val="20"/>
                <w:color w:val="auto"/>
              </w:rPr>
            </w:pPr>
            <w:r>
              <w:rPr>
                <w:rFonts w:ascii="Times New Roman" w:cs="Times New Roman" w:eastAsia="Times New Roman" w:hAnsi="Times New Roman"/>
                <w:sz w:val="18"/>
                <w:szCs w:val="18"/>
                <w:color w:val="auto"/>
              </w:rPr>
              <w:t>positive number, Dealer will pay the Cash Settlement Amount to Counterparty, and (ii) if the Cash</w:t>
            </w:r>
          </w:p>
        </w:tc>
      </w:tr>
      <w:tr>
        <w:trPr>
          <w:trHeight w:val="216"/>
        </w:trPr>
        <w:tc>
          <w:tcPr>
            <w:tcW w:w="2660" w:type="dxa"/>
            <w:vAlign w:val="bottom"/>
          </w:tcPr>
          <w:p>
            <w:pPr>
              <w:spacing w:after="0"/>
              <w:rPr>
                <w:sz w:val="18"/>
                <w:szCs w:val="18"/>
                <w:color w:val="auto"/>
              </w:rPr>
            </w:pPr>
          </w:p>
        </w:tc>
        <w:tc>
          <w:tcPr>
            <w:tcW w:w="8340" w:type="dxa"/>
            <w:vAlign w:val="bottom"/>
            <w:gridSpan w:val="8"/>
          </w:tcPr>
          <w:p>
            <w:pPr>
              <w:ind w:left="540"/>
              <w:spacing w:after="0"/>
              <w:rPr>
                <w:sz w:val="20"/>
                <w:szCs w:val="20"/>
                <w:color w:val="auto"/>
              </w:rPr>
            </w:pPr>
            <w:r>
              <w:rPr>
                <w:rFonts w:ascii="Times New Roman" w:cs="Times New Roman" w:eastAsia="Times New Roman" w:hAnsi="Times New Roman"/>
                <w:sz w:val="18"/>
                <w:szCs w:val="18"/>
                <w:color w:val="auto"/>
              </w:rPr>
              <w:t>Settlement Amount is a negative number, Counterparty will pay the absolute value of the Cash Settlement</w:t>
            </w:r>
          </w:p>
        </w:tc>
      </w:tr>
      <w:tr>
        <w:trPr>
          <w:trHeight w:val="216"/>
        </w:trPr>
        <w:tc>
          <w:tcPr>
            <w:tcW w:w="2660" w:type="dxa"/>
            <w:vAlign w:val="bottom"/>
          </w:tcPr>
          <w:p>
            <w:pPr>
              <w:spacing w:after="0"/>
              <w:rPr>
                <w:sz w:val="18"/>
                <w:szCs w:val="18"/>
                <w:color w:val="auto"/>
              </w:rPr>
            </w:pPr>
          </w:p>
        </w:tc>
        <w:tc>
          <w:tcPr>
            <w:tcW w:w="8340" w:type="dxa"/>
            <w:vAlign w:val="bottom"/>
            <w:gridSpan w:val="8"/>
          </w:tcPr>
          <w:p>
            <w:pPr>
              <w:ind w:left="540"/>
              <w:spacing w:after="0"/>
              <w:rPr>
                <w:sz w:val="20"/>
                <w:szCs w:val="20"/>
                <w:color w:val="auto"/>
              </w:rPr>
            </w:pPr>
            <w:r>
              <w:rPr>
                <w:rFonts w:ascii="Times New Roman" w:cs="Times New Roman" w:eastAsia="Times New Roman" w:hAnsi="Times New Roman"/>
                <w:sz w:val="18"/>
                <w:szCs w:val="18"/>
                <w:color w:val="auto"/>
              </w:rPr>
              <w:t>Amount to Dealer. Such amounts shall be paid on such Settlement Date by wire transfer of immediately</w:t>
            </w:r>
          </w:p>
        </w:tc>
      </w:tr>
      <w:tr>
        <w:trPr>
          <w:trHeight w:val="234"/>
        </w:trPr>
        <w:tc>
          <w:tcPr>
            <w:tcW w:w="2660" w:type="dxa"/>
            <w:vAlign w:val="bottom"/>
          </w:tcPr>
          <w:p>
            <w:pPr>
              <w:spacing w:after="0"/>
              <w:rPr>
                <w:sz w:val="20"/>
                <w:szCs w:val="20"/>
                <w:color w:val="auto"/>
              </w:rPr>
            </w:pPr>
          </w:p>
        </w:tc>
        <w:tc>
          <w:tcPr>
            <w:tcW w:w="8340" w:type="dxa"/>
            <w:vAlign w:val="bottom"/>
            <w:gridSpan w:val="8"/>
          </w:tcPr>
          <w:p>
            <w:pPr>
              <w:ind w:left="540"/>
              <w:spacing w:after="0"/>
              <w:rPr>
                <w:sz w:val="20"/>
                <w:szCs w:val="20"/>
                <w:color w:val="auto"/>
              </w:rPr>
            </w:pPr>
            <w:r>
              <w:rPr>
                <w:rFonts w:ascii="Times New Roman" w:cs="Times New Roman" w:eastAsia="Times New Roman" w:hAnsi="Times New Roman"/>
                <w:sz w:val="18"/>
                <w:szCs w:val="18"/>
                <w:color w:val="auto"/>
              </w:rPr>
              <w:t>available funds to an account designated by the relevant party.</w:t>
            </w:r>
          </w:p>
        </w:tc>
      </w:tr>
      <w:tr>
        <w:trPr>
          <w:trHeight w:val="32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Cash Settlement Amount:</w:t>
            </w:r>
          </w:p>
        </w:tc>
        <w:tc>
          <w:tcPr>
            <w:tcW w:w="8340" w:type="dxa"/>
            <w:vAlign w:val="bottom"/>
            <w:gridSpan w:val="8"/>
          </w:tcPr>
          <w:p>
            <w:pPr>
              <w:ind w:left="540"/>
              <w:spacing w:after="0"/>
              <w:rPr>
                <w:sz w:val="20"/>
                <w:szCs w:val="20"/>
                <w:color w:val="auto"/>
              </w:rPr>
            </w:pPr>
            <w:r>
              <w:rPr>
                <w:rFonts w:ascii="Times New Roman" w:cs="Times New Roman" w:eastAsia="Times New Roman" w:hAnsi="Times New Roman"/>
                <w:sz w:val="18"/>
                <w:szCs w:val="18"/>
                <w:color w:val="auto"/>
              </w:rPr>
              <w:t>An amount determined by the Calculation Agent equal to:</w:t>
            </w:r>
          </w:p>
        </w:tc>
      </w:tr>
      <w:tr>
        <w:trPr>
          <w:trHeight w:val="306"/>
        </w:trPr>
        <w:tc>
          <w:tcPr>
            <w:tcW w:w="2660" w:type="dxa"/>
            <w:vAlign w:val="bottom"/>
          </w:tcPr>
          <w:p>
            <w:pPr>
              <w:spacing w:after="0"/>
              <w:rPr>
                <w:sz w:val="24"/>
                <w:szCs w:val="24"/>
                <w:color w:val="auto"/>
              </w:rPr>
            </w:pPr>
          </w:p>
        </w:tc>
        <w:tc>
          <w:tcPr>
            <w:tcW w:w="8340" w:type="dxa"/>
            <w:vAlign w:val="bottom"/>
            <w:gridSpan w:val="8"/>
          </w:tcPr>
          <w:p>
            <w:pPr>
              <w:ind w:left="540"/>
              <w:spacing w:after="0"/>
              <w:rPr>
                <w:sz w:val="20"/>
                <w:szCs w:val="20"/>
                <w:color w:val="auto"/>
              </w:rPr>
            </w:pPr>
            <w:r>
              <w:rPr>
                <w:rFonts w:ascii="Times New Roman" w:cs="Times New Roman" w:eastAsia="Times New Roman" w:hAnsi="Times New Roman"/>
                <w:sz w:val="18"/>
                <w:szCs w:val="18"/>
                <w:color w:val="auto"/>
              </w:rPr>
              <w:t>(a)    (i)(A) the weighted average (weighted on the same basis as clause (B)) of the Forward Prices on each</w:t>
            </w:r>
          </w:p>
        </w:tc>
      </w:tr>
      <w:tr>
        <w:trPr>
          <w:trHeight w:val="216"/>
        </w:trPr>
        <w:tc>
          <w:tcPr>
            <w:tcW w:w="2660" w:type="dxa"/>
            <w:vAlign w:val="bottom"/>
          </w:tcPr>
          <w:p>
            <w:pPr>
              <w:spacing w:after="0"/>
              <w:rPr>
                <w:sz w:val="18"/>
                <w:szCs w:val="18"/>
                <w:color w:val="auto"/>
              </w:rPr>
            </w:pPr>
          </w:p>
        </w:tc>
        <w:tc>
          <w:tcPr>
            <w:tcW w:w="8340" w:type="dxa"/>
            <w:vAlign w:val="bottom"/>
            <w:gridSpan w:val="8"/>
          </w:tcPr>
          <w:p>
            <w:pPr>
              <w:ind w:left="900"/>
              <w:spacing w:after="0"/>
              <w:rPr>
                <w:sz w:val="20"/>
                <w:szCs w:val="20"/>
                <w:color w:val="auto"/>
              </w:rPr>
            </w:pPr>
            <w:r>
              <w:rPr>
                <w:rFonts w:ascii="Times New Roman" w:cs="Times New Roman" w:eastAsia="Times New Roman" w:hAnsi="Times New Roman"/>
                <w:sz w:val="18"/>
                <w:szCs w:val="18"/>
                <w:color w:val="auto"/>
              </w:rPr>
              <w:t>day during the applicable Unwind Period (calculated assuming no reduction to the Forward Price for</w:t>
            </w:r>
          </w:p>
        </w:tc>
      </w:tr>
      <w:tr>
        <w:trPr>
          <w:trHeight w:val="216"/>
        </w:trPr>
        <w:tc>
          <w:tcPr>
            <w:tcW w:w="2660" w:type="dxa"/>
            <w:vAlign w:val="bottom"/>
          </w:tcPr>
          <w:p>
            <w:pPr>
              <w:spacing w:after="0"/>
              <w:rPr>
                <w:sz w:val="18"/>
                <w:szCs w:val="18"/>
                <w:color w:val="auto"/>
              </w:rPr>
            </w:pPr>
          </w:p>
        </w:tc>
        <w:tc>
          <w:tcPr>
            <w:tcW w:w="8340" w:type="dxa"/>
            <w:vAlign w:val="bottom"/>
            <w:gridSpan w:val="8"/>
          </w:tcPr>
          <w:p>
            <w:pPr>
              <w:ind w:left="900"/>
              <w:spacing w:after="0"/>
              <w:rPr>
                <w:sz w:val="20"/>
                <w:szCs w:val="20"/>
                <w:color w:val="auto"/>
              </w:rPr>
            </w:pPr>
            <w:r>
              <w:rPr>
                <w:rFonts w:ascii="Times New Roman" w:cs="Times New Roman" w:eastAsia="Times New Roman" w:hAnsi="Times New Roman"/>
                <w:sz w:val="18"/>
                <w:szCs w:val="18"/>
                <w:color w:val="auto"/>
              </w:rPr>
              <w:t>any Forward Price Reduction Date that occurs during such Unwind Period, which is accounted for in</w:t>
            </w:r>
          </w:p>
        </w:tc>
      </w:tr>
      <w:tr>
        <w:trPr>
          <w:trHeight w:val="194"/>
        </w:trPr>
        <w:tc>
          <w:tcPr>
            <w:tcW w:w="2660" w:type="dxa"/>
            <w:vAlign w:val="bottom"/>
          </w:tcPr>
          <w:p>
            <w:pPr>
              <w:spacing w:after="0"/>
              <w:rPr>
                <w:sz w:val="16"/>
                <w:szCs w:val="16"/>
                <w:color w:val="auto"/>
              </w:rPr>
            </w:pPr>
          </w:p>
        </w:tc>
        <w:tc>
          <w:tcPr>
            <w:tcW w:w="8340" w:type="dxa"/>
            <w:vAlign w:val="bottom"/>
            <w:gridSpan w:val="8"/>
          </w:tcPr>
          <w:p>
            <w:pPr>
              <w:ind w:left="900"/>
              <w:spacing w:after="0" w:line="194" w:lineRule="exact"/>
              <w:rPr>
                <w:sz w:val="20"/>
                <w:szCs w:val="20"/>
                <w:color w:val="auto"/>
              </w:rPr>
            </w:pPr>
            <w:r>
              <w:rPr>
                <w:rFonts w:ascii="Times New Roman" w:cs="Times New Roman" w:eastAsia="Times New Roman" w:hAnsi="Times New Roman"/>
                <w:sz w:val="18"/>
                <w:szCs w:val="18"/>
                <w:color w:val="auto"/>
                <w:w w:val="99"/>
              </w:rPr>
              <w:t>clause (b) below), minus a commercially reasonable commission related to Dealer’s purchase of Shares</w:t>
            </w:r>
          </w:p>
        </w:tc>
      </w:tr>
      <w:tr>
        <w:trPr>
          <w:trHeight w:val="20"/>
        </w:trPr>
        <w:tc>
          <w:tcPr>
            <w:tcW w:w="26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r>
      <w:tr>
        <w:trPr>
          <w:trHeight w:val="214"/>
        </w:trPr>
        <w:tc>
          <w:tcPr>
            <w:tcW w:w="2660" w:type="dxa"/>
            <w:vAlign w:val="bottom"/>
          </w:tcPr>
          <w:p>
            <w:pPr>
              <w:spacing w:after="0"/>
              <w:rPr>
                <w:sz w:val="18"/>
                <w:szCs w:val="18"/>
                <w:color w:val="auto"/>
              </w:rPr>
            </w:pPr>
          </w:p>
        </w:tc>
        <w:tc>
          <w:tcPr>
            <w:tcW w:w="8340" w:type="dxa"/>
            <w:vAlign w:val="bottom"/>
            <w:gridSpan w:val="8"/>
          </w:tcPr>
          <w:p>
            <w:pPr>
              <w:ind w:left="900"/>
              <w:spacing w:after="0"/>
              <w:rPr>
                <w:sz w:val="20"/>
                <w:szCs w:val="20"/>
                <w:color w:val="auto"/>
              </w:rPr>
            </w:pPr>
            <w:r>
              <w:rPr>
                <w:rFonts w:ascii="Times New Roman" w:cs="Times New Roman" w:eastAsia="Times New Roman" w:hAnsi="Times New Roman"/>
                <w:sz w:val="18"/>
                <w:szCs w:val="18"/>
                <w:color w:val="auto"/>
              </w:rPr>
              <w:t>in connection with the unwind of its commercially reasonable hedge position, to repurchase each</w:t>
            </w:r>
          </w:p>
        </w:tc>
      </w:tr>
      <w:tr>
        <w:trPr>
          <w:trHeight w:val="198"/>
        </w:trPr>
        <w:tc>
          <w:tcPr>
            <w:tcW w:w="2660" w:type="dxa"/>
            <w:vAlign w:val="bottom"/>
          </w:tcPr>
          <w:p>
            <w:pPr>
              <w:spacing w:after="0"/>
              <w:rPr>
                <w:sz w:val="17"/>
                <w:szCs w:val="17"/>
                <w:color w:val="auto"/>
              </w:rPr>
            </w:pPr>
          </w:p>
        </w:tc>
        <w:tc>
          <w:tcPr>
            <w:tcW w:w="8340" w:type="dxa"/>
            <w:vAlign w:val="bottom"/>
            <w:gridSpan w:val="8"/>
          </w:tcPr>
          <w:p>
            <w:pPr>
              <w:ind w:left="900"/>
              <w:spacing w:after="0" w:line="198" w:lineRule="exact"/>
              <w:rPr>
                <w:sz w:val="20"/>
                <w:szCs w:val="20"/>
                <w:color w:val="auto"/>
              </w:rPr>
            </w:pPr>
            <w:r>
              <w:rPr>
                <w:rFonts w:ascii="Times New Roman" w:cs="Times New Roman" w:eastAsia="Times New Roman" w:hAnsi="Times New Roman"/>
                <w:sz w:val="18"/>
                <w:szCs w:val="18"/>
                <w:color w:val="auto"/>
              </w:rPr>
              <w:t>Settlement Share, not to exceed USD 0.02, minus (B) the weighted average price (the “</w:t>
            </w:r>
            <w:r>
              <w:rPr>
                <w:rFonts w:ascii="Times New Roman" w:cs="Times New Roman" w:eastAsia="Times New Roman" w:hAnsi="Times New Roman"/>
                <w:sz w:val="18"/>
                <w:szCs w:val="18"/>
                <w:b w:val="1"/>
                <w:bCs w:val="1"/>
                <w:i w:val="1"/>
                <w:iCs w:val="1"/>
                <w:color w:val="auto"/>
              </w:rPr>
              <w:t>Unwind</w:t>
            </w:r>
          </w:p>
        </w:tc>
      </w:tr>
      <w:tr>
        <w:trPr>
          <w:trHeight w:val="20"/>
        </w:trPr>
        <w:tc>
          <w:tcPr>
            <w:tcW w:w="2660" w:type="dxa"/>
            <w:vAlign w:val="bottom"/>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r>
      <w:tr>
        <w:trPr>
          <w:trHeight w:val="237"/>
        </w:trPr>
        <w:tc>
          <w:tcPr>
            <w:tcW w:w="2660" w:type="dxa"/>
            <w:vAlign w:val="bottom"/>
          </w:tcPr>
          <w:p>
            <w:pPr>
              <w:spacing w:after="0"/>
              <w:rPr>
                <w:sz w:val="20"/>
                <w:szCs w:val="20"/>
                <w:color w:val="auto"/>
              </w:rPr>
            </w:pPr>
          </w:p>
        </w:tc>
        <w:tc>
          <w:tcPr>
            <w:tcW w:w="8340" w:type="dxa"/>
            <w:vAlign w:val="bottom"/>
            <w:gridSpan w:val="8"/>
          </w:tcPr>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at which Dealer purchases Shares during the Unwind Period to unwind</w:t>
            </w:r>
          </w:p>
        </w:tc>
      </w:tr>
      <w:tr>
        <w:trPr>
          <w:trHeight w:val="365"/>
        </w:trPr>
        <w:tc>
          <w:tcPr>
            <w:tcW w:w="2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0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B-1-9</w:t>
            </w:r>
          </w:p>
        </w:tc>
      </w:tr>
    </w:tbl>
    <w:p>
      <w:pPr>
        <w:ind w:left="400"/>
        <w:spacing w:after="0"/>
        <w:rPr>
          <w:sz w:val="20"/>
          <w:szCs w:val="20"/>
          <w:color w:val="auto"/>
        </w:rPr>
        <w:sectPr>
          <w:pgSz w:w="11900" w:h="16838" w:orient="portrait"/>
          <w:cols w:equalWidth="0" w:num="1">
            <w:col w:w="11000"/>
          </w:cols>
          <w:pgMar w:left="440" w:top="378"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1" w:name="page82"/>
    <w:bookmarkEnd w:id="81"/>
    <w:p>
      <w:pPr>
        <w:ind w:left="356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its hedge with respect to the portion of the Number of Shares to be settled during the Unwind Period (including, for the avoidance of doubt, purchases on any Disrupted Day in part) assuming Dealer has a commercially reasonable hedge position and is purchasing Shares in a commercially reasonable manner at prices that reflect prevailing market prices for the Shares, taking into account Shares anticipated to be delivered or received if Net Share Settlement applies, and the restrictions of Rule 10b-18 agreed to hereunder, </w:t>
      </w:r>
      <w:r>
        <w:rPr>
          <w:rFonts w:ascii="Times New Roman" w:cs="Times New Roman" w:eastAsia="Times New Roman" w:hAnsi="Times New Roman"/>
          <w:sz w:val="17"/>
          <w:szCs w:val="17"/>
          <w:u w:val="single" w:color="auto"/>
          <w:color w:val="auto"/>
        </w:rPr>
        <w:t>multiplied by</w:t>
      </w:r>
      <w:r>
        <w:rPr>
          <w:rFonts w:ascii="Times New Roman" w:cs="Times New Roman" w:eastAsia="Times New Roman" w:hAnsi="Times New Roman"/>
          <w:sz w:val="17"/>
          <w:szCs w:val="17"/>
          <w:color w:val="auto"/>
        </w:rPr>
        <w:t xml:space="preserve"> (ii) the Settlement Shares for the relevant Settlement Date; minus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(b)    the product of (i) the Forward Price Reduction Amount for any Forward Price Reduction Date that</w:t>
            </w:r>
          </w:p>
        </w:tc>
      </w:tr>
      <w:tr>
        <w:trPr>
          <w:trHeight w:val="216"/>
        </w:trPr>
        <w:tc>
          <w:tcPr>
            <w:tcW w:w="2640" w:type="dxa"/>
            <w:vAlign w:val="bottom"/>
          </w:tcPr>
          <w:p>
            <w:pPr>
              <w:spacing w:after="0"/>
              <w:rPr>
                <w:sz w:val="18"/>
                <w:szCs w:val="18"/>
                <w:color w:val="auto"/>
              </w:rPr>
            </w:pPr>
          </w:p>
        </w:tc>
        <w:tc>
          <w:tcPr>
            <w:tcW w:w="83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occurs during such Unwind Period and (ii) the number of Settlement Shares for such Settlement Date</w:t>
            </w:r>
          </w:p>
        </w:tc>
      </w:tr>
      <w:tr>
        <w:trPr>
          <w:trHeight w:val="216"/>
        </w:trPr>
        <w:tc>
          <w:tcPr>
            <w:tcW w:w="2640" w:type="dxa"/>
            <w:vAlign w:val="bottom"/>
          </w:tcPr>
          <w:p>
            <w:pPr>
              <w:spacing w:after="0"/>
              <w:rPr>
                <w:sz w:val="18"/>
                <w:szCs w:val="18"/>
                <w:color w:val="auto"/>
              </w:rPr>
            </w:pPr>
          </w:p>
        </w:tc>
        <w:tc>
          <w:tcPr>
            <w:tcW w:w="83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with respect to which Dealer has not unwound its hedge (assuming Dealer has a commercially</w:t>
            </w:r>
          </w:p>
        </w:tc>
      </w:tr>
      <w:tr>
        <w:trPr>
          <w:trHeight w:val="216"/>
        </w:trPr>
        <w:tc>
          <w:tcPr>
            <w:tcW w:w="2640" w:type="dxa"/>
            <w:vAlign w:val="bottom"/>
          </w:tcPr>
          <w:p>
            <w:pPr>
              <w:spacing w:after="0"/>
              <w:rPr>
                <w:sz w:val="18"/>
                <w:szCs w:val="18"/>
                <w:color w:val="auto"/>
              </w:rPr>
            </w:pPr>
          </w:p>
        </w:tc>
        <w:tc>
          <w:tcPr>
            <w:tcW w:w="83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reasonable hedge position and unwinds its hedge position in a commercially reasonable manner),</w:t>
            </w:r>
          </w:p>
        </w:tc>
      </w:tr>
      <w:tr>
        <w:trPr>
          <w:trHeight w:val="234"/>
        </w:trPr>
        <w:tc>
          <w:tcPr>
            <w:tcW w:w="2640" w:type="dxa"/>
            <w:vAlign w:val="bottom"/>
          </w:tcPr>
          <w:p>
            <w:pPr>
              <w:spacing w:after="0"/>
              <w:rPr>
                <w:sz w:val="20"/>
                <w:szCs w:val="20"/>
                <w:color w:val="auto"/>
              </w:rPr>
            </w:pPr>
          </w:p>
        </w:tc>
        <w:tc>
          <w:tcPr>
            <w:tcW w:w="83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including the settlement of such unwinds, as of such Forward Price Reduction Date.</w:t>
            </w: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Net Share Settlement:</w:t>
            </w: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On any Settlement Date in respect of which Net Share Settlement applies, if the Cash Settlement Amount is</w:t>
            </w:r>
          </w:p>
        </w:tc>
      </w:tr>
      <w:tr>
        <w:trPr>
          <w:trHeight w:val="216"/>
        </w:trPr>
        <w:tc>
          <w:tcPr>
            <w:tcW w:w="2640" w:type="dxa"/>
            <w:vAlign w:val="bottom"/>
          </w:tcPr>
          <w:p>
            <w:pPr>
              <w:spacing w:after="0"/>
              <w:rPr>
                <w:sz w:val="18"/>
                <w:szCs w:val="18"/>
                <w:color w:val="auto"/>
              </w:rPr>
            </w:pP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a (i) positive number, Dealer shall deliver a number of Shares to Counterparty equal to the Net Share</w:t>
            </w:r>
          </w:p>
        </w:tc>
      </w:tr>
      <w:tr>
        <w:trPr>
          <w:trHeight w:val="214"/>
        </w:trPr>
        <w:tc>
          <w:tcPr>
            <w:tcW w:w="2640" w:type="dxa"/>
            <w:vAlign w:val="bottom"/>
          </w:tcPr>
          <w:p>
            <w:pPr>
              <w:spacing w:after="0"/>
              <w:rPr>
                <w:sz w:val="18"/>
                <w:szCs w:val="18"/>
                <w:color w:val="auto"/>
              </w:rPr>
            </w:pP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Settlement Shares, or (ii) negative number, Counterparty shall deliver a number of Shares to Dealer equal to</w:t>
            </w:r>
          </w:p>
        </w:tc>
      </w:tr>
      <w:tr>
        <w:trPr>
          <w:trHeight w:val="218"/>
        </w:trPr>
        <w:tc>
          <w:tcPr>
            <w:tcW w:w="2640" w:type="dxa"/>
            <w:vAlign w:val="bottom"/>
          </w:tcPr>
          <w:p>
            <w:pPr>
              <w:spacing w:after="0"/>
              <w:rPr>
                <w:sz w:val="18"/>
                <w:szCs w:val="18"/>
                <w:color w:val="auto"/>
              </w:rPr>
            </w:pP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 xml:space="preserve">the Net Share Settlement Shares; </w:t>
            </w:r>
            <w:r>
              <w:rPr>
                <w:rFonts w:ascii="Times New Roman" w:cs="Times New Roman" w:eastAsia="Times New Roman" w:hAnsi="Times New Roman"/>
                <w:sz w:val="18"/>
                <w:szCs w:val="18"/>
                <w:i w:val="1"/>
                <w:iCs w:val="1"/>
                <w:color w:val="auto"/>
                <w:w w:val="99"/>
              </w:rPr>
              <w:t>provided</w:t>
            </w:r>
            <w:r>
              <w:rPr>
                <w:rFonts w:ascii="Times New Roman" w:cs="Times New Roman" w:eastAsia="Times New Roman" w:hAnsi="Times New Roman"/>
                <w:sz w:val="18"/>
                <w:szCs w:val="18"/>
                <w:color w:val="auto"/>
                <w:w w:val="99"/>
              </w:rPr>
              <w:t xml:space="preserve"> that, if Dealer determines in its reasonable judgment that it would</w:t>
            </w:r>
          </w:p>
        </w:tc>
      </w:tr>
      <w:tr>
        <w:trPr>
          <w:trHeight w:val="216"/>
        </w:trPr>
        <w:tc>
          <w:tcPr>
            <w:tcW w:w="2640" w:type="dxa"/>
            <w:vAlign w:val="bottom"/>
          </w:tcPr>
          <w:p>
            <w:pPr>
              <w:spacing w:after="0"/>
              <w:rPr>
                <w:sz w:val="18"/>
                <w:szCs w:val="18"/>
                <w:color w:val="auto"/>
              </w:rPr>
            </w:pP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be required to deliver Net Share Settlement Shares to Counterparty, Dealer may elect to deliver a portion of</w:t>
            </w:r>
          </w:p>
        </w:tc>
      </w:tr>
      <w:tr>
        <w:trPr>
          <w:trHeight w:val="234"/>
        </w:trPr>
        <w:tc>
          <w:tcPr>
            <w:tcW w:w="2640" w:type="dxa"/>
            <w:vAlign w:val="bottom"/>
          </w:tcPr>
          <w:p>
            <w:pPr>
              <w:spacing w:after="0"/>
              <w:rPr>
                <w:sz w:val="20"/>
                <w:szCs w:val="20"/>
                <w:color w:val="auto"/>
              </w:rPr>
            </w:pP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such Net Share Settlement Shares on one or more dates prior to the applicable Settlement Date.</w:t>
            </w:r>
          </w:p>
        </w:tc>
      </w:tr>
      <w:tr>
        <w:trPr>
          <w:trHeight w:val="28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Net Share Settlement Shares:</w:t>
            </w: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With respect to a Settlement Date, the absolute value of the Cash Settlement Amount divided by the</w:t>
            </w:r>
          </w:p>
        </w:tc>
      </w:tr>
      <w:tr>
        <w:trPr>
          <w:trHeight w:val="20"/>
        </w:trPr>
        <w:tc>
          <w:tcPr>
            <w:tcW w:w="264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8"/>
        </w:trPr>
        <w:tc>
          <w:tcPr>
            <w:tcW w:w="2640" w:type="dxa"/>
            <w:vAlign w:val="bottom"/>
          </w:tcPr>
          <w:p>
            <w:pPr>
              <w:spacing w:after="0"/>
              <w:rPr>
                <w:sz w:val="18"/>
                <w:szCs w:val="18"/>
                <w:color w:val="auto"/>
              </w:rPr>
            </w:pP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Unwind Purchase Price, with the number of Shares rounded up in the event such calculation results in a</w:t>
            </w:r>
          </w:p>
        </w:tc>
      </w:tr>
      <w:tr>
        <w:trPr>
          <w:trHeight w:val="234"/>
        </w:trPr>
        <w:tc>
          <w:tcPr>
            <w:tcW w:w="2640" w:type="dxa"/>
            <w:vAlign w:val="bottom"/>
          </w:tcPr>
          <w:p>
            <w:pPr>
              <w:spacing w:after="0"/>
              <w:rPr>
                <w:sz w:val="20"/>
                <w:szCs w:val="20"/>
                <w:color w:val="auto"/>
              </w:rPr>
            </w:pP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fractional number.</w:t>
            </w: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Unwind Period:</w:t>
            </w: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The period from and including the first Exchange Business Day following the date Counterparty validly</w:t>
            </w:r>
          </w:p>
        </w:tc>
      </w:tr>
      <w:tr>
        <w:trPr>
          <w:trHeight w:val="216"/>
        </w:trPr>
        <w:tc>
          <w:tcPr>
            <w:tcW w:w="2640" w:type="dxa"/>
            <w:vAlign w:val="bottom"/>
          </w:tcPr>
          <w:p>
            <w:pPr>
              <w:spacing w:after="0"/>
              <w:rPr>
                <w:sz w:val="18"/>
                <w:szCs w:val="18"/>
                <w:color w:val="auto"/>
              </w:rPr>
            </w:pP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elects Cash Settlement or Net Share Settlement in respect of a Settlement Date through the second</w:t>
            </w:r>
          </w:p>
        </w:tc>
      </w:tr>
      <w:tr>
        <w:trPr>
          <w:trHeight w:val="216"/>
        </w:trPr>
        <w:tc>
          <w:tcPr>
            <w:tcW w:w="2640" w:type="dxa"/>
            <w:vAlign w:val="bottom"/>
          </w:tcPr>
          <w:p>
            <w:pPr>
              <w:spacing w:after="0"/>
              <w:rPr>
                <w:sz w:val="18"/>
                <w:szCs w:val="18"/>
                <w:color w:val="auto"/>
              </w:rPr>
            </w:pP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Scheduled Trading Day preceding such Settlement Date, subject to “Termination Settlement” as described</w:t>
            </w:r>
          </w:p>
        </w:tc>
      </w:tr>
      <w:tr>
        <w:trPr>
          <w:trHeight w:val="234"/>
        </w:trPr>
        <w:tc>
          <w:tcPr>
            <w:tcW w:w="2640" w:type="dxa"/>
            <w:vAlign w:val="bottom"/>
          </w:tcPr>
          <w:p>
            <w:pPr>
              <w:spacing w:after="0"/>
              <w:rPr>
                <w:sz w:val="20"/>
                <w:szCs w:val="20"/>
                <w:color w:val="auto"/>
              </w:rPr>
            </w:pP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in Paragraph 7(g) below.</w:t>
            </w:r>
          </w:p>
        </w:tc>
      </w:tr>
      <w:tr>
        <w:trPr>
          <w:trHeight w:val="365"/>
        </w:trPr>
        <w:tc>
          <w:tcPr>
            <w:tcW w:w="2640" w:type="dxa"/>
            <w:vAlign w:val="bottom"/>
          </w:tcPr>
          <w:p>
            <w:pPr>
              <w:spacing w:after="0"/>
              <w:rPr>
                <w:sz w:val="24"/>
                <w:szCs w:val="24"/>
                <w:color w:val="auto"/>
              </w:rPr>
            </w:pPr>
          </w:p>
        </w:tc>
        <w:tc>
          <w:tcPr>
            <w:tcW w:w="836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B-1-10</w:t>
            </w:r>
          </w:p>
        </w:tc>
      </w:tr>
    </w:tbl>
    <w:p>
      <w:pPr>
        <w:sectPr>
          <w:pgSz w:w="11900" w:h="16838" w:orient="portrait"/>
          <w:cols w:equalWidth="0" w:num="1">
            <w:col w:w="11000"/>
          </w:cols>
          <w:pgMar w:left="440" w:top="378" w:right="459" w:bottom="1440" w:gutter="0" w:footer="0" w:header="0"/>
        </w:sectPr>
      </w:pPr>
    </w:p>
    <w:bookmarkStart w:id="82" w:name="page83"/>
    <w:bookmarkEnd w:id="8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Failure to Deliver:</w:t>
            </w: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Applicable if Dealer is required to deliver Shares hereunder; otherwise, Not Applicable.</w:t>
            </w:r>
          </w:p>
        </w:tc>
      </w:tr>
      <w:tr>
        <w:trPr>
          <w:trHeight w:val="30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Share Cap:</w:t>
            </w: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Notwithstanding any other provision of this Confirmation, in no event will Counterparty be required to</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deliver to Dealer on any Settlement Date, whether pursuant to Physical Settlement, Net Share Settlement or</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any Private Placement Settlement, a number of Shares in excess of (i) two times the Initial Number of</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Shares, subject to adjustment from time to time in accordance with the provisions of this Confirmation or</w:t>
            </w:r>
          </w:p>
        </w:tc>
      </w:tr>
      <w:tr>
        <w:trPr>
          <w:trHeight w:val="194"/>
        </w:trPr>
        <w:tc>
          <w:tcPr>
            <w:tcW w:w="2440" w:type="dxa"/>
            <w:vAlign w:val="bottom"/>
          </w:tcPr>
          <w:p>
            <w:pPr>
              <w:spacing w:after="0"/>
              <w:rPr>
                <w:sz w:val="16"/>
                <w:szCs w:val="16"/>
                <w:color w:val="auto"/>
              </w:rPr>
            </w:pPr>
          </w:p>
        </w:tc>
        <w:tc>
          <w:tcPr>
            <w:tcW w:w="8560" w:type="dxa"/>
            <w:vAlign w:val="bottom"/>
            <w:gridSpan w:val="3"/>
          </w:tcPr>
          <w:p>
            <w:pPr>
              <w:ind w:left="760"/>
              <w:spacing w:after="0" w:line="194" w:lineRule="exact"/>
              <w:rPr>
                <w:sz w:val="20"/>
                <w:szCs w:val="20"/>
                <w:color w:val="auto"/>
              </w:rPr>
            </w:pPr>
            <w:r>
              <w:rPr>
                <w:rFonts w:ascii="Times New Roman" w:cs="Times New Roman" w:eastAsia="Times New Roman" w:hAnsi="Times New Roman"/>
                <w:sz w:val="18"/>
                <w:szCs w:val="18"/>
                <w:color w:val="auto"/>
              </w:rPr>
              <w:t>the Equity Definitions, minus (ii) the aggregate number of Shares delivered by Counterparty to Dealer</w:t>
            </w:r>
          </w:p>
        </w:tc>
      </w:tr>
      <w:tr>
        <w:trPr>
          <w:trHeight w:val="20"/>
        </w:trPr>
        <w:tc>
          <w:tcPr>
            <w:tcW w:w="24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r>
        <w:trPr>
          <w:trHeight w:val="237"/>
        </w:trPr>
        <w:tc>
          <w:tcPr>
            <w:tcW w:w="2440" w:type="dxa"/>
            <w:vAlign w:val="bottom"/>
          </w:tcPr>
          <w:p>
            <w:pPr>
              <w:spacing w:after="0"/>
              <w:rPr>
                <w:sz w:val="20"/>
                <w:szCs w:val="20"/>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hereunder prior to such Settlement Date.</w:t>
            </w:r>
          </w:p>
        </w:tc>
      </w:tr>
      <w:tr>
        <w:trPr>
          <w:trHeight w:val="32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30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Method of Adjustment:</w:t>
            </w: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Calculation Agent Adjustment. Section 11.2(e) of the Equity Definitions is hereby amended by deleting</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clauses (iii) and (v) thereof. For the avoidance of doubt, the declaration or payment of a cash dividend will</w:t>
            </w:r>
          </w:p>
        </w:tc>
      </w:tr>
      <w:tr>
        <w:trPr>
          <w:trHeight w:val="234"/>
        </w:trPr>
        <w:tc>
          <w:tcPr>
            <w:tcW w:w="2440" w:type="dxa"/>
            <w:vAlign w:val="bottom"/>
          </w:tcPr>
          <w:p>
            <w:pPr>
              <w:spacing w:after="0"/>
              <w:rPr>
                <w:sz w:val="20"/>
                <w:szCs w:val="20"/>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not constitute a Potential Adjustment Event.</w:t>
            </w:r>
          </w:p>
        </w:tc>
      </w:tr>
      <w:tr>
        <w:trPr>
          <w:trHeight w:val="30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Additional Adjustment:</w:t>
            </w: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If, in Dealer’s commercially reasonable judgment, the actual cost to Dealer (or an affiliate of Dealer), over</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any 10 consecutive Scheduled Trading Day period, of borrowing a number of Shares equal to the Number</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w w:val="99"/>
              </w:rPr>
              <w:t>of Shares to hedge in a commercially reasonable manner its exposure to this Transaction exceeds a weighted</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average rate equal to [ • ] basis points per annum, the Calculation Agent shall reduce the Forward Price to</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compensate Dealer for the amount by which such cost exceeded a weighted average rate equal to [ • ] basis</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points per annum during such period. The Calculation Agent shall notify Counterparty prior to making any</w:t>
            </w:r>
          </w:p>
        </w:tc>
      </w:tr>
      <w:tr>
        <w:trPr>
          <w:trHeight w:val="234"/>
        </w:trPr>
        <w:tc>
          <w:tcPr>
            <w:tcW w:w="2440" w:type="dxa"/>
            <w:vAlign w:val="bottom"/>
          </w:tcPr>
          <w:p>
            <w:pPr>
              <w:spacing w:after="0"/>
              <w:rPr>
                <w:sz w:val="20"/>
                <w:szCs w:val="20"/>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such adjustment to the Forward Price.</w:t>
            </w:r>
          </w:p>
        </w:tc>
      </w:tr>
      <w:tr>
        <w:trPr>
          <w:trHeight w:val="30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Extraordinary Events:</w:t>
            </w: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In lieu of the applicable provisions contained in Article 12 of the Equity Definitions, the consequences of</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any Extraordinary Event (including, for the avoidance of doubt, any Merger Event, Tender Offer,</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Nationalization, Insolvency, Delisting, or Change In Law) shall be as specified below under the headings</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“Acceleration Events” and “Termination Settlement” in Paragraphs 7(f) and 7(g), respectively.</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Notwithstanding anything to the contrary herein or in the Equity Definitions, no Additional Disruption</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Event will be applicable except to the extent expressly referenced in Paragraph 7(f)(iv) below. The</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definition of “Tender Offer” in Section 12.1(d) of the Equity Definitions is hereby amended by replacing</w:t>
            </w:r>
          </w:p>
        </w:tc>
      </w:tr>
      <w:tr>
        <w:trPr>
          <w:trHeight w:val="234"/>
        </w:trPr>
        <w:tc>
          <w:tcPr>
            <w:tcW w:w="2440" w:type="dxa"/>
            <w:vAlign w:val="bottom"/>
          </w:tcPr>
          <w:p>
            <w:pPr>
              <w:spacing w:after="0"/>
              <w:rPr>
                <w:sz w:val="20"/>
                <w:szCs w:val="20"/>
                <w:color w:val="auto"/>
              </w:rPr>
            </w:pPr>
          </w:p>
        </w:tc>
        <w:tc>
          <w:tcPr>
            <w:tcW w:w="85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“10%” with “15%.”</w:t>
            </w:r>
          </w:p>
        </w:tc>
      </w:tr>
      <w:tr>
        <w:trPr>
          <w:trHeight w:val="365"/>
        </w:trPr>
        <w:tc>
          <w:tcPr>
            <w:tcW w:w="24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B-1-11</w:t>
            </w:r>
          </w:p>
        </w:tc>
      </w:tr>
    </w:tbl>
    <w:p>
      <w:pPr>
        <w:sectPr>
          <w:pgSz w:w="11900" w:h="16838" w:orient="portrait"/>
          <w:cols w:equalWidth="0" w:num="1">
            <w:col w:w="11000"/>
          </w:cols>
          <w:pgMar w:left="440" w:top="378"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color w:val="auto"/>
        </w:rPr>
        <w:t>Dividends:</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No adjustment shall be made if, on any day occurring after the Trade Date, Counterparty declares a distribution, issue or dividend to existing holders of the Shares of (i) any cash dividend (other than an Extraordinary Dividend) to the extent all cash dividends having an ex-dividend date during the period from and including any Forward Price Reduction Date (with the Trade Date being a Forward Price Reduction Date for purposes of this clause (i) only) to but excluding the next subsequent Forward Price Reduction Date differs from, on a per Share basis, the Forward Price Reduction Amount set forth opposite the first date of any such period on Schedule I, (ii) share capital or securities of another issuer acquired or owned (directly or indirectly) by Counterparty as a result of a spin-off or other similar transaction or (iii) any other type of securities (other than Shares), rights or warrants or other assets, for payment (cash or other consideration) at less than the prevailing market price as determined by 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-1536065</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2480" w:space="720"/>
            <w:col w:w="7800"/>
          </w:cols>
          <w:pgMar w:left="440" w:top="378" w:right="4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Non-Reliance: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129" w:lineRule="exact"/>
        <w:rPr>
          <w:sz w:val="20"/>
          <w:szCs w:val="20"/>
          <w:color w:val="auto"/>
        </w:rPr>
      </w:pPr>
    </w:p>
    <w:p>
      <w:pPr>
        <w:sectPr>
          <w:pgSz w:w="11900" w:h="16838" w:orient="portrait"/>
          <w:cols w:equalWidth="0" w:num="2">
            <w:col w:w="2480" w:space="720"/>
            <w:col w:w="780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Agreements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Acknowledgments:</w:t>
      </w:r>
    </w:p>
    <w:p>
      <w:pPr>
        <w:sectPr>
          <w:pgSz w:w="11900" w:h="16838" w:orient="portrait"/>
          <w:cols w:equalWidth="0" w:num="1">
            <w:col w:w="11000"/>
          </w:cols>
          <w:pgMar w:left="440" w:top="378" w:right="459" w:bottom="1440" w:gutter="0" w:footer="0" w:header="0"/>
          <w:type w:val="continuous"/>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Regarding Hedging Activities: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129" w:lineRule="exact"/>
        <w:rPr>
          <w:sz w:val="20"/>
          <w:szCs w:val="20"/>
          <w:color w:val="auto"/>
        </w:rPr>
      </w:pPr>
    </w:p>
    <w:p>
      <w:pPr>
        <w:sectPr>
          <w:pgSz w:w="11900" w:h="16838" w:orient="portrait"/>
          <w:cols w:equalWidth="0" w:num="2">
            <w:col w:w="2480" w:space="720"/>
            <w:col w:w="780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Additional Acknowledgments: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129" w:lineRule="exact"/>
        <w:rPr>
          <w:sz w:val="20"/>
          <w:szCs w:val="20"/>
          <w:color w:val="auto"/>
        </w:rPr>
      </w:pPr>
    </w:p>
    <w:p>
      <w:pPr>
        <w:sectPr>
          <w:pgSz w:w="11900" w:h="16838" w:orient="portrait"/>
          <w:cols w:equalWidth="0" w:num="2">
            <w:col w:w="2480" w:space="720"/>
            <w:col w:w="780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Transfer:</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or in the Agreement, Dealer may assign, transfer and set over all rights, title and interest, powers, obligations, privileges and remedies of Dealer under this Transaction, in whole or in part, to (A) an affiliate of Dealer[ Parent], whose obligations hereunder are fully and unconditionally guaranteed by Dealer[ or Dealer Parent], or (B) any other affiliate of Dealer[ Parent] with a long-term issuer rating equal to or better than the credit rating of Dealer[ or Dealer Parent] at the time of transfer without the consent of Counterparty;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at the time of such.</w:t>
      </w:r>
    </w:p>
    <w:p>
      <w:pPr>
        <w:spacing w:after="0" w:line="120" w:lineRule="exact"/>
        <w:rPr>
          <w:sz w:val="20"/>
          <w:szCs w:val="20"/>
          <w:color w:val="auto"/>
        </w:rPr>
      </w:pPr>
    </w:p>
    <w:p>
      <w:pPr>
        <w:sectPr>
          <w:pgSz w:w="11900" w:h="16838" w:orient="portrait"/>
          <w:cols w:equalWidth="0" w:num="2">
            <w:col w:w="2480" w:space="720"/>
            <w:col w:w="7800"/>
          </w:cols>
          <w:pgMar w:left="440" w:top="378" w:right="4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B-1-12</w:t>
      </w:r>
    </w:p>
    <w:p>
      <w:pPr>
        <w:sectPr>
          <w:pgSz w:w="11900" w:h="16838" w:orient="portrait"/>
          <w:cols w:equalWidth="0" w:num="1">
            <w:col w:w="11000"/>
          </w:cols>
          <w:pgMar w:left="440" w:top="378" w:right="459" w:bottom="1440" w:gutter="0" w:footer="0" w:header="0"/>
          <w:type w:val="continuous"/>
        </w:sectPr>
      </w:pPr>
    </w:p>
    <w:bookmarkStart w:id="84" w:name="page85"/>
    <w:bookmarkEnd w:id="84"/>
    <w:p>
      <w:pPr>
        <w:ind w:left="3200"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or transfer, Counterparty would not, as a result of such assignment or transfer, designation or delegation, reasonably be expected at any time (A) to be required to pay (including a payment in kind) to Dealer or such transferee or assignee or designee an amount in respect of an Indemnifiable Tax greater than the amount Counterparty would have been required to pay to Dealer in the absence of such assignment, transfer, designation or delegation, or (B) to receive a payment (including a payment in kind) after such assignment or transfer that is less than the amount Counterparty would have received, as a result of an amount being deducted or withheld for or on account of a Tax under Section 2(d)(i) of the Agreement, than if the payment were made immediately prior to such assignment or transfer, (ii) prior to such assignment or transfer, Dealer shall have caused the assignee, transferee, or designee to make such Payee Tax Representations and to provide such tax documentation as may be reasonably requested by Counterparty to permit Counterparty to determine that the transfer complies with the requirements of clause (i) in this paragraph, and (iii) at all times, Dealer or any transferee or assignee or other recipient of rights, title and interest, powers, obligations, privileges and remedies shall be eligible to provide a U.S. Internal Revenue Service Form W-9 or W-8ECI, or any successor thereto, with respect to any payments or deliveries under the Agreement</w:t>
      </w:r>
    </w:p>
    <w:p>
      <w:pPr>
        <w:sectPr>
          <w:pgSz w:w="11900" w:h="16838" w:orient="portrait"/>
          <w:cols w:equalWidth="0" w:num="1">
            <w:col w:w="11000"/>
          </w:cols>
          <w:pgMar w:left="440" w:top="270" w:right="459" w:bottom="1440" w:gutter="0" w:footer="0" w:header="0"/>
        </w:sectPr>
      </w:pP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Calculation Agent:</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Dealer whose judgments, determinations and calculations shall be made in good faith and in a commercially reasonable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the occurrence and during the continuance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or to perform any obligation of the Calculation Agent hereunder and such failure continues for five Exchange Business Days following notice to the Calculation Agent by Counterparty of such failure, Counterparty shall have the right to designate a nationally recognized third-party dealer in over-the-counter corporate equity derivatives to act, during the period commencing on the date such Event of Default occurred and ending on the Early Termination Date with respect to such Event of Default, as the Calculation Agent. Following</w:t>
      </w:r>
    </w:p>
    <w:p>
      <w:pPr>
        <w:spacing w:after="0" w:line="127"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B-1-13</w:t>
      </w:r>
    </w:p>
    <w:p>
      <w:pPr>
        <w:sectPr>
          <w:pgSz w:w="11900" w:h="16838" w:orient="portrait"/>
          <w:cols w:equalWidth="0" w:num="1">
            <w:col w:w="11000"/>
          </w:cols>
          <w:pgMar w:left="440" w:top="270" w:right="459" w:bottom="1440" w:gutter="0" w:footer="0" w:header="0"/>
          <w:type w:val="continuous"/>
        </w:sectPr>
      </w:pPr>
    </w:p>
    <w:bookmarkStart w:id="85" w:name="page86"/>
    <w:bookmarkEnd w:id="85"/>
    <w:p>
      <w:pPr>
        <w:ind w:left="32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determination or calculation by the Calculation Agent hereunder, upon a written request by Counterparty, the Calculation Agent shall promptly (but in any event within five Scheduled Trading Days) provide to Counterparty by e-mail to the e-mail address provided by Counterparty in such request a report (in a commonly used file format for the storage and manipulation of financial data) displaying in reasonable detail the basis for such determination or calculation (including any assumptions used in making such determination or calculation), it being understood that the Calculation Agent shall not be obligated to disclose any proprietary or confidential models or other proprietary or confidential information used by it for such determination or calculation.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Account Details:</w:t>
      </w:r>
    </w:p>
    <w:p>
      <w:pPr>
        <w:sectPr>
          <w:pgSz w:w="11900" w:h="16838" w:orient="portrait"/>
          <w:cols w:equalWidth="0" w:num="1">
            <w:col w:w="10980"/>
          </w:cols>
          <w:pgMar w:left="440" w:top="270" w:right="479" w:bottom="1440" w:gutter="0" w:footer="0" w:header="0"/>
        </w:sect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Account for delivery</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be furnished</w:t>
      </w:r>
    </w:p>
    <w:p>
      <w:pPr>
        <w:spacing w:after="0" w:line="39" w:lineRule="exact"/>
        <w:rPr>
          <w:sz w:val="20"/>
          <w:szCs w:val="20"/>
          <w:color w:val="auto"/>
        </w:rPr>
      </w:pPr>
    </w:p>
    <w:p>
      <w:pPr>
        <w:sectPr>
          <w:pgSz w:w="11900" w:h="16838" w:orient="portrait"/>
          <w:cols w:equalWidth="0" w:num="3">
            <w:col w:w="1740" w:space="480"/>
            <w:col w:w="140" w:space="180"/>
            <w:col w:w="844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Shares to Dealer:</w:t>
      </w:r>
    </w:p>
    <w:p>
      <w:pPr>
        <w:sectPr>
          <w:pgSz w:w="11900" w:h="16838" w:orient="portrait"/>
          <w:cols w:equalWidth="0" w:num="1">
            <w:col w:w="10980"/>
          </w:cols>
          <w:pgMar w:left="440" w:top="270" w:right="47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 Account for delivery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be furnished</w:t>
      </w:r>
    </w:p>
    <w:p>
      <w:pPr>
        <w:spacing w:after="0" w:line="39" w:lineRule="exact"/>
        <w:rPr>
          <w:sz w:val="20"/>
          <w:szCs w:val="20"/>
          <w:color w:val="auto"/>
        </w:rPr>
      </w:pPr>
    </w:p>
    <w:p>
      <w:pPr>
        <w:sectPr>
          <w:pgSz w:w="11900" w:h="16838" w:orient="portrait"/>
          <w:cols w:equalWidth="0" w:num="3">
            <w:col w:w="1740" w:space="480"/>
            <w:col w:w="140" w:space="180"/>
            <w:col w:w="844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Shares to Counterparty:</w:t>
      </w:r>
    </w:p>
    <w:p>
      <w:pPr>
        <w:sectPr>
          <w:pgSz w:w="11900" w:h="16838" w:orient="portrait"/>
          <w:cols w:equalWidth="0" w:num="1">
            <w:col w:w="10980"/>
          </w:cols>
          <w:pgMar w:left="440" w:top="270" w:right="47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 Account for payments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be advised under separate cover or telephone confirmed prior to each Settlement Date</w:t>
      </w:r>
    </w:p>
    <w:p>
      <w:pPr>
        <w:spacing w:after="0" w:line="39" w:lineRule="exact"/>
        <w:rPr>
          <w:sz w:val="20"/>
          <w:szCs w:val="20"/>
          <w:color w:val="auto"/>
        </w:rPr>
      </w:pPr>
    </w:p>
    <w:p>
      <w:pPr>
        <w:sectPr>
          <w:pgSz w:w="11900" w:h="16838" w:orient="portrait"/>
          <w:cols w:equalWidth="0" w:num="3">
            <w:col w:w="1840" w:space="380"/>
            <w:col w:w="140" w:space="180"/>
            <w:col w:w="844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Counterparty:</w:t>
      </w:r>
    </w:p>
    <w:p>
      <w:pPr>
        <w:sectPr>
          <w:pgSz w:w="11900" w:h="16838" w:orient="portrait"/>
          <w:cols w:equalWidth="0" w:num="1">
            <w:col w:w="10980"/>
          </w:cols>
          <w:pgMar w:left="440" w:top="270" w:right="479" w:bottom="1440" w:gutter="0" w:footer="0" w:header="0"/>
          <w:type w:val="continuous"/>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 Account for payments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be advised under separate cover or telephone confirmed prior to each Settlement Date</w:t>
      </w:r>
    </w:p>
    <w:p>
      <w:pPr>
        <w:spacing w:after="0" w:line="39" w:lineRule="exact"/>
        <w:rPr>
          <w:sz w:val="20"/>
          <w:szCs w:val="20"/>
          <w:color w:val="auto"/>
        </w:rPr>
      </w:pPr>
    </w:p>
    <w:p>
      <w:pPr>
        <w:sectPr>
          <w:pgSz w:w="11900" w:h="16838" w:orient="portrait"/>
          <w:cols w:equalWidth="0" w:num="3">
            <w:col w:w="1840" w:space="380"/>
            <w:col w:w="140" w:space="180"/>
            <w:col w:w="844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Dealer:</w:t>
      </w:r>
    </w:p>
    <w:p>
      <w:pPr>
        <w:sectPr>
          <w:pgSz w:w="11900" w:h="16838" w:orient="portrait"/>
          <w:cols w:equalWidth="0" w:num="1">
            <w:col w:w="10980"/>
          </w:cols>
          <w:pgMar w:left="440" w:top="270" w:right="479" w:bottom="1440" w:gutter="0" w:footer="0" w:header="0"/>
          <w:type w:val="continuous"/>
        </w:sectPr>
      </w:pPr>
    </w:p>
    <w:p>
      <w:pPr>
        <w:spacing w:after="0" w:line="2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 Offices: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Office of Counterparty for the Transaction is: Inapplicable, Counterparty is not a Multibranch Party</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Office of Dealer for the Transaction is: [Charlotte][New York][ • ]</w:t>
      </w:r>
    </w:p>
    <w:p>
      <w:pPr>
        <w:spacing w:after="0" w:line="117" w:lineRule="exact"/>
        <w:rPr>
          <w:sz w:val="20"/>
          <w:szCs w:val="20"/>
          <w:color w:val="auto"/>
        </w:rPr>
      </w:pPr>
    </w:p>
    <w:p>
      <w:pPr>
        <w:ind w:left="620" w:hanging="184"/>
        <w:spacing w:after="0"/>
        <w:tabs>
          <w:tab w:leader="none" w:pos="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For purposes of this Confirmation:</w:t>
      </w:r>
    </w:p>
    <w:p>
      <w:pPr>
        <w:spacing w:after="0" w:line="130" w:lineRule="exact"/>
        <w:rPr>
          <w:rFonts w:ascii="Times New Roman" w:cs="Times New Roman" w:eastAsia="Times New Roman" w:hAnsi="Times New Roman"/>
          <w:sz w:val="18"/>
          <w:szCs w:val="18"/>
          <w:color w:val="auto"/>
        </w:rPr>
      </w:pPr>
    </w:p>
    <w:p>
      <w:pPr>
        <w:ind w:left="1820" w:right="5500" w:hanging="839"/>
        <w:spacing w:after="0" w:line="375" w:lineRule="auto"/>
        <w:tabs>
          <w:tab w:leader="none" w:pos="142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Counterparty: Federal Realty Investment Trust</w:t>
      </w:r>
    </w:p>
    <w:p>
      <w:pPr>
        <w:spacing w:after="0" w:line="1" w:lineRule="exact"/>
        <w:rPr>
          <w:rFonts w:ascii="Times New Roman" w:cs="Times New Roman" w:eastAsia="Times New Roman" w:hAnsi="Times New Roman"/>
          <w:sz w:val="18"/>
          <w:szCs w:val="18"/>
          <w:color w:val="auto"/>
        </w:rPr>
      </w:pPr>
    </w:p>
    <w:p>
      <w:pPr>
        <w:ind w:left="1820" w:right="7900"/>
        <w:spacing w:after="0" w:line="3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909 Rose Avenue Suite 200</w:t>
      </w:r>
    </w:p>
    <w:p>
      <w:pPr>
        <w:spacing w:after="0" w:line="1" w:lineRule="exact"/>
        <w:rPr>
          <w:rFonts w:ascii="Times New Roman" w:cs="Times New Roman" w:eastAsia="Times New Roman" w:hAnsi="Times New Roman"/>
          <w:sz w:val="18"/>
          <w:szCs w:val="18"/>
          <w:color w:val="auto"/>
        </w:rPr>
      </w:pPr>
    </w:p>
    <w:p>
      <w:pPr>
        <w:ind w:left="1820" w:right="6760"/>
        <w:spacing w:after="0" w:line="40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Bethesda, Maryland 20852 Attention: [ • ]</w:t>
      </w:r>
    </w:p>
    <w:p>
      <w:pPr>
        <w:spacing w:after="0" w:line="8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Dealer: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B-1-14</w:t>
      </w:r>
    </w:p>
    <w:p>
      <w:pPr>
        <w:sectPr>
          <w:pgSz w:w="11900" w:h="16838" w:orient="portrait"/>
          <w:cols w:equalWidth="0" w:num="1">
            <w:col w:w="10980"/>
          </w:cols>
          <w:pgMar w:left="440" w:top="270" w:right="479" w:bottom="1440" w:gutter="0" w:footer="0" w:header="0"/>
          <w:type w:val="continuous"/>
        </w:sectPr>
      </w:pPr>
    </w:p>
    <w:bookmarkStart w:id="86" w:name="page87"/>
    <w:bookmarkEnd w:id="86"/>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 ]</w:t>
      </w:r>
    </w:p>
    <w:p>
      <w:pPr>
        <w:spacing w:after="0" w:line="333" w:lineRule="exact"/>
        <w:rPr>
          <w:sz w:val="20"/>
          <w:szCs w:val="20"/>
          <w:color w:val="auto"/>
        </w:rPr>
      </w:pPr>
    </w:p>
    <w:p>
      <w:pPr>
        <w:ind w:left="184" w:hanging="184"/>
        <w:spacing w:after="0"/>
        <w:tabs>
          <w:tab w:leader="none" w:pos="18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Provisions:</w:t>
      </w:r>
    </w:p>
    <w:p>
      <w:pPr>
        <w:spacing w:after="0" w:line="117" w:lineRule="exact"/>
        <w:rPr>
          <w:rFonts w:ascii="Times New Roman" w:cs="Times New Roman" w:eastAsia="Times New Roman" w:hAnsi="Times New Roman"/>
          <w:sz w:val="18"/>
          <w:szCs w:val="18"/>
          <w:color w:val="auto"/>
        </w:rPr>
      </w:pPr>
    </w:p>
    <w:p>
      <w:pPr>
        <w:ind w:left="444" w:right="140" w:firstLine="419"/>
        <w:spacing w:after="0" w:line="256" w:lineRule="auto"/>
        <w:tabs>
          <w:tab w:leader="none" w:pos="111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This Transaction shall be effective if and only if Shares are sold by the Agent acting as forward seller for Dealer on or after the Trade Date and on or before the Hedge Completion Date pursuant to the Equity Distribution Agreement. If the Equity Distribution Agreement is terminated prior to any such sale of Shares thereunder, the parties shall have no further obligations in connection with this Transaction, other than in respect of breaches of representations or covenants on or prior to such date. For the avoidance of doubt, if the Equity Distribution Agreement is terminated prior to the Hedge Completion Date, this Transaction shall remain effective with respect to any Shares that had been sold by the Agent acting as forward seller for Dealer on or after the Trade Date and prior to such termination.</w:t>
      </w:r>
    </w:p>
    <w:p>
      <w:pPr>
        <w:spacing w:after="0" w:line="79" w:lineRule="exact"/>
        <w:rPr>
          <w:rFonts w:ascii="Times New Roman" w:cs="Times New Roman" w:eastAsia="Times New Roman" w:hAnsi="Times New Roman"/>
          <w:sz w:val="18"/>
          <w:szCs w:val="18"/>
          <w:color w:val="auto"/>
        </w:rPr>
      </w:pPr>
    </w:p>
    <w:p>
      <w:pPr>
        <w:jc w:val="both"/>
        <w:ind w:left="444" w:firstLine="419"/>
        <w:spacing w:after="0" w:line="261" w:lineRule="auto"/>
        <w:tabs>
          <w:tab w:leader="none" w:pos="112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Distribution Agreement Representations, Warranties and Covenants</w:t>
      </w:r>
      <w:r>
        <w:rPr>
          <w:rFonts w:ascii="Times New Roman" w:cs="Times New Roman" w:eastAsia="Times New Roman" w:hAnsi="Times New Roman"/>
          <w:sz w:val="18"/>
          <w:szCs w:val="18"/>
          <w:color w:val="auto"/>
        </w:rPr>
        <w:t>. On the Trade Date and on each date on which Dealer or its affiliates makes a sale pursuant to a prospectus in connection with a hedge of this Transaction, Counterparty repeats and reaffirms as of such date all of the representations and warranties contained in the Equity Distribution Agreement. Counterparty hereby agrees to comply with its covenants contained in the Equity Distribution Agreement as if such covenants were made in favor of Dealer.</w:t>
      </w:r>
    </w:p>
    <w:p>
      <w:pPr>
        <w:spacing w:after="0" w:line="71" w:lineRule="exact"/>
        <w:rPr>
          <w:rFonts w:ascii="Times New Roman" w:cs="Times New Roman" w:eastAsia="Times New Roman" w:hAnsi="Times New Roman"/>
          <w:sz w:val="18"/>
          <w:szCs w:val="18"/>
          <w:color w:val="auto"/>
        </w:rPr>
      </w:pPr>
    </w:p>
    <w:p>
      <w:pPr>
        <w:ind w:left="444" w:firstLine="419"/>
        <w:spacing w:after="0" w:line="254" w:lineRule="auto"/>
        <w:tabs>
          <w:tab w:leader="none" w:pos="111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Interpretive Letter</w:t>
      </w:r>
      <w:r>
        <w:rPr>
          <w:rFonts w:ascii="Times New Roman" w:cs="Times New Roman" w:eastAsia="Times New Roman" w:hAnsi="Times New Roman"/>
          <w:sz w:val="18"/>
          <w:szCs w:val="18"/>
          <w:color w:val="auto"/>
        </w:rPr>
        <w:t>. Counterparty agrees and acknowledges that this Transaction is being entered into in accordance with the October 9, 2003 interpretive letter from the staff of the Securities and Exchange Commission to Goldman, Sachs &amp; Co. (the “</w:t>
      </w:r>
      <w:r>
        <w:rPr>
          <w:rFonts w:ascii="Times New Roman" w:cs="Times New Roman" w:eastAsia="Times New Roman" w:hAnsi="Times New Roman"/>
          <w:sz w:val="18"/>
          <w:szCs w:val="18"/>
          <w:b w:val="1"/>
          <w:bCs w:val="1"/>
          <w:i w:val="1"/>
          <w:iCs w:val="1"/>
          <w:color w:val="auto"/>
        </w:rPr>
        <w:t>Interpretive Letter</w:t>
      </w:r>
      <w:r>
        <w:rPr>
          <w:rFonts w:ascii="Times New Roman" w:cs="Times New Roman" w:eastAsia="Times New Roman" w:hAnsi="Times New Roman"/>
          <w:sz w:val="18"/>
          <w:szCs w:val="18"/>
          <w:color w:val="auto"/>
        </w:rPr>
        <w:t>”) and agrees to take all actions, and to omit to take any actions, reasonably requested by Dealer for this Transaction to comply with the Interpretive Letter. Without limiting the foregoing, Counterparty agrees that neither it nor any “affiliated purchaser” (as defined in Regulation M (“</w:t>
      </w:r>
      <w:r>
        <w:rPr>
          <w:rFonts w:ascii="Times New Roman" w:cs="Times New Roman" w:eastAsia="Times New Roman" w:hAnsi="Times New Roman"/>
          <w:sz w:val="18"/>
          <w:szCs w:val="18"/>
          <w:b w:val="1"/>
          <w:bCs w:val="1"/>
          <w:i w:val="1"/>
          <w:iCs w:val="1"/>
          <w:color w:val="auto"/>
        </w:rPr>
        <w:t>Regulation M</w:t>
      </w:r>
      <w:r>
        <w:rPr>
          <w:rFonts w:ascii="Times New Roman" w:cs="Times New Roman" w:eastAsia="Times New Roman" w:hAnsi="Times New Roman"/>
          <w:sz w:val="18"/>
          <w:szCs w:val="18"/>
          <w:color w:val="auto"/>
        </w:rPr>
        <w:t>”) promulgated under the Exchange Act) will, directly or indirectly, bid for, purchase or attempt to induce any person to bid for or purchase, the Shares or securities that are convertible into, or exchangeable or exercisable for, Shares during any “restricted period” as such term is defined in Regulation M. In addition, Counterparty represents that it is eligible to conduct a primary offering of Shares on Form S-3, the offering contemplated by the Equity Distribution Agreement complies with Rule 415 under the Securities Act, and the Shares are “actively traded” as defined in Rule 101(c)(1) of Regulation M.</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B-1-15</w:t>
      </w:r>
    </w:p>
    <w:p>
      <w:pPr>
        <w:sectPr>
          <w:pgSz w:w="11900" w:h="16838" w:orient="portrait"/>
          <w:cols w:equalWidth="0" w:num="1">
            <w:col w:w="10984"/>
          </w:cols>
          <w:pgMar w:left="436" w:top="270" w:right="479" w:bottom="1440" w:gutter="0" w:footer="0" w:header="0"/>
        </w:sectPr>
      </w:pPr>
    </w:p>
    <w:bookmarkStart w:id="87" w:name="page88"/>
    <w:bookmarkEnd w:id="87"/>
    <w:p>
      <w:pPr>
        <w:ind w:left="261" w:hanging="261"/>
        <w:spacing w:after="0"/>
        <w:tabs>
          <w:tab w:leader="none" w:pos="26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Agreements and Acknowledgments Regarding Shares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1" w:firstLine="408"/>
        <w:spacing w:after="0" w:line="261" w:lineRule="auto"/>
        <w:tabs>
          <w:tab w:leader="none" w:pos="73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agrees and acknowledges that, in respect of any Shares delivered to Dealer hereunder, such Shares shall be newly issued (unless mutually agreed otherwise by the parties) and, upon such delivery, duly and validly authorized, issued and outstanding, fully paid and nonassessable, free of any lien, charge, claim or other encumbrance and not subject to any preemptive or similar rights and shall, upon such issuance, be accepted for listing or quotation on the Exchange.</w:t>
      </w:r>
    </w:p>
    <w:p>
      <w:pPr>
        <w:spacing w:after="0" w:line="71" w:lineRule="exact"/>
        <w:rPr>
          <w:rFonts w:ascii="Times New Roman" w:cs="Times New Roman" w:eastAsia="Times New Roman" w:hAnsi="Times New Roman"/>
          <w:sz w:val="18"/>
          <w:szCs w:val="18"/>
          <w:color w:val="auto"/>
        </w:rPr>
      </w:pPr>
    </w:p>
    <w:p>
      <w:pPr>
        <w:ind w:left="121" w:firstLine="408"/>
        <w:spacing w:after="0" w:line="254" w:lineRule="auto"/>
        <w:tabs>
          <w:tab w:leader="none" w:pos="78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agrees and acknowledges that Dealer (or an affiliate of Dealer) will hedge its exposure to this Transaction by selling Shares borrowed from third party securities lenders or other Shares pursuant to a registration statement, and that, pursuant to the terms of the Interpretive Letter, the Shares up to the Initial Number of Shares delivered, pledged or loaned by Counterparty to Dealer (or an affiliate of Dealer) in connection with this Transaction may be used by Dealer (or an affiliate of Dealer) to return to securities lenders without further registration or other restrictions under the Securities Act, in the hands of those securities lenders, irrespective of whether such securities loan is effected by Dealer or an affiliate of Dealer. Accordingly, subject to Paragraph 7(h) below, Counterparty agrees that the Shares that it delivers, pledges or loans to Dealer (or an affiliate of Dealer) on or prior to the final Settlement Date will not bear a restrictive legend and that such Shares will be deposited in, and the delivery thereof shall be effected through the facilities of, the Clearance System.</w:t>
      </w:r>
    </w:p>
    <w:p>
      <w:pPr>
        <w:spacing w:after="0" w:line="80" w:lineRule="exact"/>
        <w:rPr>
          <w:rFonts w:ascii="Times New Roman" w:cs="Times New Roman" w:eastAsia="Times New Roman" w:hAnsi="Times New Roman"/>
          <w:sz w:val="18"/>
          <w:szCs w:val="18"/>
          <w:color w:val="auto"/>
        </w:rPr>
      </w:pPr>
    </w:p>
    <w:p>
      <w:pPr>
        <w:jc w:val="both"/>
        <w:ind w:left="121" w:right="180" w:firstLine="408"/>
        <w:spacing w:after="0" w:line="266" w:lineRule="auto"/>
        <w:tabs>
          <w:tab w:leader="none" w:pos="83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agrees and acknowledges that it has reserved and will keep available at all times, free from preemptive or similar rights and free from any lien, charge, claim or other encumbrance, authorized but unissued Shares at least equal to the Share Cap, solely for the purpose of settlement under this Transaction.</w:t>
      </w:r>
    </w:p>
    <w:p>
      <w:pPr>
        <w:spacing w:after="0" w:line="67" w:lineRule="exact"/>
        <w:rPr>
          <w:rFonts w:ascii="Times New Roman" w:cs="Times New Roman" w:eastAsia="Times New Roman" w:hAnsi="Times New Roman"/>
          <w:sz w:val="18"/>
          <w:szCs w:val="18"/>
          <w:color w:val="auto"/>
        </w:rPr>
      </w:pPr>
    </w:p>
    <w:p>
      <w:pPr>
        <w:ind w:left="121" w:right="280" w:firstLine="408"/>
        <w:spacing w:after="0" w:line="261" w:lineRule="auto"/>
        <w:tabs>
          <w:tab w:leader="none" w:pos="82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provisions set forth below under “Private Placement Procedures” are applicable, Dealer agrees to use any Shares delivered by Counterparty hereunder on any Settlement Date to return to securities lenders to close out open securities loans created by Dealer or an affiliate of Dealer in the course of Dealer’s or such affiliate’s hedging activities related to Dealer’s exposure under this Transaction.</w:t>
      </w:r>
    </w:p>
    <w:p>
      <w:pPr>
        <w:spacing w:after="0" w:line="71" w:lineRule="exact"/>
        <w:rPr>
          <w:rFonts w:ascii="Times New Roman" w:cs="Times New Roman" w:eastAsia="Times New Roman" w:hAnsi="Times New Roman"/>
          <w:sz w:val="18"/>
          <w:szCs w:val="18"/>
          <w:color w:val="auto"/>
        </w:rPr>
      </w:pPr>
    </w:p>
    <w:p>
      <w:pPr>
        <w:ind w:left="121" w:right="160" w:firstLine="408"/>
        <w:spacing w:after="0" w:line="258" w:lineRule="auto"/>
        <w:tabs>
          <w:tab w:leader="none" w:pos="77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bids and purchases of Shares in connection with any Cash Settlement or Net Share Settlement of this Transaction, Dealer shall use its good faith efforts to conduct its activities, or cause its affiliates to conduct their activities, in a manner consistent with the requirements of the safe harbor provided by Rule 10b-18, as if such provisions were applicable to such purchases and any analogous purchases under any Additional Transaction, taking into account any applicable Securities and Exchange Commission no action letters, as appropriate.</w:t>
      </w:r>
    </w:p>
    <w:p>
      <w:pPr>
        <w:spacing w:after="0" w:line="116" w:lineRule="exact"/>
        <w:rPr>
          <w:sz w:val="20"/>
          <w:szCs w:val="20"/>
          <w:color w:val="auto"/>
        </w:rPr>
      </w:pPr>
    </w:p>
    <w:p>
      <w:pPr>
        <w:ind w:left="4381"/>
        <w:spacing w:after="0"/>
        <w:rPr>
          <w:sz w:val="20"/>
          <w:szCs w:val="20"/>
          <w:color w:val="auto"/>
        </w:rPr>
      </w:pPr>
      <w:r>
        <w:rPr>
          <w:rFonts w:ascii="Times New Roman" w:cs="Times New Roman" w:eastAsia="Times New Roman" w:hAnsi="Times New Roman"/>
          <w:sz w:val="18"/>
          <w:szCs w:val="18"/>
          <w:color w:val="auto"/>
        </w:rPr>
        <w:t>B-1-16</w:t>
      </w:r>
    </w:p>
    <w:p>
      <w:pPr>
        <w:sectPr>
          <w:pgSz w:w="11900" w:h="16838" w:orient="portrait"/>
          <w:cols w:equalWidth="0" w:num="1">
            <w:col w:w="10141"/>
          </w:cols>
          <w:pgMar w:left="1299" w:top="270" w:right="459" w:bottom="1440" w:gutter="0" w:footer="0" w:header="0"/>
        </w:sectPr>
      </w:pPr>
    </w:p>
    <w:bookmarkStart w:id="88" w:name="page89"/>
    <w:bookmarkEnd w:id="88"/>
    <w:p>
      <w:pPr>
        <w:ind w:left="241" w:hanging="241"/>
        <w:spacing w:after="0"/>
        <w:tabs>
          <w:tab w:leader="none" w:pos="24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Representations and Agreements of Counterparty</w:t>
      </w:r>
      <w:r>
        <w:rPr>
          <w:rFonts w:ascii="Times New Roman" w:cs="Times New Roman" w:eastAsia="Times New Roman" w:hAnsi="Times New Roman"/>
          <w:sz w:val="18"/>
          <w:szCs w:val="18"/>
          <w:color w:val="auto"/>
        </w:rPr>
        <w:t>. Counterparty represents, warrants and agrees as follows:</w:t>
      </w:r>
    </w:p>
    <w:p>
      <w:pPr>
        <w:spacing w:after="0" w:line="117" w:lineRule="exact"/>
        <w:rPr>
          <w:rFonts w:ascii="Times New Roman" w:cs="Times New Roman" w:eastAsia="Times New Roman" w:hAnsi="Times New Roman"/>
          <w:sz w:val="18"/>
          <w:szCs w:val="18"/>
          <w:color w:val="auto"/>
        </w:rPr>
      </w:pPr>
    </w:p>
    <w:p>
      <w:pPr>
        <w:ind w:left="121" w:firstLine="408"/>
        <w:spacing w:after="0" w:line="253" w:lineRule="auto"/>
        <w:tabs>
          <w:tab w:leader="none" w:pos="73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represents to Dealer on the Trade Date and on any date that Counterparty notifies Dealer that Cash Settlement or Net Share Settlement applies to this Transaction, that (A) Counterparty is not aware of any material nonpublic information regarding Counterparty or the Shares, (B) each of its filings under the Securities Act, the Exchange Act or other applicable securities laws that are required to be filed have been filed and that, as of the date of this representation, when considered as a whole (with the more recent such filings deemed to amend inconsistent statements contained in any earlier such filings), there is no misstatement of material fact contained therein or omission of a material fact required to be stated therein or necessary to make the statements made therein, in the light of the circumstances under which they were made, not misleading, and (C) Counterparty is not entering into this Confirmation nor making any election hereunder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 In addition to any other requirement set forth herein, Counterparty agrees not to designate, or to appropriately rescind or modify a prior designation of, any Settlement Date if it is notified by Dealer that, in the reasonable determination of Dealer, based on advice of counsel, such settlement or Dealer’s related market activity in respect of such date would result in a violation of any applicable federal or state law or regulation, including the U.S. federal securities laws.</w:t>
      </w:r>
    </w:p>
    <w:p>
      <w:pPr>
        <w:spacing w:after="0" w:line="79" w:lineRule="exact"/>
        <w:rPr>
          <w:rFonts w:ascii="Times New Roman" w:cs="Times New Roman" w:eastAsia="Times New Roman" w:hAnsi="Times New Roman"/>
          <w:sz w:val="18"/>
          <w:szCs w:val="18"/>
          <w:color w:val="auto"/>
        </w:rPr>
      </w:pPr>
    </w:p>
    <w:p>
      <w:pPr>
        <w:ind w:left="121" w:right="40" w:firstLine="408"/>
        <w:spacing w:after="0" w:line="255" w:lineRule="auto"/>
        <w:tabs>
          <w:tab w:leader="none" w:pos="78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 of Dealer and Counterparty that following any election of Cash Settlement or Net Share Settlement by Counterparty, the purchase of Shares by Dealer during any Unwind Period shall comply with the requirements of Rule 10b5-l(c)(l)(i)(B) under the Exchange Act and that this Confirmation shall be interpreted to comply with the requirements of Rule 10b5-l(c) under the Exchange Act. Counterparty acknowledges that (i) during any Unwind Period Counterparty shall not have, and shall not attempt to exercise, any influence over how, when or whether to effect purchases of Shares by Dealer (or its agent or affiliate) in connection with this Confirmation and (ii) Counterparty is entering into the Agreement and this Confirmation in good faith and not as part of a plan or scheme to evade compliance with federal securities laws including, without limitation, Rule 10b-5 under the Exchange Act.</w:t>
      </w:r>
    </w:p>
    <w:p>
      <w:pPr>
        <w:spacing w:after="0" w:line="80" w:lineRule="exact"/>
        <w:rPr>
          <w:rFonts w:ascii="Times New Roman" w:cs="Times New Roman" w:eastAsia="Times New Roman" w:hAnsi="Times New Roman"/>
          <w:sz w:val="18"/>
          <w:szCs w:val="18"/>
          <w:color w:val="auto"/>
        </w:rPr>
      </w:pPr>
    </w:p>
    <w:p>
      <w:pPr>
        <w:ind w:left="121" w:right="240" w:firstLine="408"/>
        <w:spacing w:after="0" w:line="258" w:lineRule="auto"/>
        <w:tabs>
          <w:tab w:leader="none" w:pos="83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at least one day prior to the first day of any Unwind Period, notify Dealer of the total number of Shares purchased in Rule 10b-18 purchases of blocks pursuant to the once-a-week block exception contained in Rule 10b-18(b)(4) by or for Counterparty or any of its affiliated purchasers during each of the four calendar weeks preceding the first day of the Unwind Period and during the calendar week in which the first day of the Unwind Period occurs (“</w:t>
      </w:r>
      <w:r>
        <w:rPr>
          <w:rFonts w:ascii="Times New Roman" w:cs="Times New Roman" w:eastAsia="Times New Roman" w:hAnsi="Times New Roman"/>
          <w:sz w:val="18"/>
          <w:szCs w:val="18"/>
          <w:b w:val="1"/>
          <w:bCs w:val="1"/>
          <w:i w:val="1"/>
          <w:iCs w:val="1"/>
          <w:color w:val="auto"/>
        </w:rPr>
        <w:t>Rule 10b-18 purchase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blocks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affiliated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each being used as defined in Rule 10b-18).</w:t>
      </w:r>
    </w:p>
    <w:p>
      <w:pPr>
        <w:spacing w:after="0" w:line="116" w:lineRule="exact"/>
        <w:rPr>
          <w:sz w:val="20"/>
          <w:szCs w:val="20"/>
          <w:color w:val="auto"/>
        </w:rPr>
      </w:pPr>
    </w:p>
    <w:p>
      <w:pPr>
        <w:ind w:left="4381"/>
        <w:spacing w:after="0"/>
        <w:rPr>
          <w:sz w:val="20"/>
          <w:szCs w:val="20"/>
          <w:color w:val="auto"/>
        </w:rPr>
      </w:pPr>
      <w:r>
        <w:rPr>
          <w:rFonts w:ascii="Times New Roman" w:cs="Times New Roman" w:eastAsia="Times New Roman" w:hAnsi="Times New Roman"/>
          <w:sz w:val="18"/>
          <w:szCs w:val="18"/>
          <w:color w:val="auto"/>
        </w:rPr>
        <w:t>B-1-17</w:t>
      </w:r>
    </w:p>
    <w:p>
      <w:pPr>
        <w:sectPr>
          <w:pgSz w:w="11900" w:h="16838" w:orient="portrait"/>
          <w:cols w:equalWidth="0" w:num="1">
            <w:col w:w="10141"/>
          </w:cols>
          <w:pgMar w:left="1299" w:top="270" w:right="459" w:bottom="1440" w:gutter="0" w:footer="0" w:header="0"/>
        </w:sectPr>
      </w:pPr>
    </w:p>
    <w:bookmarkStart w:id="89" w:name="page90"/>
    <w:bookmarkEnd w:id="89"/>
    <w:p>
      <w:pPr>
        <w:ind w:right="460" w:firstLine="408"/>
        <w:spacing w:after="0" w:line="261" w:lineRule="auto"/>
        <w:tabs>
          <w:tab w:leader="none" w:pos="70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any Unwind Period, Counterparty shall (i) notify Dealer prior to the opening of trading in the Shares on any day on which Counterparty makes, or reasonably expects in advance of the opening to be made, any public announcement (as defined in</w:t>
      </w: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165(f) under the Securities Act) of any merger, acquisition, or similar transaction involving a recapitalization relating to Counterparty (other than any such transaction in which the consideration consists solely of cash and there is no valuation period), (ii) promptly notify Dealer following any such announcement that such announcement has been made, and (iii) promptly deliver to Dealer following the making of any such announcement information indicating (A) Counterparty’s average daily Rule 10b-18 purchases (as defined in</w:t>
      </w:r>
    </w:p>
    <w:p>
      <w:pPr>
        <w:spacing w:after="0" w:line="1" w:lineRule="exact"/>
        <w:rPr>
          <w:rFonts w:ascii="Times New Roman" w:cs="Times New Roman" w:eastAsia="Times New Roman" w:hAnsi="Times New Roman"/>
          <w:sz w:val="18"/>
          <w:szCs w:val="18"/>
          <w:color w:val="auto"/>
        </w:rPr>
      </w:pPr>
    </w:p>
    <w:p>
      <w:pPr>
        <w:ind w:right="2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10b-18) during the three full calendar months preceding the date of the announcement of such transaction and (B) Counterparty’s block purchases (as defined in Rule 10b-18) effected pursuant to Rule 10b-18(b)(4) during the three full calendar months preceding the date of the announcement of such transaction. In addition, Counterparty shall promptly notify Dealer of the earlier to occur of the completion of such transaction and the completion of the vote by target shareholders.</w:t>
      </w:r>
    </w:p>
    <w:p>
      <w:pPr>
        <w:spacing w:after="0" w:line="80" w:lineRule="exact"/>
        <w:rPr>
          <w:rFonts w:ascii="Times New Roman" w:cs="Times New Roman" w:eastAsia="Times New Roman" w:hAnsi="Times New Roman"/>
          <w:sz w:val="18"/>
          <w:szCs w:val="18"/>
          <w:color w:val="auto"/>
        </w:rPr>
      </w:pPr>
    </w:p>
    <w:p>
      <w:pPr>
        <w:ind w:right="80" w:firstLine="408"/>
        <w:spacing w:after="0" w:line="256" w:lineRule="auto"/>
        <w:tabs>
          <w:tab w:leader="none" w:pos="65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Counterparty nor any of its affiliated purchasers (within the meaning of Rule 10b-18) shall take or refrain from taking any action (including, without limitation, any direct purchases by Counterparty or any of its affiliates, or any purchases by a party to a derivative transaction with Counterparty or any of its affiliates), either under this Confirmation, under an agreement with another party or otherwise, that Counterparty reasonably believes to cause any purchases of Shares by Dealer or any of its affiliates in connection with any Cash Settlement or Net Share Settlement of this Transaction not to meet the requirements of the safe harbor provided by Rule 10b-18 determined as if all such foregoing purchases were made by Counterparty.</w:t>
      </w:r>
    </w:p>
    <w:p>
      <w:pPr>
        <w:spacing w:after="0" w:line="79" w:lineRule="exact"/>
        <w:rPr>
          <w:rFonts w:ascii="Times New Roman" w:cs="Times New Roman" w:eastAsia="Times New Roman" w:hAnsi="Times New Roman"/>
          <w:sz w:val="18"/>
          <w:szCs w:val="18"/>
          <w:color w:val="auto"/>
        </w:rPr>
      </w:pPr>
    </w:p>
    <w:p>
      <w:pPr>
        <w:ind w:right="120" w:firstLine="408"/>
        <w:spacing w:after="0" w:line="266" w:lineRule="auto"/>
        <w:tabs>
          <w:tab w:leader="none" w:pos="70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will not engage in any “distribution” (as defined in Regulation M), other than a distribution meeting, in each case, the requirements of an exception set forth in each of Rules 101(b) and 102(b) of Regulation M that would cause a “restricted period” (as defined in Regulation M) to occur during any Unwind Period.</w:t>
      </w:r>
    </w:p>
    <w:p>
      <w:pPr>
        <w:spacing w:after="0" w:line="67" w:lineRule="exact"/>
        <w:rPr>
          <w:rFonts w:ascii="Times New Roman" w:cs="Times New Roman" w:eastAsia="Times New Roman" w:hAnsi="Times New Roman"/>
          <w:sz w:val="18"/>
          <w:szCs w:val="18"/>
          <w:color w:val="auto"/>
        </w:rPr>
      </w:pPr>
    </w:p>
    <w:p>
      <w:pPr>
        <w:ind w:right="600" w:firstLine="408"/>
        <w:spacing w:after="0" w:line="282" w:lineRule="auto"/>
        <w:tabs>
          <w:tab w:leader="none" w:pos="75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and after giving effect to the transactions contemplated hereby will not be, required to register as an “investment company” as such term is defined in the Investment Company Act of 1940, as amended.</w:t>
      </w:r>
    </w:p>
    <w:p>
      <w:pPr>
        <w:spacing w:after="0" w:line="53" w:lineRule="exact"/>
        <w:rPr>
          <w:rFonts w:ascii="Times New Roman" w:cs="Times New Roman" w:eastAsia="Times New Roman" w:hAnsi="Times New Roman"/>
          <w:sz w:val="18"/>
          <w:szCs w:val="18"/>
          <w:color w:val="auto"/>
        </w:rPr>
      </w:pPr>
    </w:p>
    <w:p>
      <w:pPr>
        <w:ind w:right="160" w:firstLine="408"/>
        <w:spacing w:after="0" w:line="282" w:lineRule="auto"/>
        <w:tabs>
          <w:tab w:leader="none" w:pos="80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insolvent, nor will Counterparty be rendered insolvent as a result of this Transaction or its performance of the terms hereof.</w:t>
      </w:r>
    </w:p>
    <w:p>
      <w:pPr>
        <w:spacing w:after="0" w:line="9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B-1-18</w:t>
      </w:r>
    </w:p>
    <w:p>
      <w:pPr>
        <w:sectPr>
          <w:pgSz w:w="11900" w:h="16838" w:orient="portrait"/>
          <w:cols w:equalWidth="0" w:num="1">
            <w:col w:w="10020"/>
          </w:cols>
          <w:pgMar w:left="1420" w:top="270" w:right="459" w:bottom="1440" w:gutter="0" w:footer="0" w:header="0"/>
        </w:sectPr>
      </w:pPr>
    </w:p>
    <w:bookmarkStart w:id="90" w:name="page91"/>
    <w:bookmarkEnd w:id="90"/>
    <w:p>
      <w:pPr>
        <w:ind w:left="-20" w:right="60" w:firstLine="408"/>
        <w:spacing w:after="0" w:line="258" w:lineRule="auto"/>
        <w:tabs>
          <w:tab w:leader="none" w:pos="68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limiting the generality of Section 13.1 of the Equity Definitions, Counterparty acknowledges that Dealer is not making any representations or warranties or taking any position or expressing any view with respect to the treatment of this Transaction under any accounting standards including ASC Topic 260, Earnings Per Share, ASC Topic 815, Derivatives and Hedging, or ASC Topic 480, Distinguishing Liabilities from Equity and ASC 815-40, Derivatives and Hedging – Contracts in Entity’s Own Equity (or any successor issue statements) or under FASB’s Liabilities &amp; Equity Project.</w:t>
      </w:r>
    </w:p>
    <w:p>
      <w:pPr>
        <w:spacing w:after="0" w:line="75" w:lineRule="exact"/>
        <w:rPr>
          <w:rFonts w:ascii="Times New Roman" w:cs="Times New Roman" w:eastAsia="Times New Roman" w:hAnsi="Times New Roman"/>
          <w:sz w:val="18"/>
          <w:szCs w:val="18"/>
          <w:color w:val="auto"/>
        </w:rPr>
      </w:pPr>
    </w:p>
    <w:p>
      <w:pPr>
        <w:ind w:left="-20" w:right="80" w:firstLine="408"/>
        <w:spacing w:after="0" w:line="282" w:lineRule="auto"/>
        <w:tabs>
          <w:tab w:leader="none" w:pos="6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understands that no obligations of Dealer to it hereunder will be entitled to the benefit of deposit insurance and that such obligations will not be guaranteed by any affiliate of Dealer or any governmental agency.</w:t>
      </w:r>
    </w:p>
    <w:p>
      <w:pPr>
        <w:spacing w:after="0" w:line="53" w:lineRule="exact"/>
        <w:rPr>
          <w:rFonts w:ascii="Times New Roman" w:cs="Times New Roman" w:eastAsia="Times New Roman" w:hAnsi="Times New Roman"/>
          <w:sz w:val="18"/>
          <w:szCs w:val="18"/>
          <w:color w:val="auto"/>
        </w:rPr>
      </w:pPr>
    </w:p>
    <w:p>
      <w:pPr>
        <w:ind w:left="-20" w:right="20" w:firstLine="408"/>
        <w:spacing w:after="0" w:line="255" w:lineRule="auto"/>
        <w:tabs>
          <w:tab w:leader="none" w:pos="68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Counterparty’s actual knowledge, no federal,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other than Sections 13 and 16 of the Exchange Act or Article VII of Counterparty’s Declaration of Trust, as amended and supplemented from time the time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Counterparty makes no representation or warranty regarding any such requirement that is applicable generally to the ownership of equity securities by Dealer or its affiliates solely as a result of their being a financial institution or broker-dealer.</w:t>
      </w:r>
    </w:p>
    <w:p>
      <w:pPr>
        <w:spacing w:after="0" w:line="80" w:lineRule="exact"/>
        <w:rPr>
          <w:rFonts w:ascii="Times New Roman" w:cs="Times New Roman" w:eastAsia="Times New Roman" w:hAnsi="Times New Roman"/>
          <w:sz w:val="18"/>
          <w:szCs w:val="18"/>
          <w:color w:val="auto"/>
        </w:rPr>
      </w:pPr>
    </w:p>
    <w:p>
      <w:pPr>
        <w:jc w:val="both"/>
        <w:ind w:left="-20" w:right="220" w:firstLine="408"/>
        <w:spacing w:after="0" w:line="258" w:lineRule="auto"/>
        <w:tabs>
          <w:tab w:leader="none" w:pos="7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filing with, or approval, authorization, consent, license, registration, qualification, order or decree of, any court or governmental authority or agency, domestic or foreign, is necessary or required for the execution, delivery and performance by Counterparty of this Confirmation and the consummation of this Transaction (including, without limitation, the issuance and delivery of Shares on any Settlement Date) except (i) such as have been obtained or made under the Securities Act and (ii) as may be required to be obtained or made under state securities laws.</w:t>
      </w:r>
    </w:p>
    <w:p>
      <w:pPr>
        <w:spacing w:after="0" w:line="75" w:lineRule="exact"/>
        <w:rPr>
          <w:rFonts w:ascii="Times New Roman" w:cs="Times New Roman" w:eastAsia="Times New Roman" w:hAnsi="Times New Roman"/>
          <w:sz w:val="18"/>
          <w:szCs w:val="18"/>
          <w:color w:val="auto"/>
        </w:rPr>
      </w:pPr>
    </w:p>
    <w:p>
      <w:pPr>
        <w:jc w:val="both"/>
        <w:ind w:left="-20" w:right="160" w:firstLine="408"/>
        <w:spacing w:after="0" w:line="266" w:lineRule="auto"/>
        <w:tabs>
          <w:tab w:leader="none" w:pos="78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 has such knowledge and experience in financial and business affairs as to be capable of evaluating the merits and risks of entering into this Transaction; (ii) has consulted with its own legal, financial, accounting and tax advisors in connection with this Transaction; and (iii) is entering into this Transaction for a bona fide business purpose.</w:t>
      </w:r>
    </w:p>
    <w:p>
      <w:pPr>
        <w:spacing w:after="0" w:line="67" w:lineRule="exact"/>
        <w:rPr>
          <w:rFonts w:ascii="Times New Roman" w:cs="Times New Roman" w:eastAsia="Times New Roman" w:hAnsi="Times New Roman"/>
          <w:sz w:val="18"/>
          <w:szCs w:val="18"/>
          <w:color w:val="auto"/>
        </w:rPr>
      </w:pPr>
    </w:p>
    <w:p>
      <w:pPr>
        <w:ind w:left="-20" w:firstLine="408"/>
        <w:spacing w:after="0" w:line="282" w:lineRule="auto"/>
        <w:tabs>
          <w:tab w:leader="none" w:pos="77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will, by the next succeeding Scheduled Trading Day notify Dealer upon obtaining knowledge of the occurrence of any event that would constitute an Event of Default, a Potential Event of Default or a Potential Adjustment Event.</w:t>
      </w:r>
    </w:p>
    <w:p>
      <w:pPr>
        <w:spacing w:after="0" w:line="9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B-1-19</w:t>
      </w:r>
    </w:p>
    <w:p>
      <w:pPr>
        <w:sectPr>
          <w:pgSz w:w="11900" w:h="16838" w:orient="portrait"/>
          <w:cols w:equalWidth="0" w:num="1">
            <w:col w:w="10000"/>
          </w:cols>
          <w:pgMar w:left="1440" w:top="270" w:right="459" w:bottom="1440" w:gutter="0" w:footer="0" w:header="0"/>
        </w:sectPr>
      </w:pPr>
    </w:p>
    <w:bookmarkStart w:id="91" w:name="page92"/>
    <w:bookmarkEnd w:id="91"/>
    <w:p>
      <w:pPr>
        <w:ind w:left="121" w:firstLine="408"/>
        <w:spacing w:after="0" w:line="261" w:lineRule="auto"/>
        <w:tabs>
          <w:tab w:leader="none" w:pos="866"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Ownership positions of Counterparty’s common stock held by Dealer or any of its affiliates solely in its capacity as a nominee or fiduciary (where Dealer and such affiliates have no economic interest in such positions) do not constitute “ownership” by Dealer, and Dealer shall not be deemed or treated as the beneficial or constructive “owner” of such positions, in each case, for purposes of Article VII of the Charter, except for purposes of Section 7.2.4 thereof.</w:t>
      </w:r>
    </w:p>
    <w:p>
      <w:pPr>
        <w:spacing w:after="0" w:line="71" w:lineRule="exact"/>
        <w:rPr>
          <w:rFonts w:ascii="Times New Roman" w:cs="Times New Roman" w:eastAsia="Times New Roman" w:hAnsi="Times New Roman"/>
          <w:sz w:val="18"/>
          <w:szCs w:val="18"/>
          <w:color w:val="auto"/>
        </w:rPr>
      </w:pPr>
    </w:p>
    <w:p>
      <w:pPr>
        <w:jc w:val="both"/>
        <w:ind w:left="121" w:right="140" w:firstLine="408"/>
        <w:spacing w:after="0" w:line="261" w:lineRule="auto"/>
        <w:tabs>
          <w:tab w:leader="none" w:pos="916"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 is capable of evaluating investment risks independently, both in general and with regard to particular transactions and investment strategies involving a security or securities; (ii) will exercise independent judgment in evaluating the recommendations of any broker-dealer or its associated persons, unless it has otherwise notified the broker-dealer in writing; and (iii) has total assets of at least USD 50 million as of the date hereof.</w:t>
      </w:r>
    </w:p>
    <w:p>
      <w:pPr>
        <w:spacing w:after="0" w:line="67" w:lineRule="exact"/>
        <w:rPr>
          <w:rFonts w:ascii="Times New Roman" w:cs="Times New Roman" w:eastAsia="Times New Roman" w:hAnsi="Times New Roman"/>
          <w:sz w:val="18"/>
          <w:szCs w:val="18"/>
          <w:color w:val="auto"/>
        </w:rPr>
      </w:pPr>
    </w:p>
    <w:p>
      <w:pPr>
        <w:ind w:left="221" w:hanging="221"/>
        <w:spacing w:after="0"/>
        <w:tabs>
          <w:tab w:leader="none" w:pos="22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Events</w:t>
      </w:r>
      <w:r>
        <w:rPr>
          <w:rFonts w:ascii="Times New Roman" w:cs="Times New Roman" w:eastAsia="Times New Roman" w:hAnsi="Times New Roman"/>
          <w:sz w:val="18"/>
          <w:szCs w:val="18"/>
          <w:color w:val="auto"/>
        </w:rPr>
        <w:t>. Each of the following events shall constitute an “</w:t>
      </w:r>
      <w:r>
        <w:rPr>
          <w:rFonts w:ascii="Times New Roman" w:cs="Times New Roman" w:eastAsia="Times New Roman" w:hAnsi="Times New Roman"/>
          <w:sz w:val="18"/>
          <w:szCs w:val="18"/>
          <w:b w:val="1"/>
          <w:bCs w:val="1"/>
          <w:i w:val="1"/>
          <w:iCs w:val="1"/>
          <w:color w:val="auto"/>
        </w:rPr>
        <w:t>Acceleration Event</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21" w:right="460" w:firstLine="408"/>
        <w:spacing w:after="0" w:line="258" w:lineRule="auto"/>
        <w:tabs>
          <w:tab w:leader="none" w:pos="736"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Borrow Event</w:t>
      </w:r>
      <w:r>
        <w:rPr>
          <w:rFonts w:ascii="Times New Roman" w:cs="Times New Roman" w:eastAsia="Times New Roman" w:hAnsi="Times New Roman"/>
          <w:sz w:val="18"/>
          <w:szCs w:val="18"/>
          <w:color w:val="auto"/>
        </w:rPr>
        <w:t>. In the commercially reasonable judgment of Dealer, Dealer (or an affiliate of Dealer) (A) is not able to hedge in a commercially reasonable manner its exposure under this Transaction because insufficient Shares are made available for borrowing by securities lenders or (B) would incur a cost to borrow (or to maintain a borrow of) Shares to hedge in a commercially reasonable manner its exposure under this Transaction that is greater than a rate equal to [ • ] basis points per annum (each, a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Borrow Event</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121" w:right="40" w:firstLine="408"/>
        <w:spacing w:after="0" w:line="269" w:lineRule="auto"/>
        <w:tabs>
          <w:tab w:leader="none" w:pos="786" w:val="left"/>
        </w:tabs>
        <w:numPr>
          <w:ilvl w:val="2"/>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 and Other Distributions</w:t>
      </w:r>
      <w:r>
        <w:rPr>
          <w:rFonts w:ascii="Times New Roman" w:cs="Times New Roman" w:eastAsia="Times New Roman" w:hAnsi="Times New Roman"/>
          <w:sz w:val="17"/>
          <w:szCs w:val="17"/>
          <w:color w:val="auto"/>
        </w:rPr>
        <w:t>. On any day occurring after the Trade Date, Counterparty declares a distribution, issue or dividend to existing holders of the Shares of (A) any cash dividend (other than an Extraordinary Dividend) to the extent all cash dividends having an ex-dividend date during the period from, and including, any Forward Price Reduction Date (with the Trade Date being a Forward Price Reduction Date for purposes of this paragraph (ii) only) to, but excluding, the next subsequent Forward Price Reduction Date exceeds, on a per Share basis, the Forward Price Reduction Amount set forth opposite the first date of any such period on Schedule I,</w:t>
      </w:r>
    </w:p>
    <w:p>
      <w:pPr>
        <w:spacing w:after="0" w:line="2" w:lineRule="exact"/>
        <w:rPr>
          <w:rFonts w:ascii="Times New Roman" w:cs="Times New Roman" w:eastAsia="Times New Roman" w:hAnsi="Times New Roman"/>
          <w:sz w:val="17"/>
          <w:szCs w:val="17"/>
          <w:color w:val="auto"/>
        </w:rPr>
      </w:pPr>
    </w:p>
    <w:p>
      <w:pPr>
        <w:ind w:left="121" w:right="120" w:firstLine="7"/>
        <w:spacing w:after="0" w:line="252" w:lineRule="auto"/>
        <w:tabs>
          <w:tab w:leader="none" w:pos="405"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Dividend, (C) any share capital or other securities of another issuer acquired or owned (directly or indirectly) by Counterparty as a result of a spin-off or other similar transaction or (D) any other type of securities (other than Shares), rights or warrants or other assets, in any case for payment (cash or other consideration) at less than the prevailing market price, as determined in a commercially reasonable manner by Dealer; “</w:t>
      </w:r>
      <w:r>
        <w:rPr>
          <w:rFonts w:ascii="Times New Roman" w:cs="Times New Roman" w:eastAsia="Times New Roman" w:hAnsi="Times New Roman"/>
          <w:sz w:val="18"/>
          <w:szCs w:val="18"/>
          <w:b w:val="1"/>
          <w:bCs w:val="1"/>
          <w:i w:val="1"/>
          <w:iCs w:val="1"/>
          <w:color w:val="auto"/>
        </w:rPr>
        <w:t>Extraordinary Dividend</w:t>
      </w:r>
      <w:r>
        <w:rPr>
          <w:rFonts w:ascii="Times New Roman" w:cs="Times New Roman" w:eastAsia="Times New Roman" w:hAnsi="Times New Roman"/>
          <w:sz w:val="18"/>
          <w:szCs w:val="18"/>
          <w:color w:val="auto"/>
        </w:rPr>
        <w:t>” means any dividend or distribution (that is not an ordinary cash dividend) declared by the Issuer with respect to the Shares that, in the commercially reasonable determination of Dealer, is (1) a dividend or distribution declared on the Shares at a time at which the Issuer has not previously declared or paid dividends or distributions on such Shares for the</w:t>
      </w:r>
    </w:p>
    <w:p>
      <w:pPr>
        <w:spacing w:after="0" w:line="121" w:lineRule="exact"/>
        <w:rPr>
          <w:sz w:val="20"/>
          <w:szCs w:val="20"/>
          <w:color w:val="auto"/>
        </w:rPr>
      </w:pPr>
    </w:p>
    <w:p>
      <w:pPr>
        <w:ind w:left="4381"/>
        <w:spacing w:after="0"/>
        <w:rPr>
          <w:sz w:val="20"/>
          <w:szCs w:val="20"/>
          <w:color w:val="auto"/>
        </w:rPr>
      </w:pPr>
      <w:r>
        <w:rPr>
          <w:rFonts w:ascii="Times New Roman" w:cs="Times New Roman" w:eastAsia="Times New Roman" w:hAnsi="Times New Roman"/>
          <w:sz w:val="18"/>
          <w:szCs w:val="18"/>
          <w:color w:val="auto"/>
        </w:rPr>
        <w:t>B-1-20</w:t>
      </w:r>
    </w:p>
    <w:p>
      <w:pPr>
        <w:sectPr>
          <w:pgSz w:w="11900" w:h="16838" w:orient="portrait"/>
          <w:cols w:equalWidth="0" w:num="1">
            <w:col w:w="10141"/>
          </w:cols>
          <w:pgMar w:left="1299" w:top="270" w:right="459" w:bottom="1440" w:gutter="0" w:footer="0" w:header="0"/>
        </w:sectPr>
      </w:pPr>
    </w:p>
    <w:bookmarkStart w:id="92" w:name="page93"/>
    <w:bookmarkEnd w:id="92"/>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four quarterly periods, (2) a payment or distribution by the Issuer to holders of Shares that the Issuer announces will be an “extraordinary” or “special” dividend or distribution, (3) a payment by the Issuer to holders of Shares out of the Issuer’s capital and surplus or (4) any other “special” dividend or distribution on the Shares that is, by its terms or declared intent, outside the normal course of operations or normal dividend policies or practices of the Issuer;</w:t>
      </w:r>
    </w:p>
    <w:p>
      <w:pPr>
        <w:spacing w:after="0" w:line="72" w:lineRule="exact"/>
        <w:rPr>
          <w:sz w:val="20"/>
          <w:szCs w:val="20"/>
          <w:color w:val="auto"/>
        </w:rPr>
      </w:pPr>
    </w:p>
    <w:p>
      <w:pPr>
        <w:ind w:right="160" w:firstLine="408"/>
        <w:spacing w:after="0" w:line="289" w:lineRule="auto"/>
        <w:tabs>
          <w:tab w:leader="none" w:pos="716"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ISDA Termination</w:t>
      </w:r>
      <w:r>
        <w:rPr>
          <w:rFonts w:ascii="Times New Roman" w:cs="Times New Roman" w:eastAsia="Times New Roman" w:hAnsi="Times New Roman"/>
          <w:sz w:val="17"/>
          <w:szCs w:val="17"/>
          <w:color w:val="auto"/>
        </w:rPr>
        <w:t>. Either Dealer or Counterparty has the right to designate an Early Termination Date pursuant to Section 6 of the Agreement, in which case, except as otherwise specified herein and except as a result of an Event of Default under Section 5(a)(i) of the Agreement, the provisions of Paragraph 7(g) below shall apply in lieu of the consequences specified in Section 6 of the Agreement;</w:t>
      </w:r>
    </w:p>
    <w:p>
      <w:pPr>
        <w:spacing w:after="0" w:line="49" w:lineRule="exact"/>
        <w:rPr>
          <w:rFonts w:ascii="Times New Roman" w:cs="Times New Roman" w:eastAsia="Times New Roman" w:hAnsi="Times New Roman"/>
          <w:sz w:val="17"/>
          <w:szCs w:val="17"/>
          <w:color w:val="auto"/>
        </w:rPr>
      </w:pPr>
    </w:p>
    <w:p>
      <w:pPr>
        <w:ind w:firstLine="408"/>
        <w:spacing w:after="0" w:line="253" w:lineRule="auto"/>
        <w:tabs>
          <w:tab w:leader="none" w:pos="70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ISDA Events</w:t>
      </w:r>
      <w:r>
        <w:rPr>
          <w:rFonts w:ascii="Times New Roman" w:cs="Times New Roman" w:eastAsia="Times New Roman" w:hAnsi="Times New Roman"/>
          <w:sz w:val="18"/>
          <w:szCs w:val="18"/>
          <w:color w:val="auto"/>
        </w:rPr>
        <w:t xml:space="preserve">. An Announcement Date occurs in respect of any Merger Event, Tender Offer, Nationalization, Insolvency, Delisting or the occurrence of any Hedging Disruption or Change in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case of a Delisting, in addition to the provisions of Section 12.6(a)(iii) of the Equity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 the definition of “Change in Law” provided in Section 12.9(a)(ii) of the Equity Definitions is hereby amended by (A) replacing the phrase “the interpretation” in the third line thereof with the phrase “or announcement or statement of the formal or informal interpretation” and (B) immediately following the word “Transaction” in clause (X) thereof, adding the phrase “in the manner contemplated by Dealer on the Trade Date” and (ii) any determination as to whether (A) the adoption of or any change in any applicable law or regulation (including, without limitation, any tax law) or (B) the promulgation of or any change in or announcement or statement of the formal or informal interpretation by any court, tribunal or regulatory authority with competent jurisdiction of any applicable law or regulation (including any action taken by a taxing authority), in each case, constitutes a “Change in Law” shall be made without regard to Section 739 of the Wall Street Transparency and Accountability Act of 2010 (the “</w:t>
      </w:r>
      <w:r>
        <w:rPr>
          <w:rFonts w:ascii="Times New Roman" w:cs="Times New Roman" w:eastAsia="Times New Roman" w:hAnsi="Times New Roman"/>
          <w:sz w:val="18"/>
          <w:szCs w:val="18"/>
          <w:b w:val="1"/>
          <w:bCs w:val="1"/>
          <w:i w:val="1"/>
          <w:iCs w:val="1"/>
          <w:color w:val="auto"/>
        </w:rPr>
        <w:t>WSTAA</w:t>
      </w:r>
      <w:r>
        <w:rPr>
          <w:rFonts w:ascii="Times New Roman" w:cs="Times New Roman" w:eastAsia="Times New Roman" w:hAnsi="Times New Roman"/>
          <w:sz w:val="18"/>
          <w:szCs w:val="18"/>
          <w:color w:val="auto"/>
        </w:rPr>
        <w:t>”) or any similar provision in any legislation enacted on or after the Trade Date; or</w:t>
      </w:r>
    </w:p>
    <w:p>
      <w:pPr>
        <w:spacing w:after="0" w:line="79" w:lineRule="exact"/>
        <w:rPr>
          <w:rFonts w:ascii="Times New Roman" w:cs="Times New Roman" w:eastAsia="Times New Roman" w:hAnsi="Times New Roman"/>
          <w:sz w:val="18"/>
          <w:szCs w:val="18"/>
          <w:color w:val="auto"/>
        </w:rPr>
      </w:pPr>
    </w:p>
    <w:p>
      <w:pPr>
        <w:ind w:right="20" w:firstLine="408"/>
        <w:spacing w:after="0" w:line="258"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Event</w:t>
      </w:r>
      <w:r>
        <w:rPr>
          <w:rFonts w:ascii="Times New Roman" w:cs="Times New Roman" w:eastAsia="Times New Roman" w:hAnsi="Times New Roman"/>
          <w:sz w:val="18"/>
          <w:szCs w:val="18"/>
          <w:color w:val="auto"/>
        </w:rPr>
        <w:t>. In the good faith judgment of Dealer, on any day, the Share Amount for such day exceeds the Post-Effective Limit for such day (if any applies) (each, an “</w:t>
      </w:r>
      <w:r>
        <w:rPr>
          <w:rFonts w:ascii="Times New Roman" w:cs="Times New Roman" w:eastAsia="Times New Roman" w:hAnsi="Times New Roman"/>
          <w:sz w:val="18"/>
          <w:szCs w:val="18"/>
          <w:b w:val="1"/>
          <w:bCs w:val="1"/>
          <w:i w:val="1"/>
          <w:iCs w:val="1"/>
          <w:color w:val="auto"/>
        </w:rPr>
        <w:t>Ownership Event</w:t>
      </w:r>
      <w:r>
        <w:rPr>
          <w:rFonts w:ascii="Times New Roman" w:cs="Times New Roman" w:eastAsia="Times New Roman" w:hAnsi="Times New Roman"/>
          <w:sz w:val="18"/>
          <w:szCs w:val="18"/>
          <w:color w:val="auto"/>
        </w:rPr>
        <w:t>”). For purposes of this clause (v), the “</w:t>
      </w:r>
      <w:r>
        <w:rPr>
          <w:rFonts w:ascii="Times New Roman" w:cs="Times New Roman" w:eastAsia="Times New Roman" w:hAnsi="Times New Roman"/>
          <w:sz w:val="18"/>
          <w:szCs w:val="18"/>
          <w:b w:val="1"/>
          <w:bCs w:val="1"/>
          <w:i w:val="1"/>
          <w:iCs w:val="1"/>
          <w:color w:val="auto"/>
        </w:rPr>
        <w:t>Share Amount</w:t>
      </w:r>
      <w:r>
        <w:rPr>
          <w:rFonts w:ascii="Times New Roman" w:cs="Times New Roman" w:eastAsia="Times New Roman" w:hAnsi="Times New Roman"/>
          <w:sz w:val="18"/>
          <w:szCs w:val="18"/>
          <w:color w:val="auto"/>
        </w:rPr>
        <w:t>” as of any day is the number of Shares that Dealer and any person whose ownership position would be aggregated with that of Dealer (Dealer or any such person, a “</w:t>
      </w:r>
      <w:r>
        <w:rPr>
          <w:rFonts w:ascii="Times New Roman" w:cs="Times New Roman" w:eastAsia="Times New Roman" w:hAnsi="Times New Roman"/>
          <w:sz w:val="18"/>
          <w:szCs w:val="18"/>
          <w:b w:val="1"/>
          <w:bCs w:val="1"/>
          <w:i w:val="1"/>
          <w:iCs w:val="1"/>
          <w:color w:val="auto"/>
        </w:rPr>
        <w:t>Dealer Person</w:t>
      </w:r>
      <w:r>
        <w:rPr>
          <w:rFonts w:ascii="Times New Roman" w:cs="Times New Roman" w:eastAsia="Times New Roman" w:hAnsi="Times New Roman"/>
          <w:sz w:val="18"/>
          <w:szCs w:val="18"/>
          <w:color w:val="auto"/>
        </w:rPr>
        <w:t>”) under any law, rule, regulation or regulatory order or Counterparty constituent document that for any reason is, or after the Trade Date becomes, applicable to ownership of Shares (“</w:t>
      </w:r>
      <w:r>
        <w:rPr>
          <w:rFonts w:ascii="Times New Roman" w:cs="Times New Roman" w:eastAsia="Times New Roman" w:hAnsi="Times New Roman"/>
          <w:sz w:val="18"/>
          <w:szCs w:val="18"/>
          <w:b w:val="1"/>
          <w:bCs w:val="1"/>
          <w:i w:val="1"/>
          <w:iCs w:val="1"/>
          <w:color w:val="auto"/>
        </w:rPr>
        <w:t>Applicable</w:t>
      </w:r>
    </w:p>
    <w:p>
      <w:pPr>
        <w:spacing w:after="0" w:line="11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B-1-21</w:t>
      </w:r>
    </w:p>
    <w:p>
      <w:pPr>
        <w:sectPr>
          <w:pgSz w:w="11900" w:h="16838" w:orient="portrait"/>
          <w:cols w:equalWidth="0" w:num="1">
            <w:col w:w="10040"/>
          </w:cols>
          <w:pgMar w:left="1420" w:top="270" w:right="439" w:bottom="1440" w:gutter="0" w:footer="0" w:header="0"/>
        </w:sectPr>
      </w:pPr>
    </w:p>
    <w:bookmarkStart w:id="93" w:name="page94"/>
    <w:bookmarkEnd w:id="93"/>
    <w:p>
      <w:pPr>
        <w:ind w:left="544" w:right="1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Provisions</w:t>
      </w:r>
      <w:r>
        <w:rPr>
          <w:rFonts w:ascii="Times New Roman" w:cs="Times New Roman" w:eastAsia="Times New Roman" w:hAnsi="Times New Roman"/>
          <w:sz w:val="18"/>
          <w:szCs w:val="18"/>
          <w:color w:val="auto"/>
        </w:rPr>
        <w:t>”), owns, beneficially owns, constructively owns, controls, holds the power to vote or otherwise meets a relevant definition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ownership of under the Applicable Provisions, as determined by Dealer in its reasonable discretion. The “</w:t>
      </w:r>
      <w:r>
        <w:rPr>
          <w:rFonts w:ascii="Times New Roman" w:cs="Times New Roman" w:eastAsia="Times New Roman" w:hAnsi="Times New Roman"/>
          <w:sz w:val="18"/>
          <w:szCs w:val="18"/>
          <w:b w:val="1"/>
          <w:bCs w:val="1"/>
          <w:i w:val="1"/>
          <w:iCs w:val="1"/>
          <w:color w:val="auto"/>
        </w:rPr>
        <w:t>Post-Effective Limit</w:t>
      </w:r>
      <w:r>
        <w:rPr>
          <w:rFonts w:ascii="Times New Roman" w:cs="Times New Roman" w:eastAsia="Times New Roman" w:hAnsi="Times New Roman"/>
          <w:sz w:val="18"/>
          <w:szCs w:val="18"/>
          <w:color w:val="auto"/>
        </w:rPr>
        <w:t>” means</w:t>
      </w:r>
    </w:p>
    <w:p>
      <w:pPr>
        <w:spacing w:after="0" w:line="1" w:lineRule="exact"/>
        <w:rPr>
          <w:sz w:val="20"/>
          <w:szCs w:val="20"/>
          <w:color w:val="auto"/>
        </w:rPr>
      </w:pPr>
    </w:p>
    <w:p>
      <w:pPr>
        <w:ind w:left="544" w:right="60" w:firstLine="7"/>
        <w:spacing w:after="0" w:line="253" w:lineRule="auto"/>
        <w:tabs>
          <w:tab w:leader="none" w:pos="798"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minimum number of Shares that would give rise to reporting or registration obligations (except for any filing requirements on Form 13F, Schedule 13D or Schedule 13G under the Exchange Act, in each case, as in effect on the Trade Date) or other requirements (including obtaining prior approval from any person or entity) of a Dealer Person, or would result in an adverse effect on a Dealer Person, under the Applicable Provisions, as determined by Dealer in its reasonable discretion,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(y) 1.0% of the number of Shares outstanding.</w:t>
      </w:r>
    </w:p>
    <w:p>
      <w:pPr>
        <w:spacing w:after="0" w:line="78" w:lineRule="exact"/>
        <w:rPr>
          <w:rFonts w:ascii="Times New Roman" w:cs="Times New Roman" w:eastAsia="Times New Roman" w:hAnsi="Times New Roman"/>
          <w:sz w:val="18"/>
          <w:szCs w:val="18"/>
          <w:color w:val="auto"/>
        </w:rPr>
      </w:pPr>
    </w:p>
    <w:p>
      <w:pPr>
        <w:ind w:left="4" w:firstLine="419"/>
        <w:spacing w:after="0" w:line="266" w:lineRule="auto"/>
        <w:tabs>
          <w:tab w:leader="none" w:pos="681"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Settlement</w:t>
      </w:r>
      <w:r>
        <w:rPr>
          <w:rFonts w:ascii="Times New Roman" w:cs="Times New Roman" w:eastAsia="Times New Roman" w:hAnsi="Times New Roman"/>
          <w:sz w:val="17"/>
          <w:szCs w:val="17"/>
          <w:color w:val="auto"/>
        </w:rPr>
        <w:t>. Upon the occurrence of any Acceleration Event, Dealer shall have the right to designate, upon at least one Scheduled Trading Day’s notice, any Scheduled Trading Day following such occurrence to be a Settlement Date hereunder (a “</w:t>
      </w:r>
      <w:r>
        <w:rPr>
          <w:rFonts w:ascii="Times New Roman" w:cs="Times New Roman" w:eastAsia="Times New Roman" w:hAnsi="Times New Roman"/>
          <w:sz w:val="17"/>
          <w:szCs w:val="17"/>
          <w:b w:val="1"/>
          <w:bCs w:val="1"/>
          <w:i w:val="1"/>
          <w:iCs w:val="1"/>
          <w:color w:val="auto"/>
        </w:rPr>
        <w:t>Termination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Settlement Date</w:t>
      </w:r>
      <w:r>
        <w:rPr>
          <w:rFonts w:ascii="Times New Roman" w:cs="Times New Roman" w:eastAsia="Times New Roman" w:hAnsi="Times New Roman"/>
          <w:sz w:val="17"/>
          <w:szCs w:val="17"/>
          <w:color w:val="auto"/>
        </w:rPr>
        <w:t>”) to which Physical Settlement shall apply, and to select the number of Settlement Shares relating to such Termination Settlement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in the case of an Acceleration Event arising out of an Ownership Event, the number of Settlement Shares so designated by Dealer shall not exceed the number of Shares necessary to reduce the Share Amount to reasonably below the Post-Effective Limit and (ii) in the case of an Acceleration Event arising out of a Stock Borrow Event, the number of Settlement Shares so designated by Dealer shall not exceed the number of Shares as to which such Stock Borrow Event exists. If, upon designation of a Termination Settlement Date by Dealer pursuant to the preceding sentence, Counterparty fails to deliver the Settlement Shares relating to such Termination Settlement Date when due or otherwise fails to perform obligations within its control in respect of this Transaction, it shall be an Event of Default with respect to Counterparty and Section 6 of the Agreement shall apply. If an Acceleration Event occurs during an Unwind Period relating to a number of Settlement Shares to which Cash Settlement or Net Share Settlement applies, then on the Termination Settlement Date relating to such Acceleration Event, notwithstanding any election to the contrary by Counterparty, Cash Settlement or Net Share Settlement shall apply to the portion of the Settlement Shares relating to such Unwind Period as to which Dealer has unwound its hedge (assuming that Dealer has a commercially reasonable hedge and unwinds its hedge in a commercially reasonable manner) and Physical Settlement shall apply in respect of (x) the remainder (if any) of such Settlement Shares and</w:t>
      </w:r>
    </w:p>
    <w:p>
      <w:pPr>
        <w:spacing w:after="0" w:line="9" w:lineRule="exact"/>
        <w:rPr>
          <w:rFonts w:ascii="Times New Roman" w:cs="Times New Roman" w:eastAsia="Times New Roman" w:hAnsi="Times New Roman"/>
          <w:sz w:val="17"/>
          <w:szCs w:val="17"/>
          <w:color w:val="auto"/>
        </w:rPr>
      </w:pPr>
    </w:p>
    <w:p>
      <w:pPr>
        <w:ind w:left="4" w:hanging="4"/>
        <w:spacing w:after="0" w:line="252" w:lineRule="auto"/>
        <w:tabs>
          <w:tab w:leader="none" w:pos="25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Shares designated by Dealer in respect of such Termination Settlement Date. If an Acceleration Event occurs after Counterparty has designated a Settlement Date to which Physical Settlement applies but before the relevant Settlement Shares have been delivered to Dealer, then Dealer shall have the right to cancel such Settlement Date and designate a Termination Settlement Date in respect of such Shares pursuant to the first sentence hereof. Notwithstanding the foregoing, in the case of a Nationalization or Merger Event, if at the time of the related Relevant Settlement Date the Shares have changed into cash or any other property or the right to receive cash or any other property, the Calculation Agent shall adjust the nature of the Shares as it determines appropriate to account for such change such that the nature</w:t>
      </w:r>
    </w:p>
    <w:p>
      <w:pPr>
        <w:spacing w:after="0" w:line="122"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B-1-22</w:t>
      </w:r>
    </w:p>
    <w:p>
      <w:pPr>
        <w:sectPr>
          <w:pgSz w:w="11900" w:h="16838" w:orient="portrait"/>
          <w:cols w:equalWidth="0" w:num="1">
            <w:col w:w="10544"/>
          </w:cols>
          <w:pgMar w:left="876" w:top="266" w:right="479" w:bottom="1440" w:gutter="0" w:footer="0" w:header="0"/>
        </w:sectPr>
      </w:pPr>
    </w:p>
    <w:bookmarkStart w:id="94" w:name="page95"/>
    <w:bookmarkEnd w:id="94"/>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Shares is consistent with what shareholders receive in such event. If Dealer designates a Termination Settlement Date as a result of an Acceleration Event caused by an excess dividend of the type described in Paragraph 7(f)(ii), no adjustments(s) shall be made to the terms of this contract to account for the amount of such excess dividend.</w:t>
      </w:r>
    </w:p>
    <w:p>
      <w:pPr>
        <w:spacing w:after="0" w:line="68" w:lineRule="exact"/>
        <w:rPr>
          <w:sz w:val="20"/>
          <w:szCs w:val="20"/>
          <w:color w:val="auto"/>
        </w:rPr>
      </w:pPr>
    </w:p>
    <w:p>
      <w:pPr>
        <w:ind w:right="100" w:firstLine="419"/>
        <w:spacing w:after="0" w:line="256" w:lineRule="auto"/>
        <w:tabs>
          <w:tab w:leader="none" w:pos="67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 Procedures</w:t>
      </w:r>
      <w:r>
        <w:rPr>
          <w:rFonts w:ascii="Times New Roman" w:cs="Times New Roman" w:eastAsia="Times New Roman" w:hAnsi="Times New Roman"/>
          <w:sz w:val="18"/>
          <w:szCs w:val="18"/>
          <w:color w:val="auto"/>
        </w:rPr>
        <w:t>. If Counterparty is unable to comply with the provisions of sub-paragraph (ii) of “Agreements and Acknowledgments Regarding Shares” above because of a change in law or a change in the policy of the Securities and Exchange Commission or its staff, or Dealer otherwise determines that in its reasonable opinion any Shares to be delivered to Dealer by Counterparty may not be freely returned by Dealer or its affiliates to securities lenders as described under such sub-paragraph (ii) or otherwise constitute “restricted securities” as defined in Rule 144 under the Securities Act, then delivery of any such Shares (the “</w:t>
      </w:r>
      <w:r>
        <w:rPr>
          <w:rFonts w:ascii="Times New Roman" w:cs="Times New Roman" w:eastAsia="Times New Roman" w:hAnsi="Times New Roman"/>
          <w:sz w:val="18"/>
          <w:szCs w:val="18"/>
          <w:b w:val="1"/>
          <w:bCs w:val="1"/>
          <w:i w:val="1"/>
          <w:iCs w:val="1"/>
          <w:color w:val="auto"/>
        </w:rPr>
        <w:t>Restricted Shares</w:t>
      </w:r>
      <w:r>
        <w:rPr>
          <w:rFonts w:ascii="Times New Roman" w:cs="Times New Roman" w:eastAsia="Times New Roman" w:hAnsi="Times New Roman"/>
          <w:sz w:val="18"/>
          <w:szCs w:val="18"/>
          <w:color w:val="auto"/>
        </w:rPr>
        <w:t>”) shall be effected as provided below, unless waived by Dealer.</w:t>
      </w:r>
    </w:p>
    <w:p>
      <w:pPr>
        <w:spacing w:after="0" w:line="75" w:lineRule="exact"/>
        <w:rPr>
          <w:rFonts w:ascii="Times New Roman" w:cs="Times New Roman" w:eastAsia="Times New Roman" w:hAnsi="Times New Roman"/>
          <w:sz w:val="18"/>
          <w:szCs w:val="18"/>
          <w:color w:val="auto"/>
        </w:rPr>
      </w:pPr>
    </w:p>
    <w:p>
      <w:pPr>
        <w:ind w:left="540" w:firstLine="408"/>
        <w:spacing w:after="0" w:line="252" w:lineRule="auto"/>
        <w:tabs>
          <w:tab w:leader="none" w:pos="115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Counterparty delivers the Restricted Shares pursuant to this clause (i) (a “</w:t>
      </w:r>
      <w:r>
        <w:rPr>
          <w:rFonts w:ascii="Times New Roman" w:cs="Times New Roman" w:eastAsia="Times New Roman" w:hAnsi="Times New Roman"/>
          <w:sz w:val="18"/>
          <w:szCs w:val="18"/>
          <w:b w:val="1"/>
          <w:bCs w:val="1"/>
          <w:i w:val="1"/>
          <w:iCs w:val="1"/>
          <w:color w:val="auto"/>
        </w:rPr>
        <w:t>Private Placement Settlement</w:t>
      </w:r>
      <w:r>
        <w:rPr>
          <w:rFonts w:ascii="Times New Roman" w:cs="Times New Roman" w:eastAsia="Times New Roman" w:hAnsi="Times New Roman"/>
          <w:sz w:val="18"/>
          <w:szCs w:val="18"/>
          <w:color w:val="auto"/>
        </w:rPr>
        <w:t xml:space="preserve">”), then delivery of Restricted Shares by Counterparty shall be effected in accordance with private placement procedures customary for private placements of equity securities of substantially similar size with respect to such Restricted Shares reasonably acceptable to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Counterparty may not elect a Private Placement Settlement if, on the date of its election, it has taken, or caused to be taken, any action that would make unavailable either the exemption pursuant to Section 4(a)(2) of the Securities Act for the sale by Counterparty to Dealer (or any affiliate designated by Dealer) of the Restricted Shares or the exemption pursuant to Section 4(a)(1) or Section 4(a)(3) of the Securities Act for resales of the Restricted Shares by Dealer (or any such affiliate of Dealer), and if Counterparty fails to deliver the Restricted Shares when due or otherwise fails to perform obligations within its control in respect of a Private Placement Settlement, it shall be an Event of Default with respect to Counterparty and Section 6 of the Agreement shall apply. The Private Placement Settlement of such Restricted Shares shall include customary representations, covenants, blue sky and other governmental filings and/or registrations, indemnities to Dealer, due diligence rights (for Dealer or any designated buyer of the Restricted Shares by Dealer), opinions and certificates, and such other documentation as is customary for private placement agreements of equity securities of a substantially similar size, all reasonably acceptable to Dealer. In the case of a Private Placement Settlement, Dealer shall, in its good faith discretion, adjust the amount of Restricted Shares to be delivered to Dealer hereunder in a commercially reasonable manner to reflect the fact that such Restricted Shares may not be freely returned to securities lenders by Dealer and may only be saleable by Dealer at a discount to reflect the lack of liquidity in Restricted Shares. Notwithstanding the Agreement or this Confirmation, the date of delivery of such Restricted Shares shall be the Clearance System Business Day following notice by Dealer to Counterparty of the number of Restricted Shares to be delivered pursuant to this clause (i). For the avoidance of doubt, delivery of Restricted Shares shall be due as set forth in the previous sentence and not be due on the date that would otherwise be applicable.</w:t>
      </w:r>
    </w:p>
    <w:p>
      <w:pPr>
        <w:spacing w:after="0" w:line="1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B-1-23</w:t>
      </w:r>
    </w:p>
    <w:p>
      <w:pPr>
        <w:sectPr>
          <w:pgSz w:w="11900" w:h="16838" w:orient="portrait"/>
          <w:cols w:equalWidth="0" w:num="1">
            <w:col w:w="10580"/>
          </w:cols>
          <w:pgMar w:left="880" w:top="270" w:right="439" w:bottom="1440" w:gutter="0" w:footer="0" w:header="0"/>
        </w:sectPr>
      </w:pPr>
    </w:p>
    <w:bookmarkStart w:id="95" w:name="page96"/>
    <w:bookmarkEnd w:id="95"/>
    <w:p>
      <w:pPr>
        <w:ind w:left="540" w:firstLine="408"/>
        <w:spacing w:after="0" w:line="254" w:lineRule="auto"/>
        <w:tabs>
          <w:tab w:leader="none" w:pos="120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Counterparty delivers any Restricted Shares in respect of this Transaction, Counterparty agrees that (A) such Shares may be transferred by and among Dealer and its affiliates and (B) after the minimum “holding period” within the meaning of Rule 144(d) under the Securities Act has elapsed, Counterparty shall promptly remove, or cause the transfer agent for the Shares to remove, any legends referring to any transfer restrictions from such Shares upon delivery by Dealer (or such affiliate of Dealer) to Counterparty or such transfer agent of any seller’s and broker’s representation letters customarily delivered by Dealer or its affiliates in connection with resales of restricted securities pursuant to Rule 144 under the Securities Act, each without any further requirement for the delivery of any certificate, consent, agreement, opinion of counsel, notice or any other document, any transfer tax stamps or payment of any other amount or any other action by Dealer (or such affiliate of Dealer).</w:t>
      </w:r>
    </w:p>
    <w:p>
      <w:pPr>
        <w:spacing w:after="0" w:line="83" w:lineRule="exact"/>
        <w:rPr>
          <w:rFonts w:ascii="Times New Roman" w:cs="Times New Roman" w:eastAsia="Times New Roman" w:hAnsi="Times New Roman"/>
          <w:sz w:val="18"/>
          <w:szCs w:val="18"/>
          <w:color w:val="auto"/>
        </w:rPr>
      </w:pPr>
    </w:p>
    <w:p>
      <w:pPr>
        <w:ind w:right="20" w:firstLine="419"/>
        <w:spacing w:after="0" w:line="254" w:lineRule="auto"/>
        <w:tabs>
          <w:tab w:leader="none" w:pos="63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Counterparty agrees to indemnify Dealer and its affiliates and their respective directors, officers, employees, agents and controlling persons (Dealer and each such affiliate or person being an “</w:t>
      </w:r>
      <w:r>
        <w:rPr>
          <w:rFonts w:ascii="Times New Roman" w:cs="Times New Roman" w:eastAsia="Times New Roman" w:hAnsi="Times New Roman"/>
          <w:sz w:val="18"/>
          <w:szCs w:val="18"/>
          <w:b w:val="1"/>
          <w:bCs w:val="1"/>
          <w:i w:val="1"/>
          <w:iCs w:val="1"/>
          <w:color w:val="auto"/>
        </w:rPr>
        <w:t>Indemnified Party</w:t>
      </w:r>
      <w:r>
        <w:rPr>
          <w:rFonts w:ascii="Times New Roman" w:cs="Times New Roman" w:eastAsia="Times New Roman" w:hAnsi="Times New Roman"/>
          <w:sz w:val="18"/>
          <w:szCs w:val="18"/>
          <w:color w:val="auto"/>
        </w:rPr>
        <w:t>”) from and against any and all losses, claims, damages and liabilities, joint and several, incurred by or asserted against such Indemnified Party arising out of, in connection with, or relating to, any breach of any covenant or representation made by Counterparty in this Confirmation or the Agreement and will reimburse any Indemnified Party for all reasonable expenses (including reasonable legal fees and expenses) as they are incurred in connection with the investigation of, preparation for, or defense of any pending or threatened claim or any action or proceeding arising therefrom, whether or not such Indemnified Party is a party thereto, except to the extent determined in a final and nonappealable judgment by a court of competent jurisdiction to have resulted from Dealer’s gross negligence, fraud, bad faith and/or willful misconduct or from a breach of any representation or covenant of Dealer contained in this Confirmation or the Agreement. The foregoing provisions shall survive any termination or completion of the Transaction.</w:t>
      </w:r>
    </w:p>
    <w:p>
      <w:pPr>
        <w:spacing w:after="0" w:line="80" w:lineRule="exact"/>
        <w:rPr>
          <w:rFonts w:ascii="Times New Roman" w:cs="Times New Roman" w:eastAsia="Times New Roman" w:hAnsi="Times New Roman"/>
          <w:sz w:val="18"/>
          <w:szCs w:val="18"/>
          <w:color w:val="auto"/>
        </w:rPr>
      </w:pPr>
    </w:p>
    <w:p>
      <w:pPr>
        <w:ind w:right="40" w:firstLine="419"/>
        <w:spacing w:after="0" w:line="258" w:lineRule="auto"/>
        <w:tabs>
          <w:tab w:leader="none" w:pos="63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Trial by Jury</w:t>
      </w:r>
      <w:r>
        <w:rPr>
          <w:rFonts w:ascii="Times New Roman" w:cs="Times New Roman" w:eastAsia="Times New Roman" w:hAnsi="Times New Roman"/>
          <w:sz w:val="18"/>
          <w:szCs w:val="18"/>
          <w:color w:val="auto"/>
        </w:rPr>
        <w:t>. COUNTERPARTY AND DEALER HEREBY IRREVOCABLY WAIVE (ON ITS OWN BEHALF AND, TO THE EXTENT PERMITTED BY APPLICABLE LAW, ON BEHALF OF ITS STOCKHOLDERS) ALL RIGHT TO TRIAL BY JURY IN ANY ACTION, PROCEEDING OR COUNTERCLAIM (WHETHER BASED ON CONTRACT, TORT OR OTHERWISE) ARISING OUT OF OR RELATING TO THE TRANSACTION OR THE ACTIONS OF DEALER OR ITS AFFILIATES IN THE NEGOTIATION, PERFORMANCE OR ENFORCEMENT HEREOF.</w:t>
      </w:r>
    </w:p>
    <w:p>
      <w:pPr>
        <w:spacing w:after="0" w:line="75"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Law/Jurisdiction</w:t>
      </w:r>
      <w:r>
        <w:rPr>
          <w:rFonts w:ascii="Times New Roman" w:cs="Times New Roman" w:eastAsia="Times New Roman" w:hAnsi="Times New Roman"/>
          <w:sz w:val="18"/>
          <w:szCs w:val="18"/>
          <w:color w:val="auto"/>
        </w:rPr>
        <w:t>. This Confirmation and any claim, controversy or dispute arising under or related to this Confirmation shall be governed by the laws of the State of New York without reference to the conflict of laws provisions thereof.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B-1-24</w:t>
      </w:r>
    </w:p>
    <w:p>
      <w:pPr>
        <w:sectPr>
          <w:pgSz w:w="11900" w:h="16838" w:orient="portrait"/>
          <w:cols w:equalWidth="0" w:num="1">
            <w:col w:w="10540"/>
          </w:cols>
          <w:pgMar w:left="880" w:top="270" w:right="479" w:bottom="1440" w:gutter="0" w:footer="0" w:header="0"/>
        </w:sectPr>
      </w:pPr>
    </w:p>
    <w:bookmarkStart w:id="96" w:name="page97"/>
    <w:bookmarkEnd w:id="96"/>
    <w:p>
      <w:pPr>
        <w:ind w:left="640" w:hanging="221"/>
        <w:spacing w:after="0"/>
        <w:tabs>
          <w:tab w:leader="none" w:pos="6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Designation by Dealer</w:t>
      </w:r>
      <w:r>
        <w:rPr>
          <w:rFonts w:ascii="Times New Roman" w:cs="Times New Roman" w:eastAsia="Times New Roman" w:hAnsi="Times New Roman"/>
          <w:sz w:val="18"/>
          <w:szCs w:val="18"/>
          <w:color w:val="auto"/>
        </w:rPr>
        <w:t>. Notwithstanding any other provision in this Confirmation to the contrary requiring or allowing Dealer to</w:t>
      </w:r>
    </w:p>
    <w:p>
      <w:pPr>
        <w:spacing w:after="0" w:line="27" w:lineRule="exact"/>
        <w:rPr>
          <w:rFonts w:ascii="Times New Roman" w:cs="Times New Roman" w:eastAsia="Times New Roman" w:hAnsi="Times New Roman"/>
          <w:sz w:val="18"/>
          <w:szCs w:val="18"/>
          <w:color w:val="auto"/>
        </w:rPr>
      </w:pPr>
    </w:p>
    <w:p>
      <w:pPr>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sell, receive or deliver any Shares or other securities to or from Counterparty, Dealer may designate any of its affiliates to purchase, sell, receive or deliver such Shares or other securities and otherwise to perform Dealer’s obligations in respect of the Transaction and any such designee may assume such obligations. Dealer shall be discharged of its obligations to Counterparty only to the extent of any such performance.</w:t>
      </w:r>
    </w:p>
    <w:p>
      <w:pPr>
        <w:spacing w:after="0" w:line="77" w:lineRule="exact"/>
        <w:rPr>
          <w:rFonts w:ascii="Times New Roman" w:cs="Times New Roman" w:eastAsia="Times New Roman" w:hAnsi="Times New Roman"/>
          <w:sz w:val="18"/>
          <w:szCs w:val="18"/>
          <w:color w:val="auto"/>
        </w:rPr>
      </w:pPr>
    </w:p>
    <w:p>
      <w:pPr>
        <w:ind w:right="60" w:firstLine="419"/>
        <w:spacing w:after="0" w:line="258" w:lineRule="auto"/>
        <w:tabs>
          <w:tab w:leader="none" w:pos="72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 Filing</w:t>
      </w:r>
      <w:r>
        <w:rPr>
          <w:rFonts w:ascii="Times New Roman" w:cs="Times New Roman" w:eastAsia="Times New Roman" w:hAnsi="Times New Roman"/>
          <w:sz w:val="18"/>
          <w:szCs w:val="18"/>
          <w:color w:val="auto"/>
        </w:rPr>
        <w:t>. Notwithstanding anything to the contrary herein, in the Agreement or in the Equity Definitions, upon any Insolvency Filing or other proceeding under the Bankruptcy Code in respect of the Issuer, this Transaction shall automatically terminate on the date thereof without further liability of either party to this Confirmation to the other party (except for any liability in respect of any breach of representation or covenant by a party under this Confirmation prior to the date of such Insolvency Filing or other proceeding), it being understood that this Transaction is a contract for the issuance of Shares by the Issuer.</w:t>
      </w:r>
    </w:p>
    <w:p>
      <w:pPr>
        <w:spacing w:after="0" w:line="75" w:lineRule="exact"/>
        <w:rPr>
          <w:rFonts w:ascii="Times New Roman" w:cs="Times New Roman" w:eastAsia="Times New Roman" w:hAnsi="Times New Roman"/>
          <w:sz w:val="18"/>
          <w:szCs w:val="18"/>
          <w:color w:val="auto"/>
        </w:rPr>
      </w:pPr>
    </w:p>
    <w:p>
      <w:pPr>
        <w:ind w:right="80" w:firstLine="419"/>
        <w:spacing w:after="0" w:line="261" w:lineRule="auto"/>
        <w:tabs>
          <w:tab w:leader="none" w:pos="67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Effective from the date of commencement of discussions concerning the Transaction, each of Dealer and Counterparty and each of their employees, representatives, or other agents may disclose to any and all persons, without limitation of any kind, the tax treatment and tax structure of the Transaction and all materials of any kind (including opinions or other tax analyses) relating to such tax treatment and tax structure.</w:t>
      </w:r>
    </w:p>
    <w:p>
      <w:pPr>
        <w:spacing w:after="0" w:line="71" w:lineRule="exact"/>
        <w:rPr>
          <w:rFonts w:ascii="Times New Roman" w:cs="Times New Roman" w:eastAsia="Times New Roman" w:hAnsi="Times New Roman"/>
          <w:sz w:val="18"/>
          <w:szCs w:val="18"/>
          <w:color w:val="auto"/>
        </w:rPr>
      </w:pPr>
    </w:p>
    <w:p>
      <w:pPr>
        <w:ind w:right="100" w:firstLine="419"/>
        <w:spacing w:after="0" w:line="261" w:lineRule="auto"/>
        <w:tabs>
          <w:tab w:leader="none" w:pos="67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Extend</w:t>
      </w:r>
      <w:r>
        <w:rPr>
          <w:rFonts w:ascii="Times New Roman" w:cs="Times New Roman" w:eastAsia="Times New Roman" w:hAnsi="Times New Roman"/>
          <w:sz w:val="18"/>
          <w:szCs w:val="18"/>
          <w:color w:val="auto"/>
        </w:rPr>
        <w:t>. Dealer may postpone any Settlement Date or any other date of valuation or delivery, with respect to some or all of the relevant Settlement Shares, if Dealer determines, based on advice of counsel, that such extension is reasonably necessary or appropriate to enable Dealer to effect purchases of Shares in connection with its hedging activity hereunder in a manner that would, if Dealer were Counterparty or an affiliated purchaser of Counterparty, be in compliance with applicable legal and regulatory requirements.</w:t>
      </w:r>
    </w:p>
    <w:p>
      <w:pPr>
        <w:spacing w:after="0" w:line="71"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Counterparty Share Repurchases</w:t>
      </w:r>
      <w:r>
        <w:rPr>
          <w:rFonts w:ascii="Times New Roman" w:cs="Times New Roman" w:eastAsia="Times New Roman" w:hAnsi="Times New Roman"/>
          <w:sz w:val="18"/>
          <w:szCs w:val="18"/>
          <w:color w:val="auto"/>
        </w:rPr>
        <w:t>. Counterparty agrees not to repurchase, directly or indirectly, any Shares if, immediately following such purchase, the Outstanding Share Percentage would be equal to or greater than [4.5]%. The “</w:t>
      </w:r>
      <w:r>
        <w:rPr>
          <w:rFonts w:ascii="Times New Roman" w:cs="Times New Roman" w:eastAsia="Times New Roman" w:hAnsi="Times New Roman"/>
          <w:sz w:val="18"/>
          <w:szCs w:val="18"/>
          <w:b w:val="1"/>
          <w:bCs w:val="1"/>
          <w:i w:val="1"/>
          <w:iCs w:val="1"/>
          <w:color w:val="auto"/>
        </w:rPr>
        <w:t>Outstanding Share Percentage</w:t>
      </w:r>
      <w:r>
        <w:rPr>
          <w:rFonts w:ascii="Times New Roman" w:cs="Times New Roman" w:eastAsia="Times New Roman" w:hAnsi="Times New Roman"/>
          <w:sz w:val="18"/>
          <w:szCs w:val="18"/>
          <w:color w:val="auto"/>
        </w:rPr>
        <w:t>” as of any day is the fraction (1) the numerator of which is the aggregate of the Number of Shares for this Transaction and the “Number of Shares” (as defined in the applicable Additional Confirmation) under any outstanding Additional Transactions and (2) the denominator of which is the number of Shares outstanding on such day.</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B-1-25</w:t>
      </w:r>
    </w:p>
    <w:p>
      <w:pPr>
        <w:sectPr>
          <w:pgSz w:w="11900" w:h="16838" w:orient="portrait"/>
          <w:cols w:equalWidth="0" w:num="1">
            <w:col w:w="10560"/>
          </w:cols>
          <w:pgMar w:left="880" w:top="270" w:right="459" w:bottom="1440" w:gutter="0" w:footer="0" w:header="0"/>
        </w:sectPr>
      </w:pPr>
    </w:p>
    <w:bookmarkStart w:id="97" w:name="page98"/>
    <w:bookmarkEnd w:id="97"/>
    <w:p>
      <w:pPr>
        <w:ind w:left="4" w:right="20" w:firstLine="419"/>
        <w:spacing w:after="0" w:line="267" w:lineRule="auto"/>
        <w:tabs>
          <w:tab w:leader="none" w:pos="681"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 on Beneficial Ownership</w:t>
      </w:r>
      <w:r>
        <w:rPr>
          <w:rFonts w:ascii="Times New Roman" w:cs="Times New Roman" w:eastAsia="Times New Roman" w:hAnsi="Times New Roman"/>
          <w:sz w:val="17"/>
          <w:szCs w:val="17"/>
          <w:color w:val="auto"/>
        </w:rPr>
        <w:t>. Notwithstanding any other provisions hereof, Dealer shall not have the right to acquire Shares hereunder and Dealer shall not be entitled to take delivery of any Shares hereunder (in each case, whether in connection with the purchase of Shares on any Settlement Date or any Termination Settlement Date, any Private Placement Settlement or otherwise) to the extent (but only to the extent) that, after such receipt of any Shares hereunder, (i) the Share Amount would exceed the Post-Effective Limit, (ii) Dealer and each person subject to aggregation of Shares with Dealer under Section 13 or Section 16 of the Exchange Act and the rules promulgated thereunder (including all persons who may form a “group” within the meaning of Rule 13d-5(b)(1) under the Exchange Act) (collectively, the “</w:t>
      </w:r>
      <w:r>
        <w:rPr>
          <w:rFonts w:ascii="Times New Roman" w:cs="Times New Roman" w:eastAsia="Times New Roman" w:hAnsi="Times New Roman"/>
          <w:sz w:val="17"/>
          <w:szCs w:val="17"/>
          <w:b w:val="1"/>
          <w:bCs w:val="1"/>
          <w:i w:val="1"/>
          <w:iCs w:val="1"/>
          <w:color w:val="auto"/>
        </w:rPr>
        <w:t>Dealer Group</w:t>
      </w:r>
      <w:r>
        <w:rPr>
          <w:rFonts w:ascii="Times New Roman" w:cs="Times New Roman" w:eastAsia="Times New Roman" w:hAnsi="Times New Roman"/>
          <w:sz w:val="17"/>
          <w:szCs w:val="17"/>
          <w:color w:val="auto"/>
        </w:rPr>
        <w:t>”) would directly or indirectly beneficially own (as such term is defined for purposes of Section 13 or Section 16 of the Exchange Act and the rules promulgated thereunder) in excess of 4.9% of the then outstanding Shares (the “</w:t>
      </w:r>
      <w:r>
        <w:rPr>
          <w:rFonts w:ascii="Times New Roman" w:cs="Times New Roman" w:eastAsia="Times New Roman" w:hAnsi="Times New Roman"/>
          <w:sz w:val="17"/>
          <w:szCs w:val="17"/>
          <w:b w:val="1"/>
          <w:bCs w:val="1"/>
          <w:i w:val="1"/>
          <w:iCs w:val="1"/>
          <w:color w:val="auto"/>
        </w:rPr>
        <w:t>Threshold Number of Shares</w:t>
      </w:r>
      <w:r>
        <w:rPr>
          <w:rFonts w:ascii="Times New Roman" w:cs="Times New Roman" w:eastAsia="Times New Roman" w:hAnsi="Times New Roman"/>
          <w:sz w:val="17"/>
          <w:szCs w:val="17"/>
          <w:color w:val="auto"/>
        </w:rPr>
        <w:t>”), (iii) Dealer would hold 5% or more of the number of Shares of Counterparty’s outstanding common stock or 5% or more of Counterparty’s outstanding voting power (the “</w:t>
      </w:r>
      <w:r>
        <w:rPr>
          <w:rFonts w:ascii="Times New Roman" w:cs="Times New Roman" w:eastAsia="Times New Roman" w:hAnsi="Times New Roman"/>
          <w:sz w:val="17"/>
          <w:szCs w:val="17"/>
          <w:b w:val="1"/>
          <w:bCs w:val="1"/>
          <w:i w:val="1"/>
          <w:iCs w:val="1"/>
          <w:color w:val="auto"/>
        </w:rPr>
        <w:t>Exchange Limit</w:t>
      </w:r>
      <w:r>
        <w:rPr>
          <w:rFonts w:ascii="Times New Roman" w:cs="Times New Roman" w:eastAsia="Times New Roman" w:hAnsi="Times New Roman"/>
          <w:sz w:val="17"/>
          <w:szCs w:val="17"/>
          <w:color w:val="auto"/>
        </w:rPr>
        <w:t>”) or (iv) such acquisition would result in a violation of any restriction on ownership or transfer set forth in Article VII of the Charter (the “</w:t>
      </w:r>
      <w:r>
        <w:rPr>
          <w:rFonts w:ascii="Times New Roman" w:cs="Times New Roman" w:eastAsia="Times New Roman" w:hAnsi="Times New Roman"/>
          <w:sz w:val="17"/>
          <w:szCs w:val="17"/>
          <w:b w:val="1"/>
          <w:bCs w:val="1"/>
          <w:i w:val="1"/>
          <w:iCs w:val="1"/>
          <w:color w:val="auto"/>
        </w:rPr>
        <w:t>Counterparty Stock Ownership Restrictions</w:t>
      </w:r>
      <w:r>
        <w:rPr>
          <w:rFonts w:ascii="Times New Roman" w:cs="Times New Roman" w:eastAsia="Times New Roman" w:hAnsi="Times New Roman"/>
          <w:sz w:val="17"/>
          <w:szCs w:val="17"/>
          <w:color w:val="auto"/>
        </w:rPr>
        <w:t>”). Any purported delivery hereunder shall be void and have no effect to the extent (but only to the extent) that, after such delivery, (i) the Share Amount would exceed the Post-Effective Limit, (ii) the Dealer Group would directly or indirectly so beneficially own in excess of the Threshold Number of Shares, (iii) Dealer would directly or indirectly hold in excess of the Exchange Limit or (iv) such delivery would result in a violation of the Counterparty Stock Ownership Restrictions. If any delivery owed to Dealer hereunder is not made, in whole or in part, as a result of this provision, Counterparty’s obligation to make such delivery shall not be extinguished and Counterparty shall make such delivery as promptly as practicable after, but in no event later than one Scheduled Trading Day after, Dealer gives notice to Counterparty that, after such delivery, (i) the Share Amount would not exceed the Post-Effective Limit, (ii) the Dealer Group would not directly or indirectly so beneficially own in excess of the Threshold Number of Shares, (iii) Dealer would not directly or indirectly hold in excess of the Exchange Limit and (iv) such delivery would not result in a violation of the Counterparty Stock Ownership Restrictions.</w:t>
      </w:r>
    </w:p>
    <w:p>
      <w:pPr>
        <w:spacing w:after="0" w:line="297" w:lineRule="exact"/>
        <w:rPr>
          <w:sz w:val="20"/>
          <w:szCs w:val="20"/>
          <w:color w:val="auto"/>
        </w:rPr>
      </w:pPr>
    </w:p>
    <w:p>
      <w:pPr>
        <w:ind w:left="4" w:right="140" w:firstLine="423"/>
        <w:spacing w:after="0" w:line="261" w:lineRule="auto"/>
        <w:rPr>
          <w:sz w:val="20"/>
          <w:szCs w:val="20"/>
          <w:color w:val="auto"/>
        </w:rPr>
      </w:pPr>
      <w:r>
        <w:rPr>
          <w:rFonts w:ascii="Times New Roman" w:cs="Times New Roman" w:eastAsia="Times New Roman" w:hAnsi="Times New Roman"/>
          <w:sz w:val="18"/>
          <w:szCs w:val="18"/>
          <w:color w:val="auto"/>
        </w:rPr>
        <w:t>In addition, notwithstanding anything herein to the contrary, if any delivery owed to Dealer hereunder is not made, in whole or in part, as a result of the immediately preceding paragraph, Dealer shall be permitted to make any payment due in respect of such Shares to Counterparty in two or more tranches that correspond in amount to the number of Shares delivered by Counterparty to Dealer pursuant to the immediately preceding paragraph.</w:t>
      </w:r>
    </w:p>
    <w:p>
      <w:pPr>
        <w:spacing w:after="0" w:line="72"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Dealer represents and warrants that, as of the Trade Date, if Dealer received the maximum number of Shares hereunder assuming both</w:t>
      </w:r>
    </w:p>
    <w:p>
      <w:pPr>
        <w:spacing w:after="0" w:line="27" w:lineRule="exact"/>
        <w:rPr>
          <w:sz w:val="20"/>
          <w:szCs w:val="20"/>
          <w:color w:val="auto"/>
        </w:rPr>
      </w:pPr>
    </w:p>
    <w:p>
      <w:pPr>
        <w:ind w:left="4" w:hanging="4"/>
        <w:spacing w:after="0" w:line="260" w:lineRule="auto"/>
        <w:tabs>
          <w:tab w:leader="none" w:pos="21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Settlement applies and (ii) no restrictions on the delivery of Shares hereunder were applicable, then the Counterparty Stock Ownership Restrictions would not apply so as to limit the number of Shares that Dealer could receive hereunder.</w:t>
      </w:r>
    </w:p>
    <w:p>
      <w:pPr>
        <w:spacing w:after="0" w:line="11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B-1-26</w:t>
      </w:r>
    </w:p>
    <w:p>
      <w:pPr>
        <w:sectPr>
          <w:pgSz w:w="11900" w:h="16838" w:orient="portrait"/>
          <w:cols w:equalWidth="0" w:num="1">
            <w:col w:w="10564"/>
          </w:cols>
          <w:pgMar w:left="876" w:top="270" w:right="459" w:bottom="1440" w:gutter="0" w:footer="0" w:header="0"/>
        </w:sectPr>
      </w:pPr>
    </w:p>
    <w:bookmarkStart w:id="98" w:name="page99"/>
    <w:bookmarkEnd w:id="98"/>
    <w:p>
      <w:pPr>
        <w:ind w:right="140" w:firstLine="419"/>
        <w:spacing w:after="0" w:line="266" w:lineRule="auto"/>
        <w:tabs>
          <w:tab w:leader="none" w:pos="64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Commodity Exchange Act</w:t>
      </w:r>
      <w:r>
        <w:rPr>
          <w:rFonts w:ascii="Times New Roman" w:cs="Times New Roman" w:eastAsia="Times New Roman" w:hAnsi="Times New Roman"/>
          <w:sz w:val="18"/>
          <w:szCs w:val="18"/>
          <w:color w:val="auto"/>
        </w:rPr>
        <w:t>. Each of Dealer and Counterparty agrees and represents that it is an “eligible contract participant” as defined in Section 1a(18) of the U.S. Commodity Exchange Act, as amended (the “</w:t>
      </w:r>
      <w:r>
        <w:rPr>
          <w:rFonts w:ascii="Times New Roman" w:cs="Times New Roman" w:eastAsia="Times New Roman" w:hAnsi="Times New Roman"/>
          <w:sz w:val="18"/>
          <w:szCs w:val="18"/>
          <w:b w:val="1"/>
          <w:bCs w:val="1"/>
          <w:i w:val="1"/>
          <w:iCs w:val="1"/>
          <w:color w:val="auto"/>
        </w:rPr>
        <w:t>CEA</w:t>
      </w:r>
      <w:r>
        <w:rPr>
          <w:rFonts w:ascii="Times New Roman" w:cs="Times New Roman" w:eastAsia="Times New Roman" w:hAnsi="Times New Roman"/>
          <w:sz w:val="18"/>
          <w:szCs w:val="18"/>
          <w:color w:val="auto"/>
        </w:rPr>
        <w:t>”), the Agreement and this Transaction are subject to individual negotiation by the parties and have not been executed or traded on a “trading facility” as defined in Section 1a(51) of the CEA.</w:t>
      </w:r>
    </w:p>
    <w:p>
      <w:pPr>
        <w:spacing w:after="0" w:line="67" w:lineRule="exact"/>
        <w:rPr>
          <w:rFonts w:ascii="Times New Roman" w:cs="Times New Roman" w:eastAsia="Times New Roman" w:hAnsi="Times New Roman"/>
          <w:sz w:val="18"/>
          <w:szCs w:val="18"/>
          <w:color w:val="auto"/>
        </w:rPr>
      </w:pPr>
    </w:p>
    <w:p>
      <w:pPr>
        <w:ind w:firstLine="419"/>
        <w:spacing w:after="0" w:line="258" w:lineRule="auto"/>
        <w:tabs>
          <w:tab w:leader="none" w:pos="65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Bankruptcy Status</w:t>
      </w:r>
      <w:r>
        <w:rPr>
          <w:rFonts w:ascii="Times New Roman" w:cs="Times New Roman" w:eastAsia="Times New Roman" w:hAnsi="Times New Roman"/>
          <w:sz w:val="18"/>
          <w:szCs w:val="18"/>
          <w:color w:val="auto"/>
        </w:rPr>
        <w:t xml:space="preserve">. Subject to Paragraph 7(m) above, Dealer acknowledges and agrees that this Confirmation is not intended to convey to Dealer rights with respect to the transactions contemplated hereby that are senior to the claims of Counterparty’s common stockholders in any U.S. bankruptcy proceedings of Counterparty;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herein shall be deemed to limit Dealer’s right to pursue remedies in the event of a breach by Counterparty of its obligations and agreements with respect to this Confirmation and the Agreement;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nothing herein shall limit or shall be deemed to limit Dealer’s rights in respect of any transaction other than this Transaction.</w:t>
      </w:r>
    </w:p>
    <w:p>
      <w:pPr>
        <w:spacing w:after="0" w:line="75" w:lineRule="exact"/>
        <w:rPr>
          <w:rFonts w:ascii="Times New Roman" w:cs="Times New Roman" w:eastAsia="Times New Roman" w:hAnsi="Times New Roman"/>
          <w:sz w:val="18"/>
          <w:szCs w:val="18"/>
          <w:color w:val="auto"/>
        </w:rPr>
      </w:pPr>
    </w:p>
    <w:p>
      <w:pPr>
        <w:ind w:firstLine="419"/>
        <w:spacing w:after="0" w:line="255" w:lineRule="auto"/>
        <w:tabs>
          <w:tab w:leader="none" w:pos="63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Collateral or Setoff</w:t>
      </w:r>
      <w:r>
        <w:rPr>
          <w:rFonts w:ascii="Times New Roman" w:cs="Times New Roman" w:eastAsia="Times New Roman" w:hAnsi="Times New Roman"/>
          <w:sz w:val="18"/>
          <w:szCs w:val="18"/>
          <w:color w:val="auto"/>
        </w:rPr>
        <w:t>. Notwithstanding Section 6(f) or any other provision of the Agreement or any other agreement between the parties to the contrary, the obligations of Counterparty hereunder are not secured by any collateral. Obligations in respect of this Transaction shall not be set off against any other obligations of the parties, whether arising under the Agreement, this Confirmation, under any other agreement between the parties hereto, by operation of law or otherwise, and no other obligations of the parties shall be set off against obligations in respect of this Transaction, whether arising under the Agreement, this Confirmation, under any other agreement between the parties hereto, by operation of law or otherwise, and each party hereby waives any such right of setoff, except that set-off solely with respect to amounts payable under this Transaction and any and all Additional Transactions governed by the Agreement shall be permissible.</w:t>
      </w:r>
    </w:p>
    <w:p>
      <w:pPr>
        <w:spacing w:after="0" w:line="80"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80" w:firstLine="408"/>
        <w:spacing w:after="0" w:line="253" w:lineRule="auto"/>
        <w:tabs>
          <w:tab w:leader="none" w:pos="115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Payer Tax Representations</w:t>
      </w:r>
      <w:r>
        <w:rPr>
          <w:rFonts w:ascii="Times New Roman" w:cs="Times New Roman" w:eastAsia="Times New Roman" w:hAnsi="Times New Roman"/>
          <w:sz w:val="18"/>
          <w:szCs w:val="18"/>
          <w:color w:val="auto"/>
        </w:rPr>
        <w:t>. For the purpose of Section 3(e) of the Agreement, each of Dealer and Counterparty makes the following representation: It is not required by any applicable law, as modified by the practice of any relevant governmental revenue authority, of any Relevant Jurisdiction to make any deduction or withholding for or on account of any Tax from any payment (other than interest under Section 9(h) of the Agreement or amounts payable hereunder that may be considered to be interest for U.S. federal income tax purposes) to be made by it to the other party under the Agreement. In making this representation, it may rely on (A) the accuracy of any representations made by the other party pursuant to Section 3(f) of the Agreement, (B) the satisfaction of the agreement contained in Section 4(a)(i) or Section 4(a)(iii) of the Agreement and the accuracy and effectiveness of any document provided by the other party pursuant to Section 4(a)(i) or Section 4(a)(iii) of the Agreement and (C) the satisfaction of the agreement of the other party contained in Section 4(d) of the Agreement, except that it will not be a breach of this representation where reliance is placed on clause (B) above and the other party does not deliver a form or document under Section 4(a)(iii) of the Agreement by reason of material prejudice to its legal or commercial position.</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B-1-27</w:t>
      </w:r>
    </w:p>
    <w:p>
      <w:pPr>
        <w:sectPr>
          <w:pgSz w:w="11900" w:h="16838" w:orient="portrait"/>
          <w:cols w:equalWidth="0" w:num="1">
            <w:col w:w="10560"/>
          </w:cols>
          <w:pgMar w:left="880" w:top="270" w:right="459" w:bottom="1440" w:gutter="0" w:footer="0" w:header="0"/>
        </w:sectPr>
      </w:pPr>
    </w:p>
    <w:bookmarkStart w:id="99" w:name="page100"/>
    <w:bookmarkEnd w:id="99"/>
    <w:p>
      <w:pPr>
        <w:ind w:left="680" w:hanging="272"/>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Payee Tax Representations</w:t>
      </w:r>
      <w:r>
        <w:rPr>
          <w:rFonts w:ascii="Times New Roman" w:cs="Times New Roman" w:eastAsia="Times New Roman" w:hAnsi="Times New Roman"/>
          <w:sz w:val="18"/>
          <w:szCs w:val="18"/>
          <w:color w:val="auto"/>
        </w:rPr>
        <w:t>. For the purpose of Section 3(f) of the Agreement:</w:t>
      </w:r>
    </w:p>
    <w:p>
      <w:pPr>
        <w:spacing w:after="0" w:line="117"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Dealer makes the following representations:</w:t>
      </w:r>
    </w:p>
    <w:p>
      <w:pPr>
        <w:spacing w:after="0" w:line="131" w:lineRule="exact"/>
        <w:rPr>
          <w:sz w:val="20"/>
          <w:szCs w:val="20"/>
          <w:color w:val="auto"/>
        </w:rPr>
      </w:pPr>
    </w:p>
    <w:p>
      <w:pPr>
        <w:ind w:left="980" w:right="40" w:hanging="533"/>
        <w:spacing w:after="0" w:line="255" w:lineRule="auto"/>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It is a national banking association organized and existing under the laws of the United States of America. (ii) It is an exempt recipient under section 1.6049-4(c)(1)(ii)(M) of the United States Treasury Regulations. (iii) It is a “U.S. person” (as that term is used in section 1.1441-4(a)(3)(ii) of the United States Treasury Regulations) for U.S. federal income tax purposes.] [It is a limited liability company organized and existing under the laws of the State of Delaware and is treated as a disregarded entity of a New York corporation for U.S. federal income tax purposes.] [It is a national banking association organized or formed under the laws of the United States and is a United States resident for United States federal income tax purposes.] [•]</w:t>
      </w:r>
    </w:p>
    <w:p>
      <w:pPr>
        <w:spacing w:after="0" w:line="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 Counterparty makes the following representations:</w:t>
      </w:r>
    </w:p>
    <w:p>
      <w:pPr>
        <w:spacing w:after="0" w:line="131" w:lineRule="exact"/>
        <w:rPr>
          <w:sz w:val="20"/>
          <w:szCs w:val="20"/>
          <w:color w:val="auto"/>
        </w:rPr>
      </w:pPr>
    </w:p>
    <w:p>
      <w:pPr>
        <w:ind w:left="980" w:right="40" w:hanging="533"/>
        <w:spacing w:after="0" w:line="282" w:lineRule="auto"/>
        <w:tabs>
          <w:tab w:leader="none" w:pos="9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“U.S. person” (as that term is used in section 1.1441-4(a)(3)(ii) of United States Treasury Regulations) for U.S. federal income tax purposes.</w:t>
      </w:r>
    </w:p>
    <w:p>
      <w:pPr>
        <w:spacing w:after="0" w:line="67" w:lineRule="exact"/>
        <w:rPr>
          <w:rFonts w:ascii="Times New Roman" w:cs="Times New Roman" w:eastAsia="Times New Roman" w:hAnsi="Times New Roman"/>
          <w:sz w:val="18"/>
          <w:szCs w:val="18"/>
          <w:color w:val="auto"/>
        </w:rPr>
      </w:pPr>
    </w:p>
    <w:p>
      <w:pPr>
        <w:ind w:left="980" w:right="600" w:hanging="533"/>
        <w:spacing w:after="0" w:line="282" w:lineRule="auto"/>
        <w:tabs>
          <w:tab w:leader="none" w:pos="9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real estate investment trust for U.S. federal income tax purposes and is organized under the laws of the State of Maryland, and is an exempt recipient under section 1.6049-4(c)(1)(ii)(J) of the United States Treasury Regulations.</w:t>
      </w:r>
    </w:p>
    <w:p>
      <w:pPr>
        <w:spacing w:after="0" w:line="53" w:lineRule="exact"/>
        <w:rPr>
          <w:rFonts w:ascii="Times New Roman" w:cs="Times New Roman" w:eastAsia="Times New Roman" w:hAnsi="Times New Roman"/>
          <w:sz w:val="18"/>
          <w:szCs w:val="18"/>
          <w:color w:val="auto"/>
        </w:rPr>
      </w:pPr>
    </w:p>
    <w:p>
      <w:pPr>
        <w:ind w:right="120" w:firstLine="408"/>
        <w:spacing w:after="0" w:line="261" w:lineRule="auto"/>
        <w:tabs>
          <w:tab w:leader="none" w:pos="71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 imposed on payments to non-U.S. counterparties under the United States Foreign Account Tax Compliance Act</w:t>
      </w:r>
      <w:r>
        <w:rPr>
          <w:rFonts w:ascii="Times New Roman" w:cs="Times New Roman" w:eastAsia="Times New Roman" w:hAnsi="Times New Roman"/>
          <w:sz w:val="18"/>
          <w:szCs w:val="18"/>
          <w:color w:val="auto"/>
        </w:rPr>
        <w:t>. “Tax” and “Indemnifiable Tax”, each as defined in Section 14 of the Agreement, shall not include any FATCA Withholding Tax. For the avoidance of doubt, a FATCA Withholding Tax is a Tax the deduction or withholding of which is required by applicable law for the purposes of Section 2(d) of the Agreement.</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117" w:lineRule="exact"/>
        <w:rPr>
          <w:sz w:val="20"/>
          <w:szCs w:val="20"/>
          <w:color w:val="auto"/>
        </w:rPr>
      </w:pPr>
    </w:p>
    <w:p>
      <w:pPr>
        <w:ind w:firstLine="40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FATCA Withholding Tax</w:t>
      </w:r>
      <w:r>
        <w:rPr>
          <w:rFonts w:ascii="Times New Roman" w:cs="Times New Roman" w:eastAsia="Times New Roman" w:hAnsi="Times New Roman"/>
          <w:sz w:val="18"/>
          <w:szCs w:val="18"/>
          <w:color w:val="auto"/>
        </w:rPr>
        <w:t>” means any U.S. 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w:t>
      </w:r>
    </w:p>
    <w:p>
      <w:pPr>
        <w:spacing w:after="0" w:line="11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B-1-28</w:t>
      </w:r>
    </w:p>
    <w:p>
      <w:pPr>
        <w:sectPr>
          <w:pgSz w:w="11900" w:h="16838" w:orient="portrait"/>
          <w:cols w:equalWidth="0" w:num="1">
            <w:col w:w="10020"/>
          </w:cols>
          <w:pgMar w:left="1420" w:top="270" w:right="459" w:bottom="1440" w:gutter="0" w:footer="0" w:header="0"/>
        </w:sectPr>
      </w:pPr>
    </w:p>
    <w:bookmarkStart w:id="100" w:name="page101"/>
    <w:bookmarkEnd w:id="100"/>
    <w:p>
      <w:pPr>
        <w:ind w:right="60" w:firstLine="408"/>
        <w:spacing w:after="0" w:line="253" w:lineRule="auto"/>
        <w:tabs>
          <w:tab w:leader="none" w:pos="70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HIRE Act</w:t>
      </w:r>
      <w:r>
        <w:rPr>
          <w:rFonts w:ascii="Times New Roman" w:cs="Times New Roman" w:eastAsia="Times New Roman" w:hAnsi="Times New Roman"/>
          <w:sz w:val="18"/>
          <w:szCs w:val="18"/>
          <w:color w:val="auto"/>
        </w:rPr>
        <w:t xml:space="preserve">. To the extent that either party to the Agreement with respect to this Transaction is not an adhering party to the ISDA 2015 Section 871(m) Protocol published by the ISDA on November 2, 2015 and available at </w:t>
      </w:r>
      <w:r>
        <w:rPr>
          <w:rFonts w:ascii="Times New Roman" w:cs="Times New Roman" w:eastAsia="Times New Roman" w:hAnsi="Times New Roman"/>
          <w:sz w:val="18"/>
          <w:szCs w:val="18"/>
          <w:u w:val="single" w:color="auto"/>
          <w:color w:val="auto"/>
        </w:rPr>
        <w:t>www.isda.org</w:t>
      </w:r>
      <w:r>
        <w:rPr>
          <w:rFonts w:ascii="Times New Roman" w:cs="Times New Roman" w:eastAsia="Times New Roman" w:hAnsi="Times New Roman"/>
          <w:sz w:val="18"/>
          <w:szCs w:val="18"/>
          <w:color w:val="auto"/>
        </w:rPr>
        <w:t>, as may be amended, supplemented, replaced or superseded from time to time (the “</w:t>
      </w:r>
      <w:r>
        <w:rPr>
          <w:rFonts w:ascii="Times New Roman" w:cs="Times New Roman" w:eastAsia="Times New Roman" w:hAnsi="Times New Roman"/>
          <w:sz w:val="18"/>
          <w:szCs w:val="18"/>
          <w:b w:val="1"/>
          <w:bCs w:val="1"/>
          <w:i w:val="1"/>
          <w:iCs w:val="1"/>
          <w:color w:val="auto"/>
        </w:rPr>
        <w:t>871(m) Protocol</w:t>
      </w:r>
      <w:r>
        <w:rPr>
          <w:rFonts w:ascii="Times New Roman" w:cs="Times New Roman" w:eastAsia="Times New Roman" w:hAnsi="Times New Roman"/>
          <w:sz w:val="18"/>
          <w:szCs w:val="18"/>
          <w:color w:val="auto"/>
        </w:rPr>
        <w:t>”),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Master Agreement” in the 871(m) Protocol will be deemed to be references to the Agreement with respect to this Transaction, and references to the “Implementation Date” in the 871(m) Protocol will be deemed to be references to the Trade Date of this Transaction. For greater certainty, if there is any inconsistency between this provision and the provisions contained in any other agreement between the parties with respect to this Transaction, this provision shall prevail unless such other agreement expressly overrides the provisions of the Attachment to the 871(m) Protocol.</w:t>
      </w:r>
    </w:p>
    <w:p>
      <w:pPr>
        <w:spacing w:after="0" w:line="86" w:lineRule="exact"/>
        <w:rPr>
          <w:rFonts w:ascii="Times New Roman" w:cs="Times New Roman" w:eastAsia="Times New Roman" w:hAnsi="Times New Roman"/>
          <w:sz w:val="18"/>
          <w:szCs w:val="18"/>
          <w:color w:val="auto"/>
        </w:rPr>
      </w:pPr>
    </w:p>
    <w:p>
      <w:pPr>
        <w:ind w:right="120" w:firstLine="408"/>
        <w:spacing w:after="0" w:line="258"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Documentation</w:t>
      </w:r>
      <w:r>
        <w:rPr>
          <w:rFonts w:ascii="Times New Roman" w:cs="Times New Roman" w:eastAsia="Times New Roman" w:hAnsi="Times New Roman"/>
          <w:sz w:val="18"/>
          <w:szCs w:val="18"/>
          <w:color w:val="auto"/>
        </w:rPr>
        <w:t>. For the purposes of Sections 4(a)(i) and 4(a)(ii) of the Agreement, Counterparty shall provide to Dealer a valid and duly executed U.S. Internal Revenue Service Form W-9, or any successor thereto, completed accurately and in a manner reasonably acceptable to Dealer and, in particular, with the “C Corporation” box checked on line 3 thereof (i) on or before the date of execution of this Confirmation; (ii) promptly upon reasonable demand by Dealer; and (iii) promptly upon learning that any such tax form previously provided by Counterparty has become inaccurate or incorrect.</w:t>
      </w:r>
    </w:p>
    <w:p>
      <w:pPr>
        <w:spacing w:after="0" w:line="75" w:lineRule="exact"/>
        <w:rPr>
          <w:sz w:val="20"/>
          <w:szCs w:val="20"/>
          <w:color w:val="auto"/>
        </w:rPr>
      </w:pPr>
    </w:p>
    <w:p>
      <w:pPr>
        <w:ind w:right="120" w:firstLine="401"/>
        <w:spacing w:after="0" w:line="272" w:lineRule="auto"/>
        <w:rPr>
          <w:sz w:val="20"/>
          <w:szCs w:val="20"/>
          <w:color w:val="auto"/>
        </w:rPr>
      </w:pPr>
      <w:r>
        <w:rPr>
          <w:rFonts w:ascii="Times New Roman" w:cs="Times New Roman" w:eastAsia="Times New Roman" w:hAnsi="Times New Roman"/>
          <w:sz w:val="17"/>
          <w:szCs w:val="17"/>
          <w:color w:val="auto"/>
        </w:rPr>
        <w:t>For the purposes of Sections 4(a)(i) and 4(a)(ii) of the Agreement, Dealer shall provide to Counterparty a valid and duly executed U.S. Internal Revenue Service Form W-9 or W-8ECI, or any successor thereto, completed accurately and in a manner reasonably acceptable to Counterparty and, in particular, with the “C Corporation” or “Corporation” box checked on line 3 or 4 thereof, respectively,</w:t>
      </w:r>
    </w:p>
    <w:p>
      <w:pPr>
        <w:spacing w:after="0" w:line="2" w:lineRule="exact"/>
        <w:rPr>
          <w:sz w:val="20"/>
          <w:szCs w:val="20"/>
          <w:color w:val="auto"/>
        </w:rPr>
      </w:pPr>
    </w:p>
    <w:p>
      <w:pPr>
        <w:ind w:firstLine="7"/>
        <w:spacing w:after="0" w:line="260" w:lineRule="auto"/>
        <w:tabs>
          <w:tab w:leader="none" w:pos="21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date of execution of this Confirmation; (ii) promptly upon reasonable demand by Counterparty; and (iii) promptly upon learning that any such tax form previously provided by Dealer has become inaccurate or incorrect.</w:t>
      </w:r>
    </w:p>
    <w:p>
      <w:pPr>
        <w:spacing w:after="0" w:line="73" w:lineRule="exact"/>
        <w:rPr>
          <w:rFonts w:ascii="Times New Roman" w:cs="Times New Roman" w:eastAsia="Times New Roman" w:hAnsi="Times New Roman"/>
          <w:sz w:val="18"/>
          <w:szCs w:val="18"/>
          <w:color w:val="auto"/>
        </w:rPr>
      </w:pPr>
    </w:p>
    <w:p>
      <w:pPr>
        <w:ind w:right="100" w:firstLine="408"/>
        <w:spacing w:after="0" w:line="261" w:lineRule="auto"/>
        <w:tabs>
          <w:tab w:leader="none" w:pos="705"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Account</w:t>
      </w:r>
      <w:r>
        <w:rPr>
          <w:rFonts w:ascii="Times New Roman" w:cs="Times New Roman" w:eastAsia="Times New Roman" w:hAnsi="Times New Roman"/>
          <w:sz w:val="18"/>
          <w:szCs w:val="18"/>
          <w:color w:val="auto"/>
        </w:rPr>
        <w:t>. Section 2(b) of the Agreement is hereby amended by the addition of the following after the word “change” in the fourth line thereof: “; provided that if any new account of one party is not in the same tax jurisdiction as the original account, the other party shall not be obliged to pay, for tax reasons, any greater amount and shall not be obliged to accept any lesser amount as a result of such change than would have been the case if such change had not taken place.”</w:t>
      </w:r>
    </w:p>
    <w:p>
      <w:pPr>
        <w:spacing w:after="0" w:line="1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B-1-29</w:t>
      </w:r>
    </w:p>
    <w:p>
      <w:pPr>
        <w:sectPr>
          <w:pgSz w:w="11900" w:h="16838" w:orient="portrait"/>
          <w:cols w:equalWidth="0" w:num="1">
            <w:col w:w="10020"/>
          </w:cols>
          <w:pgMar w:left="1420" w:top="270" w:right="459" w:bottom="1440" w:gutter="0" w:footer="0" w:header="0"/>
        </w:sectPr>
      </w:pPr>
    </w:p>
    <w:bookmarkStart w:id="101" w:name="page102"/>
    <w:bookmarkEnd w:id="101"/>
    <w:p>
      <w:pPr>
        <w:ind w:left="540" w:right="20" w:firstLine="408"/>
        <w:spacing w:after="0" w:line="266" w:lineRule="auto"/>
        <w:tabs>
          <w:tab w:leader="none" w:pos="129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Deduction or Withholding for Tax</w:t>
      </w:r>
      <w:r>
        <w:rPr>
          <w:rFonts w:ascii="Times New Roman" w:cs="Times New Roman" w:eastAsia="Times New Roman" w:hAnsi="Times New Roman"/>
          <w:sz w:val="18"/>
          <w:szCs w:val="18"/>
          <w:color w:val="auto"/>
        </w:rPr>
        <w:t>. Sections 2(d)(i), 2(d)(i)(4), 2(d)(ii)(1) of the Agreement are hereby amended by replacing the words “pay,” “paid,” “payment” or “payments” with the words “pay or deliver,” “paid or delivered,” “payment or delivery” or “payments or deliveries,” respectively.</w:t>
      </w:r>
    </w:p>
    <w:p>
      <w:pPr>
        <w:spacing w:after="0" w:line="67" w:lineRule="exact"/>
        <w:rPr>
          <w:rFonts w:ascii="Times New Roman" w:cs="Times New Roman" w:eastAsia="Times New Roman" w:hAnsi="Times New Roman"/>
          <w:sz w:val="18"/>
          <w:szCs w:val="18"/>
          <w:color w:val="auto"/>
        </w:rPr>
      </w:pPr>
    </w:p>
    <w:p>
      <w:pPr>
        <w:ind w:right="120" w:firstLine="419"/>
        <w:spacing w:after="0" w:line="256" w:lineRule="auto"/>
        <w:tabs>
          <w:tab w:leader="none" w:pos="67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Wall Street Transparency and Accountability Act of 2010</w:t>
      </w:r>
      <w:r>
        <w:rPr>
          <w:rFonts w:ascii="Times New Roman" w:cs="Times New Roman" w:eastAsia="Times New Roman" w:hAnsi="Times New Roman"/>
          <w:sz w:val="18"/>
          <w:szCs w:val="18"/>
          <w:color w:val="auto"/>
        </w:rPr>
        <w:t>. The parties hereby agree that none of (i) Section 739 of the WSTAA, (ii) any similar legal certainty provision included in any legislation enacted, or rule or regulation promulgated, on or after the Trade Date, (iii) the enactment of the WSTAA or any regulation under the WSTAA, (iv) any requirement under the WSTAA or (v) any amendment made by the WSTAA shall limit or otherwise impair either party’s right to terminate, renegotiate, modify, amend or supplement this Confirmation or the Agreement, as applicable, arising from a termination event, force majeure, illegality, increased cost, regulatory change or similar event under this Confirmation, the Equity Definitions or the Agreement (including, but not limited to, any right arising from any Acceleration Event).</w:t>
      </w:r>
    </w:p>
    <w:p>
      <w:pPr>
        <w:spacing w:after="0" w:line="79" w:lineRule="exact"/>
        <w:rPr>
          <w:rFonts w:ascii="Times New Roman" w:cs="Times New Roman" w:eastAsia="Times New Roman" w:hAnsi="Times New Roman"/>
          <w:sz w:val="18"/>
          <w:szCs w:val="18"/>
          <w:color w:val="auto"/>
        </w:rPr>
      </w:pPr>
    </w:p>
    <w:p>
      <w:pPr>
        <w:ind w:right="20" w:firstLine="419"/>
        <w:spacing w:after="0" w:line="253" w:lineRule="auto"/>
        <w:tabs>
          <w:tab w:leader="none" w:pos="71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Forwards / Dealers</w:t>
      </w:r>
      <w:r>
        <w:rPr>
          <w:rFonts w:ascii="Times New Roman" w:cs="Times New Roman" w:eastAsia="Times New Roman" w:hAnsi="Times New Roman"/>
          <w:sz w:val="18"/>
          <w:szCs w:val="18"/>
          <w:color w:val="auto"/>
        </w:rPr>
        <w:t>. Dealer acknowledges that Counterparty has entered or may enter in the future into one or more substantially similar forward transactions for the Shares (each, an “</w:t>
      </w:r>
      <w:r>
        <w:rPr>
          <w:rFonts w:ascii="Times New Roman" w:cs="Times New Roman" w:eastAsia="Times New Roman" w:hAnsi="Times New Roman"/>
          <w:sz w:val="18"/>
          <w:szCs w:val="18"/>
          <w:b w:val="1"/>
          <w:bCs w:val="1"/>
          <w:i w:val="1"/>
          <w:iCs w:val="1"/>
          <w:color w:val="auto"/>
        </w:rPr>
        <w:t>Other Forward</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Other Forwards</w:t>
      </w:r>
      <w:r>
        <w:rPr>
          <w:rFonts w:ascii="Times New Roman" w:cs="Times New Roman" w:eastAsia="Times New Roman" w:hAnsi="Times New Roman"/>
          <w:sz w:val="18"/>
          <w:szCs w:val="18"/>
          <w:color w:val="auto"/>
        </w:rPr>
        <w:t>”) with one or more other dealers. Dealer and Counterparty agree that if Counterparty designates a “Settlement Date” with respect to one or more Other Forwards for which “Cash Settlement” or “Net Share Settlement” is applicable, and the resulting “Unwind Period” for such Other Forwards coincides for any period of time with an Unwind Period for this Transaction (the “</w:t>
      </w:r>
      <w:r>
        <w:rPr>
          <w:rFonts w:ascii="Times New Roman" w:cs="Times New Roman" w:eastAsia="Times New Roman" w:hAnsi="Times New Roman"/>
          <w:sz w:val="18"/>
          <w:szCs w:val="18"/>
          <w:b w:val="1"/>
          <w:bCs w:val="1"/>
          <w:i w:val="1"/>
          <w:iCs w:val="1"/>
          <w:color w:val="auto"/>
        </w:rPr>
        <w:t>Overlap Unwind Period</w:t>
      </w:r>
      <w:r>
        <w:rPr>
          <w:rFonts w:ascii="Times New Roman" w:cs="Times New Roman" w:eastAsia="Times New Roman" w:hAnsi="Times New Roman"/>
          <w:sz w:val="18"/>
          <w:szCs w:val="18"/>
          <w:color w:val="auto"/>
        </w:rPr>
        <w:t>”), Counterparty shall notify Dealer at least one Scheduled Trading Day prior to the commencement of such Overlap Unwind Period of the first Scheduled Trading Day and length of such Overlap Unwind Period, and Dealer shall be permitted to purchase Shares to unwind its commercially reasonable hedge in a commercially reasonable manner in respect of this Transaction only on alternating Scheduled Trading Days during such Overlap Unwind Period, commencing on the first, second, third or later Scheduled Trading Day of such Overlap Unwind Period, as notified to Dealer by Counterparty at least one Business Day prior to such Overlap Unwind Period (which alternating Scheduled Trading Days, for the avoidance of doubt, may be every other Scheduled Trading Day if there is only one other dealer, every third Scheduled Trading Day if there are two other dealers, etc.).</w:t>
      </w:r>
    </w:p>
    <w:p>
      <w:pPr>
        <w:spacing w:after="0" w:line="83" w:lineRule="exact"/>
        <w:rPr>
          <w:rFonts w:ascii="Times New Roman" w:cs="Times New Roman" w:eastAsia="Times New Roman" w:hAnsi="Times New Roman"/>
          <w:sz w:val="18"/>
          <w:szCs w:val="18"/>
          <w:color w:val="auto"/>
        </w:rPr>
      </w:pPr>
    </w:p>
    <w:p>
      <w:pPr>
        <w:ind w:firstLine="419"/>
        <w:spacing w:after="0" w:line="256" w:lineRule="auto"/>
        <w:tabs>
          <w:tab w:leader="none" w:pos="67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Cash</w:t>
      </w:r>
      <w:r>
        <w:rPr>
          <w:rFonts w:ascii="Times New Roman" w:cs="Times New Roman" w:eastAsia="Times New Roman" w:hAnsi="Times New Roman"/>
          <w:sz w:val="18"/>
          <w:szCs w:val="18"/>
          <w:color w:val="auto"/>
        </w:rPr>
        <w:t>. For the avoidance of doubt, nothing in this Confirmation shall be interpreted as requiring Counterparty to deliver cash in respect of the settlement of this Transaction, except in circumstances where the required cash settlement thereof is permitted for classification of the contract as equity by ASC 815-40 (formerly EITF 00-19) as in effect on the Trade Date (including, without limitation, where Counterparty so elects to deliver cash or fails timely to elect to deliver Shares in respect of such settlement). For the avoidance of doubt, the preceding sentence shall not be construed as limiting (i) Paragraph 7(i) hereunder or (ii) any damages that may be payable by Counterparty as a result of breach of this Confirmation.</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B-1-30</w:t>
      </w:r>
    </w:p>
    <w:p>
      <w:pPr>
        <w:sectPr>
          <w:pgSz w:w="11900" w:h="16838" w:orient="portrait"/>
          <w:cols w:equalWidth="0" w:num="1">
            <w:col w:w="10580"/>
          </w:cols>
          <w:pgMar w:left="880" w:top="270" w:right="439" w:bottom="1440" w:gutter="0" w:footer="0" w:header="0"/>
        </w:sectPr>
      </w:pPr>
    </w:p>
    <w:bookmarkStart w:id="102" w:name="page103"/>
    <w:bookmarkEnd w:id="102"/>
    <w:p>
      <w:pPr>
        <w:ind w:left="680" w:hanging="261"/>
        <w:spacing w:after="0"/>
        <w:tabs>
          <w:tab w:leader="none" w:pos="6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400" w:firstLine="408"/>
        <w:spacing w:after="0" w:line="255" w:lineRule="auto"/>
        <w:tabs>
          <w:tab w:leader="none" w:pos="115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may be delivered via facsimile, electronic mail (including any electronic signature covered by the U.S. federal ESIGN Act of 2000, Uniform Electronic Transactions Act, the Electronic Signatures and Records Act or other applicable law, e.g., DocuSign [and AdobeSign] (any such signature, an “</w:t>
      </w:r>
      <w:r>
        <w:rPr>
          <w:rFonts w:ascii="Times New Roman" w:cs="Times New Roman" w:eastAsia="Times New Roman" w:hAnsi="Times New Roman"/>
          <w:sz w:val="18"/>
          <w:szCs w:val="18"/>
          <w:b w:val="1"/>
          <w:bCs w:val="1"/>
          <w:i w:val="1"/>
          <w:iCs w:val="1"/>
          <w:color w:val="auto"/>
        </w:rPr>
        <w:t>Electronic Signature</w:t>
      </w:r>
      <w:r>
        <w:rPr>
          <w:rFonts w:ascii="Times New Roman" w:cs="Times New Roman" w:eastAsia="Times New Roman" w:hAnsi="Times New Roman"/>
          <w:sz w:val="18"/>
          <w:szCs w:val="18"/>
          <w:color w:val="auto"/>
        </w:rPr>
        <w:t>”)) or other transmission method and any counterpart so delivered shall be deemed to have been duly and validly delivered and be valid and effective for all purposes. The words “execution,” “signed,” “signature” and words of like import in this Confirmation or in any other certificate, agreement or document related to this Confirmation shall include any Electronic Signature, except to the extent electronic notices are expressly prohibited under this Confirmation or the Agreement.</w:t>
      </w:r>
    </w:p>
    <w:p>
      <w:pPr>
        <w:spacing w:after="0" w:line="81" w:lineRule="exact"/>
        <w:rPr>
          <w:sz w:val="20"/>
          <w:szCs w:val="20"/>
          <w:color w:val="auto"/>
        </w:rPr>
      </w:pPr>
    </w:p>
    <w:p>
      <w:pPr>
        <w:ind w:left="980" w:right="180" w:firstLine="391"/>
        <w:spacing w:after="0" w:line="282" w:lineRule="auto"/>
        <w:tabs>
          <w:tab w:leader="none" w:pos="162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Agreement, either party may deliver to the other party a notice relating to any Event of Default or Termination Event under this Confirmation by e-mail.</w:t>
      </w:r>
    </w:p>
    <w:p>
      <w:pPr>
        <w:spacing w:after="0" w:line="54" w:lineRule="exact"/>
        <w:rPr>
          <w:sz w:val="20"/>
          <w:szCs w:val="20"/>
          <w:color w:val="auto"/>
        </w:rPr>
      </w:pPr>
    </w:p>
    <w:p>
      <w:pPr>
        <w:ind w:firstLine="423"/>
        <w:spacing w:after="0" w:line="252" w:lineRule="auto"/>
        <w:rPr>
          <w:sz w:val="20"/>
          <w:szCs w:val="20"/>
          <w:color w:val="auto"/>
        </w:rPr>
      </w:pPr>
      <w:r>
        <w:rPr>
          <w:rFonts w:ascii="Times New Roman" w:cs="Times New Roman" w:eastAsia="Times New Roman" w:hAnsi="Times New Roman"/>
          <w:sz w:val="18"/>
          <w:szCs w:val="18"/>
          <w:color w:val="auto"/>
        </w:rPr>
        <w:t xml:space="preserve">[(z) </w:t>
      </w:r>
      <w:r>
        <w:rPr>
          <w:rFonts w:ascii="Times New Roman" w:cs="Times New Roman" w:eastAsia="Times New Roman" w:hAnsi="Times New Roman"/>
          <w:sz w:val="18"/>
          <w:szCs w:val="18"/>
          <w:u w:val="single" w:color="auto"/>
          <w:color w:val="auto"/>
        </w:rPr>
        <w:t>U.S. Stay Regulations</w:t>
      </w:r>
      <w:r>
        <w:rPr>
          <w:rFonts w:ascii="Times New Roman" w:cs="Times New Roman" w:eastAsia="Times New Roman" w:hAnsi="Times New Roman"/>
          <w:sz w:val="18"/>
          <w:szCs w:val="18"/>
          <w:color w:val="auto"/>
        </w:rPr>
        <w:t>. To the extent that the QFC Stay Rules are applicable hereto, then the parties agree that (i) to the extent that prior to the date hereof both parties have adhered to the 2018 ISDA U.S. Resolution Stay Protocol (the “</w:t>
      </w:r>
      <w:r>
        <w:rPr>
          <w:rFonts w:ascii="Times New Roman" w:cs="Times New Roman" w:eastAsia="Times New Roman" w:hAnsi="Times New Roman"/>
          <w:sz w:val="18"/>
          <w:szCs w:val="18"/>
          <w:b w:val="1"/>
          <w:bCs w:val="1"/>
          <w:i w:val="1"/>
          <w:iCs w:val="1"/>
          <w:color w:val="auto"/>
        </w:rPr>
        <w:t>Protocol</w:t>
      </w:r>
      <w:r>
        <w:rPr>
          <w:rFonts w:ascii="Times New Roman" w:cs="Times New Roman" w:eastAsia="Times New Roman" w:hAnsi="Times New Roman"/>
          <w:sz w:val="18"/>
          <w:szCs w:val="18"/>
          <w:color w:val="auto"/>
        </w:rPr>
        <w:t>”), the terms of the Protocol are incorporated into and form a part of this Confirmation, and for such purposes this Confirmation shall be deemed 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w:t>
      </w:r>
      <w:r>
        <w:rPr>
          <w:rFonts w:ascii="Times New Roman" w:cs="Times New Roman" w:eastAsia="Times New Roman" w:hAnsi="Times New Roman"/>
          <w:sz w:val="18"/>
          <w:szCs w:val="18"/>
          <w:b w:val="1"/>
          <w:bCs w:val="1"/>
          <w:i w:val="1"/>
          <w:iCs w:val="1"/>
          <w:color w:val="auto"/>
        </w:rPr>
        <w:t>Bilateral Agreement</w:t>
      </w:r>
      <w:r>
        <w:rPr>
          <w:rFonts w:ascii="Times New Roman" w:cs="Times New Roman" w:eastAsia="Times New Roman" w:hAnsi="Times New Roman"/>
          <w:sz w:val="18"/>
          <w:szCs w:val="18"/>
          <w:color w:val="auto"/>
        </w:rPr>
        <w:t>”), the terms of the Bilateral Agreement are incorporated into and form a part of this Confirmation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w:t>
      </w:r>
      <w:r>
        <w:rPr>
          <w:rFonts w:ascii="Times New Roman" w:cs="Times New Roman" w:eastAsia="Times New Roman" w:hAnsi="Times New Roman"/>
          <w:sz w:val="18"/>
          <w:szCs w:val="18"/>
          <w:b w:val="1"/>
          <w:bCs w:val="1"/>
          <w:i w:val="1"/>
          <w:iCs w:val="1"/>
          <w:color w:val="auto"/>
        </w:rPr>
        <w:t>Bilateral Terms</w:t>
      </w:r>
      <w:r>
        <w:rPr>
          <w:rFonts w:ascii="Times New Roman" w:cs="Times New Roman" w:eastAsia="Times New Roman" w:hAnsi="Times New Roman"/>
          <w:sz w:val="18"/>
          <w:szCs w:val="18"/>
          <w:color w:val="auto"/>
        </w:rPr>
        <w:t>”) of the form of bilateral template entitled “Full-Length Omnibus (for use between U.S. G-SIBs and Corporate Groups)” published by ISDA on November 2, 2018 (currently available on the</w:t>
      </w:r>
    </w:p>
    <w:p>
      <w:pPr>
        <w:spacing w:after="0" w:line="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2018 ISDA U.S. Resolution Stay Protocol page at </w:t>
      </w:r>
      <w:r>
        <w:rPr>
          <w:rFonts w:ascii="Times New Roman" w:cs="Times New Roman" w:eastAsia="Times New Roman" w:hAnsi="Times New Roman"/>
          <w:sz w:val="18"/>
          <w:szCs w:val="18"/>
          <w:u w:val="single" w:color="auto"/>
          <w:color w:val="auto"/>
        </w:rPr>
        <w:t>www.isda.org</w:t>
      </w:r>
      <w:r>
        <w:rPr>
          <w:rFonts w:ascii="Times New Roman" w:cs="Times New Roman" w:eastAsia="Times New Roman" w:hAnsi="Times New Roman"/>
          <w:sz w:val="18"/>
          <w:szCs w:val="18"/>
          <w:color w:val="auto"/>
        </w:rPr>
        <w:t xml:space="preserve"> and, a copy of which is available upon request), the effect of which is to amend the qualified financial contracts between the parties thereto to conform with the requirements of the QFC Stay Rules, are hereby incorporated into and form a part of this Confirmation, and for such purposes this Confirmation shall be deemed a “Covered Agreement,” Dealer shall be deemed a “Covered Entity” and Counterparty shall be deemed a “Counterparty Entity.” In the event that, after the date of this Confirmation, both parties hereto become adhering parties to the Protocol, the terms of the Protocol will replace the terms of this paragraph. In the event of any inconsistencies between this</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B-1-31</w:t>
      </w:r>
    </w:p>
    <w:p>
      <w:pPr>
        <w:sectPr>
          <w:pgSz w:w="11900" w:h="16838" w:orient="portrait"/>
          <w:cols w:equalWidth="0" w:num="1">
            <w:col w:w="10560"/>
          </w:cols>
          <w:pgMar w:left="880" w:top="270" w:right="459" w:bottom="1440" w:gutter="0" w:footer="0" w:header="0"/>
        </w:sectPr>
      </w:pPr>
    </w:p>
    <w:bookmarkStart w:id="103" w:name="page104"/>
    <w:bookmarkEnd w:id="103"/>
    <w:p>
      <w:pPr>
        <w:ind w:right="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Confirmation and the terms of the Protocol, the Bilateral Agreement or the Bilateral Terms (each, the “</w:t>
      </w:r>
      <w:r>
        <w:rPr>
          <w:rFonts w:ascii="Times New Roman" w:cs="Times New Roman" w:eastAsia="Times New Roman" w:hAnsi="Times New Roman"/>
          <w:sz w:val="18"/>
          <w:szCs w:val="18"/>
          <w:b w:val="1"/>
          <w:bCs w:val="1"/>
          <w:i w:val="1"/>
          <w:iCs w:val="1"/>
          <w:color w:val="auto"/>
        </w:rPr>
        <w:t>QFC Stay Terms</w:t>
      </w:r>
      <w:r>
        <w:rPr>
          <w:rFonts w:ascii="Times New Roman" w:cs="Times New Roman" w:eastAsia="Times New Roman" w:hAnsi="Times New Roman"/>
          <w:sz w:val="18"/>
          <w:szCs w:val="18"/>
          <w:color w:val="auto"/>
        </w:rPr>
        <w:t>”), as applicable, the QFC Stay Terms will govern. Terms used in this paragraph without definition shall have the meanings assigned to them under the QFC Stay Rules. For purposes of this paragraph, references to “this Confirmation” include any related credit enhancements entered into between the parties or provided by one to the other. In addition, the parties agree that the terms of this paragraph shall be incorporated into any related covered affiliate credit enhancements, with all references to Dealer replaced by references to the covered affiliate support provider.</w:t>
      </w:r>
    </w:p>
    <w:p>
      <w:pPr>
        <w:spacing w:after="0" w:line="71" w:lineRule="exact"/>
        <w:rPr>
          <w:sz w:val="20"/>
          <w:szCs w:val="20"/>
          <w:color w:val="auto"/>
        </w:rPr>
      </w:pPr>
    </w:p>
    <w:p>
      <w:pPr>
        <w:ind w:firstLine="423"/>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QFC Stay Rules</w:t>
      </w:r>
      <w:r>
        <w:rPr>
          <w:rFonts w:ascii="Times New Roman" w:cs="Times New Roman" w:eastAsia="Times New Roman" w:hAnsi="Times New Roman"/>
          <w:sz w:val="18"/>
          <w:szCs w:val="18"/>
          <w:color w:val="auto"/>
        </w:rPr>
        <w:t>” mean the regulations codified at 12 C.F.R. 252.2, 252.81–8, 12 C.F.R. 382.1-7 and 12 C.F.R. 47.1-8, which, subject to limited exceptions, require an express recognition of the stay-and-transfer powers of the Federal Deposit Insurance Corporation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spacing w:after="0" w:line="75" w:lineRule="exact"/>
        <w:rPr>
          <w:sz w:val="20"/>
          <w:szCs w:val="20"/>
          <w:color w:val="auto"/>
        </w:rPr>
      </w:pPr>
    </w:p>
    <w:p>
      <w:pPr>
        <w:ind w:left="740" w:hanging="321"/>
        <w:spacing w:after="0"/>
        <w:tabs>
          <w:tab w:leader="none" w:pos="7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[Insert Dealer Boilerplate, if any].</w:t>
      </w:r>
    </w:p>
    <w:p>
      <w:pPr>
        <w:spacing w:after="0" w:line="1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B-1-32</w:t>
      </w:r>
    </w:p>
    <w:p>
      <w:pPr>
        <w:sectPr>
          <w:pgSz w:w="11900" w:h="16838" w:orient="portrait"/>
          <w:cols w:equalWidth="0" w:num="1">
            <w:col w:w="10580"/>
          </w:cols>
          <w:pgMar w:left="880" w:top="266" w:right="439" w:bottom="1440" w:gutter="0" w:footer="0" w:header="0"/>
        </w:sectPr>
      </w:pPr>
    </w:p>
    <w:bookmarkStart w:id="104" w:name="page105"/>
    <w:bookmarkEnd w:id="10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confirm your agreement to be bound by the terms stated herein by executing the copy of this Confirmation enclosed for that purpose and returning it to us.</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[DEALER]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B-1-33</w:t>
      </w:r>
    </w:p>
    <w:p>
      <w:pPr>
        <w:sectPr>
          <w:pgSz w:w="11900" w:h="16838" w:orient="portrait"/>
          <w:cols w:equalWidth="0" w:num="1">
            <w:col w:w="10780"/>
          </w:cols>
          <w:pgMar w:left="440" w:top="270" w:right="6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Confirmed as of the date first above written:</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FEDERAL REALTY INVESTMENT TRUST</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B-1-34</w:t>
      </w:r>
    </w:p>
    <w:p>
      <w:pPr>
        <w:sectPr>
          <w:pgSz w:w="11900" w:h="16838" w:orient="portrait"/>
          <w:cols w:equalWidth="0" w:num="1">
            <w:col w:w="9579"/>
          </w:cols>
          <w:pgMar w:left="880" w:top="270" w:right="1440"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1006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SCHEDULE I</w:t>
            </w:r>
          </w:p>
        </w:tc>
        <w:tc>
          <w:tcPr>
            <w:tcW w:w="0" w:type="dxa"/>
            <w:vAlign w:val="bottom"/>
          </w:tcPr>
          <w:p>
            <w:pPr>
              <w:spacing w:after="0"/>
              <w:rPr>
                <w:sz w:val="1"/>
                <w:szCs w:val="1"/>
                <w:color w:val="auto"/>
              </w:rPr>
            </w:pPr>
          </w:p>
        </w:tc>
      </w:tr>
      <w:tr>
        <w:trPr>
          <w:trHeight w:val="367"/>
        </w:trPr>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Forward Price</w:t>
            </w:r>
          </w:p>
        </w:tc>
        <w:tc>
          <w:tcPr>
            <w:tcW w:w="914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Forward Price</w:t>
            </w:r>
          </w:p>
        </w:tc>
        <w:tc>
          <w:tcPr>
            <w:tcW w:w="0" w:type="dxa"/>
            <w:vAlign w:val="bottom"/>
          </w:tcPr>
          <w:p>
            <w:pPr>
              <w:spacing w:after="0"/>
              <w:rPr>
                <w:sz w:val="1"/>
                <w:szCs w:val="1"/>
                <w:color w:val="auto"/>
              </w:rPr>
            </w:pPr>
          </w:p>
        </w:tc>
      </w:tr>
      <w:tr>
        <w:trPr>
          <w:trHeight w:val="146"/>
        </w:trPr>
        <w:tc>
          <w:tcPr>
            <w:tcW w:w="960" w:type="dxa"/>
            <w:vAlign w:val="bottom"/>
            <w:vMerge w:val="continue"/>
          </w:tcPr>
          <w:p>
            <w:pPr>
              <w:spacing w:after="0"/>
              <w:rPr>
                <w:sz w:val="12"/>
                <w:szCs w:val="12"/>
                <w:color w:val="auto"/>
              </w:rPr>
            </w:pPr>
          </w:p>
        </w:tc>
        <w:tc>
          <w:tcPr>
            <w:tcW w:w="914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Reduction</w:t>
            </w:r>
          </w:p>
        </w:tc>
        <w:tc>
          <w:tcPr>
            <w:tcW w:w="0" w:type="dxa"/>
            <w:vAlign w:val="bottom"/>
          </w:tcPr>
          <w:p>
            <w:pPr>
              <w:spacing w:after="0"/>
              <w:rPr>
                <w:sz w:val="1"/>
                <w:szCs w:val="1"/>
                <w:color w:val="auto"/>
              </w:rPr>
            </w:pPr>
          </w:p>
        </w:tc>
      </w:tr>
      <w:tr>
        <w:trPr>
          <w:trHeight w:val="182"/>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Reduction Date</w:t>
            </w:r>
          </w:p>
        </w:tc>
        <w:tc>
          <w:tcPr>
            <w:tcW w:w="91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9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Trade Date</w:t>
            </w:r>
          </w:p>
        </w:tc>
        <w:tc>
          <w:tcPr>
            <w:tcW w:w="9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USD 0.000</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10060" w:type="dxa"/>
            <w:vAlign w:val="bottom"/>
            <w:gridSpan w:val="2"/>
          </w:tcPr>
          <w:p>
            <w:pPr>
              <w:ind w:left="9140"/>
              <w:spacing w:after="0"/>
              <w:rPr>
                <w:sz w:val="20"/>
                <w:szCs w:val="20"/>
                <w:color w:val="auto"/>
              </w:rPr>
            </w:pPr>
            <w:r>
              <w:rPr>
                <w:rFonts w:ascii="Times New Roman" w:cs="Times New Roman" w:eastAsia="Times New Roman" w:hAnsi="Times New Roman"/>
                <w:sz w:val="18"/>
                <w:szCs w:val="18"/>
                <w:color w:val="auto"/>
              </w:rPr>
              <w:t>USD [ • ]</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10060" w:type="dxa"/>
            <w:vAlign w:val="bottom"/>
            <w:gridSpan w:val="2"/>
            <w:shd w:val="clear" w:color="auto" w:fill="CCEEFF"/>
          </w:tcPr>
          <w:p>
            <w:pPr>
              <w:ind w:left="9140"/>
              <w:spacing w:after="0"/>
              <w:rPr>
                <w:sz w:val="20"/>
                <w:szCs w:val="20"/>
                <w:color w:val="auto"/>
              </w:rPr>
            </w:pPr>
            <w:r>
              <w:rPr>
                <w:rFonts w:ascii="Times New Roman" w:cs="Times New Roman" w:eastAsia="Times New Roman" w:hAnsi="Times New Roman"/>
                <w:sz w:val="18"/>
                <w:szCs w:val="18"/>
                <w:color w:val="auto"/>
              </w:rPr>
              <w:t>USD [ • ]</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Final Date</w:t>
            </w:r>
          </w:p>
        </w:tc>
        <w:tc>
          <w:tcPr>
            <w:tcW w:w="10060" w:type="dxa"/>
            <w:vAlign w:val="bottom"/>
            <w:gridSpan w:val="2"/>
          </w:tcPr>
          <w:p>
            <w:pPr>
              <w:ind w:left="9140"/>
              <w:spacing w:after="0"/>
              <w:rPr>
                <w:sz w:val="20"/>
                <w:szCs w:val="20"/>
                <w:color w:val="auto"/>
              </w:rPr>
            </w:pPr>
            <w:r>
              <w:rPr>
                <w:rFonts w:ascii="Times New Roman" w:cs="Times New Roman" w:eastAsia="Times New Roman" w:hAnsi="Times New Roman"/>
                <w:sz w:val="18"/>
                <w:szCs w:val="18"/>
                <w:color w:val="auto"/>
              </w:rPr>
              <w:t>USD 0.000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PRICING SUPPLEMENT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 • ]</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Federal Realty Investment Trust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909 Rose Avenue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Suite 200</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 •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From: [DEALER]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This Pricing Supplement is the Pricing Supplement contemplated by the Registered Forward Transaction dated as of [• ] (the “</w:t>
      </w:r>
      <w:r>
        <w:rPr>
          <w:rFonts w:ascii="Times New Roman" w:cs="Times New Roman" w:eastAsia="Times New Roman" w:hAnsi="Times New Roman"/>
          <w:sz w:val="18"/>
          <w:szCs w:val="18"/>
          <w:b w:val="1"/>
          <w:bCs w:val="1"/>
          <w:i w:val="1"/>
          <w:iCs w:val="1"/>
          <w:color w:val="auto"/>
        </w:rPr>
        <w:t>Confirmation</w:t>
      </w:r>
      <w:r>
        <w:rPr>
          <w:rFonts w:ascii="Times New Roman" w:cs="Times New Roman" w:eastAsia="Times New Roman" w:hAnsi="Times New Roman"/>
          <w:sz w:val="18"/>
          <w:szCs w:val="18"/>
          <w:color w:val="auto"/>
        </w:rPr>
        <w:t>”) between Federal Realty Investment Trust (“</w:t>
      </w:r>
      <w:r>
        <w:rPr>
          <w:rFonts w:ascii="Times New Roman" w:cs="Times New Roman" w:eastAsia="Times New Roman" w:hAnsi="Times New Roman"/>
          <w:sz w:val="18"/>
          <w:szCs w:val="18"/>
          <w:b w:val="1"/>
          <w:bCs w:val="1"/>
          <w:i w:val="1"/>
          <w:iCs w:val="1"/>
          <w:color w:val="auto"/>
        </w:rPr>
        <w:t>Counterparty</w:t>
      </w:r>
      <w:r>
        <w:rPr>
          <w:rFonts w:ascii="Times New Roman" w:cs="Times New Roman" w:eastAsia="Times New Roman" w:hAnsi="Times New Roman"/>
          <w:sz w:val="18"/>
          <w:szCs w:val="18"/>
          <w:color w:val="auto"/>
        </w:rPr>
        <w:t>”) and [DEALER] (“</w:t>
      </w:r>
      <w:r>
        <w:rPr>
          <w:rFonts w:ascii="Times New Roman" w:cs="Times New Roman" w:eastAsia="Times New Roman" w:hAnsi="Times New Roman"/>
          <w:sz w:val="18"/>
          <w:szCs w:val="18"/>
          <w:b w:val="1"/>
          <w:bCs w:val="1"/>
          <w:i w:val="1"/>
          <w:iCs w:val="1"/>
          <w:color w:val="auto"/>
        </w:rPr>
        <w:t>Dealer</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all purposes under the Confirmation,</w:t>
      </w:r>
    </w:p>
    <w:p>
      <w:pPr>
        <w:spacing w:after="0" w:line="117" w:lineRule="exact"/>
        <w:rPr>
          <w:sz w:val="20"/>
          <w:szCs w:val="20"/>
          <w:color w:val="auto"/>
        </w:rPr>
      </w:pPr>
    </w:p>
    <w:p>
      <w:pPr>
        <w:ind w:left="680" w:hanging="248"/>
        <w:spacing w:after="0"/>
        <w:tabs>
          <w:tab w:leader="none" w:pos="6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Hedge Completion Date is [ • ];</w:t>
      </w:r>
    </w:p>
    <w:p>
      <w:pPr>
        <w:spacing w:after="0" w:line="117" w:lineRule="exact"/>
        <w:rPr>
          <w:rFonts w:ascii="Times New Roman" w:cs="Times New Roman" w:eastAsia="Times New Roman" w:hAnsi="Times New Roman"/>
          <w:sz w:val="18"/>
          <w:szCs w:val="18"/>
          <w:color w:val="auto"/>
        </w:rPr>
      </w:pPr>
    </w:p>
    <w:p>
      <w:pPr>
        <w:ind w:left="680" w:hanging="248"/>
        <w:spacing w:after="0"/>
        <w:tabs>
          <w:tab w:leader="none" w:pos="6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shall be [ • ], subject to further adjustment in accordance with the terms of the Confirmation; and</w:t>
      </w:r>
    </w:p>
    <w:p>
      <w:pPr>
        <w:spacing w:after="0" w:line="117" w:lineRule="exact"/>
        <w:rPr>
          <w:rFonts w:ascii="Times New Roman" w:cs="Times New Roman" w:eastAsia="Times New Roman" w:hAnsi="Times New Roman"/>
          <w:sz w:val="18"/>
          <w:szCs w:val="18"/>
          <w:color w:val="auto"/>
        </w:rPr>
      </w:pPr>
    </w:p>
    <w:p>
      <w:pPr>
        <w:ind w:left="680" w:hanging="248"/>
        <w:spacing w:after="0"/>
        <w:tabs>
          <w:tab w:leader="none" w:pos="6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Forward Price shall be USD [ • ].</w:t>
      </w:r>
    </w:p>
    <w:p>
      <w:pPr>
        <w:spacing w:after="0" w:line="252"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 B-1</w:t>
      </w:r>
    </w:p>
    <w:p>
      <w:pPr>
        <w:sectPr>
          <w:pgSz w:w="11900" w:h="16838" w:orient="portrait"/>
          <w:cols w:equalWidth="0" w:num="1">
            <w:col w:w="11020"/>
          </w:cols>
          <w:pgMar w:left="440" w:top="270" w:right="439" w:bottom="1440" w:gutter="0" w:footer="0" w:header="0"/>
        </w:sectPr>
      </w:pPr>
    </w:p>
    <w:bookmarkStart w:id="108" w:name="page109"/>
    <w:bookmarkEnd w:id="10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[DEALER]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Exh. B-2</w:t>
      </w:r>
    </w:p>
    <w:p>
      <w:pPr>
        <w:sectPr>
          <w:pgSz w:w="11900" w:h="16838" w:orient="portrait"/>
          <w:cols w:equalWidth="0" w:num="1">
            <w:col w:w="9019"/>
          </w:cols>
          <w:pgMar w:left="1440" w:top="270"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Confirmed as of the date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FEDERAL REALTY INVESTMENT TRUST</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Exh. B-3</w:t>
      </w:r>
    </w:p>
    <w:p>
      <w:pPr>
        <w:sectPr>
          <w:pgSz w:w="11900" w:h="16838" w:orient="portrait"/>
          <w:cols w:equalWidth="0" w:num="1">
            <w:col w:w="9579"/>
          </w:cols>
          <w:pgMar w:left="880" w:top="270" w:right="1440"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B-2</w:t>
      </w:r>
    </w:p>
    <w:p>
      <w:pPr>
        <w:sectPr>
          <w:pgSz w:w="11900" w:h="16838" w:orient="portrait"/>
          <w:cols w:equalWidth="0" w:num="1">
            <w:col w:w="9019"/>
          </w:cols>
          <w:pgMar w:left="1440" w:top="270" w:right="1440" w:bottom="1440" w:gutter="0" w:footer="0" w:header="0"/>
        </w:sectPr>
      </w:pP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270" w:right="1440" w:bottom="1440" w:gutter="0" w:footer="0" w:header="0"/>
          <w:type w:val="continuous"/>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COMPENSATION</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Sales Agents and the Forward Sellers shall be paid compensation at a mutually agreed rate not to exceed 2.00% of the gross sales price of Securities sold pursuant to the terms of this Agreement. The Forward Sellers shall receive any such compensation in the form of a reduced Forward Hedge Price for the corresponding Forward Purchaser.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 C-1</w:t>
      </w:r>
    </w:p>
    <w:p>
      <w:pPr>
        <w:sectPr>
          <w:pgSz w:w="11900" w:h="16838" w:orient="portrait"/>
          <w:cols w:equalWidth="0" w:num="1">
            <w:col w:w="10980"/>
          </w:cols>
          <w:pgMar w:left="440" w:top="270" w:right="47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D-1</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FORM OF OPINION OF PILLSBURY WINTHROP SHAW PITTMAN LLP (CORPORATE)</w:t>
      </w:r>
    </w:p>
    <w:p>
      <w:pPr>
        <w:spacing w:after="0" w:line="23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[Omitted]</w:t>
      </w:r>
    </w:p>
    <w:p>
      <w:pPr>
        <w:spacing w:after="0" w:line="1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Exh. D-1</w:t>
      </w:r>
    </w:p>
    <w:p>
      <w:pPr>
        <w:sectPr>
          <w:pgSz w:w="11900" w:h="16838" w:orient="portrait"/>
          <w:cols w:equalWidth="0" w:num="1">
            <w:col w:w="9019"/>
          </w:cols>
          <w:pgMar w:left="1440" w:top="270" w:right="1440"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FORM OF OPINION OF PILLSBURY WINTHROP SHAW PITTMAN LLP (TAX)</w:t>
      </w:r>
    </w:p>
    <w:p>
      <w:pPr>
        <w:spacing w:after="0" w:line="23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[Omitted]</w:t>
      </w:r>
    </w:p>
    <w:p>
      <w:pPr>
        <w:spacing w:after="0" w:line="1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Exh. D-2</w:t>
      </w:r>
    </w:p>
    <w:p>
      <w:pPr>
        <w:sectPr>
          <w:pgSz w:w="11900" w:h="16838" w:orient="portrait"/>
          <w:cols w:equalWidth="0" w:num="1">
            <w:col w:w="9019"/>
          </w:cols>
          <w:pgMar w:left="1440" w:top="270" w:right="1440"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OFFICER’S CERTIFICATE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 the duly qualified and elected [*] of Federal Realty Investment Trust, a Maryland real estate investment trust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Federal Realty OP LP, a Delaware limited partnership (the “</w:t>
      </w:r>
      <w:r>
        <w:rPr>
          <w:rFonts w:ascii="Times New Roman" w:cs="Times New Roman" w:eastAsia="Times New Roman" w:hAnsi="Times New Roman"/>
          <w:sz w:val="18"/>
          <w:szCs w:val="18"/>
          <w:u w:val="single" w:color="auto"/>
          <w:color w:val="auto"/>
        </w:rPr>
        <w:t>Operating Partnership</w:t>
      </w:r>
      <w:r>
        <w:rPr>
          <w:rFonts w:ascii="Times New Roman" w:cs="Times New Roman" w:eastAsia="Times New Roman" w:hAnsi="Times New Roman"/>
          <w:sz w:val="18"/>
          <w:szCs w:val="18"/>
          <w:color w:val="auto"/>
        </w:rPr>
        <w:t>”), does hereby certify on behalf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Operating Partnership, pursuant to Section [7(o)] of the Equity Distribution Agreement, dated as of February 14, 2022, as amended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No. 1 to Equity Distribution Agreement, dated as of March 8, 2024, and as further amended by Amendment No. 2 to Equity Distribution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dated as of February 14, 2025 (as so amended,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the Company, the Operating Partnership, each of Wells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Fargo Bank, National Association, BNP Paribas, Bank of America, N.A., Citibank, N.A., Deutsche Bank AG, London Branch, JPMorgan Chase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Association, Jefferies LLC, Regions Securities LLC, The Bank of Nova Scotia, The Toronto-Dominion Bank and Truist Bank (each in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as forward purchaser, a “</w:t>
      </w:r>
      <w:r>
        <w:rPr>
          <w:rFonts w:ascii="Times New Roman" w:cs="Times New Roman" w:eastAsia="Times New Roman" w:hAnsi="Times New Roman"/>
          <w:sz w:val="18"/>
          <w:szCs w:val="18"/>
          <w:u w:val="single" w:color="auto"/>
          <w:color w:val="auto"/>
        </w:rPr>
        <w:t>Forward Purchaser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Forward Purchasers</w:t>
      </w:r>
      <w:r>
        <w:rPr>
          <w:rFonts w:ascii="Times New Roman" w:cs="Times New Roman" w:eastAsia="Times New Roman" w:hAnsi="Times New Roman"/>
          <w:sz w:val="18"/>
          <w:szCs w:val="18"/>
          <w:color w:val="auto"/>
        </w:rPr>
        <w:t>”) and each of Wells Fargo Securities, LLC, BNP Paribas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Corp., BofA Securities, Inc., Citigroup Global Markets Inc., Deutsche Bank Securities Inc., J.P. Morgan Securities LLC, Jefferies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Regions Securities LLC, Scotia Capital (USA) Inc., SMBC Nikko Securities America, Inc., TD Securities (USA) LLC and Truist Securities, Inc.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its capacity as agent for the Company and/or principal in connection with the offering and sale of any Issuance Securities, a “</w:t>
      </w:r>
      <w:r>
        <w:rPr>
          <w:rFonts w:ascii="Times New Roman" w:cs="Times New Roman" w:eastAsia="Times New Roman" w:hAnsi="Times New Roman"/>
          <w:sz w:val="18"/>
          <w:szCs w:val="18"/>
          <w:u w:val="single" w:color="auto"/>
          <w:color w:val="auto"/>
        </w:rPr>
        <w:t>Sales Agent</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the “</w:t>
      </w:r>
      <w:r>
        <w:rPr>
          <w:rFonts w:ascii="Times New Roman" w:cs="Times New Roman" w:eastAsia="Times New Roman" w:hAnsi="Times New Roman"/>
          <w:sz w:val="18"/>
          <w:szCs w:val="18"/>
          <w:u w:val="single" w:color="auto"/>
          <w:color w:val="auto"/>
        </w:rPr>
        <w:t>Sales Agents</w:t>
      </w:r>
      <w:r>
        <w:rPr>
          <w:rFonts w:ascii="Times New Roman" w:cs="Times New Roman" w:eastAsia="Times New Roman" w:hAnsi="Times New Roman"/>
          <w:sz w:val="18"/>
          <w:szCs w:val="18"/>
          <w:color w:val="auto"/>
        </w:rPr>
        <w:t>,” and, except in the case of SMBC Nikko Securities America, Inc., in its capacity as agent for the related Forward Purchaser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offering and sale of any Forward Hedge Securities, a “</w:t>
      </w:r>
      <w:r>
        <w:rPr>
          <w:rFonts w:ascii="Times New Roman" w:cs="Times New Roman" w:eastAsia="Times New Roman" w:hAnsi="Times New Roman"/>
          <w:sz w:val="18"/>
          <w:szCs w:val="18"/>
          <w:u w:val="single" w:color="auto"/>
          <w:color w:val="auto"/>
        </w:rPr>
        <w:t>Forward Seller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Forward Sellers</w:t>
      </w:r>
      <w:r>
        <w:rPr>
          <w:rFonts w:ascii="Times New Roman" w:cs="Times New Roman" w:eastAsia="Times New Roman" w:hAnsi="Times New Roman"/>
          <w:sz w:val="18"/>
          <w:szCs w:val="18"/>
          <w:color w:val="auto"/>
        </w:rPr>
        <w:t>”), that to the knowledge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undersigned:</w:t>
      </w:r>
    </w:p>
    <w:p>
      <w:pPr>
        <w:spacing w:after="0" w:line="207" w:lineRule="exact"/>
        <w:rPr>
          <w:sz w:val="20"/>
          <w:szCs w:val="20"/>
          <w:color w:val="auto"/>
        </w:rPr>
      </w:pPr>
    </w:p>
    <w:p>
      <w:pPr>
        <w:ind w:right="20" w:firstLine="436"/>
        <w:spacing w:after="0" w:line="255" w:lineRule="auto"/>
        <w:tabs>
          <w:tab w:leader="none" w:pos="65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of the Company and the Operating Partnership in Section 5 of the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88" w:lineRule="exact"/>
        <w:rPr>
          <w:rFonts w:ascii="Times New Roman" w:cs="Times New Roman" w:eastAsia="Times New Roman" w:hAnsi="Times New Roman"/>
          <w:sz w:val="18"/>
          <w:szCs w:val="18"/>
          <w:color w:val="auto"/>
        </w:rPr>
      </w:pPr>
    </w:p>
    <w:p>
      <w:pPr>
        <w:ind w:firstLine="436"/>
        <w:spacing w:after="0" w:line="266" w:lineRule="auto"/>
        <w:tabs>
          <w:tab w:leader="none" w:pos="70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Operating Partnership has complied in all material respects with all agreements and satisfied all conditions on its part to be performed or satisfied pursuant to the Agreement at or prior to the date hereof (other than those conditions waived by the applicable Sales Agent, Forward Seller and/or Forward Purchaser).</w:t>
      </w:r>
    </w:p>
    <w:p>
      <w:pPr>
        <w:spacing w:after="0" w:line="17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Capitalized terms used herein but not otherwise defined shall have the meanings assigned to such terms in the Agreement.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 E-1</w:t>
      </w:r>
    </w:p>
    <w:p>
      <w:pPr>
        <w:sectPr>
          <w:pgSz w:w="11900" w:h="16838" w:orient="portrait"/>
          <w:cols w:equalWidth="0" w:num="1">
            <w:col w:w="11000"/>
          </w:cols>
          <w:pgMar w:left="440" w:top="270" w:right="459" w:bottom="1440" w:gutter="0" w:footer="0" w:header="0"/>
        </w:sectPr>
      </w:pPr>
    </w:p>
    <w:bookmarkStart w:id="115" w:name="page116"/>
    <w:bookmarkEnd w:id="115"/>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FEDERAL REALTY INVESTMENT TRUST</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Exh. E-2</w:t>
      </w:r>
    </w:p>
    <w:p>
      <w:pPr>
        <w:sectPr>
          <w:pgSz w:w="11900" w:h="16838" w:orient="portrait"/>
          <w:cols w:equalWidth="0" w:num="1">
            <w:col w:w="9140"/>
          </w:cols>
          <w:pgMar w:left="1440" w:top="266" w:right="131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PERMITTED FREE WRITING PROSPECTUSES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 F-1</w:t>
      </w:r>
    </w:p>
    <w:p>
      <w:pPr>
        <w:sectPr>
          <w:pgSz w:w="11900" w:h="16838" w:orient="portrait"/>
          <w:cols w:equalWidth="0" w:num="1">
            <w:col w:w="9019"/>
          </w:cols>
          <w:pgMar w:left="1440" w:top="270" w:right="1440"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OFFICER’S CERTIFICATE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 the duly qualified and elected [*] of Federal Realty Investment Trust, a Maryland real estate investment trust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Federal Realty OP LP, a Delaware limited partnership (the “</w:t>
      </w:r>
      <w:r>
        <w:rPr>
          <w:rFonts w:ascii="Times New Roman" w:cs="Times New Roman" w:eastAsia="Times New Roman" w:hAnsi="Times New Roman"/>
          <w:sz w:val="18"/>
          <w:szCs w:val="18"/>
          <w:u w:val="single" w:color="auto"/>
          <w:color w:val="auto"/>
        </w:rPr>
        <w:t>Operating Partnership</w:t>
      </w:r>
      <w:r>
        <w:rPr>
          <w:rFonts w:ascii="Times New Roman" w:cs="Times New Roman" w:eastAsia="Times New Roman" w:hAnsi="Times New Roman"/>
          <w:sz w:val="18"/>
          <w:szCs w:val="18"/>
          <w:color w:val="auto"/>
        </w:rPr>
        <w:t>”), does hereby certify on behalf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Operating Partnership, pursuant to Section [7(o)] of the Equity Distribution Agreement, dated as of February 14, 2022, as amended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No. 1 to Equity Distribution Agreement, dated as of March 8, 2024, and as further amended by Amendment No. 2 to Equity Distribution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dated as of February 14, 2025 (as so amended,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the Company, the Operating Partnership, each of Wells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Fargo Bank, National Association, BNP Paribas, Bank of America, N.A., Citibank, N.A., Deutsche Bank AG, London Branch, JPMorgan Chase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Association, Jefferies LLC, Regions Securities LLC, The Bank of Nova Scotia, The Toronto-Dominion Bank and Truist Bank (each in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as forward purchaser, a “</w:t>
      </w:r>
      <w:r>
        <w:rPr>
          <w:rFonts w:ascii="Times New Roman" w:cs="Times New Roman" w:eastAsia="Times New Roman" w:hAnsi="Times New Roman"/>
          <w:sz w:val="18"/>
          <w:szCs w:val="18"/>
          <w:u w:val="single" w:color="auto"/>
          <w:color w:val="auto"/>
        </w:rPr>
        <w:t>Forward Purchaser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Forward Purchasers</w:t>
      </w:r>
      <w:r>
        <w:rPr>
          <w:rFonts w:ascii="Times New Roman" w:cs="Times New Roman" w:eastAsia="Times New Roman" w:hAnsi="Times New Roman"/>
          <w:sz w:val="18"/>
          <w:szCs w:val="18"/>
          <w:color w:val="auto"/>
        </w:rPr>
        <w:t>”) and each of Wells Fargo Securities, LLC, BNP Paribas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Corp., BofA Securities, Inc., Citigroup Global Markets Inc., Deutsche Bank Securities Inc., J.P. Morgan Securities LLC, Jefferies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Regions Securities LLC, Scotia Capital (USA) Inc., SMBC Nikko Securities America, Inc., TD Securities (USA) LLC and Truist Securities, Inc.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its capacity as agent for the Company and/or principal in connection with the offering and sale of any Issuance Securities, a “</w:t>
      </w:r>
      <w:r>
        <w:rPr>
          <w:rFonts w:ascii="Times New Roman" w:cs="Times New Roman" w:eastAsia="Times New Roman" w:hAnsi="Times New Roman"/>
          <w:sz w:val="18"/>
          <w:szCs w:val="18"/>
          <w:u w:val="single" w:color="auto"/>
          <w:color w:val="auto"/>
        </w:rPr>
        <w:t>Sales Agent</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the “</w:t>
      </w:r>
      <w:r>
        <w:rPr>
          <w:rFonts w:ascii="Times New Roman" w:cs="Times New Roman" w:eastAsia="Times New Roman" w:hAnsi="Times New Roman"/>
          <w:sz w:val="18"/>
          <w:szCs w:val="18"/>
          <w:u w:val="single" w:color="auto"/>
          <w:color w:val="auto"/>
        </w:rPr>
        <w:t>Sales Agents</w:t>
      </w:r>
      <w:r>
        <w:rPr>
          <w:rFonts w:ascii="Times New Roman" w:cs="Times New Roman" w:eastAsia="Times New Roman" w:hAnsi="Times New Roman"/>
          <w:sz w:val="18"/>
          <w:szCs w:val="18"/>
          <w:color w:val="auto"/>
        </w:rPr>
        <w:t>,” and, except in the case of SMBC Nikko Securities America, Inc., in its capacity as agent for the related Forward Purchaser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the offering and sale of any Forward Hedge Securities, a “</w:t>
      </w:r>
      <w:r>
        <w:rPr>
          <w:rFonts w:ascii="Times New Roman" w:cs="Times New Roman" w:eastAsia="Times New Roman" w:hAnsi="Times New Roman"/>
          <w:sz w:val="17"/>
          <w:szCs w:val="17"/>
          <w:u w:val="single" w:color="auto"/>
          <w:color w:val="auto"/>
        </w:rPr>
        <w:t>Forward Seller</w:t>
      </w:r>
      <w:r>
        <w:rPr>
          <w:rFonts w:ascii="Times New Roman" w:cs="Times New Roman" w:eastAsia="Times New Roman" w:hAnsi="Times New Roman"/>
          <w:sz w:val="17"/>
          <w:szCs w:val="17"/>
          <w:color w:val="auto"/>
        </w:rPr>
        <w:t>” and together the “</w:t>
      </w:r>
      <w:r>
        <w:rPr>
          <w:rFonts w:ascii="Times New Roman" w:cs="Times New Roman" w:eastAsia="Times New Roman" w:hAnsi="Times New Roman"/>
          <w:sz w:val="17"/>
          <w:szCs w:val="17"/>
          <w:u w:val="single" w:color="auto"/>
          <w:color w:val="auto"/>
        </w:rPr>
        <w:t>Forward Sellers</w:t>
      </w:r>
      <w:r>
        <w:rPr>
          <w:rFonts w:ascii="Times New Roman" w:cs="Times New Roman" w:eastAsia="Times New Roman" w:hAnsi="Times New Roman"/>
          <w:sz w:val="17"/>
          <w:szCs w:val="17"/>
          <w:color w:val="auto"/>
        </w:rPr>
        <w:t>”), that to the knowledge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undersigned:</w:t>
      </w:r>
    </w:p>
    <w:p>
      <w:pPr>
        <w:spacing w:after="0" w:line="207"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(i)    The representations and warranties of each of the Company and the Operating Partnership in Section 5 of the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8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(ii)    Each of the Company and the Operating Partnership has complied in all material respects with all agreements and satisfied all conditions on its part to be performed or satisfied pursuant to the Agreement at or prior to the date hereof (other than those conditions waived by the applicable Sales Agent, Forward Seller and/or Forward Purchaser).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herein but not otherwise defined shall have the meanings assigned to such terms in the Agreement.</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980"/>
          </w:cols>
          <w:pgMar w:left="440" w:top="266" w:right="47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PILLSBURY WINTHROP SHAW PITTMAN LLP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909 Rose Avenue, Suite 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Bethesda, MD 20852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We are acting as counsel for Federal Realty Investment Trust, a Maryland real estate investment trust (the “Company”), in connection with the issuance and sale, from time to time, of up to $750,000,000 aggregate offering price of common shares of beneficial interest (the “Shares”), par value $.01 per share, of the Company, all of which are authorized but heretofore unissued shares to be offered and sold by the Company, pursuant to the Registration Statement on Form S-3 (Registration No. 333-277767) (the “Registration Statement”), filed by the Company with the Securities and Exchange Commission (the “Commission”) under the Securities Act of 1933 (the “Act”), and related prospectus, dated March 8, 2024, as supplemented by the prospectus supplement dated February 14, 2025 relating to the offer and sale of the Shares (as so supplemented, the “Prospectus”).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reviewed and are familiar with such documents, corporate proceedings and other matters as we have considered relevant or necessary as a basis for the opinions in this letter. Based on the foregoing, we are of the opinion that the Shares have been duly authorized and, when issued and sold by the Company in the manner described in the Registration Statement and the Prospectus and in accordance with the resolutions adopted by the Board of Trustees of the Company and the Pricing Committee thereof, will be validly issued, fully paid and nonassessable.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set forth in this letter are limited to the Maryland General Corporation Law and the Maryland REIT Law as in effect on the date hereof.</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have assumed that (a) at or prior to the time of the delivery of any of the Shares, the Registration Statement will be effective under the Act, (b) at or prior to the time of the delivery of any of the Shares, the Company has a sufficient number of authorized but unissued shares of Common Stock under the declaration of trust of the Company at the time of such delivery, and (c) the Board of Trustees of the Company shall not have rescinded or otherwise modified the authorization of the Shares. We have further assumed the accuracy and completeness of all agreements, documents, records, certificates and other materials submitted to us, the conformity with the originals of all such materials submitted to us as copies (whether or not certified and including facsimiles), the authenticity of the originals of such materials and all materials submitted to us as originals, the genuineness of all signatures and the legal capacity of all natural persons.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Company’s Current Report on Form 8-K filed by the Company with the Commission on the date hereof and the incorporation thereof in the Registration Statement and to the use of our name under the caption “Legal Matters” in the Prospectus. In giving this consent, we do not thereby admit that we are within the category of persons whose consent is required under Section 7 of the Act or the rules and regulations of the Commission promulgated thereunder.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PILLSBURY WINTHROP SHAW PITTMAN LLP</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1)"/>
      <w:numFmt w:val="lowerLetter"/>
      <w:start w:val="1"/>
    </w:lvl>
  </w:abstractNum>
  <w:abstractNum w:abstractNumId="2">
    <w:nsid w:val="75C6C33A"/>
    <w:multiLevelType w:val="hybridMultilevel"/>
    <w:lvl w:ilvl="0">
      <w:lvlJc w:val="left"/>
      <w:lvlText w:val=" "/>
      <w:numFmt w:val="bullet"/>
      <w:start w:val="1"/>
    </w:lvl>
  </w:abstractNum>
  <w:abstractNum w:abstractNumId="3">
    <w:nsid w:val="12E685FB"/>
    <w:multiLevelType w:val="hybridMultilevel"/>
    <w:lvl w:ilvl="0">
      <w:lvlJc w:val="left"/>
      <w:lvlText w:val="(%1)"/>
      <w:numFmt w:val="lowerRoman"/>
      <w:start w:val="1"/>
    </w:lvl>
  </w:abstractNum>
  <w:abstractNum w:abstractNumId="4">
    <w:nsid w:val="70C6A529"/>
    <w:multiLevelType w:val="hybridMultilevel"/>
    <w:lvl w:ilvl="0">
      <w:lvlJc w:val="left"/>
      <w:lvlText w:val="%1)"/>
      <w:numFmt w:val="lowerLetter"/>
      <w:start w:val="1"/>
    </w:lvl>
  </w:abstractNum>
  <w:abstractNum w:abstractNumId="5">
    <w:nsid w:val="520EEDD1"/>
    <w:multiLevelType w:val="hybridMultilevel"/>
    <w:lvl w:ilvl="0">
      <w:lvlJc w:val="left"/>
      <w:lvlText w:val="%1)"/>
      <w:numFmt w:val="lowerLetter"/>
      <w:start w:val="3"/>
    </w:lvl>
  </w:abstractNum>
  <w:abstractNum w:abstractNumId="6">
    <w:nsid w:val="374A3FE6"/>
    <w:multiLevelType w:val="hybridMultilevel"/>
    <w:lvl w:ilvl="0">
      <w:lvlJc w:val="left"/>
      <w:lvlText w:val="(%1)"/>
      <w:numFmt w:val="lowerLetter"/>
      <w:start w:val="1"/>
    </w:lvl>
  </w:abstractNum>
  <w:abstractNum w:abstractNumId="7">
    <w:nsid w:val="4F4EF005"/>
    <w:multiLevelType w:val="hybridMultilevel"/>
    <w:lvl w:ilvl="0">
      <w:lvlJc w:val="left"/>
      <w:lvlText w:val="(%1)"/>
      <w:numFmt w:val="lowerLetter"/>
      <w:start w:val="3"/>
    </w:lvl>
  </w:abstractNum>
  <w:abstractNum w:abstractNumId="8">
    <w:nsid w:val="23F9C13C"/>
    <w:multiLevelType w:val="hybridMultilevel"/>
    <w:lvl w:ilvl="0">
      <w:lvlJc w:val="left"/>
      <w:lvlText w:val="(%1)"/>
      <w:numFmt w:val="lowerLetter"/>
      <w:start w:val="1"/>
    </w:lvl>
  </w:abstractNum>
  <w:abstractNum w:abstractNumId="9">
    <w:nsid w:val="649BB77C"/>
    <w:multiLevelType w:val="hybridMultilevel"/>
    <w:lvl w:ilvl="0">
      <w:lvlJc w:val="left"/>
      <w:lvlText w:val="(%1)"/>
      <w:numFmt w:val="lowerLetter"/>
      <w:start w:val="1"/>
    </w:lvl>
  </w:abstractNum>
  <w:abstractNum w:abstractNumId="10">
    <w:nsid w:val="275AC794"/>
    <w:multiLevelType w:val="hybridMultilevel"/>
    <w:lvl w:ilvl="0">
      <w:lvlJc w:val="left"/>
      <w:lvlText w:val="(%1)"/>
      <w:numFmt w:val="lowerLetter"/>
      <w:start w:val="1"/>
    </w:lvl>
    <w:lvl w:ilvl="1">
      <w:lvlJc w:val="left"/>
      <w:lvlText w:val="(%2)"/>
      <w:numFmt w:val="decimal"/>
      <w:start w:val="1"/>
    </w:lvl>
  </w:abstractNum>
  <w:abstractNum w:abstractNumId="11">
    <w:nsid w:val="39386575"/>
    <w:multiLevelType w:val="hybridMultilevel"/>
    <w:lvl w:ilvl="0">
      <w:lvlJc w:val="left"/>
      <w:lvlText w:val="(%1)"/>
      <w:numFmt w:val="decimal"/>
      <w:start w:val="2"/>
    </w:lvl>
  </w:abstractNum>
  <w:abstractNum w:abstractNumId="12">
    <w:nsid w:val="1CF10FD8"/>
    <w:multiLevelType w:val="hybridMultilevel"/>
    <w:lvl w:ilvl="0">
      <w:lvlJc w:val="left"/>
      <w:lvlText w:val="(%1)"/>
      <w:numFmt w:val="decimal"/>
      <w:start w:val="3"/>
    </w:lvl>
  </w:abstractNum>
  <w:abstractNum w:abstractNumId="13">
    <w:nsid w:val="180115BE"/>
    <w:multiLevelType w:val="hybridMultilevel"/>
    <w:lvl w:ilvl="0">
      <w:lvlJc w:val="left"/>
      <w:lvlText w:val="(%1)"/>
      <w:numFmt w:val="upperLetter"/>
      <w:start w:val="2"/>
    </w:lvl>
    <w:lvl w:ilvl="1">
      <w:lvlJc w:val="left"/>
      <w:lvlText w:val="(%2)"/>
      <w:numFmt w:val="decimal"/>
      <w:start w:val="5"/>
    </w:lvl>
  </w:abstractNum>
  <w:abstractNum w:abstractNumId="14">
    <w:nsid w:val="235BA861"/>
    <w:multiLevelType w:val="hybridMultilevel"/>
    <w:lvl w:ilvl="0">
      <w:lvlJc w:val="left"/>
      <w:lvlText w:val="(%1)"/>
      <w:numFmt w:val="decimal"/>
      <w:start w:val="7"/>
    </w:lvl>
  </w:abstractNum>
  <w:abstractNum w:abstractNumId="15">
    <w:nsid w:val="47398C89"/>
    <w:multiLevelType w:val="hybridMultilevel"/>
    <w:lvl w:ilvl="0">
      <w:lvlJc w:val="left"/>
      <w:lvlText w:val="(%1)"/>
      <w:numFmt w:val="decimal"/>
      <w:start w:val="10"/>
    </w:lvl>
  </w:abstractNum>
  <w:abstractNum w:abstractNumId="16">
    <w:nsid w:val="354FE9F9"/>
    <w:multiLevelType w:val="hybridMultilevel"/>
    <w:lvl w:ilvl="0">
      <w:lvlJc w:val="left"/>
      <w:lvlText w:val="(%1)"/>
      <w:numFmt w:val="decimal"/>
      <w:start w:val="13"/>
    </w:lvl>
  </w:abstractNum>
  <w:abstractNum w:abstractNumId="17">
    <w:nsid w:val="15B5AF5C"/>
    <w:multiLevelType w:val="hybridMultilevel"/>
    <w:lvl w:ilvl="0">
      <w:lvlJc w:val="left"/>
      <w:lvlText w:val="(%1)"/>
      <w:numFmt w:val="decimal"/>
      <w:start w:val="15"/>
    </w:lvl>
  </w:abstractNum>
  <w:abstractNum w:abstractNumId="18">
    <w:nsid w:val="741226BB"/>
    <w:multiLevelType w:val="hybridMultilevel"/>
    <w:lvl w:ilvl="0">
      <w:lvlJc w:val="left"/>
      <w:lvlText w:val="(%1)"/>
      <w:numFmt w:val="decimal"/>
      <w:start w:val="19"/>
    </w:lvl>
  </w:abstractNum>
  <w:abstractNum w:abstractNumId="19">
    <w:nsid w:val="D34B6A8"/>
    <w:multiLevelType w:val="hybridMultilevel"/>
    <w:lvl w:ilvl="0">
      <w:lvlJc w:val="left"/>
      <w:lvlText w:val="(%1)"/>
      <w:numFmt w:val="decimal"/>
      <w:start w:val="22"/>
    </w:lvl>
  </w:abstractNum>
  <w:abstractNum w:abstractNumId="20">
    <w:nsid w:val="10233C99"/>
    <w:multiLevelType w:val="hybridMultilevel"/>
    <w:lvl w:ilvl="0">
      <w:lvlJc w:val="left"/>
      <w:lvlText w:val="(%1)"/>
      <w:numFmt w:val="decimal"/>
      <w:start w:val="26"/>
    </w:lvl>
  </w:abstractNum>
  <w:abstractNum w:abstractNumId="21">
    <w:nsid w:val="3F6AB60F"/>
    <w:multiLevelType w:val="hybridMultilevel"/>
    <w:lvl w:ilvl="0">
      <w:lvlJc w:val="left"/>
      <w:lvlText w:val="(%1)"/>
      <w:numFmt w:val="decimal"/>
      <w:start w:val="29"/>
    </w:lvl>
  </w:abstractNum>
  <w:abstractNum w:abstractNumId="22">
    <w:nsid w:val="61574095"/>
    <w:multiLevelType w:val="hybridMultilevel"/>
    <w:lvl w:ilvl="0">
      <w:lvlJc w:val="left"/>
      <w:lvlText w:val="(%1)"/>
      <w:numFmt w:val="decimal"/>
      <w:start w:val="34"/>
    </w:lvl>
  </w:abstractNum>
  <w:abstractNum w:abstractNumId="23">
    <w:nsid w:val="7E0C57B1"/>
    <w:multiLevelType w:val="hybridMultilevel"/>
    <w:lvl w:ilvl="0">
      <w:lvlJc w:val="left"/>
      <w:lvlText w:val="(%1)"/>
      <w:numFmt w:val="lowerLetter"/>
      <w:start w:val="2"/>
    </w:lvl>
  </w:abstractNum>
  <w:abstractNum w:abstractNumId="24">
    <w:nsid w:val="77AE35EB"/>
    <w:multiLevelType w:val="hybridMultilevel"/>
    <w:lvl w:ilvl="0">
      <w:lvlJc w:val="left"/>
      <w:lvlText w:val="(%1)"/>
      <w:numFmt w:val="lowerLetter"/>
      <w:start w:val="1"/>
    </w:lvl>
  </w:abstractNum>
  <w:abstractNum w:abstractNumId="25">
    <w:nsid w:val="579BE4F1"/>
    <w:multiLevelType w:val="hybridMultilevel"/>
    <w:lvl w:ilvl="0">
      <w:lvlJc w:val="left"/>
      <w:lvlText w:val="(%1)"/>
      <w:numFmt w:val="lowerLetter"/>
      <w:start w:val="3"/>
    </w:lvl>
  </w:abstractNum>
  <w:abstractNum w:abstractNumId="26">
    <w:nsid w:val="310C50B3"/>
    <w:multiLevelType w:val="hybridMultilevel"/>
    <w:lvl w:ilvl="0">
      <w:lvlJc w:val="left"/>
      <w:lvlText w:val="%1"/>
      <w:numFmt w:val="upperLetter"/>
      <w:start w:val="1"/>
    </w:lvl>
    <w:lvl w:ilvl="1">
      <w:lvlJc w:val="left"/>
      <w:lvlText w:val="(%2)"/>
      <w:numFmt w:val="lowerLetter"/>
      <w:start w:val="7"/>
    </w:lvl>
  </w:abstractNum>
  <w:abstractNum w:abstractNumId="27">
    <w:nsid w:val="5FF87E05"/>
    <w:multiLevelType w:val="hybridMultilevel"/>
    <w:lvl w:ilvl="0">
      <w:lvlJc w:val="left"/>
      <w:lvlText w:val="(%1)"/>
      <w:numFmt w:val="upperLetter"/>
      <w:start w:val="1"/>
    </w:lvl>
    <w:lvl w:ilvl="1">
      <w:lvlJc w:val="left"/>
      <w:lvlText w:val="(%2)"/>
      <w:numFmt w:val="lowerLetter"/>
      <w:start w:val="8"/>
    </w:lvl>
  </w:abstractNum>
  <w:abstractNum w:abstractNumId="28">
    <w:nsid w:val="2F305DEF"/>
    <w:multiLevelType w:val="hybridMultilevel"/>
    <w:lvl w:ilvl="0">
      <w:lvlJc w:val="left"/>
      <w:lvlText w:val="%1"/>
      <w:numFmt w:val="lowerLetter"/>
      <w:start w:val="1"/>
    </w:lvl>
    <w:lvl w:ilvl="1">
      <w:lvlJc w:val="left"/>
      <w:lvlText w:val="(%2)"/>
      <w:numFmt w:val="lowerLetter"/>
      <w:start w:val="10"/>
    </w:lvl>
  </w:abstractNum>
  <w:abstractNum w:abstractNumId="29">
    <w:nsid w:val="25A70BF7"/>
    <w:multiLevelType w:val="hybridMultilevel"/>
    <w:lvl w:ilvl="0">
      <w:lvlJc w:val="left"/>
      <w:lvlText w:val="(%1)"/>
      <w:numFmt w:val="lowerLetter"/>
      <w:start w:val="61"/>
    </w:lvl>
    <w:lvl w:ilvl="1">
      <w:lvlJc w:val="left"/>
      <w:lvlText w:val="%2"/>
      <w:numFmt w:val="lowerLetter"/>
      <w:start w:val="1"/>
    </w:lvl>
  </w:abstractNum>
  <w:abstractNum w:abstractNumId="30">
    <w:nsid w:val="1DBABF00"/>
    <w:multiLevelType w:val="hybridMultilevel"/>
    <w:lvl w:ilvl="0">
      <w:lvlJc w:val="left"/>
      <w:lvlText w:val="(%1)"/>
      <w:numFmt w:val="lowerLetter"/>
      <w:start w:val="9"/>
    </w:lvl>
    <w:lvl w:ilvl="1">
      <w:lvlJc w:val="left"/>
      <w:lvlText w:val="%2"/>
      <w:numFmt w:val="lowerLetter"/>
      <w:start w:val="1"/>
    </w:lvl>
  </w:abstractNum>
  <w:abstractNum w:abstractNumId="31">
    <w:nsid w:val="4AD084E9"/>
    <w:multiLevelType w:val="hybridMultilevel"/>
    <w:lvl w:ilvl="0">
      <w:lvlJc w:val="left"/>
      <w:lvlText w:val="(%1)"/>
      <w:numFmt w:val="lowerLetter"/>
      <w:start w:val="1"/>
    </w:lvl>
  </w:abstractNum>
  <w:abstractNum w:abstractNumId="32">
    <w:nsid w:val="1F48EAA1"/>
    <w:multiLevelType w:val="hybridMultilevel"/>
    <w:lvl w:ilvl="0">
      <w:lvlJc w:val="left"/>
      <w:lvlText w:val="(%1)"/>
      <w:numFmt w:val="lowerLetter"/>
      <w:start w:val="2"/>
    </w:lvl>
  </w:abstractNum>
  <w:abstractNum w:abstractNumId="33">
    <w:nsid w:val="1381823A"/>
    <w:multiLevelType w:val="hybridMultilevel"/>
    <w:lvl w:ilvl="0">
      <w:lvlJc w:val="left"/>
      <w:lvlText w:val="(%1)"/>
      <w:numFmt w:val="lowerLetter"/>
      <w:start w:val="3"/>
    </w:lvl>
  </w:abstractNum>
  <w:abstractNum w:abstractNumId="34">
    <w:nsid w:val="5DB70AE5"/>
    <w:multiLevelType w:val="hybridMultilevel"/>
    <w:lvl w:ilvl="0">
      <w:lvlJc w:val="left"/>
      <w:lvlText w:val="(%1)"/>
      <w:numFmt w:val="lowerLetter"/>
      <w:start w:val="5"/>
    </w:lvl>
  </w:abstractNum>
  <w:abstractNum w:abstractNumId="35">
    <w:nsid w:val="100F8FCA"/>
    <w:multiLevelType w:val="hybridMultilevel"/>
    <w:lvl w:ilvl="0">
      <w:lvlJc w:val="left"/>
      <w:lvlText w:val="%1"/>
      <w:numFmt w:val="lowerLetter"/>
      <w:start w:val="1"/>
    </w:lvl>
    <w:lvl w:ilvl="1">
      <w:lvlJc w:val="left"/>
      <w:lvlText w:val="(%2)"/>
      <w:numFmt w:val="lowerLetter"/>
      <w:start w:val="11"/>
    </w:lvl>
  </w:abstractNum>
  <w:abstractNum w:abstractNumId="36">
    <w:nsid w:val="6590700B"/>
    <w:multiLevelType w:val="hybridMultilevel"/>
    <w:lvl w:ilvl="0">
      <w:lvlJc w:val="left"/>
      <w:lvlText w:val="(%1)"/>
      <w:numFmt w:val="lowerLetter"/>
      <w:start w:val="22"/>
    </w:lvl>
    <w:lvl w:ilvl="1">
      <w:lvlJc w:val="left"/>
      <w:lvlText w:val="(%2)"/>
      <w:numFmt w:val="lowerLetter"/>
      <w:start w:val="12"/>
    </w:lvl>
  </w:abstractNum>
  <w:abstractNum w:abstractNumId="37">
    <w:nsid w:val="15014ACB"/>
    <w:multiLevelType w:val="hybridMultilevel"/>
    <w:lvl w:ilvl="0">
      <w:lvlJc w:val="left"/>
      <w:lvlText w:val="(%1)"/>
      <w:numFmt w:val="lowerLetter"/>
      <w:start w:val="14"/>
    </w:lvl>
    <w:lvl w:ilvl="1">
      <w:lvlJc w:val="left"/>
      <w:lvlText w:val="(%2)"/>
      <w:numFmt w:val="decimal"/>
      <w:start w:val="1"/>
    </w:lvl>
    <w:lvl w:ilvl="2">
      <w:lvlJc w:val="left"/>
      <w:lvlText w:val="(%3)"/>
      <w:numFmt w:val="lowerRoman"/>
      <w:start w:val="1"/>
    </w:lvl>
  </w:abstractNum>
  <w:abstractNum w:abstractNumId="38">
    <w:nsid w:val="5F5E7FD0"/>
    <w:multiLevelType w:val="hybridMultilevel"/>
    <w:lvl w:ilvl="0">
      <w:lvlJc w:val="left"/>
      <w:lvlText w:val="(%1)"/>
      <w:numFmt w:val="lowerLetter"/>
      <w:start w:val="16"/>
    </w:lvl>
  </w:abstractNum>
  <w:abstractNum w:abstractNumId="39">
    <w:nsid w:val="98A3148"/>
    <w:multiLevelType w:val="hybridMultilevel"/>
    <w:lvl w:ilvl="0">
      <w:lvlJc w:val="left"/>
      <w:lvlText w:val="(%1)"/>
      <w:numFmt w:val="lowerLetter"/>
      <w:start w:val="19"/>
    </w:lvl>
  </w:abstractNum>
  <w:abstractNum w:abstractNumId="40">
    <w:nsid w:val="799D0247"/>
    <w:multiLevelType w:val="hybridMultilevel"/>
    <w:lvl w:ilvl="0">
      <w:lvlJc w:val="left"/>
      <w:lvlText w:val="(%1)"/>
      <w:numFmt w:val="lowerLetter"/>
      <w:start w:val="23"/>
    </w:lvl>
  </w:abstractNum>
  <w:abstractNum w:abstractNumId="41">
    <w:nsid w:val="6B94764"/>
    <w:multiLevelType w:val="hybridMultilevel"/>
    <w:lvl w:ilvl="0">
      <w:lvlJc w:val="left"/>
      <w:lvlText w:val="(%1)"/>
      <w:numFmt w:val="lowerLetter"/>
      <w:start w:val="27"/>
    </w:lvl>
  </w:abstractNum>
  <w:abstractNum w:abstractNumId="42">
    <w:nsid w:val="42C296BD"/>
    <w:multiLevelType w:val="hybridMultilevel"/>
    <w:lvl w:ilvl="0">
      <w:lvlJc w:val="left"/>
      <w:lvlText w:val="(%1)"/>
      <w:numFmt w:val="lowerLetter"/>
      <w:start w:val="29"/>
    </w:lvl>
  </w:abstractNum>
  <w:abstractNum w:abstractNumId="43">
    <w:nsid w:val="168E121F"/>
    <w:multiLevelType w:val="hybridMultilevel"/>
    <w:lvl w:ilvl="0">
      <w:lvlJc w:val="left"/>
      <w:lvlText w:val="%1"/>
      <w:numFmt w:val="lowerRoman"/>
      <w:start w:val="1"/>
    </w:lvl>
    <w:lvl w:ilvl="1">
      <w:lvlJc w:val="left"/>
      <w:lvlText w:val="(%2)"/>
      <w:numFmt w:val="lowerLetter"/>
      <w:start w:val="1"/>
    </w:lvl>
  </w:abstractNum>
  <w:abstractNum w:abstractNumId="44">
    <w:nsid w:val="1EBA5D23"/>
    <w:multiLevelType w:val="hybridMultilevel"/>
    <w:lvl w:ilvl="0">
      <w:lvlJc w:val="left"/>
      <w:lvlText w:val="(%1)"/>
      <w:numFmt w:val="lowerRoman"/>
      <w:start w:val="6"/>
    </w:lvl>
    <w:lvl w:ilvl="1">
      <w:lvlJc w:val="left"/>
      <w:lvlText w:val="%2"/>
      <w:numFmt w:val="lowerLetter"/>
      <w:start w:val="1"/>
    </w:lvl>
  </w:abstractNum>
  <w:abstractNum w:abstractNumId="45">
    <w:nsid w:val="661E3F1E"/>
    <w:multiLevelType w:val="hybridMultilevel"/>
    <w:lvl w:ilvl="0">
      <w:lvlJc w:val="left"/>
      <w:lvlText w:val="(%1)"/>
      <w:numFmt w:val="lowerLetter"/>
      <w:start w:val="2"/>
    </w:lvl>
  </w:abstractNum>
  <w:abstractNum w:abstractNumId="46">
    <w:nsid w:val="5DC79EA8"/>
    <w:multiLevelType w:val="hybridMultilevel"/>
    <w:lvl w:ilvl="0">
      <w:lvlJc w:val="left"/>
      <w:lvlText w:val="(%1)"/>
      <w:numFmt w:val="lowerLetter"/>
      <w:start w:val="1"/>
    </w:lvl>
  </w:abstractNum>
  <w:abstractNum w:abstractNumId="47">
    <w:nsid w:val="540A471C"/>
    <w:multiLevelType w:val="hybridMultilevel"/>
    <w:lvl w:ilvl="0">
      <w:lvlJc w:val="left"/>
      <w:lvlText w:val="(%1)"/>
      <w:numFmt w:val="lowerLetter"/>
      <w:start w:val="3"/>
    </w:lvl>
  </w:abstractNum>
  <w:abstractNum w:abstractNumId="48">
    <w:nsid w:val="7BD3EE7B"/>
    <w:multiLevelType w:val="hybridMultilevel"/>
    <w:lvl w:ilvl="0">
      <w:lvlJc w:val="left"/>
      <w:lvlText w:val="(%1)"/>
      <w:numFmt w:val="lowerLetter"/>
      <w:start w:val="10"/>
    </w:lvl>
  </w:abstractNum>
  <w:abstractNum w:abstractNumId="49">
    <w:nsid w:val="51D9C564"/>
    <w:multiLevelType w:val="hybridMultilevel"/>
    <w:lvl w:ilvl="0">
      <w:lvlJc w:val="left"/>
      <w:lvlText w:val="(%1)"/>
      <w:numFmt w:val="lowerLetter"/>
      <w:start w:val="1"/>
    </w:lvl>
  </w:abstractNum>
  <w:abstractNum w:abstractNumId="50">
    <w:nsid w:val="613EFDC5"/>
    <w:multiLevelType w:val="hybridMultilevel"/>
    <w:lvl w:ilvl="0">
      <w:lvlJc w:val="left"/>
      <w:lvlText w:val="(%1)"/>
      <w:numFmt w:val="lowerLetter"/>
      <w:start w:val="2"/>
    </w:lvl>
  </w:abstractNum>
  <w:abstractNum w:abstractNumId="51">
    <w:nsid w:val="BF72B14"/>
    <w:multiLevelType w:val="hybridMultilevel"/>
    <w:lvl w:ilvl="0">
      <w:lvlJc w:val="left"/>
      <w:lvlText w:val="(%1)"/>
      <w:numFmt w:val="lowerRoman"/>
      <w:start w:val="1"/>
    </w:lvl>
  </w:abstractNum>
  <w:abstractNum w:abstractNumId="52">
    <w:nsid w:val="11447B73"/>
    <w:multiLevelType w:val="hybridMultilevel"/>
    <w:lvl w:ilvl="0">
      <w:lvlJc w:val="left"/>
      <w:lvlText w:val="(%1)"/>
      <w:numFmt w:val="lowerLetter"/>
      <w:start w:val="1"/>
    </w:lvl>
  </w:abstractNum>
  <w:abstractNum w:abstractNumId="53">
    <w:nsid w:val="42963E5A"/>
    <w:multiLevelType w:val="hybridMultilevel"/>
    <w:lvl w:ilvl="0">
      <w:lvlJc w:val="left"/>
      <w:lvlText w:val="%1"/>
      <w:numFmt w:val="lowerLetter"/>
      <w:start w:val="1"/>
    </w:lvl>
    <w:lvl w:ilvl="1">
      <w:lvlJc w:val="left"/>
      <w:lvlText w:val="(%2)"/>
      <w:numFmt w:val="lowerLetter"/>
      <w:start w:val="2"/>
    </w:lvl>
  </w:abstractNum>
  <w:abstractNum w:abstractNumId="54">
    <w:nsid w:val="A0382C5"/>
    <w:multiLevelType w:val="hybridMultilevel"/>
    <w:lvl w:ilvl="0">
      <w:lvlJc w:val="left"/>
      <w:lvlText w:val="(%1)"/>
      <w:numFmt w:val="lowerLetter"/>
      <w:start w:val="3"/>
    </w:lvl>
    <w:lvl w:ilvl="1">
      <w:lvlJc w:val="left"/>
      <w:lvlText w:val="(%2)"/>
      <w:numFmt w:val="lowerLetter"/>
      <w:start w:val="6"/>
    </w:lvl>
  </w:abstractNum>
  <w:abstractNum w:abstractNumId="55">
    <w:nsid w:val="8F2B15E"/>
    <w:multiLevelType w:val="hybridMultilevel"/>
    <w:lvl w:ilvl="0">
      <w:lvlJc w:val="left"/>
      <w:lvlText w:val="(%1)"/>
      <w:numFmt w:val="lowerLetter"/>
      <w:start w:val="7"/>
    </w:lvl>
  </w:abstractNum>
  <w:abstractNum w:abstractNumId="56">
    <w:nsid w:val="1A32234B"/>
    <w:multiLevelType w:val="hybridMultilevel"/>
    <w:lvl w:ilvl="0">
      <w:lvlJc w:val="left"/>
      <w:lvlText w:val="(%1)"/>
      <w:numFmt w:val="lowerRoman"/>
      <w:start w:val="1"/>
    </w:lvl>
  </w:abstractNum>
  <w:abstractNum w:abstractNumId="57">
    <w:nsid w:val="3B0FD379"/>
    <w:multiLevelType w:val="hybridMultilevel"/>
    <w:lvl w:ilvl="0">
      <w:lvlJc w:val="left"/>
      <w:lvlText w:val="(%1)"/>
      <w:numFmt w:val="lowerLetter"/>
      <w:start w:val="1"/>
    </w:lvl>
  </w:abstractNum>
  <w:abstractNum w:abstractNumId="58">
    <w:nsid w:val="68EB2F63"/>
    <w:multiLevelType w:val="hybridMultilevel"/>
    <w:lvl w:ilvl="0">
      <w:lvlJc w:val="left"/>
      <w:lvlText w:val="1"/>
      <w:numFmt w:val="bullet"/>
      <w:start w:val="1"/>
    </w:lvl>
  </w:abstractNum>
  <w:abstractNum w:abstractNumId="59">
    <w:nsid w:val="4962813B"/>
    <w:multiLevelType w:val="hybridMultilevel"/>
    <w:lvl w:ilvl="0">
      <w:lvlJc w:val="left"/>
      <w:lvlText w:val="2"/>
      <w:numFmt w:val="bullet"/>
      <w:start w:val="1"/>
    </w:lvl>
  </w:abstractNum>
  <w:abstractNum w:abstractNumId="60">
    <w:nsid w:val="60B6DF70"/>
    <w:multiLevelType w:val="hybridMultilevel"/>
    <w:lvl w:ilvl="0">
      <w:lvlJc w:val="left"/>
      <w:lvlText w:val="3"/>
      <w:numFmt w:val="bullet"/>
      <w:start w:val="1"/>
    </w:lvl>
  </w:abstractNum>
  <w:abstractNum w:abstractNumId="61">
    <w:nsid w:val="6A5EE64"/>
    <w:multiLevelType w:val="hybridMultilevel"/>
    <w:lvl w:ilvl="0">
      <w:lvlJc w:val="left"/>
      <w:lvlText w:val="4"/>
      <w:numFmt w:val="bullet"/>
      <w:start w:val="1"/>
    </w:lvl>
  </w:abstractNum>
  <w:abstractNum w:abstractNumId="62">
    <w:nsid w:val="14330624"/>
    <w:multiLevelType w:val="hybridMultilevel"/>
    <w:lvl w:ilvl="0">
      <w:lvlJc w:val="left"/>
      <w:lvlText w:val="5"/>
      <w:numFmt w:val="bullet"/>
      <w:start w:val="1"/>
    </w:lvl>
  </w:abstractNum>
  <w:abstractNum w:abstractNumId="63">
    <w:nsid w:val="7FFFCA11"/>
    <w:multiLevelType w:val="hybridMultilevel"/>
    <w:lvl w:ilvl="0">
      <w:lvlJc w:val="left"/>
      <w:lvlText w:val="6"/>
      <w:numFmt w:val="bullet"/>
      <w:start w:val="1"/>
    </w:lvl>
  </w:abstractNum>
  <w:abstractNum w:abstractNumId="64">
    <w:nsid w:val="1A27709E"/>
    <w:multiLevelType w:val="hybridMultilevel"/>
    <w:lvl w:ilvl="0">
      <w:lvlJc w:val="left"/>
      <w:lvlText w:val="7"/>
      <w:numFmt w:val="bullet"/>
      <w:start w:val="1"/>
    </w:lvl>
  </w:abstractNum>
  <w:abstractNum w:abstractNumId="65">
    <w:nsid w:val="71EA1109"/>
    <w:multiLevelType w:val="hybridMultilevel"/>
    <w:lvl w:ilvl="0">
      <w:lvlJc w:val="left"/>
      <w:lvlText w:val="8"/>
      <w:numFmt w:val="bullet"/>
      <w:start w:val="1"/>
    </w:lvl>
  </w:abstractNum>
  <w:abstractNum w:abstractNumId="66">
    <w:nsid w:val="100F59DC"/>
    <w:multiLevelType w:val="hybridMultilevel"/>
    <w:lvl w:ilvl="0">
      <w:lvlJc w:val="left"/>
      <w:lvlText w:val="9"/>
      <w:numFmt w:val="bullet"/>
      <w:start w:val="1"/>
    </w:lvl>
  </w:abstractNum>
  <w:abstractNum w:abstractNumId="67">
    <w:nsid w:val="7FB7E0AA"/>
    <w:multiLevelType w:val="hybridMultilevel"/>
    <w:lvl w:ilvl="0">
      <w:lvlJc w:val="left"/>
      <w:lvlText w:val="%1."/>
      <w:numFmt w:val="decimal"/>
      <w:start w:val="1"/>
    </w:lvl>
  </w:abstractNum>
  <w:abstractNum w:abstractNumId="68">
    <w:nsid w:val="6EB5BD4"/>
    <w:multiLevelType w:val="hybridMultilevel"/>
    <w:lvl w:ilvl="0">
      <w:lvlJc w:val="left"/>
      <w:lvlText w:val="(%1)"/>
      <w:numFmt w:val="lowerRoman"/>
      <w:start w:val="1"/>
    </w:lvl>
  </w:abstractNum>
  <w:abstractNum w:abstractNumId="69">
    <w:nsid w:val="6F6DD9AC"/>
    <w:multiLevelType w:val="hybridMultilevel"/>
    <w:lvl w:ilvl="0">
      <w:lvlJc w:val="left"/>
      <w:lvlText w:val="%1."/>
      <w:numFmt w:val="decimal"/>
      <w:start w:val="6"/>
    </w:lvl>
    <w:lvl w:ilvl="1">
      <w:lvlJc w:val="left"/>
      <w:lvlText w:val="(%2)"/>
      <w:numFmt w:val="lowerLetter"/>
      <w:start w:val="1"/>
    </w:lvl>
  </w:abstractNum>
  <w:abstractNum w:abstractNumId="70">
    <w:nsid w:val="94211F2"/>
    <w:multiLevelType w:val="hybridMultilevel"/>
    <w:lvl w:ilvl="0">
      <w:lvlJc w:val="left"/>
      <w:lvlText w:val="%1."/>
      <w:numFmt w:val="decimal"/>
      <w:start w:val="7"/>
    </w:lvl>
    <w:lvl w:ilvl="1">
      <w:lvlJc w:val="left"/>
      <w:lvlText w:val="(%2)"/>
      <w:numFmt w:val="lowerLetter"/>
      <w:start w:val="1"/>
    </w:lvl>
  </w:abstractNum>
  <w:abstractNum w:abstractNumId="71">
    <w:nsid w:val="885E1B"/>
    <w:multiLevelType w:val="hybridMultilevel"/>
    <w:lvl w:ilvl="0">
      <w:lvlJc w:val="left"/>
      <w:lvlText w:val="(%1)"/>
      <w:numFmt w:val="lowerLetter"/>
      <w:start w:val="4"/>
    </w:lvl>
    <w:lvl w:ilvl="1">
      <w:lvlJc w:val="left"/>
      <w:lvlText w:val="(%2)"/>
      <w:numFmt w:val="lowerRoman"/>
      <w:start w:val="1"/>
    </w:lvl>
  </w:abstractNum>
  <w:abstractNum w:abstractNumId="72">
    <w:nsid w:val="76272110"/>
    <w:multiLevelType w:val="hybridMultilevel"/>
    <w:lvl w:ilvl="0">
      <w:lvlJc w:val="left"/>
      <w:lvlText w:val="(%1)"/>
      <w:numFmt w:val="lowerLetter"/>
      <w:start w:val="5"/>
    </w:lvl>
    <w:lvl w:ilvl="1">
      <w:lvlJc w:val="left"/>
      <w:lvlText w:val="(%2)"/>
      <w:numFmt w:val="lowerRoman"/>
      <w:start w:val="1"/>
    </w:lvl>
  </w:abstractNum>
  <w:abstractNum w:abstractNumId="73">
    <w:nsid w:val="4C04A8AF"/>
    <w:multiLevelType w:val="hybridMultilevel"/>
    <w:lvl w:ilvl="0">
      <w:lvlJc w:val="left"/>
      <w:lvlText w:val="(%1)"/>
      <w:numFmt w:val="lowerRoman"/>
      <w:start w:val="4"/>
    </w:lvl>
  </w:abstractNum>
  <w:abstractNum w:abstractNumId="74">
    <w:nsid w:val="1716703B"/>
    <w:multiLevelType w:val="hybridMultilevel"/>
    <w:lvl w:ilvl="0">
      <w:lvlJc w:val="left"/>
      <w:lvlText w:val="(%1)"/>
      <w:numFmt w:val="lowerRoman"/>
      <w:start w:val="9"/>
    </w:lvl>
  </w:abstractNum>
  <w:abstractNum w:abstractNumId="75">
    <w:nsid w:val="14E17E33"/>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5"/>
    </w:lvl>
  </w:abstractNum>
  <w:abstractNum w:abstractNumId="76">
    <w:nsid w:val="3222E7CD"/>
    <w:multiLevelType w:val="hybridMultilevel"/>
    <w:lvl w:ilvl="0">
      <w:lvlJc w:val="left"/>
      <w:lvlText w:val="(%1)"/>
      <w:numFmt w:val="lowerLetter"/>
      <w:start w:val="6"/>
    </w:lvl>
    <w:lvl w:ilvl="1">
      <w:lvlJc w:val="left"/>
      <w:lvlText w:val="(%2)"/>
      <w:numFmt w:val="upperLetter"/>
      <w:start w:val="1"/>
    </w:lvl>
    <w:lvl w:ilvl="2">
      <w:lvlJc w:val="left"/>
      <w:lvlText w:val="(%3)"/>
      <w:numFmt w:val="lowerRoman"/>
      <w:start w:val="1"/>
    </w:lvl>
  </w:abstractNum>
  <w:abstractNum w:abstractNumId="77">
    <w:nsid w:val="74DE0EE3"/>
    <w:multiLevelType w:val="hybridMultilevel"/>
    <w:lvl w:ilvl="0">
      <w:lvlJc w:val="left"/>
      <w:lvlText w:val="(%1)"/>
      <w:numFmt w:val="lowerRoman"/>
      <w:start w:val="3"/>
    </w:lvl>
  </w:abstractNum>
  <w:abstractNum w:abstractNumId="78">
    <w:nsid w:val="68EBC55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4"/>
    </w:lvl>
  </w:abstractNum>
  <w:abstractNum w:abstractNumId="79">
    <w:nsid w:val="2DF6D648"/>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1"/>
    </w:lvl>
  </w:abstractNum>
  <w:abstractNum w:abstractNumId="80">
    <w:nsid w:val="46B7D447"/>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1"/>
    </w:lvl>
  </w:abstractNum>
  <w:abstractNum w:abstractNumId="81">
    <w:nsid w:val="4A2AC315"/>
    <w:multiLevelType w:val="hybridMultilevel"/>
    <w:lvl w:ilvl="0">
      <w:lvlJc w:val="left"/>
      <w:lvlText w:val="(%1)"/>
      <w:numFmt w:val="lowerLetter"/>
      <w:start w:val="8"/>
    </w:lvl>
    <w:lvl w:ilvl="1">
      <w:lvlJc w:val="left"/>
      <w:lvlText w:val="(%2)"/>
      <w:numFmt w:val="lowerLetter"/>
      <w:start w:val="9"/>
    </w:lvl>
  </w:abstractNum>
  <w:abstractNum w:abstractNumId="82">
    <w:nsid w:val="39EE015C"/>
    <w:multiLevelType w:val="hybridMultilevel"/>
    <w:lvl w:ilvl="0">
      <w:lvlJc w:val="left"/>
      <w:lvlText w:val="%1"/>
      <w:numFmt w:val="lowerLetter"/>
      <w:start w:val="1"/>
    </w:lvl>
    <w:lvl w:ilvl="1">
      <w:lvlJc w:val="left"/>
      <w:lvlText w:val="(%2)"/>
      <w:numFmt w:val="lowerLetter"/>
      <w:start w:val="35"/>
    </w:lvl>
  </w:abstractNum>
  <w:abstractNum w:abstractNumId="83">
    <w:nsid w:val="57FC4FBB"/>
    <w:multiLevelType w:val="hybridMultilevel"/>
    <w:lvl w:ilvl="0">
      <w:lvlJc w:val="left"/>
      <w:lvlText w:val="(%1)"/>
      <w:numFmt w:val="lowerLetter"/>
      <w:start w:val="9"/>
    </w:lvl>
    <w:lvl w:ilvl="1">
      <w:lvlJc w:val="left"/>
      <w:lvlText w:val="%2"/>
      <w:numFmt w:val="lowerLetter"/>
      <w:start w:val="1"/>
    </w:lvl>
  </w:abstractNum>
  <w:abstractNum w:abstractNumId="84">
    <w:nsid w:val="CC1016F"/>
    <w:multiLevelType w:val="hybridMultilevel"/>
    <w:lvl w:ilvl="0">
      <w:lvlJc w:val="left"/>
      <w:lvlText w:val="(%1)"/>
      <w:numFmt w:val="lowerLetter"/>
      <w:start w:val="12"/>
    </w:lvl>
  </w:abstractNum>
  <w:abstractNum w:abstractNumId="85">
    <w:nsid w:val="43F18422"/>
    <w:multiLevelType w:val="hybridMultilevel"/>
    <w:lvl w:ilvl="0">
      <w:lvlJc w:val="left"/>
      <w:lvlText w:val="(%1)"/>
      <w:numFmt w:val="lowerLetter"/>
      <w:start w:val="17"/>
    </w:lvl>
  </w:abstractNum>
  <w:abstractNum w:abstractNumId="86">
    <w:nsid w:val="60EF0119"/>
    <w:multiLevelType w:val="hybridMultilevel"/>
    <w:lvl w:ilvl="0">
      <w:lvlJc w:val="left"/>
      <w:lvlText w:val="(%1)"/>
      <w:numFmt w:val="lowerRoman"/>
      <w:start w:val="1"/>
    </w:lvl>
  </w:abstractNum>
  <w:abstractNum w:abstractNumId="87">
    <w:nsid w:val="26F324BA"/>
    <w:multiLevelType w:val="hybridMultilevel"/>
    <w:lvl w:ilvl="0">
      <w:lvlJc w:val="left"/>
      <w:lvlText w:val="(%1)"/>
      <w:numFmt w:val="lowerLetter"/>
      <w:start w:val="18"/>
    </w:lvl>
    <w:lvl w:ilvl="1">
      <w:lvlJc w:val="left"/>
      <w:lvlText w:val="(%2)"/>
      <w:numFmt w:val="lowerLetter"/>
      <w:start w:val="9"/>
    </w:lvl>
  </w:abstractNum>
  <w:abstractNum w:abstractNumId="88">
    <w:nsid w:val="7F01579B"/>
    <w:multiLevelType w:val="hybridMultilevel"/>
    <w:lvl w:ilvl="0">
      <w:lvlJc w:val="left"/>
      <w:lvlText w:val="(%1)"/>
      <w:numFmt w:val="lowerRoman"/>
      <w:start w:val="2"/>
    </w:lvl>
  </w:abstractNum>
  <w:abstractNum w:abstractNumId="89">
    <w:nsid w:val="49DA307D"/>
    <w:multiLevelType w:val="hybridMultilevel"/>
    <w:lvl w:ilvl="0">
      <w:lvlJc w:val="left"/>
      <w:lvlText w:val="%1."/>
      <w:numFmt w:val="lowerLetter"/>
      <w:start w:val="1"/>
    </w:lvl>
  </w:abstractNum>
  <w:abstractNum w:abstractNumId="90">
    <w:nsid w:val="7055A5F5"/>
    <w:multiLevelType w:val="hybridMultilevel"/>
    <w:lvl w:ilvl="0">
      <w:lvlJc w:val="left"/>
      <w:lvlText w:val="%1"/>
      <w:numFmt w:val="lowerRoman"/>
      <w:start w:val="1"/>
    </w:lvl>
    <w:lvl w:ilvl="1">
      <w:lvlJc w:val="left"/>
      <w:lvlText w:val="%2."/>
      <w:numFmt w:val="lowerLetter"/>
      <w:start w:val="1"/>
    </w:lvl>
  </w:abstractNum>
  <w:abstractNum w:abstractNumId="91">
    <w:nsid w:val="5FB8370B"/>
    <w:multiLevelType w:val="hybridMultilevel"/>
    <w:lvl w:ilvl="0">
      <w:lvlJc w:val="left"/>
      <w:lvlText w:val="(%1)"/>
      <w:numFmt w:val="lowerRoman"/>
      <w:start w:val="3"/>
    </w:lvl>
    <w:lvl w:ilvl="1">
      <w:lvlJc w:val="left"/>
      <w:lvlText w:val="%2"/>
      <w:numFmt w:val="lowerLetter"/>
      <w:start w:val="1"/>
    </w:lvl>
  </w:abstractNum>
  <w:abstractNum w:abstractNumId="92">
    <w:nsid w:val="50801EE1"/>
    <w:multiLevelType w:val="hybridMultilevel"/>
    <w:lvl w:ilvl="0">
      <w:lvlJc w:val="left"/>
      <w:lvlText w:val="(%1)"/>
      <w:numFmt w:val="lowerRoman"/>
      <w:start w:val="4"/>
    </w:lvl>
  </w:abstractNum>
  <w:abstractNum w:abstractNumId="93">
    <w:nsid w:val="488AC1A"/>
    <w:multiLevelType w:val="hybridMultilevel"/>
    <w:lvl w:ilvl="0">
      <w:lvlJc w:val="left"/>
      <w:lvlText w:val="(%1)"/>
      <w:numFmt w:val="lowerRoman"/>
      <w:start w:val="1"/>
    </w:lvl>
    <w:lvl w:ilvl="1">
      <w:lvlJc w:val="left"/>
      <w:lvlText w:val="(%2)"/>
      <w:numFmt w:val="lowerRoman"/>
      <w:start w:val="6"/>
    </w:lvl>
  </w:abstractNum>
  <w:abstractNum w:abstractNumId="94">
    <w:nsid w:val="5FB8011C"/>
    <w:multiLevelType w:val="hybridMultilevel"/>
    <w:lvl w:ilvl="0">
      <w:lvlJc w:val="left"/>
      <w:lvlText w:val="%1"/>
      <w:numFmt w:val="lowerLetter"/>
      <w:start w:val="1"/>
    </w:lvl>
    <w:lvl w:ilvl="1">
      <w:lvlJc w:val="left"/>
      <w:lvlText w:val="(%2)"/>
      <w:numFmt w:val="lowerRoman"/>
      <w:start w:val="7"/>
    </w:lvl>
  </w:abstractNum>
  <w:abstractNum w:abstractNumId="95">
    <w:nsid w:val="6AA78F7F"/>
    <w:multiLevelType w:val="hybridMultilevel"/>
    <w:lvl w:ilvl="0">
      <w:lvlJc w:val="left"/>
      <w:lvlText w:val="(%1)"/>
      <w:numFmt w:val="lowerLetter"/>
      <w:start w:val="22"/>
    </w:lvl>
    <w:lvl w:ilvl="1">
      <w:lvlJc w:val="left"/>
      <w:lvlText w:val="%2"/>
      <w:numFmt w:val="lowerRoman"/>
      <w:start w:val="1"/>
    </w:lvl>
  </w:abstractNum>
  <w:abstractNum w:abstractNumId="96">
    <w:nsid w:val="7672BD23"/>
    <w:multiLevelType w:val="hybridMultilevel"/>
    <w:lvl w:ilvl="0">
      <w:lvlJc w:val="left"/>
      <w:lvlText w:val="(%1)"/>
      <w:numFmt w:val="lowerLetter"/>
      <w:start w:val="25"/>
    </w:lvl>
    <w:lvl w:ilvl="1">
      <w:lvlJc w:val="left"/>
      <w:lvlText w:val="(%2)"/>
      <w:numFmt w:val="lowerLetter"/>
      <w:start w:val="9"/>
    </w:lvl>
  </w:abstractNum>
  <w:abstractNum w:abstractNumId="97">
    <w:nsid w:val="6FC75AF8"/>
    <w:multiLevelType w:val="hybridMultilevel"/>
    <w:lvl w:ilvl="0">
      <w:lvlJc w:val="left"/>
      <w:lvlText w:val="(%1)"/>
      <w:numFmt w:val="lowerRoman"/>
      <w:start w:val="2"/>
    </w:lvl>
  </w:abstractNum>
  <w:abstractNum w:abstractNumId="98">
    <w:nsid w:val="6A5F7029"/>
    <w:multiLevelType w:val="hybridMultilevel"/>
    <w:lvl w:ilvl="0">
      <w:lvlJc w:val="left"/>
      <w:lvlText w:val="(%1)"/>
      <w:numFmt w:val="lowerLetter"/>
      <w:start w:val="27"/>
    </w:lvl>
  </w:abstractNum>
  <w:abstractNum w:abstractNumId="99">
    <w:nsid w:val="7D5E18F8"/>
    <w:multiLevelType w:val="hybridMultilevel"/>
    <w:lvl w:ilvl="0">
      <w:lvlJc w:val="left"/>
      <w:lvlText w:val="(%1)"/>
      <w:numFmt w:val="lowerLetter"/>
      <w:start w:val="1"/>
    </w:lvl>
  </w:abstractNum>
  <w:abstractNum w:abstractNumId="100">
    <w:nsid w:val="5F3534A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2025-02-14T05:29:17Z</dcterms:created>
  <dcterms:modified xsi:type="dcterms:W3CDTF">2025-02-14T05:29:17Z</dcterms:modified>
</cp:coreProperties>
</file>