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June 30, 2016</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August 1, 2016 was 71,426,313.</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5"/>
              </w:rPr>
              <w:t>QUARTER ENDED June 30, 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June 30, 2016 (unaudited) and December 31,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Comprehensive Income (unaudited) for the three and six months ended June 30, 2016 and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six months ended June 30, 2016</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six months ended June 30, 2016 and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15</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34</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2015,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six months ended June 30, 2016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126" w:right="3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52"/>
        </w:trPr>
        <w:tc>
          <w:tcPr>
            <w:tcW w:w="8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4"/>
          </w:tcPr>
          <w:p>
            <w:pPr>
              <w:jc w:val="right"/>
              <w:ind w:right="231"/>
              <w:spacing w:after="0" w:line="153" w:lineRule="exact"/>
              <w:rPr>
                <w:sz w:val="20"/>
                <w:szCs w:val="20"/>
                <w:color w:val="auto"/>
              </w:rPr>
            </w:pPr>
            <w:r>
              <w:rPr>
                <w:rFonts w:ascii="Arial" w:cs="Arial" w:eastAsia="Arial" w:hAnsi="Arial"/>
                <w:sz w:val="14"/>
                <w:szCs w:val="14"/>
                <w:b w:val="1"/>
                <w:bCs w:val="1"/>
                <w:color w:val="auto"/>
                <w:w w:val="95"/>
              </w:rPr>
              <w:t>(In thousands, except share and per</w:t>
            </w:r>
          </w:p>
        </w:tc>
      </w:tr>
      <w:tr>
        <w:trPr>
          <w:trHeight w:val="186"/>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4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share data)</w:t>
            </w:r>
          </w:p>
        </w:tc>
      </w:tr>
      <w:tr>
        <w:trPr>
          <w:trHeight w:val="270"/>
        </w:trPr>
        <w:tc>
          <w:tcPr>
            <w:tcW w:w="8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$1,206,112 and $1,192,336 of consolidated variable interest entities, respectively)</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5,951,546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5,630,771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506,843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433,635</w:t>
            </w:r>
          </w:p>
        </w:tc>
      </w:tr>
      <w:tr>
        <w:trPr>
          <w:trHeight w:val="237"/>
        </w:trPr>
        <w:tc>
          <w:tcPr>
            <w:tcW w:w="8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6,458,389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6,064,406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Less accumulated depreciation and amortization (including $192,445 and $176,057 of consolidated variable</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(1,651,549)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4,806,840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4,490,365</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114,431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110,402</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41,546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197,150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5,188,468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4,896,559</w:t>
            </w:r>
          </w:p>
        </w:tc>
      </w:tr>
      <w:tr>
        <w:trPr>
          <w:trHeight w:val="67"/>
        </w:trPr>
        <w:tc>
          <w:tcPr>
            <w:tcW w:w="85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Mortgages payable (including $443,766 and $448,315 of consolidated variable interest entities,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476,155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71,605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71,620</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383,582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Senior notes and debentures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1,733,611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1,732,551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146,532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67,931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66,338</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118,646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121,787</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3,039,380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2,977,312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71,417,253 and 69,493,392</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tcPr>
          <w:p>
            <w:pPr>
              <w:spacing w:after="0"/>
              <w:rPr>
                <w:sz w:val="20"/>
                <w:szCs w:val="20"/>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2,381,867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(725,665)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(724,701)</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1,923,739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1,663,749</w:t>
            </w:r>
          </w:p>
        </w:tc>
      </w:tr>
      <w:tr>
        <w:trPr>
          <w:trHeight w:val="27"/>
        </w:trPr>
        <w:tc>
          <w:tcPr>
            <w:tcW w:w="8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118,182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2,022,986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1,781,931</w:t>
            </w:r>
          </w:p>
        </w:tc>
      </w:tr>
      <w:tr>
        <w:trPr>
          <w:trHeight w:val="27"/>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5,188,468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4,896,559</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175,884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388,243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357,050</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197,981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181,461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396,325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366,253</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32,623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79,797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74,062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41,061</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9,299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18,152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84,655</w:t>
            </w:r>
          </w:p>
        </w:tc>
        <w:tc>
          <w:tcPr>
            <w:tcW w:w="0" w:type="dxa"/>
            <w:vAlign w:val="bottom"/>
          </w:tcPr>
          <w:p>
            <w:pPr>
              <w:spacing w:after="0"/>
              <w:rPr>
                <w:sz w:val="1"/>
                <w:szCs w:val="1"/>
                <w:color w:val="auto"/>
              </w:rPr>
            </w:pPr>
          </w:p>
        </w:tc>
      </w:tr>
      <w:tr>
        <w:trPr>
          <w:trHeight w:val="237"/>
        </w:trPr>
        <w:tc>
          <w:tcPr>
            <w:tcW w:w="53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117,846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105,260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239,268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217,930</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76,201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148,323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(19,072)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110,448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82,367</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change in control of interests and sale of real estate</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58,898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45,673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137,961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93,876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11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55,941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43,632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132,896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89,818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55,806</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43,497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132,625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89,547</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Gain on change in control of interests and sale of real estate, net</w:t>
            </w:r>
          </w:p>
        </w:tc>
        <w:tc>
          <w:tcPr>
            <w:tcW w:w="11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70,270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68,449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w w:val="97"/>
              </w:rPr>
              <w:t>Gain on change in control of interest and sale of real estate, net</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70,974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68,713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70,451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68,638</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58,490</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46,740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134,778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92,482</w:t>
            </w:r>
          </w:p>
        </w:tc>
        <w:tc>
          <w:tcPr>
            <w:tcW w:w="0" w:type="dxa"/>
            <w:vAlign w:val="bottom"/>
          </w:tcPr>
          <w:p>
            <w:pPr>
              <w:spacing w:after="0"/>
              <w:rPr>
                <w:sz w:val="1"/>
                <w:szCs w:val="1"/>
                <w:color w:val="auto"/>
              </w:rPr>
            </w:pPr>
          </w:p>
        </w:tc>
      </w:tr>
      <w:tr>
        <w:trPr>
          <w:trHeight w:val="67"/>
        </w:trPr>
        <w:tc>
          <w:tcPr>
            <w:tcW w:w="53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55,533</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44,699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129,713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88,424</w:t>
            </w:r>
          </w:p>
        </w:tc>
        <w:tc>
          <w:tcPr>
            <w:tcW w:w="0" w:type="dxa"/>
            <w:vAlign w:val="bottom"/>
          </w:tcPr>
          <w:p>
            <w:pPr>
              <w:spacing w:after="0"/>
              <w:rPr>
                <w:sz w:val="1"/>
                <w:szCs w:val="1"/>
                <w:color w:val="auto"/>
              </w:rPr>
            </w:pPr>
          </w:p>
        </w:tc>
      </w:tr>
      <w:tr>
        <w:trPr>
          <w:trHeight w:val="27"/>
        </w:trPr>
        <w:tc>
          <w:tcPr>
            <w:tcW w:w="6520" w:type="dxa"/>
            <w:vAlign w:val="bottom"/>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8"/>
          </w:tcPr>
          <w:p>
            <w:pPr>
              <w:jc w:val="center"/>
              <w:ind w:left="22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40" w:type="dxa"/>
            <w:vAlign w:val="bottom"/>
          </w:tcPr>
          <w:p>
            <w:pPr>
              <w:spacing w:after="0"/>
              <w:rPr>
                <w:sz w:val="24"/>
                <w:szCs w:val="24"/>
                <w:color w:val="auto"/>
              </w:rPr>
            </w:pPr>
          </w:p>
        </w:tc>
        <w:tc>
          <w:tcPr>
            <w:tcW w:w="1180" w:type="dxa"/>
            <w:vAlign w:val="bottom"/>
          </w:tcPr>
          <w:p>
            <w:pPr>
              <w:jc w:val="right"/>
              <w:ind w:right="67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69,493,392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$2,381,867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(724,701)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118,182</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$ 1,781,931</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5"/>
              </w:rPr>
              <w:t>Net income, excluding $1,411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132,896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3,654</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136,550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comprehensive loss - change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(3,183)</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(133,589)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(133,589)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(4,505)</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1,603,685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240,820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240,836</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50,881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4,175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4,175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1"/>
                <w:shd w:val="clear" w:color="auto" w:fill="CCEEFF"/>
              </w:rPr>
              <w:t>Shares issued under dividend reinvestment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plan</w:t>
            </w:r>
          </w:p>
        </w:tc>
        <w:tc>
          <w:tcPr>
            <w:tcW w:w="7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8,331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1,257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125,484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6,050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6,052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Shares withheld for employee taxes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(4,371)</w:t>
            </w:r>
          </w:p>
        </w:tc>
        <w:tc>
          <w:tcPr>
            <w:tcW w:w="0" w:type="dxa"/>
            <w:vAlign w:val="bottom"/>
          </w:tcPr>
          <w:p>
            <w:pPr>
              <w:spacing w:after="0"/>
              <w:rPr>
                <w:sz w:val="1"/>
                <w:szCs w:val="1"/>
                <w:color w:val="auto"/>
              </w:rPr>
            </w:pPr>
          </w:p>
        </w:tc>
      </w:tr>
      <w:tr>
        <w:trPr>
          <w:trHeight w:val="237"/>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165,640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18,162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(18,164)</w:t>
            </w:r>
          </w:p>
        </w:tc>
        <w:tc>
          <w:tcPr>
            <w:tcW w:w="1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Contributions from noncontrolling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shd w:val="clear" w:color="auto" w:fill="CCEEFF"/>
              </w:rPr>
              <w:t>interests</w:t>
            </w:r>
          </w:p>
        </w:tc>
        <w:tc>
          <w:tcPr>
            <w:tcW w:w="7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20"/>
        </w:trPr>
        <w:tc>
          <w:tcPr>
            <w:tcW w:w="2860" w:type="dxa"/>
            <w:vAlign w:val="bottom"/>
            <w:gridSpan w:val="3"/>
          </w:tcPr>
          <w:p>
            <w:pPr>
              <w:ind w:left="40"/>
              <w:spacing w:after="0"/>
              <w:rPr>
                <w:sz w:val="20"/>
                <w:szCs w:val="20"/>
                <w:color w:val="auto"/>
              </w:rPr>
            </w:pPr>
            <w:r>
              <w:rPr>
                <w:rFonts w:ascii="Arial" w:cs="Arial" w:eastAsia="Arial" w:hAnsi="Arial"/>
                <w:sz w:val="16"/>
                <w:szCs w:val="16"/>
                <w:color w:val="auto"/>
                <w:w w:val="96"/>
              </w:rPr>
              <w:t>Adjustment to redeemable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gridSpan w:val="3"/>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5"/>
                <w:shd w:val="clear" w:color="auto" w:fill="CCEEFF"/>
              </w:rPr>
              <w:t>BALANCE AT JUNE 30, 2016</w:t>
            </w:r>
          </w:p>
        </w:tc>
        <w:tc>
          <w:tcPr>
            <w:tcW w:w="7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71,417,253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$2,645,984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(725,665)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99,247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$ 2,022,986</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90"/>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93,876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96,234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84,655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change in control of interests and sale of real estate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decrease in prepaid expenses and other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3,724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 accounts payable and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(12,620)</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(Decrease) increase in security deposits and other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3,016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199,236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173,648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(108,919)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(142,091)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(124,916)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45,821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602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208,644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and other payables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 net of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245,221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(131,076)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(118,721)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Redemption of redeemable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99,242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18,622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22,175</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June 30, 2016</w:t>
      </w:r>
    </w:p>
    <w:p>
      <w:pPr>
        <w:spacing w:after="0" w:line="3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California, and South Florida. As of June 30, 2016, we owned or had a majority interest in community and neighborhood shopping centers and mixed-use properties which are operated as 96 predominantly retail real estate projects.</w:t>
      </w:r>
    </w:p>
    <w:p>
      <w:pPr>
        <w:spacing w:after="0" w:line="13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 Certain 2015 amounts have been reclassified to conform to current period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February 2016, the FASB issued ASU 2016-02, "Leases." ASU 2016-02 significantly changes the accounting for leases by requiring lessees to recognize assets and liabilities for leases greater than 12 months on their balance sheet. The lessor model stays substantially the same; however, there were modifications to conform lessor accounting with the lessee model, eliminate real estate specific guidance, further define certain lease and non-lease components, and change the definition of initial direct costs of leases requiring significantly more leasing related costs to be expensed upfront. ASU 2016-02 is effective for us in the first quarter of 2019, and we are currently assessing the impact of this standard to our consolidated financial statements.</w:t>
      </w:r>
    </w:p>
    <w:p>
      <w:pPr>
        <w:spacing w:after="0" w:line="10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2016, the FASB issued ASU 2016-08 as an amendment to ASU 2014-09, "Revenue from Contracts with Customers." The amendment clarifies how to identify the unit of accounting for the principal versus agent evaluation, how to apply the control principle to certain types of arrangements, such as service transactions, and reframed the indicators in the guidance to focus on evidence that an entity is acting as a principal rather than as an agent. We are currently assessing the impact of this standard to our consolidated financial statements.</w:t>
      </w:r>
    </w:p>
    <w:p>
      <w:pPr>
        <w:spacing w:after="0" w:line="13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In March 2016, the FASB issued ASU 2016-09, "Compensation - Stock Compensation." ASU 2016-09 simplifies the accounting for share-based payment transactions, including a policy election option with respect to accounting for forfeitures either as they occur or estimating forfeitures (as is currently required), as well as increasing the amount an employer can withhold to cover income taxes on equity awards. ASU 2016-09 is effective for us in the first quarter of 2017, and we are currently assessing the impact of this standard to our consolidated financial statements.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April 2016 and May 2016, the FASB issued ASU 2016-10 and ASU 2016-12, respectively, "Revenue from Contracts with Customers." ASU 2016-10 clarifies the existing guidance on identifying performance obligations and licensing implementation. ASU 2016-12 adds practical expedients related to the transition for contract modifications and further defines a completed</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6" w:right="27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contract, clarifies the objective of the collectability assessment and how revenue is recognized if collectability is not probable, and when non-cash considerations should be measured. We are currently assessing the impact of these standards to our consolidated financial statements.</w:t>
      </w:r>
    </w:p>
    <w:p>
      <w:pPr>
        <w:spacing w:after="0" w:line="70"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June 2016, the FASB issued ASU 2016-13, "Financial Instruments - Credit Losses." ASU 2016-13 changes the impairment model for most financial assets and certain other instruments, requiring the use of an "expected credit loss" model and adding more disclosure requirements. ASU 2016-13 is effective for us in the first quarter of 2020, and we are currently assessing the impact of this standard to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9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February 2015, the FASB issued ASU 2015-02, "Amendments to the Consolidation Analysis." ASU 2015-02 modifies the evaluation of whether limited partnerships and similar legal entities are variable or voting interest entities, eliminates the 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We adopted the standard effective January 1, 2016, and as a result, partnerships controlling ten properties (previously consolidated as voting interest entities) are now considered to be variable interest entities. As we have the obligation to absorb losses and the right to receive benefits and control the activities that most significantly impact the economic performance of these entities, we are the primary beneficiary and we will continue to consolidate each of these entities. Net real estate assets of $566.1 million and mortgage payables of $194.9 million are included in our consolidated balance sheet at January 1, 2016 for these newly classified variable interest entities. In addition, our equity method investment in the Pike &amp; Rose hotel joint venture is now considered a variable interest in a variable interest entity. As we do not control the activities that most significantly impact the economic performance of the joint venture, we are not the primary beneficiary and do not consolidate. Our investment in the joint venture was $6.6 million at January 1, 2016, and our maximum exposure to loss, which includes contributions to date and our remaining required contribution to complete construction of the hotel is approximately $13.5 million.</w:t>
      </w:r>
    </w:p>
    <w:p>
      <w:pPr>
        <w:spacing w:after="0" w:line="13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April 2015, the FASB issued ASU 2015-03, "Simplifying the Presentation of Debt Issuance Costs." ASU 2015-03 requires debt issuance costs related to a debt liability be presented in the balance sheet as a direct deduction from the carrying amount of the debt liability, rather than classified as an asset. Recognition and measurement of debt issuance costs are not affected. Subsequently, in August 2015, the FASB issued ASU 2015-15, "Presentation and Subsequent Measurement of Debt Issuance Costs Associated with Line-of-Credit Arrangements," which allows an entity to present the costs related to securing a line-of credit arrangement as an asset, regardless of whether there are any outstanding borrowings. We adopted the standards effective January 1, 2016 and have adjusted our balance sheet presentation in both periods to reflect the net debt issuance costs as a reduction of the respective liability. The adoption resulted in a $15.2 million decrease to total assets and liabilities at December 31, 2015, for this reclassification. Debt issuance costs related to our revolving credit facility continue to be classified as an asset and are included in "prepaids and other assets" in our consolidated balance sheet.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6" w:right="25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Six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June 30,</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46,830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interest, net of amounts capitalized (1)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45,577</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71,832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DownREIT operating partnership units redeemed for common shares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18,164</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(1) 2015 includes $19.2 million related to early extinguishment of debt.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As of December 31, 2015, we had a joint venture arrangement (the “Partnership”) with affiliates of a discretionary fund created and advised by Clarion Partners (“Clarion”). We owned 30% of the equity in the Partnership and Clarion owned 70%. The Partnership owned six retail real estate properties and we accounted for our interest in the Partnership using the equity method. On January 13, 2016, we acquired Clarion's 70% interest in the Partnership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 for the six months ended June 30, 2016.</w:t>
      </w:r>
    </w:p>
    <w:p>
      <w:pPr>
        <w:spacing w:after="0" w:line="4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May 12, 2016, an unconsolidated joint venture that we hold an interest in sold a building in Coconut Grove, Florida. Our share of the gain, net of noncontrolling interests, was $0.7 million.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4—DEBT</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interest only mortgage loans with a face amount of $34.4 million and a fair value of $34.7 million. These mortgage loans had a weighted average interest rate of 5.95% and were repaid at par on April 1, 2016.</w:t>
      </w:r>
    </w:p>
    <w:p>
      <w:pPr>
        <w:spacing w:after="0" w:line="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credit rating as of April 20, 2016. In addition, we have an option (subject to bank approval) to increase the credit facility through an accordion feature to $1.5 billion.</w:t>
      </w:r>
    </w:p>
    <w:p>
      <w:pPr>
        <w:spacing w:after="0" w:line="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the three and six months ended June 30, 2016, the maximum amount of borrowings outstanding under our revolving credit facility was $171.0 million and $251.5 million, respectively, and the weighted average interest rate, before amortization of debt fees, was 1.3% for both periods. During the three and six months ended June 30, 2016, the weighted average borrowings outstanding were $137.3 million and $150.3 million, respectively. At June 30, 2016, the outstanding balance was $95.0 million. Our revolving credit facility, term loan and certain notes require us to comply with various financial covenants, including the maintenance of minimum shareholders’ equity and debt coverage ratios and a maximum ratio of debt to net worth. As of June 30, 2016, we were in compliance with all debt covenants.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859,737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875,724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823,045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833,931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1,733,611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1,860,202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1,732,551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1,786,758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of June 30, 2016, we have two interest rate swap agreements with a notional amount of $275.0 million that are measured at fair value on a recurring basis. The interest rate swap agreements fix the variable portion of our $275.0 million term loan at 1.72% through November 1, 2018. We assess effectiveness of our cash flow hedges both at inception and on an ongoing basis. The effective portion of changes in fair value of the interest rate swaps associated with our cash flow hedges is recorded in accumulated other comprehensive loss and is subsequently reclassified into interest expense as interest is incurred on the related variable rate debt. Within the next 12 months, we expect to reclassify an estimated $3.4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June 30, 2016, and we do not anticipate it will have a significant effect in the future.</w:t>
      </w:r>
    </w:p>
    <w:p>
      <w:pPr>
        <w:spacing w:after="0" w:line="20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June 30, 2016 was a liability of $7.3 million and is included in "accounts payable and accrued expenses" on our consolidated balance sheet. For the three and six months ended June 30, 2016, the change in valuation on our interest rate swaps resulted in a $0.4 million and a $3.2 million increase in our derivative liability, respectively, (including $0.9 million and $1.8 million, respectively, reclassified from other comprehensive loss to interest expense). The change in valuation on our interest rate swaps is included in "accumulated other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7,293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7,293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4,110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4,110</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768,765 downREIT operating partnership units are outstanding which have a total fair value of $127.3 million, based on our closing stock price on June 30, 2016.</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On February 12, 2016, we acquired the 10% noncontrolling interest of a partnership which owns a project in southern California for $13.0 million, bringing our ownership interest to 100%.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8"/>
              </w:rPr>
              <w:t>Six Months Ended June 30,</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89"/>
              </w:rPr>
              <w:t>2016</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42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0.677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0.677</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0.677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an at the market (“ATM”) equity program in which we may from time to time offer and sell common shares having an aggregate offering price of up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 $300.0 million. We intend to use the net proceeds to fund potential acquisition opportunities fund our development and redevelopment pipeline, repay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amounts outstanding under our revolving credit facility and/or for general corporate purposes. For the three months ended June 30, 2016, we issued 383,053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shares at a weighted average price per share of $156.24 for net cash proceeds of $59.2 million and paid $0.6 million in commissions and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 additional offering expenses related to the sales of these common shares. For the six months ended June 30, 2016, we issued 603,616 common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at a weighted average price per share of $153.24 for net cash proceeds of $91.5 million and paid $0.9 million in commissions and $0.1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additional offering expenses related to the sales of these common shares. As of June 30, 2016, we had the capacity to issue up to $97.7 million in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under our ATM equity program.</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$149.3 million, net of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5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6"/>
                <w:szCs w:val="16"/>
                <w:color w:val="auto"/>
              </w:rPr>
            </w:pPr>
          </w:p>
        </w:tc>
        <w:tc>
          <w:tcPr>
            <w:tcW w:w="16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r>
      <w:tr>
        <w:trPr>
          <w:trHeight w:val="276"/>
        </w:trPr>
        <w:tc>
          <w:tcPr>
            <w:tcW w:w="56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 2016</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center"/>
              <w:ind w:left="457"/>
              <w:spacing w:after="0"/>
              <w:rPr>
                <w:sz w:val="20"/>
                <w:szCs w:val="20"/>
                <w:color w:val="auto"/>
              </w:rPr>
            </w:pPr>
            <w:r>
              <w:rPr>
                <w:rFonts w:ascii="Arial" w:cs="Arial" w:eastAsia="Arial" w:hAnsi="Arial"/>
                <w:sz w:val="14"/>
                <w:szCs w:val="14"/>
                <w:b w:val="1"/>
                <w:bCs w:val="1"/>
                <w:color w:val="auto"/>
                <w:w w:val="90"/>
              </w:rPr>
              <w:t>June 30, 2016</w:t>
            </w:r>
          </w:p>
        </w:tc>
        <w:tc>
          <w:tcPr>
            <w:tcW w:w="840" w:type="dxa"/>
            <w:vAlign w:val="bottom"/>
            <w:tcBorders>
              <w:bottom w:val="single" w:sz="8" w:color="auto"/>
            </w:tcBorders>
          </w:tcPr>
          <w:p>
            <w:pPr>
              <w:spacing w:after="0"/>
              <w:rPr>
                <w:sz w:val="24"/>
                <w:szCs w:val="24"/>
                <w:color w:val="auto"/>
              </w:rPr>
            </w:pPr>
          </w:p>
        </w:tc>
      </w:tr>
      <w:tr>
        <w:trPr>
          <w:trHeight w:val="264"/>
        </w:trPr>
        <w:tc>
          <w:tcPr>
            <w:tcW w:w="56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3"/>
              </w:rPr>
              <w:t>(In thousands)</w:t>
            </w:r>
          </w:p>
        </w:tc>
        <w:tc>
          <w:tcPr>
            <w:tcW w:w="840" w:type="dxa"/>
            <w:vAlign w:val="bottom"/>
          </w:tcPr>
          <w:p>
            <w:pPr>
              <w:spacing w:after="0"/>
              <w:rPr>
                <w:sz w:val="21"/>
                <w:szCs w:val="21"/>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137,432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125,688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272,018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250,001</w:t>
            </w:r>
          </w:p>
        </w:tc>
      </w:tr>
      <w:tr>
        <w:trPr>
          <w:trHeight w:val="27"/>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12,141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23,590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20,941</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36,637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33,535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78,439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74,422</w:t>
            </w:r>
          </w:p>
        </w:tc>
      </w:tr>
      <w:tr>
        <w:trPr>
          <w:trHeight w:val="27"/>
        </w:trPr>
        <w:tc>
          <w:tcPr>
            <w:tcW w:w="5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2,482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5,267</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4,243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8,645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6,419</w:t>
            </w:r>
          </w:p>
        </w:tc>
      </w:tr>
      <w:tr>
        <w:trPr>
          <w:trHeight w:val="27"/>
        </w:trPr>
        <w:tc>
          <w:tcPr>
            <w:tcW w:w="5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175,884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388,243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357,050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6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Minimum rents include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40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354"/>
              <w:spacing w:after="0"/>
              <w:rPr>
                <w:sz w:val="20"/>
                <w:szCs w:val="20"/>
                <w:color w:val="auto"/>
              </w:rPr>
            </w:pPr>
            <w:r>
              <w:rPr>
                <w:rFonts w:ascii="Arial" w:cs="Arial" w:eastAsia="Arial" w:hAnsi="Arial"/>
                <w:sz w:val="14"/>
                <w:szCs w:val="14"/>
                <w:b w:val="1"/>
                <w:bCs w:val="1"/>
                <w:color w:val="auto"/>
                <w:w w:val="92"/>
              </w:rPr>
              <w:t>June 30, 2016</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80" w:type="dxa"/>
            <w:vAlign w:val="bottom"/>
            <w:gridSpan w:val="2"/>
          </w:tcPr>
          <w:p>
            <w:pPr>
              <w:jc w:val="center"/>
              <w:ind w:right="354"/>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8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92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2.7</w:t>
            </w:r>
          </w:p>
        </w:tc>
        <w:tc>
          <w:tcPr>
            <w:tcW w:w="98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4.7</w:t>
            </w:r>
          </w:p>
        </w:tc>
        <w:tc>
          <w:tcPr>
            <w:tcW w:w="5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920" w:type="dxa"/>
            <w:vAlign w:val="bottom"/>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98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840" w:type="dxa"/>
            <w:vAlign w:val="bottom"/>
          </w:tcPr>
          <w:p>
            <w:pPr>
              <w:jc w:val="right"/>
              <w:ind w:right="634"/>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9"/>
              <w:spacing w:after="0"/>
              <w:rPr>
                <w:sz w:val="20"/>
                <w:szCs w:val="20"/>
                <w:color w:val="auto"/>
              </w:rPr>
            </w:pPr>
            <w:r>
              <w:rPr>
                <w:rFonts w:ascii="Arial" w:cs="Arial" w:eastAsia="Arial" w:hAnsi="Arial"/>
                <w:sz w:val="18"/>
                <w:szCs w:val="18"/>
                <w:color w:val="auto"/>
              </w:rPr>
              <w:t>(3.6)</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2.1</w:t>
            </w:r>
          </w:p>
        </w:tc>
        <w:tc>
          <w:tcPr>
            <w:tcW w:w="98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7"/>
        </w:trPr>
        <w:tc>
          <w:tcPr>
            <w:tcW w:w="56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230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5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2015</w:t>
            </w:r>
          </w:p>
        </w:tc>
      </w:tr>
      <w:tr>
        <w:trPr>
          <w:trHeight w:val="196"/>
        </w:trPr>
        <w:tc>
          <w:tcPr>
            <w:tcW w:w="5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Grants of shares and options</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2,523</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2,827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6,052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6,581</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Capitalized share-based compensation</w:t>
            </w: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
        </w:trPr>
        <w:tc>
          <w:tcPr>
            <w:tcW w:w="55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84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2,198</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2,596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6,133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10—EARNINGS PER SHARE</w:t>
      </w:r>
    </w:p>
    <w:p>
      <w:pPr>
        <w:spacing w:after="0" w:line="9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June 30, 2016 and 2015, we had 0.2 million weighted average unvested shares outstanding, which are considered participating securities. For the six months ended June 30, 2016 and 2015, we had 0.2 million and 0.3 million weighted average unvested shares outstanding, respectively, which are considered participating securities. Therefore, we have allocated our earnings for basic and diluted EPS between common shares and unvested shares; the portion of earnings allocated to the unvested shares is reflected as “earnings allocated to unvested shares” in the reconciliation below.</w:t>
      </w:r>
    </w:p>
    <w:p>
      <w:pPr>
        <w:spacing w:after="0" w:line="11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three and six months ended June 30, 2016 and 2015.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76"/>
        </w:trPr>
        <w:tc>
          <w:tcPr>
            <w:tcW w:w="6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2"/>
              </w:rPr>
              <w:t>June 30, 2016</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2016</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(In thousands, except per share data)</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57,111</w:t>
            </w:r>
          </w:p>
        </w:tc>
        <w:tc>
          <w:tcPr>
            <w:tcW w:w="12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110,448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82,367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54,949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31,781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105,834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77,621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change in control of interests and sale of real estate, net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55,650</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43,290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132,261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89,130</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70,797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68,531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68,449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70,974</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68,713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70,451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68,638</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4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on change in control of interests and sale of real estate, net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Gain on change in control of interests and sale of real estate, net</w:t>
            </w: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55,240</w:t>
            </w:r>
          </w:p>
        </w:tc>
        <w:tc>
          <w:tcPr>
            <w:tcW w:w="1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32,123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106,469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78,309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July 12, 2016, we issued $250.0 million of fixed rate senior unsecured notes that mature on August 1, 2046 and bear interest at 3.625%. The notes were offered at 97.756% of the principal amount with a yield to maturity of 3.75%. The net proceeds from this note offering after issuance discounts, underwriting fees, and other costs were approximately $241.8 million.</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2015 filed with the Securities and Exchange Commission (the “SEC”) on February 9, 2016.</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2015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California, and South Florida. As of June 30, 2016, we owned or had a majority interest in community and neighborhood shopping centers and mixed-use properties which are operated as 96 predominantly retail real estate projects comprising approximately 22.3 million square feet. In total, the real estate projects were 94.5% leased and 92.9% occupied at June 30,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Significant Property Acquisitions and Disposition</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January 13, 2016, we acquired our partner's 70% interest in our joint venture arrangement (the "Partnership") with affiliates of a discretionary fund created and advised by Clarion Partners ("Clarion") for $153.7 million, which included the payment of $130 million of cash and the assumption of 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 Approximately $7.3 million and $4.9 million of net assets acquired were allocated to other assets for "above market leases," and other liabilities for "below market leases," respectively. We incurred $0.2 million of acquisition costs, of which $0.1 million were incurred in 2016 and included in "general and administrative expense" for the six months ended June 30, 2016.</w:t>
      </w:r>
    </w:p>
    <w:p>
      <w:pPr>
        <w:spacing w:after="0" w:line="4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May 12, 2016, an unconsolidated joint venture that we hold an interest in sold a building in Coconut Grove, Florida. Our share of the gain, net of noncontrolling interests, was $0.7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Significant Debt and Equity Transactions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January 13, 2016, in connection with the acquisition of our partner's 70% interest in our unconsolidated real estate partnership, we assumed three interest only mortgage loans with a face amount of $34.4 million and a fair value of $34.7 million. These mortgage loans have a weighted average interest rate of 5.95% and were repaid at par on April 1, 2016.</w:t>
      </w:r>
    </w:p>
    <w:p>
      <w:pPr>
        <w:spacing w:after="0" w:line="4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April 20, 2016, we upsized our $600.0 million revolving credit facility to $800.0 million and extended the maturity date to April 20, 2020, subject to two six-month extensions at our option. Under the amended credit facility, the spread over LIBOR is 82.5 basis points based on our credit rating as of April 20, 2016. In addition, we have an option (subject to bank approval) to increase the credit facility through an accordion feature to $1.5 billion.</w:t>
      </w:r>
    </w:p>
    <w:p>
      <w:pPr>
        <w:spacing w:after="0" w:line="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July 12, 2016, we issued $250.0 million of fixed rate senior notes that mature on August 1, 2046 and bear interest at 3.625%. The notes were offered at 97.756% of the principal amount with a yield to maturity of 3.75%. The net proceeds from this note offering after issuance discounts, underwriting fees, and other costs were approximately $241.8 million.</w:t>
      </w:r>
    </w:p>
    <w:p>
      <w:pPr>
        <w:spacing w:after="0" w:line="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an at the market (“ATM”) equity program in which we may from time to time offer and sell common shares having an aggregate offering price of up to $300.0 million. We intend to use the net proceeds to fund potential acquisition opportunities,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fund our development and redevelopment pipeline, repay amounts outstanding under our revolving credit facility and/or for general corporate purposes. For the three months ended June 30, 2016, we issued 383,053 common shares at a weighted average price per share of $156.24 for net cash proceeds of $59.2 million and paid $0.6 million in commissions and less than $0.1 million in additional offering expenses related to the sales of these common shares. For the six months ended June 30, 2016, we issued 603,616 common shares at a weighted average price per share of $153.24 for net cash proceeds of $91.5 million and paid $0.9 million in commissions and $0.1 million in additional offering expenses related to the sales of these common shares. As of June 30, 2016, we had the capacity to issue up to $97.7 million in common shares under our ATM equity program.</w:t>
      </w:r>
    </w:p>
    <w:p>
      <w:pPr>
        <w:spacing w:after="0" w:line="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7, 2016, we issued 1.0 million common shares at $149.43 per share, in an underwritten public offering, for cash proceeds of $149.3 million, net of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 taxes, insurance, construction costs and salaries and related costs of personnel directly involved, are capitalized. We capitalized certain external and internal costs related to both development and redevelopment activities of $160 million and $4 million, respectively, for the six months ended June 30, 2016, and $125 million and $3 million, respectively, for the six months ended June 30, 2015. We capitalized external and internal costs related to other property improvements of $21 million and $1 million, respectively, for the six months ended June 30, 2016, and $15 million and $1 million for the six months ended June 30, 2015. We capitalized external and internal costs related to leasing activities of $4 million and $3 million, respectively, for the six months ended June 30, 2016, and $5 million and $2 million, respectively, for the six months ended June 30, 2015. The amount of capitalized internal costs for salaries and related benefits for development and redevelopment activities, other property improvements, and leasing activities were $4 million, $1 million, and $3 million, respectively, for the six months ended June 30, 2016, and $3 million, $1 million, and $2 million, respectively, for the six months ended June 30, 2015. Total capitalized costs were $194 million and $152 million for the six months ended June 30, 2016 and 2015,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Recently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continue to see strong levels of interest from prospective tenants for our retail spaces; however, the time it takes to complete new lease deals is longer, as tenants have become more selective and more deliberate in their decision-making process. We have also experienced extended periods of time for some government agencies to process permits and inspections further delaying rent commencement on newly leased spaces. Additionally, we have seen an overall decrease in the number of tenants available to fill anchor spaces. We believe the locations of our centers and diverse tenant base partially mitigates any potential negative changes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June 30, 2016, no single tenant accounted for more than 3.2% of annualized base rent.</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We currently have redevelopment projects underway with a projected cost of approximately $215 million that we expect to stabilize between 2016 and 2018.</w:t>
      </w:r>
    </w:p>
    <w:p>
      <w:pPr>
        <w:spacing w:after="0" w:line="1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continue our ongoing redevelopment efforts at Santana Row, and are currently proceeding with our next phase of redevelopment which is a six story 234,500 square foot office building with 670 parking spaces. During the third quarter 2015, we executed a lease with Splunk Inc. for the entire building. The building is expected to cost between $110 and $115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and stabilize in 2017. After current phases, we have approximately 9 acres remaining for further redevelopment and entitlements in place for an additional 395 residential units and 634,000 square feet of commercial space. Additionally, we control 12 acres of land adjacent to Santana Row.</w:t>
      </w:r>
    </w:p>
    <w:p>
      <w:pPr>
        <w:spacing w:after="0" w:line="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continue to invest in the development at Assembly Row which is a long-term multi-phased mixed-use development project we expect to be involved in over the coming years. The carrying value of this project at June 30, 2016 is approximately $444 million. The project currently has zoning entitlements to build 3.4 million square feet of commercial-use buildings, 1,843 residential units, and a 170 room hotel. The first phase consists of approximately 331,000 square feet of retail space and 98,000 square feet of office space (both owned by the Trust) and 445 residential units owned by AvalonBay Communities. The Massachusetts Bay Transit Authority (MBTA) constructed the new orange line T-Stop at the property, which opened in September 2014. The retail and office space in Phase I are fully delivered and are 100% leased. Total costs for Phase I of Assembly Row are $196 million.</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also proceeding with development of Phase II of Assembly Row which will include 167,000 square feet of retail space, a 160 room boutique hotel and 447 residential units. The hotel will be owned and operated by a joint venture in which we are a partner. Total expected costs range from $270 million to $285 million and stabilization is expected in 2018/2019. Construction commenced on Phase II in July 2015. Phase II is also expected to include 134 for-sale condominium units with an expected total cost of $70 million to $75 million. Additionally, as part of the second phase, we entered into a ground lease agreement with Partners HealthCare to bring more than 700,000 square feet of office space to Assembly Row. The ground lease agreement includes a purchase option, which was exercised and is expected to close in 2017. Partners HealthCare commenced construction on this new building in September 2014 and during the second quarter of 2016, started relocating its employees to Assembly Row.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Including costs incurred in the first three months of 2016, we expect to invest between $130 million and $150 million in Assembly Row in 2016.</w:t>
      </w:r>
    </w:p>
    <w:p>
      <w:pPr>
        <w:spacing w:after="0" w:line="17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Our Pike &amp; Rose project in North Bethesda, MD, a long-term multi-phased mixed-use development project, currently has zoning entitlements to build 1.6 million square feet of commercial-use buildings and 1,605 residential units. Phase I of Pike &amp; Rose includes 493 residential units, 159,000 square feet of retail space and 80,000 square feet of office space. In late June 2014, our 174 unit residential building opened and achieved stabilized occupancy in the 1st quarter 2015. As of June 30, 2016, the retail space, office space, and the units in the second residential building in Phase I have been delivered. We expect Phase I to reach stabilized occupancy in 2016. Total expected costs for Phase I of Pike &amp; Rose range from $265 million to $270 million of which $260 million has been incurred to date.</w:t>
      </w:r>
    </w:p>
    <w:p>
      <w:pPr>
        <w:spacing w:after="0" w:line="13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Additionally, we are proceeding with development of Phase II of Pike &amp; Rose, for which building construction has commenced. Phase II will include approximately 190,000 square feet of retail space, a 177 room select-service hotel and 272 residential units, as well as a pre-leased auto dealership building. Total expected costs range from $200 million to $207 million and stabilization is expected in 2018/2019. The hotel will be owned and operated by a joint venture in which we are a partner. Phase II is also expected to include 104 for-sale condominium units with an expected cost of $53 million to $58 million.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Including costs incurred in the first three months of 2016, we expect to invest between $105 million and $130 million in Pike &amp; Rose in 2016.</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June 30, 2016, the leasable square feet in our properties was 92.9% occupied and 94.5% leased. The leased rate is higher than the occupied rate due to leased spaces that are being redeveloped or improved or that are awaiting permits and, therefore,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second quarter of 2016, we signed leases for a total of 467,000 square feet of retail space including 373,000 square feet of comparable space leases (leases for which there was a prior tenant) at an average rental increase of 12% on a cash basis and 25% on a straight-line basis. New leases for comparable spaces were signed for 105,000 square feet at an average rental increase of 23% on a cash basis and 40% on a straight-line basis. Renewals for comparable spaces were signed for 267,000 square feet at an average rental increase of 7% on a cash basis and 19% on a straight-line basis. Tenant improvements and incentives for comparable spaces were $68.71 per square foot for new leases and $3.23 per square foot for renewals for the three months ended June 30, 2016.</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six months ended June 30, 2016, we signed leases for a total of 887,000 square feet of retail space including 772,000 square feet of comparable space leases (leases for which there was a prior tenant) at an average rental increase of 12% on a cash basis and 25% on a straight-line basis. New leases for comparable spaces were signed for 259,000 square feet at an average rental increase of 22% on a cash basis and 37% on a straight-line basis. Renewals for comparable spaces were signed for 512,000 square feet at an average rental increase of 8% on a cash basis and 19% on a straight-line basis. Tenant improvements and incentives for comparable spaces were $61.01 per square foot for new leases and $9.14 per square foot for renewals for the six months ended June 30, 2016.</w:t>
      </w:r>
    </w:p>
    <w:p>
      <w:pPr>
        <w:spacing w:after="0" w:line="1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 out) of a space as it relates to a specific lease and, except for redevelopments, may also include base building costs (i.e. expansion, escalators or new entrances) which are required to make the space leasable. Incentives include amounts paid to tenants as inducement to sign a lease that do not represent building improvements.</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leases signed in 2016 generally become effective over the following two years though some may not become effective until 2019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2016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and properties classified as discontinued operations. For the three and six months ended June 30, 2016, all or a portion of 77 and 76 properties, respectively, were considered same-center and sixteen were considered redevelopment or expansion. For the six months ended June 30, 2016, one property was moved from same-center to redevelopment, compared to the designations as of December 31, 2015. For the three months ended June 30, 2016, one property was moved from acquisitions to same-center.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JUNE 30, 2016 AND 2015</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175,884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17,051</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197,981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181,461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16,520</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2,730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53,290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7,085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137,606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128,171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9,435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19,072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(5,764)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13,512</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57,111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22,947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67.2 %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58,898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45,673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13,225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55,941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43,632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12,309</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Total property revenue increased $16.5 million, or 9.1%, to $198.0 million in the three months ended June 30, 2016 compared to $181.5 million in the three months ended June 30, 2015. The percentage occupied at our shopping centers decreased to 92.9% at June 30, 2016 compared to 94.9% at June 30, 2015.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$17.1 million, or 9.7%, to $192.9 million in the three months ended June 30, 2016 compared to $175.9 million in the three months ended June 30, 2015 due primarily to the following:</w:t>
      </w: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$4.9 million attributable to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increase of $3.9 million from the acquisition of the six previously unconsolidated Clarion joint venture properties in January 2016,</w:t>
      </w:r>
    </w:p>
    <w:p>
      <w:pPr>
        <w:spacing w:after="0" w:line="86" w:lineRule="exact"/>
        <w:rPr>
          <w:rFonts w:ascii="Arial" w:cs="Arial" w:eastAsia="Arial" w:hAnsi="Arial"/>
          <w:sz w:val="16"/>
          <w:szCs w:val="16"/>
          <w:color w:val="auto"/>
        </w:rPr>
      </w:pPr>
    </w:p>
    <w:p>
      <w:pPr>
        <w:ind w:left="1700" w:right="4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$3.9 million at same-center properties due primarily to higher rental rates of approximately $4.7 million, partially offset by lower occupancy impacts of $0.9 million,</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increase of $3.2 million from Assembly Row and Pike &amp; Rose as portions of both projects opened throughout 2015, and</w:t>
      </w:r>
    </w:p>
    <w:p>
      <w:pPr>
        <w:spacing w:after="0" w:line="74" w:lineRule="exact"/>
        <w:rPr>
          <w:rFonts w:ascii="Arial" w:cs="Arial" w:eastAsia="Arial" w:hAnsi="Arial"/>
          <w:sz w:val="17"/>
          <w:szCs w:val="17"/>
          <w:color w:val="auto"/>
        </w:rPr>
      </w:pPr>
    </w:p>
    <w:p>
      <w:pPr>
        <w:ind w:left="1700" w:right="400" w:hanging="801"/>
        <w:spacing w:after="0" w:line="298" w:lineRule="auto"/>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increase of $2.6 million at redevelopment properties due primarily to the lease-up of The Point at Plaza El Segundo, as well as three of our other retail redevelopments, partially offset by lower occupancy as we start redeveloping centers,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60" w:hanging="801"/>
        <w:spacing w:after="0" w:line="277" w:lineRule="auto"/>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$1.2 million due to the sale of our Houston Street and Courtyard Shops properties in April 2015 and November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property income decreased $0.9 million, or 21.1%, to $3.5 million in the three months ended June 30, 2016 compared to $4.4 million in the three months ended June 30, 2015. This decrease is due to lower lease termination fees at our same-center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Total property expenses increased $7.1 million, or 13.3%, to $60.4 million in the three months ended June 30, 2016 compared to $53.3 million in the three months ended June 30, 2015.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Rental expenses increased $4.4 million, or 13.3%, to $37.0 million in the three months ended June 30, 2016 compared to $32.6 million in the three months ended June 30, 2015.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$1.8 million attributable to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$1.1 million from redevelopment properties,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of $1.1 million from Assembly Row and Pike &amp; Rose as portions of both projects opened throughout 2015, and</w:t>
      </w:r>
    </w:p>
    <w:p>
      <w:pPr>
        <w:spacing w:after="0" w:line="74" w:lineRule="exact"/>
        <w:rPr>
          <w:rFonts w:ascii="Arial" w:cs="Arial" w:eastAsia="Arial" w:hAnsi="Arial"/>
          <w:sz w:val="17"/>
          <w:szCs w:val="17"/>
          <w:color w:val="auto"/>
        </w:rPr>
      </w:pPr>
    </w:p>
    <w:p>
      <w:pPr>
        <w:ind w:left="1700" w:hanging="801"/>
        <w:spacing w:after="0"/>
        <w:tabs>
          <w:tab w:leader="none" w:pos="1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of $0.8 million from the acquisition of the six previously unconsolidated Clarion joint venture properties in January 2016,</w:t>
      </w:r>
    </w:p>
    <w:p>
      <w:pPr>
        <w:spacing w:after="0" w:line="8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6"/>
          <w:szCs w:val="16"/>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of $0.3 million at same-center properties primarily due to lower bad debt expense.</w:t>
      </w:r>
    </w:p>
    <w:p>
      <w:pPr>
        <w:spacing w:after="0" w:line="17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increased to 18.8% in the three months ended June 30, 2016 from 18.1% in the three months ended June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Real estate tax expense increased $2.7 million, or 13.2%, to $23.4 million in the three months ended June 30, 2016 compared to $20.7 million in the three months ended June 30, 2015 due primarily to:</w:t>
      </w:r>
    </w:p>
    <w:p>
      <w:pPr>
        <w:spacing w:after="0" w:line="8"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$0.8 million from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$0.8 million due to higher assessments at same-center properties,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$0.7 million related to Assembly Row and Pike &amp; Rose, and</w:t>
      </w:r>
    </w:p>
    <w:p>
      <w:pPr>
        <w:spacing w:after="0" w:line="63" w:lineRule="exact"/>
        <w:rPr>
          <w:rFonts w:ascii="Arial" w:cs="Arial" w:eastAsia="Arial" w:hAnsi="Arial"/>
          <w:sz w:val="18"/>
          <w:szCs w:val="18"/>
          <w:color w:val="auto"/>
        </w:rPr>
      </w:pPr>
    </w:p>
    <w:p>
      <w:pPr>
        <w:ind w:left="1700" w:right="420" w:hanging="801"/>
        <w:spacing w:after="0" w:line="277" w:lineRule="auto"/>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$0.5 million due to the acquisition of the six previously unconsolidated Clarion joint venture properties in January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Property operating income increased $9.4 million, or 7.4%, to $137.6 million in the three months ended June 30, 2016 compared to $128.2 million in the three months ended June 30, 2015. This increase is primarily due to growth in earnings at same-center properties, the acquisition of the six previously unconsolidated Clarion joint venture properties in January 2016, properties acquired in 2015, Assembly Row and Pike &amp; Rose, and redevelopment properties, partially offset by the sale of our Houston Street and Courtyard Shops properties in April 2015 and November 2015,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decrease in income from real estate partnerships is the result of our obtaining control of the six Clarion joint venture properties on January 13, 2016 (see discussion in Note 3 to the consolidated financial statements). Prior to this transaction, the properties were accounted for under the equity method of accounting.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expense decreased $0.3 million, or 1.5%, to $23.1 million in the three months ended June 30, 2016 compared to $23.4 million in the three months ended June 30, 2015. This decrease is due primarily to the following:</w:t>
      </w:r>
    </w:p>
    <w:p>
      <w:pPr>
        <w:spacing w:after="0" w:line="8" w:lineRule="exact"/>
        <w:rPr>
          <w:sz w:val="20"/>
          <w:szCs w:val="20"/>
          <w:color w:val="auto"/>
        </w:rPr>
      </w:pPr>
    </w:p>
    <w:p>
      <w:pPr>
        <w:ind w:left="5620" w:right="3740" w:hanging="4721"/>
        <w:spacing w:after="0" w:line="559" w:lineRule="auto"/>
        <w:tabs>
          <w:tab w:leader="none" w:pos="170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$2.6 million due to a lower overall weighted average borrowing rate, 20</w:t>
      </w:r>
    </w:p>
    <w:p>
      <w:pPr>
        <w:sectPr>
          <w:pgSz w:w="11900" w:h="16838" w:orient="portrait"/>
          <w:cols w:equalWidth="0" w:num="1">
            <w:col w:w="11400"/>
          </w:cols>
          <w:pgMar w:left="240" w:top="126" w:right="2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$1.6 million due to higher borrowings,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$0.7 million in capitalized interest due primarily to the opening of Phase I of Pike &amp; Rose during 2015.</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Gross interest costs were $27.2 million and $28.3 million in the three months ended June 30, 2016 and 2015, respectively. Capitalized interest was $4.1 million and $4.8 million in the three months ended June 30,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$19.1 million of early extinguishment of debt in the three months ended June 30, 2015 relates to the make-whole premium paid as part of the early redemption of our 6.20% senior notes, partially offset by the related write-off of unamortized premium and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General and administrative expense decreased $0.3 million, or 2.8%, to $9.0 million in the three months ended June 30, 2016 from $9.3 million in the three months ended June 30, 2015. The decrease is primarily due to lower transaction costs partially offset by higher personnel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Depreciation and amortization expense increased $5.8 million, or 13.5%, to $48.4 million in the three months ended June 30, 2016 from $42.7 million in the three months ended June 30, 2015. This increase is due primarily to the acquisition of the six previously unconsolidated Clarion joint venture properties in January 2016, Assembly Row and Pike &amp; Rose, and properties acquired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$1.8 million gain for the three months ended June 30, 2016 is related to the May 2016 sale of a building in Coconut Grove, Florida, by an unconsolidated joint venture. Our share of the gain, net of noncontrolling interests, was $0.7 million.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$11.5 million gain for the three months ended June 30, 2015 is due to the sale of our Houston Street property in April 2015.</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6" w:right="27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SIX MONTHS ENDED JUNE 30, 2016 AND 2015</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388,243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357,050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31,193</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396,325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366,253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30,072</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5,735</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41,061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5,130</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125,988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115,123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10,865</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270,337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251,130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19,207</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19,072</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1,106</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(96,234)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(11,579)</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8,874</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82,367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28,081</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change in control of interests and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16,004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137,961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93,876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44,085</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24.8 %</w:t>
            </w:r>
          </w:p>
        </w:tc>
      </w:tr>
      <w:tr>
        <w:trPr>
          <w:trHeight w:val="25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132,896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89,818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43,078</w:t>
            </w:r>
          </w:p>
        </w:tc>
        <w:tc>
          <w:tcPr>
            <w:tcW w:w="3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48.0 %</w:t>
            </w: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Total property revenue increased $30.1 million, or 8.2%, to $396.3 million in the six months ended June 30, 2016 compared to $366.3 million in the six months ended June 30, 2015. The percentage occupied at our shopping centers decreased to 92.9% at June 30, 2016 compared to 94.9% at June 30, 2015. Changes in the components of property revenue are discussed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171"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color w:val="auto"/>
        </w:rPr>
        <w:t>Rental income consists primarily of minimum rent, cost reimbursements from tenants and percentage rent. Rental income increased $31.2 million, or 8.7%, to $388.2 million in the six months ended June 30, 2016 compared to $357.1 million in the six months ended June 30, 2015 due primarily to the following:</w:t>
      </w: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$11.8 million attributable to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 increase of $7.3 million from the acquisition of the six previously unconsolidated Clarion joint venture properties in January 2016,</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$6.3 million from Assembly Row and Pike &amp; Rose as portions of both projects opened throughout 2015,</w:t>
      </w:r>
    </w:p>
    <w:p>
      <w:pPr>
        <w:spacing w:after="0" w:line="63" w:lineRule="exact"/>
        <w:rPr>
          <w:rFonts w:ascii="Arial" w:cs="Arial" w:eastAsia="Arial" w:hAnsi="Arial"/>
          <w:sz w:val="18"/>
          <w:szCs w:val="18"/>
          <w:color w:val="auto"/>
        </w:rPr>
      </w:pPr>
    </w:p>
    <w:p>
      <w:pPr>
        <w:ind w:left="1700" w:right="400" w:hanging="801"/>
        <w:spacing w:after="0" w:line="298"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of $5.2 million at redevelopment properties due primarily to the lease-up of The Point at Plaza El Segundo, as well as three of our other retail redevelopments, partially offset by lower occupancy as we start redeveloping centers, and</w:t>
      </w:r>
    </w:p>
    <w:p>
      <w:pPr>
        <w:ind w:left="1700" w:right="40" w:hanging="801"/>
        <w:spacing w:after="0" w:line="264"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$4.4 million at same-center properties due primarily to higher rental rates of approximately $7.5 million, partially offset by lower recoveries of $0.4 million primarily the net result of lower snow expense and higher real estate tax expense, and lower occupancy of approximately $1.9 million,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right="260" w:hanging="801"/>
        <w:spacing w:after="0" w:line="277" w:lineRule="auto"/>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$3.4 million due to the sale of our Houston Street and Courtyard Shops properties in April 2015 and November 2015,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property income decreased $1.1 million, or 15.8%, to $5.8 million in the six months ended June 30, 2016 compared to $6.9 million in the six months ended June 30, 2015. This decrease is due to lower lease termination fees at our same-center properties.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property expenses increased $10.9 million, or 9.4%, to $126.0 million in the six months ended June 30, 2016 compared to $115.1 million in the six months ended June 30, 2015.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$5.7 million, or 7.7%, to $79.8 million in the six months ended June 30, 2016 compared to $74.1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This increase is primarily due to the following:</w:t>
      </w:r>
    </w:p>
    <w:p>
      <w:pPr>
        <w:spacing w:after="0" w:line="49" w:lineRule="exact"/>
        <w:rPr>
          <w:sz w:val="20"/>
          <w:szCs w:val="20"/>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$3.6 million attributable to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$1.8 million from the acquisition of the six previously unconsolidated Clarion joint venture properties in January 2016,</w:t>
      </w:r>
    </w:p>
    <w:p>
      <w:pPr>
        <w:spacing w:after="0" w:line="86" w:lineRule="exact"/>
        <w:rPr>
          <w:rFonts w:ascii="Arial" w:cs="Arial" w:eastAsia="Arial" w:hAnsi="Arial"/>
          <w:sz w:val="16"/>
          <w:szCs w:val="16"/>
          <w:color w:val="auto"/>
        </w:rPr>
      </w:pPr>
    </w:p>
    <w:p>
      <w:pPr>
        <w:ind w:left="1700" w:hanging="80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$1.7 million from Assembly Row and Pike &amp; Rose as portions of both projects opened throughout 2015, and</w:t>
      </w:r>
    </w:p>
    <w:p>
      <w:pPr>
        <w:spacing w:after="0" w:line="74" w:lineRule="exact"/>
        <w:rPr>
          <w:rFonts w:ascii="Arial" w:cs="Arial" w:eastAsia="Arial" w:hAnsi="Arial"/>
          <w:sz w:val="17"/>
          <w:szCs w:val="17"/>
          <w:color w:val="auto"/>
        </w:rPr>
      </w:pPr>
    </w:p>
    <w:p>
      <w:pPr>
        <w:ind w:left="1700" w:hanging="801"/>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of $1.2 million at redevelopment properties due primarily to the lease-up of several of our retail redevelopments,</w:t>
      </w:r>
    </w:p>
    <w:p>
      <w:pPr>
        <w:spacing w:after="0" w:line="74"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7"/>
          <w:szCs w:val="17"/>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$2.0 million at same-center properties primarily attributable to lower snow removal costs, and</w:t>
      </w:r>
    </w:p>
    <w:p>
      <w:pPr>
        <w:spacing w:after="0" w:line="63" w:lineRule="exact"/>
        <w:rPr>
          <w:rFonts w:ascii="Arial" w:cs="Arial" w:eastAsia="Arial" w:hAnsi="Arial"/>
          <w:sz w:val="18"/>
          <w:szCs w:val="18"/>
          <w:color w:val="auto"/>
        </w:rPr>
      </w:pPr>
    </w:p>
    <w:p>
      <w:pPr>
        <w:ind w:left="1700" w:right="24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$0.8 million due to the sale of our Houston Street and Courtyard Shops properties in April 2015 and November 2015, respectively.</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a result of the changes in rental income and rental expenses as discussed above, rental expenses as a percentage of rental income plus other property income decreased to 20.3% in the six months ended June 30, 2016 from 20.4% in the six months ended June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Real estate tax expense increased $5.1 million, or 12.5%, to $46.2 million in the six months ended June 30, 2016 compared to $41.1 million in the six months ended June 30, 2015 due primarily to the following:</w:t>
      </w:r>
    </w:p>
    <w:p>
      <w:pPr>
        <w:spacing w:after="0" w:line="8"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$1.9 million from properties acquired in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$1.4 million due to higher assessments at same-center properties,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 million related to Assembly Row and Pike &amp; Rose, and</w:t>
      </w:r>
    </w:p>
    <w:p>
      <w:pPr>
        <w:spacing w:after="0" w:line="63" w:lineRule="exact"/>
        <w:rPr>
          <w:rFonts w:ascii="Arial" w:cs="Arial" w:eastAsia="Arial" w:hAnsi="Arial"/>
          <w:sz w:val="18"/>
          <w:szCs w:val="18"/>
          <w:color w:val="auto"/>
        </w:rPr>
      </w:pPr>
    </w:p>
    <w:p>
      <w:pPr>
        <w:ind w:left="1700" w:right="420" w:hanging="801"/>
        <w:spacing w:after="0" w:line="277" w:lineRule="auto"/>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$0.9 million due to the acquisition of the six previously unconsolidated Clarion joint venture properties in January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Property operating income increased $19.2 million, or 7.6%, to $270.3 million in the six months ended June 30, 2016 compared to $251.1 million in the six months ended June 30, 2015. This increase is primarily due to properties acquired in 2015, growth in earnings at same-center properties, the acquisition of the six previously unconsolidated Clarion joint venture properties in January 2016, redevelopment properties, and portions of Assembly Row and Pike &amp; Rose opening through 2015, partially offset by the sale of our Houston Street and Courtyard Shops properties in April 2015 and November 2015,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Real Estate Partnerships</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decrease in income from real estate partnerships is the result of our obtaining control of the six Clarion joint venture properties on January 13, 2016 (see discussion in Note 3 to the consolidated financial statements). Prior to this transaction, the properties were accounted for under the equity method of accounting.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$0.8 million, or 1.6%, to $46.8 million in the six months ended June 30, 2016 compared to $47.6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This decrease is due primarily to the following:</w:t>
      </w:r>
    </w:p>
    <w:p>
      <w:pPr>
        <w:spacing w:after="0" w:line="49" w:lineRule="exact"/>
        <w:rPr>
          <w:sz w:val="20"/>
          <w:szCs w:val="20"/>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$7.1 million due to a lower overall weighted average borrowing rate,</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$4.8 million due to higher borrowings,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$1.6 million in capitalized interest due primarily to the opening of Phase I of Pike &amp; Rose during 2015.</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$54.8 million and $57.2 million in the six months ended June 30, 2016 and 2015, respectively. Capitalized interest was $8.0 million and $9.5 million in the six months ended June 30, 2016 and 2015,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$19.1 million of early extinguishment of debt in the six months ended June 30, 2015 relates to the make-whole premium paid as part of the early redemption of our 6.20% senior notes, partially offset by the related write-off of unamortized premium and debt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General and administrative expenses decreased $1.1 million, or 6.1%, to $17.0 million for the six months ended June 30, 2016, compared to $18.2 million in the six months ended June 30, 2015. The decrease is primarily due to lower transaction costs, partially offset by higher personnel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Depreciation and amortization expense increased $11.6 million, or 13.7%, to $96.2 million in the six months ended June 30, 2016 from $84.7 million in the six months ended June 30, 2015. This increase is due primarily to the acquisition of the six previously unconsolidated Clarion joint venture properties in January 2016, Assembly Row and Pike &amp; Rose, and properties acquired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Change in Control of Interests and Sale of Real Estate</w:t>
      </w:r>
    </w:p>
    <w:p>
      <w:pPr>
        <w:spacing w:after="0" w:line="9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$27.5 million gain on change in control of interests and sale of real estate is primarily the result of our obtaining control of six properties when we acquired Clarion’s 70% interest in the partnership that owned those properties (see discussion in Note 3 to the consolidated financial statements). The properties were previously accounted for under the equity method of accounting. We consolidated these assets effective January 13, 2016, and consequently recognized a gain of $25.7 million upon obtaining the controlling interest. The additional $1.8 million gain is related to the May 2016 sale of a building in Coconut Grove, Florida by an unconsolidated joint venture. Our share of the gain, net of noncontrolling interests, was $0.7 million.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$11.5 million gain on sale of real estate for the six months ended June 30, 2015 is due to the sale of our Houston Street property in April 2015.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6" w:right="31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At June 30, 2016, we had cash and cash equivalents of $18.6 million and $95.0 million outstanding on our unsecured revolving credit facility. On April 20, 2016, we upsized our $600.0 million revolving credit facility to $800.0 million and extended the maturity date to April 20, 2020, subject to two six-month extensions at our option. In addition, we have an option (subject to bank approval) to increase the credit facility through an accordion feature to $1.5 billion. Our $275.0 million unsecured term loan, which matures on November 21, 2018, subject to a one-year extension at our option, also has an option (subject to bank approval) to increase the term loan through an accordion feature to $350.0 million. As of June 30, 2016, we had the capacity to issue up to $97.7 million in common shares under our ATM equity program.</w:t>
      </w:r>
    </w:p>
    <w:p>
      <w:pPr>
        <w:spacing w:after="0" w:line="13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For the six months ended June 30, 2016, the maximum amount of borrowings outstanding under our revolving credit facility was $251.5 million, the weighted average amount of borrowings outstanding was $150.3 million and the weighted average interest rate, before amortization of debt fees, was 1.3%. On March 7, 2016, we issued 1.0 million common shares at $149.43 per share, for net cash proceeds of $149.3 million. On July 12, 2016, we issued $250.0 million of fixed rate senior unsecured notes that mature on August 1, 2046 and bear interest at 3.625% for net proceeds after issuance discounts, underwriting fees, and other costs of approximately $241.8 million. For the remainder of 2016 we have only $9.4 million of debt maturing. We currently believe that cash flows from operations, cash on hand, our ATM program, our revolving credit facility and our general ability to access the capital markets will be sufficient to finance our operations and fund our debt service requirements (including maturities) and capital expenditures.</w:t>
      </w:r>
    </w:p>
    <w:p>
      <w:pPr>
        <w:spacing w:after="0" w:line="12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overall capital requirements for the remainder of 2016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which is the result of construction on Phase II at both Assembly Row and Pike &amp; Rose and construction of the 234,500 square foot office building at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196"/>
        </w:trPr>
        <w:tc>
          <w:tcPr>
            <w:tcW w:w="8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199,236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173,648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(300,902)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(216,351)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99,242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16,927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(25,776)</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18,622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22,175</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cash provided by operating activities increased $25.6 million to $199.2 million during the six months ended June 30, 2016 from $173.6 million during the six months ended June 30, 2015. The increase was primarily attributable to higher net income before certain non-cash items, timing of interest payments, and timing of payments from tenants.</w:t>
      </w:r>
    </w:p>
    <w:p>
      <w:pPr>
        <w:spacing w:after="0" w:line="12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cash used in investing activities increased $84.6 million to $300.9 million during the six months ended June 30, 2016 from $216.4 million during the six months ended June 30, 2015. The increase was primarily attributable to:</w:t>
      </w:r>
    </w:p>
    <w:p>
      <w:pPr>
        <w:spacing w:after="0" w:line="8" w:lineRule="exact"/>
        <w:rPr>
          <w:sz w:val="20"/>
          <w:szCs w:val="20"/>
          <w:color w:val="auto"/>
        </w:rPr>
      </w:pPr>
    </w:p>
    <w:p>
      <w:pPr>
        <w:ind w:left="5620" w:right="3580" w:hanging="4721"/>
        <w:spacing w:after="0" w:line="559" w:lineRule="auto"/>
        <w:tabs>
          <w:tab w:leader="none" w:pos="17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$45.8 million in proceeds from the sale of our Houston Street property in April 2015, 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right="920" w:hanging="801"/>
        <w:spacing w:after="0" w:line="317" w:lineRule="auto"/>
        <w:tabs>
          <w:tab w:leader="none" w:pos="1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$20.9 million increase in acquisitions of real estate due to the January 2016 acquisition of Clarion's 70% interest in our unconsolidated real estate partnership, partially offset by the 2015 acquisitions of San Antonio Center and Cocowalk, and</w:t>
      </w: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$19.2 million increase in capital investments and leasing costs.</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financing activities increased $82.3 million to $99.2 million during the six months ended June 30, 2016 from $16.9 million during the six months ended June 30, 2015.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$219.2 million due to the redemption of $200 million of senior notes with a make-whole premium of $19.2 million in April 2015, and</w:t>
      </w:r>
    </w:p>
    <w:p>
      <w:pPr>
        <w:spacing w:after="0" w:line="86" w:lineRule="exact"/>
        <w:rPr>
          <w:rFonts w:ascii="Arial" w:cs="Arial" w:eastAsia="Arial" w:hAnsi="Arial"/>
          <w:sz w:val="16"/>
          <w:szCs w:val="16"/>
          <w:color w:val="auto"/>
        </w:rPr>
      </w:pPr>
    </w:p>
    <w:p>
      <w:pPr>
        <w:jc w:val="both"/>
        <w:ind w:left="1700" w:hanging="801"/>
        <w:spacing w:after="0" w:line="259"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$187.2 million increase in net proceeds from the issuance of common shares as we issued 1.0 million common shares at $149.43 per share in an underwritten public offering on March 7, 2016, and we sold 0.6 million common shares under our ATM equity program at a weighted average price of $153.24 during the six months ended June 30, 2016, compared to 0.4 million shares at a weighted average price of $134.12 in the six months ended June 30, 2015,</w:t>
      </w: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$208.6 million in net proceeds from the re-opening of the 4.50% senior notes in March 2015,</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$65.0 million decrease in net borrowings on our revolving credit facility,</w:t>
      </w:r>
    </w:p>
    <w:p>
      <w:pPr>
        <w:spacing w:after="0" w:line="63" w:lineRule="exact"/>
        <w:rPr>
          <w:rFonts w:ascii="Arial" w:cs="Arial" w:eastAsia="Arial" w:hAnsi="Arial"/>
          <w:sz w:val="18"/>
          <w:szCs w:val="18"/>
          <w:color w:val="auto"/>
        </w:rPr>
      </w:pPr>
    </w:p>
    <w:p>
      <w:pPr>
        <w:ind w:left="1700" w:right="140" w:hanging="801"/>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$23.9 million increase in repayment of mortgages, capital leases, and notes payable due to the payoff of $34.4 million of mortgage loans on April 1, 2016,</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$13.0 million acquisition of the 10% noncontrolling interest of a partnership which owns a project in Southern California, and</w:t>
      </w:r>
    </w:p>
    <w:p>
      <w:pPr>
        <w:spacing w:after="0" w:line="74" w:lineRule="exact"/>
        <w:rPr>
          <w:rFonts w:ascii="Arial" w:cs="Arial" w:eastAsia="Arial" w:hAnsi="Arial"/>
          <w:sz w:val="17"/>
          <w:szCs w:val="17"/>
          <w:color w:val="auto"/>
        </w:rPr>
      </w:pPr>
    </w:p>
    <w:p>
      <w:pPr>
        <w:ind w:left="1700" w:right="420" w:hanging="801"/>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$12.4 million increase in dividends paid to shareholders due to an increase in the dividend rate and increased number of shares outstanding.</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6" w:right="27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June 30, 2016:</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40" w:type="dxa"/>
            <w:vAlign w:val="bottom"/>
          </w:tcPr>
          <w:p>
            <w:pPr>
              <w:jc w:val="right"/>
              <w:ind w:right="280"/>
              <w:spacing w:after="0"/>
              <w:rPr>
                <w:sz w:val="20"/>
                <w:szCs w:val="20"/>
                <w:color w:val="auto"/>
              </w:rPr>
            </w:pPr>
            <w:r>
              <w:rPr>
                <w:rFonts w:ascii="Arial" w:cs="Arial" w:eastAsia="Arial" w:hAnsi="Arial"/>
                <w:sz w:val="14"/>
                <w:szCs w:val="14"/>
                <w:b w:val="1"/>
                <w:bCs w:val="1"/>
                <w:color w:val="auto"/>
              </w:rPr>
              <w:t>Original</w:t>
            </w: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Principal Balance as</w:t>
            </w:r>
          </w:p>
        </w:tc>
        <w:tc>
          <w:tcPr>
            <w:tcW w:w="120" w:type="dxa"/>
            <w:vAlign w:val="bottom"/>
          </w:tcPr>
          <w:p>
            <w:pPr>
              <w:spacing w:after="0"/>
              <w:rPr>
                <w:sz w:val="14"/>
                <w:szCs w:val="14"/>
                <w:color w:val="auto"/>
              </w:rPr>
            </w:pPr>
          </w:p>
        </w:tc>
        <w:tc>
          <w:tcPr>
            <w:tcW w:w="17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14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Debt</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2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5260" w:type="dxa"/>
            <w:vAlign w:val="bottom"/>
            <w:vMerge w:val="continue"/>
          </w:tcPr>
          <w:p>
            <w:pPr>
              <w:spacing w:after="0"/>
              <w:rPr>
                <w:sz w:val="16"/>
                <w:szCs w:val="16"/>
                <w:color w:val="auto"/>
              </w:rPr>
            </w:pPr>
          </w:p>
        </w:tc>
        <w:tc>
          <w:tcPr>
            <w:tcW w:w="1140" w:type="dxa"/>
            <w:vAlign w:val="bottom"/>
          </w:tcPr>
          <w:p>
            <w:pPr>
              <w:ind w:left="32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Arial" w:cs="Arial" w:eastAsia="Arial" w:hAnsi="Arial"/>
                <w:sz w:val="14"/>
                <w:szCs w:val="14"/>
                <w:b w:val="1"/>
                <w:bCs w:val="1"/>
                <w:color w:val="auto"/>
                <w:w w:val="92"/>
              </w:rPr>
              <w:t>of June 30, 2016</w:t>
            </w:r>
          </w:p>
        </w:tc>
        <w:tc>
          <w:tcPr>
            <w:tcW w:w="120" w:type="dxa"/>
            <w:vAlign w:val="bottom"/>
          </w:tcPr>
          <w:p>
            <w:pPr>
              <w:spacing w:after="0"/>
              <w:rPr>
                <w:sz w:val="16"/>
                <w:szCs w:val="16"/>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June 30, 2016</w:t>
            </w:r>
          </w:p>
        </w:tc>
        <w:tc>
          <w:tcPr>
            <w:tcW w:w="1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Pr>
          <w:p>
            <w:pPr>
              <w:spacing w:after="0"/>
              <w:rPr>
                <w:sz w:val="21"/>
                <w:szCs w:val="21"/>
                <w:color w:val="auto"/>
              </w:rPr>
            </w:pPr>
          </w:p>
        </w:tc>
        <w:tc>
          <w:tcPr>
            <w:tcW w:w="248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w:t>
            </w:r>
          </w:p>
        </w:tc>
        <w:tc>
          <w:tcPr>
            <w:tcW w:w="1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Plaza El Segundo</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The Grove at Shrewsbury (East)</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43,054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(West)</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10,910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Rollingwood Apartments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24,050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21,502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Shops at Sunset Place</w:t>
            </w: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69,602</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September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4,655</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73,536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Chelsea</w:t>
            </w:r>
          </w:p>
        </w:tc>
        <w:tc>
          <w:tcPr>
            <w:tcW w:w="1140" w:type="dxa"/>
            <w:vAlign w:val="bottom"/>
          </w:tcPr>
          <w:p>
            <w:pPr>
              <w:ind w:left="320"/>
              <w:spacing w:after="0"/>
              <w:rPr>
                <w:sz w:val="20"/>
                <w:szCs w:val="20"/>
                <w:color w:val="auto"/>
              </w:rPr>
            </w:pPr>
            <w:r>
              <w:rPr>
                <w:rFonts w:ascii="Arial" w:cs="Arial" w:eastAsia="Arial" w:hAnsi="Arial"/>
                <w:sz w:val="16"/>
                <w:szCs w:val="16"/>
                <w:color w:val="auto"/>
              </w:rPr>
              <w:t>Acquired</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6,723</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469,187</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6,968</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476,155</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Term loan (1)</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182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5,549</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(2)</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174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Revolving credit facility (3)</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800,000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95,000</w:t>
            </w:r>
          </w:p>
        </w:tc>
        <w:tc>
          <w:tcPr>
            <w:tcW w:w="12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+ 0.825%</w:t>
            </w:r>
          </w:p>
        </w:tc>
        <w:tc>
          <w:tcPr>
            <w:tcW w:w="1820" w:type="dxa"/>
            <w:vAlign w:val="bottom"/>
          </w:tcPr>
          <w:p>
            <w:pPr>
              <w:jc w:val="right"/>
              <w:spacing w:after="0"/>
              <w:rPr>
                <w:sz w:val="20"/>
                <w:szCs w:val="20"/>
                <w:color w:val="auto"/>
              </w:rPr>
            </w:pPr>
            <w:r>
              <w:rPr>
                <w:rFonts w:ascii="Arial" w:cs="Arial" w:eastAsia="Arial" w:hAnsi="Arial"/>
                <w:sz w:val="16"/>
                <w:szCs w:val="16"/>
                <w:color w:val="auto"/>
              </w:rPr>
              <w:t>April 20, 2020</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384,949</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debt issuance costs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383,582</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260" w:type="dxa"/>
            <w:vAlign w:val="bottom"/>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5.90%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2.55%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3.00%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2.75%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3.95%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300,000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7.48% debentures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6.82% medium term notes</w:t>
            </w:r>
          </w:p>
        </w:tc>
        <w:tc>
          <w:tcPr>
            <w:tcW w:w="11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6"/>
                <w:szCs w:val="16"/>
                <w:color w:val="auto"/>
              </w:rPr>
              <w:t>4.50% notes</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450,000</w:t>
            </w:r>
          </w:p>
        </w:tc>
        <w:tc>
          <w:tcPr>
            <w:tcW w:w="1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1,744,200</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60" w:type="dxa"/>
            <w:vAlign w:val="bottom"/>
          </w:tcPr>
          <w:p>
            <w:pPr>
              <w:ind w:left="920"/>
              <w:spacing w:after="0"/>
              <w:rPr>
                <w:sz w:val="20"/>
                <w:szCs w:val="20"/>
                <w:color w:val="auto"/>
              </w:rPr>
            </w:pPr>
            <w:r>
              <w:rPr>
                <w:rFonts w:ascii="Arial" w:cs="Arial" w:eastAsia="Arial" w:hAnsi="Arial"/>
                <w:sz w:val="16"/>
                <w:szCs w:val="16"/>
                <w:color w:val="auto"/>
              </w:rPr>
              <w:t>Net unamortized premium and debt issuance costs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(10,589)</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senior notes and debentures</w:t>
            </w:r>
          </w:p>
        </w:tc>
        <w:tc>
          <w:tcPr>
            <w:tcW w:w="1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1,733,611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Various</w:t>
            </w:r>
          </w:p>
        </w:tc>
        <w:tc>
          <w:tcPr>
            <w:tcW w:w="1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71,605</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Various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14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2,664,953</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vMerge w:val="continu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1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440" w:hanging="652"/>
        <w:spacing w:after="0" w:line="31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ind w:left="660" w:right="2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six months ended June 30, 2016 was $251.5 million, and the weighted average interest rate on borrowings under our revolving credit facility, before amortization of debt fees, was 1.3%.</w:t>
      </w:r>
    </w:p>
    <w:p>
      <w:pPr>
        <w:sectPr>
          <w:pgSz w:w="11900" w:h="16838" w:orient="portrait"/>
          <w:cols w:equalWidth="0" w:num="1">
            <w:col w:w="11420"/>
          </w:cols>
          <w:pgMar w:left="240" w:top="126" w:right="239" w:bottom="23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6" w:right="239" w:bottom="231"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June 30, 2016,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June 30, 2016:</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Secured</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9,661</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2,858</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12,538</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457</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222,469</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222,960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275,507</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15,477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291,021</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561</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25,006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25,609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245,623</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64,687</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310,356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1,597,340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138,690</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71,427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1,807,457</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2,129,149</w:t>
            </w:r>
          </w:p>
        </w:tc>
        <w:tc>
          <w:tcPr>
            <w:tcW w:w="4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469,187</w:t>
            </w:r>
          </w:p>
        </w:tc>
        <w:tc>
          <w:tcPr>
            <w:tcW w:w="4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71,605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2,669,941</w:t>
            </w:r>
          </w:p>
        </w:tc>
        <w:tc>
          <w:tcPr>
            <w:tcW w:w="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June 30, 2016, there was $95.0 million outstanding under our $800.0 million revolving credit facility.</w:t>
      </w:r>
    </w:p>
    <w:p>
      <w:pPr>
        <w:spacing w:after="0" w:line="63" w:lineRule="exact"/>
        <w:rPr>
          <w:rFonts w:ascii="Arial" w:cs="Arial" w:eastAsia="Arial" w:hAnsi="Arial"/>
          <w:sz w:val="18"/>
          <w:szCs w:val="18"/>
          <w:color w:val="auto"/>
        </w:rPr>
      </w:pPr>
    </w:p>
    <w:p>
      <w:pPr>
        <w:ind w:left="660" w:right="38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and debt issuance costs on mortgage loans, notes payable, and senior notes as of June 30,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June 30, 2016, we are party to two interest rate swap agreements that effectively fixed the rate on the term loan at 2.62%. Both swaps were designated and qualified as cash flow hedges and were recorded at fair value. Hedge ineffectiveness has not impacted earnings as of June 30, 2016, and we do not anticipate it will have a significant effect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6"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8"/>
              </w:rPr>
              <w:t>Six Months Ended June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58,898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137,961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93,876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change in control of interests and sale of real estate,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42,299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37,726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84,027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75,010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7,116</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101,804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73,525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198,965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160,435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Funds from operations available for common shareholders (1)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102,197</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73,942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199,772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161,232</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common shares, diluted (2)</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69,581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 (1)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3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$19.1 million early extinguishment of debt charge in 2015 was excluded, our FFO available for common shareholders for the three and six months ended June 30, 2015 would have been $92.9 million and $180.2 million, respectively, and FFO available for common shareholders, per diluted share would have been $1.33 and $2.59, respectively.</w:t>
      </w:r>
    </w:p>
    <w:p>
      <w:pPr>
        <w:spacing w:after="0" w:line="19" w:lineRule="exact"/>
        <w:rPr>
          <w:rFonts w:ascii="Arial" w:cs="Arial" w:eastAsia="Arial" w:hAnsi="Arial"/>
          <w:sz w:val="18"/>
          <w:szCs w:val="18"/>
          <w:color w:val="auto"/>
        </w:rPr>
      </w:pPr>
    </w:p>
    <w:p>
      <w:pPr>
        <w:jc w:val="both"/>
        <w:ind w:left="660" w:right="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June 30, 2016,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our outstanding debt obligations (maturing at various times through 2044 or, with respect to capital lease obligations, through 2106) have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fixed interest rates which limit the risk of fluctuating interest rates. However, interest rate fluctuations may affect the fair value of our fixed rate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instruments. At June 30, 2016, we had $2.5 billion of fixed-rate debt outstanding, including our $275.0 million term loan as the rate is effectively fixed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two interest rate swap agreements; we also had $71.6 million of capital lease obligations. If market interest rates used to calculate the fair value on our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debt instruments at June 30, 2016 had been 1.0% higher, the fair value of those debt instruments on that date would have decreased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$158.9 million. If market interest rates used to calculate the fair value on our fixed-rate debt instruments at June 30, 2016 had been 1.0% lower, the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those debt instruments on that date would have increased by approximately $181.5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Generally, we believe that our primary interest rate risk is due to fluctuations in interest rates on our variable rate debt. At June 30, 2016, we had $104.4 million of variable rate debt outstanding which consisted of $95.0 million on our revolving credit facility and $9.4 million of municipal bonds. Based upon this amount of variable rate debt and the specific terms, if market interest rates increased 1.0%, our annual interest expense would increase by approximately $1.0 million, and our net income and cash flows for the year would decrease by approximately $1.0 million. Conversely, if market interest rates decreased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 our annual interest expense would decrease by approximately $1.0 million with a corresponding increase in our net income and cash flows for the year.</w:t>
      </w:r>
    </w:p>
    <w:p>
      <w:pPr>
        <w:spacing w:after="0" w:line="200" w:lineRule="exact"/>
        <w:rPr>
          <w:sz w:val="20"/>
          <w:szCs w:val="20"/>
          <w:color w:val="auto"/>
        </w:rPr>
      </w:pPr>
    </w:p>
    <w:p>
      <w:pPr>
        <w:spacing w:after="0" w:line="2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 evaluation has been performed, under the supervision and with the participation of our management, including our Chief Executive Officer, who since May 20, 2016, is also serving as our Principal Financial Officer, of the effectiveness of the design and operation of our disclosure controls and procedures as of June 30, 2016. Based on this evaluation, our management, including our Chief Executive Officer, who since May 20, 2016, is also serving as our Principal Financial Officer, concluded that our disclosure controls and procedures were effective as of June 30, 2016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2015 filed with the SEC on February 9, 2016. These factors include, but are not limited to, the following:</w:t>
      </w:r>
    </w:p>
    <w:p>
      <w:pPr>
        <w:spacing w:after="0" w:line="8" w:lineRule="exact"/>
        <w:rPr>
          <w:sz w:val="20"/>
          <w:szCs w:val="20"/>
          <w:color w:val="auto"/>
        </w:rPr>
      </w:pPr>
    </w:p>
    <w:p>
      <w:pPr>
        <w:ind w:left="1700" w:right="4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8" w:lineRule="exact"/>
        <w:rPr>
          <w:rFonts w:ascii="Arial" w:cs="Arial" w:eastAsia="Arial" w:hAnsi="Arial"/>
          <w:sz w:val="18"/>
          <w:szCs w:val="18"/>
          <w:color w:val="auto"/>
        </w:rPr>
      </w:pPr>
    </w:p>
    <w:p>
      <w:pPr>
        <w:ind w:left="1700" w:hanging="801"/>
        <w:spacing w:after="0" w:line="264"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6" w:right="29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amount upfront in infrastructure, and assumes receipt of public funding which has been committed but not entirely funded;</w:t>
      </w:r>
    </w:p>
    <w:p>
      <w:pPr>
        <w:spacing w:after="0" w:line="77" w:lineRule="exact"/>
        <w:rPr>
          <w:sz w:val="20"/>
          <w:szCs w:val="20"/>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60" w:hanging="807"/>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60" w:hanging="807"/>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80" w:hanging="801"/>
        <w:spacing w:after="0" w:line="286" w:lineRule="auto"/>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10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Under the terms of various partnership agreements of certain of our affiliated limited partnerships, the interest of limited partners in those limited partnerships may be redeemed, subject to certain conditions, for cash or an equivalent number of common shares, at our option. During the three months ended June 30, 2016, we redeemed 133,603 downREIT operating partnership units for common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stock repurchases for the three months ended June 30,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40" w:type="dxa"/>
            <w:vAlign w:val="bottom"/>
          </w:tcPr>
          <w:p>
            <w:pPr>
              <w:spacing w:after="0"/>
              <w:rPr>
                <w:sz w:val="14"/>
                <w:szCs w:val="14"/>
                <w:color w:val="auto"/>
              </w:rPr>
            </w:pPr>
          </w:p>
        </w:tc>
        <w:tc>
          <w:tcPr>
            <w:tcW w:w="22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Average price paid per</w:t>
            </w:r>
          </w:p>
        </w:tc>
        <w:tc>
          <w:tcPr>
            <w:tcW w:w="1980" w:type="dxa"/>
            <w:vAlign w:val="bottom"/>
            <w:vMerge w:val="continue"/>
          </w:tcPr>
          <w:p>
            <w:pPr>
              <w:spacing w:after="0"/>
              <w:rPr>
                <w:sz w:val="12"/>
                <w:szCs w:val="12"/>
                <w:color w:val="auto"/>
              </w:rPr>
            </w:pPr>
          </w:p>
        </w:tc>
        <w:tc>
          <w:tcPr>
            <w:tcW w:w="24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dollar amount of 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40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Period</w:t>
            </w:r>
          </w:p>
        </w:tc>
        <w:tc>
          <w:tcPr>
            <w:tcW w:w="2060" w:type="dxa"/>
            <w:vAlign w:val="bottom"/>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40" w:type="dxa"/>
            <w:vAlign w:val="bottom"/>
          </w:tcPr>
          <w:p>
            <w:pPr>
              <w:spacing w:after="0"/>
              <w:rPr>
                <w:sz w:val="12"/>
                <w:szCs w:val="12"/>
                <w:color w:val="auto"/>
              </w:rPr>
            </w:pPr>
          </w:p>
        </w:tc>
        <w:tc>
          <w:tcPr>
            <w:tcW w:w="22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purchased (1)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programs</w:t>
            </w:r>
          </w:p>
        </w:tc>
        <w:tc>
          <w:tcPr>
            <w:tcW w:w="0" w:type="dxa"/>
            <w:vAlign w:val="bottom"/>
          </w:tcPr>
          <w:p>
            <w:pPr>
              <w:spacing w:after="0"/>
              <w:rPr>
                <w:sz w:val="1"/>
                <w:szCs w:val="1"/>
                <w:color w:val="auto"/>
              </w:rPr>
            </w:pPr>
          </w:p>
        </w:tc>
      </w:tr>
      <w:tr>
        <w:trPr>
          <w:trHeight w:val="331"/>
        </w:trPr>
        <w:tc>
          <w:tcPr>
            <w:tcW w:w="40" w:type="dxa"/>
            <w:vAlign w:val="bottom"/>
            <w:tcBorders>
              <w:bottom w:val="single" w:sz="8" w:color="CCEEFF"/>
            </w:tcBorders>
            <w:shd w:val="clear" w:color="auto" w:fill="CCEEFF"/>
          </w:tcPr>
          <w:p>
            <w:pPr>
              <w:spacing w:after="0"/>
              <w:rPr>
                <w:sz w:val="24"/>
                <w:szCs w:val="24"/>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April 1, 2016 - April 30, 2016</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155.48</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440" w:type="dxa"/>
            <w:vAlign w:val="bottom"/>
            <w:gridSpan w:val="2"/>
          </w:tcPr>
          <w:p>
            <w:pPr>
              <w:ind w:left="40"/>
              <w:spacing w:after="0"/>
              <w:rPr>
                <w:sz w:val="20"/>
                <w:szCs w:val="20"/>
                <w:color w:val="auto"/>
              </w:rPr>
            </w:pPr>
            <w:r>
              <w:rPr>
                <w:rFonts w:ascii="Arial" w:cs="Arial" w:eastAsia="Arial" w:hAnsi="Arial"/>
                <w:sz w:val="18"/>
                <w:szCs w:val="18"/>
                <w:color w:val="auto"/>
              </w:rPr>
              <w:t>June 1, 2016 - June 30, 2016</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155.70</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155.60</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8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shares delivered in payment of withholding taxes in connection with restricted stock vesting by participants.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32</w:t>
      </w:r>
    </w:p>
    <w:p>
      <w:pPr>
        <w:sectPr>
          <w:pgSz w:w="11900" w:h="16838" w:orient="portrait"/>
          <w:cols w:equalWidth="0" w:num="1">
            <w:col w:w="11420"/>
          </w:cols>
          <w:pgMar w:left="240" w:top="126"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126" w:right="4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August 4, 2016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6" w:right="37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89"/>
              </w:rPr>
              <w:t>Indenture dated September 1, 1998 related to the Trust’s 5.65% Notes due 2016; 6.20% Notes due 2017; 5.95% Notes due 2014 and the 5.90%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Notes due 2020; 3.00% Notes due 2022; 2.75% Notes due 2023; 3.95% Notes due 2024; 4.50% Notes due 2044; 2.55% Notes due 2021;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3.625% Notes due 2046 (previously filed as Exhibit 4(a) to the Trust’s Registration Statement on Form S-3 (File No. 333-63619)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September 17, 1998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10.35 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6"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bl>
    <w:p>
      <w:pPr>
        <w:ind w:left="1080" w:right="400"/>
        <w:spacing w:after="0" w:line="261" w:lineRule="auto"/>
        <w:rPr>
          <w:sz w:val="20"/>
          <w:szCs w:val="20"/>
          <w:color w:val="auto"/>
        </w:rPr>
      </w:pPr>
      <w:r>
        <w:rPr>
          <w:rFonts w:ascii="Arial" w:cs="Arial" w:eastAsia="Arial" w:hAnsi="Arial"/>
          <w:sz w:val="18"/>
          <w:szCs w:val="18"/>
          <w:color w:val="auto"/>
        </w:rPr>
        <w:t>Manager (previously filed as Exhibit 10.1 to the Trust’s Current Report on Form 8-K (File No. 1-07533), filed on November 28, 2011 and incorporated herein by reference)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458"/>
        </w:trPr>
        <w:tc>
          <w:tcPr>
            <w:tcW w:w="900" w:type="dxa"/>
            <w:vAlign w:val="bottom"/>
          </w:tcPr>
          <w:p>
            <w:pPr>
              <w:ind w:left="4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Second Amendment to Credit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party thereto, and Wells Fargo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April 26, 2016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Third Amendment to Term Loan Agreement, dated as of April 20, 2016,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10.1 to the Trust's Current Report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8-K (File No. 1-07533), filed on April 26, 2016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460" w:hanging="1045"/>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June 30, 2016,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4,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June 30, 2016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August 4, 2016</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Executive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lvl w:ilvl="1">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0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2019-12-29T11:46:34Z</dcterms:created>
  <dcterms:modified xsi:type="dcterms:W3CDTF">2019-12-29T11:46:34Z</dcterms:modified>
</cp:coreProperties>
</file>