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4,246,220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4,246,220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4,246,220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Federal Realty Investment Trust</w:t>
      </w:r>
    </w:p>
    <w:p>
      <w:pPr>
        <w:spacing w:after="0" w:line="101" w:lineRule="exact"/>
        <w:rPr>
          <w:rFonts w:ascii="Arial" w:cs="Arial" w:eastAsia="Arial" w:hAnsi="Arial"/>
          <w:sz w:val="22"/>
          <w:szCs w:val="22"/>
          <w:b w:val="1"/>
          <w:bCs w:val="1"/>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909 Rose Avenue, Suite 200, North Bethesda, MD 20852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Capital Research Global Investors</w:t>
      </w:r>
    </w:p>
    <w:p>
      <w:pPr>
        <w:spacing w:after="0" w:line="101" w:lineRule="exact"/>
        <w:rPr>
          <w:rFonts w:ascii="Arial" w:cs="Arial" w:eastAsia="Arial" w:hAnsi="Arial"/>
          <w:sz w:val="22"/>
          <w:szCs w:val="22"/>
          <w:b w:val="1"/>
          <w:bCs w:val="1"/>
          <w:color w:val="auto"/>
        </w:rPr>
      </w:pPr>
    </w:p>
    <w:p>
      <w:pPr>
        <w:ind w:left="1620" w:right="4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313747206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4,246,220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5.6%</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4,246,220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4,246,220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right="120"/>
        <w:spacing w:after="0" w:line="287" w:lineRule="auto"/>
        <w:rPr>
          <w:sz w:val="20"/>
          <w:szCs w:val="20"/>
          <w:color w:val="auto"/>
        </w:rPr>
      </w:pPr>
      <w:r>
        <w:rPr>
          <w:rFonts w:ascii="Arial" w:cs="Arial" w:eastAsia="Arial" w:hAnsi="Arial"/>
          <w:sz w:val="19"/>
          <w:szCs w:val="19"/>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CRGI's divisions of each of the investment management entities collectively provide investment</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480"/>
        <w:spacing w:after="0" w:line="251" w:lineRule="auto"/>
        <w:rPr>
          <w:sz w:val="20"/>
          <w:szCs w:val="20"/>
          <w:color w:val="auto"/>
        </w:rPr>
      </w:pPr>
      <w:r>
        <w:rPr>
          <w:rFonts w:ascii="Arial" w:cs="Arial" w:eastAsia="Arial" w:hAnsi="Arial"/>
          <w:sz w:val="22"/>
          <w:szCs w:val="22"/>
          <w:color w:val="auto"/>
        </w:rPr>
        <w:t>management services under the name "Capital Research Global Investors." CRGI is deemed to be the beneficial owner of 4,246,220 shares or 5.6% of the 75,647,142 shares believed to be outstanding.</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Donald H. Rolfe</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2021-02-16T12:30:38Z</dcterms:created>
  <dcterms:modified xsi:type="dcterms:W3CDTF">2021-02-16T12:30:38Z</dcterms:modified>
</cp:coreProperties>
</file>