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2011</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On November 3, 2011, Federal Realty Investment Trust issued supplemental data pertaining to its operations, as well as a press release, to report its financial results for the quarter ended September 30, 2011.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2011 (including press release dated November 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 w:leader="none" w:pos="2660" w:val="left"/>
        </w:tabs>
        <w:rPr>
          <w:sz w:val="20"/>
          <w:szCs w:val="20"/>
          <w:color w:val="auto"/>
        </w:rPr>
      </w:pPr>
      <w:r>
        <w:rPr>
          <w:rFonts w:ascii="Arial" w:cs="Arial" w:eastAsia="Arial" w:hAnsi="Arial"/>
          <w:sz w:val="22"/>
          <w:szCs w:val="22"/>
          <w:color w:val="auto"/>
        </w:rPr>
        <w:t>Date:</w:t>
        <w:tab/>
        <w:t>November 3, 2011</w:t>
      </w:r>
      <w:r>
        <w:rPr>
          <w:sz w:val="20"/>
          <w:szCs w:val="20"/>
          <w:color w:val="auto"/>
        </w:rPr>
        <w:tab/>
      </w:r>
      <w:r>
        <w:rPr>
          <w:rFonts w:ascii="Arial" w:cs="Arial" w:eastAsia="Arial" w:hAnsi="Arial"/>
          <w:sz w:val="19"/>
          <w:szCs w:val="19"/>
          <w:u w:val="single" w:color="auto"/>
          <w:color w:val="auto"/>
        </w:rPr>
        <w:t>/s/ Andrew P. Blocher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Andrew P. Blocher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2011</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2011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Mixed Use Development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2011 Significant Acquisitions and Dispositions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13</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56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Investor Inquires</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Kristina Lennox</w:t>
            </w:r>
          </w:p>
        </w:tc>
        <w:tc>
          <w:tcPr>
            <w:tcW w:w="42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0" w:type="dxa"/>
            <w:vAlign w:val="bottom"/>
          </w:tcPr>
          <w:p>
            <w:pPr>
              <w:spacing w:after="0"/>
              <w:rPr>
                <w:sz w:val="22"/>
                <w:szCs w:val="22"/>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2320" w:type="dxa"/>
            <w:vAlign w:val="bottom"/>
            <w:gridSpan w:val="2"/>
          </w:tcPr>
          <w:p>
            <w:pPr>
              <w:spacing w:after="0"/>
              <w:rPr>
                <w:sz w:val="20"/>
                <w:szCs w:val="20"/>
                <w:color w:val="auto"/>
              </w:rPr>
            </w:pPr>
            <w:r>
              <w:rPr>
                <w:rFonts w:ascii="Arial" w:cs="Arial" w:eastAsia="Arial" w:hAnsi="Arial"/>
                <w:sz w:val="18"/>
                <w:szCs w:val="18"/>
                <w:color w:val="auto"/>
              </w:rPr>
              <w:t>Director, Marketing</w:t>
            </w:r>
          </w:p>
        </w:tc>
      </w:tr>
      <w:tr>
        <w:trPr>
          <w:trHeight w:val="25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301/998-8265</w:t>
            </w:r>
          </w:p>
        </w:tc>
        <w:tc>
          <w:tcPr>
            <w:tcW w:w="422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klennox@federalrealty.com</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ANNOUNCES THIRD QUARTER 2011 OPERATING RESULTS</w:t>
      </w:r>
    </w:p>
    <w:p>
      <w:pPr>
        <w:spacing w:after="0" w:line="200" w:lineRule="exact"/>
        <w:rPr>
          <w:sz w:val="20"/>
          <w:szCs w:val="20"/>
          <w:color w:val="auto"/>
        </w:rPr>
      </w:pPr>
    </w:p>
    <w:p>
      <w:pPr>
        <w:spacing w:after="0" w:line="236" w:lineRule="exact"/>
        <w:rPr>
          <w:sz w:val="20"/>
          <w:szCs w:val="20"/>
          <w:color w:val="auto"/>
        </w:rPr>
      </w:pPr>
    </w:p>
    <w:p>
      <w:pPr>
        <w:ind w:right="120"/>
        <w:spacing w:after="0" w:line="371" w:lineRule="auto"/>
        <w:rPr>
          <w:sz w:val="20"/>
          <w:szCs w:val="20"/>
          <w:color w:val="auto"/>
        </w:rPr>
      </w:pPr>
      <w:r>
        <w:rPr>
          <w:rFonts w:ascii="Arial" w:cs="Arial" w:eastAsia="Arial" w:hAnsi="Arial"/>
          <w:sz w:val="18"/>
          <w:szCs w:val="18"/>
          <w:color w:val="auto"/>
        </w:rPr>
        <w:t>ROCKVILLE, Md. (November 3, 2011) - Federal Realty Investment Trust (NYSE:FRT) today reported operating results for its third quarter ended September 30, 2011.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ind w:right="300"/>
        <w:spacing w:after="0" w:line="364" w:lineRule="auto"/>
        <w:rPr>
          <w:sz w:val="20"/>
          <w:szCs w:val="20"/>
          <w:color w:val="auto"/>
        </w:rPr>
      </w:pPr>
      <w:r>
        <w:rPr>
          <w:rFonts w:ascii="Arial" w:cs="Arial" w:eastAsia="Arial" w:hAnsi="Arial"/>
          <w:sz w:val="18"/>
          <w:szCs w:val="18"/>
          <w:color w:val="auto"/>
        </w:rPr>
        <w:t>In the third quarter 2011, Federal Realty generated funds from operations available for common shareholders (FFO) of $63.9 million, or $1.01 per diluted share. This compares to FFO of $58.8 million, or $0.95 per diluted share, in third quarter 2010. For the nine months ended September 30, 2011, Federal Realty reported FFO of $189.5 million, or $3.02 per diluted share, compared to $177.0 million, or $2.87 per diluted share for the same nine-month period in 2010.</w:t>
      </w:r>
    </w:p>
    <w:p>
      <w:pPr>
        <w:spacing w:after="0" w:line="297" w:lineRule="exact"/>
        <w:rPr>
          <w:sz w:val="20"/>
          <w:szCs w:val="20"/>
          <w:color w:val="auto"/>
        </w:rPr>
      </w:pPr>
    </w:p>
    <w:p>
      <w:pPr>
        <w:ind w:right="100"/>
        <w:spacing w:after="0" w:line="390" w:lineRule="auto"/>
        <w:rPr>
          <w:sz w:val="20"/>
          <w:szCs w:val="20"/>
          <w:color w:val="auto"/>
        </w:rPr>
      </w:pPr>
      <w:r>
        <w:rPr>
          <w:rFonts w:ascii="Arial" w:cs="Arial" w:eastAsia="Arial" w:hAnsi="Arial"/>
          <w:sz w:val="17"/>
          <w:szCs w:val="17"/>
          <w:color w:val="auto"/>
        </w:rPr>
        <w:t>Net income available for common shareholders was $46.9 million and earnings per diluted share was $0.74 for the quarter ended September 30, 2011 versus $29.5 million and $0.48, respectively, for third quarter 2010. Year-to-date, Federal Realty reported net income available for common shareholders of $112.6 million and earnings per diluted share of $1.80. This compares to net income available for common shareholders of $89.6 million and earnings per diluted share of $1.45 for the nine months ended September 30, 2010.</w:t>
      </w:r>
    </w:p>
    <w:p>
      <w:pPr>
        <w:spacing w:after="0" w:line="283" w:lineRule="exact"/>
        <w:rPr>
          <w:sz w:val="20"/>
          <w:szCs w:val="20"/>
          <w:color w:val="auto"/>
        </w:rPr>
      </w:pPr>
    </w:p>
    <w:p>
      <w:pPr>
        <w:ind w:right="44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In third quarter 2011, same-center property operating income increased 3.7% over third quarter 2010. When redevelopment and expansion properties are excluded from same-center results, property operating income for third quarter 2011 increased 2.4% compared to third quarter 2010.</w:t>
      </w: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1440"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ind w:right="360"/>
        <w:spacing w:after="0" w:line="365" w:lineRule="auto"/>
        <w:rPr>
          <w:sz w:val="20"/>
          <w:szCs w:val="20"/>
          <w:color w:val="auto"/>
        </w:rPr>
      </w:pPr>
      <w:r>
        <w:rPr>
          <w:rFonts w:ascii="Arial" w:cs="Arial" w:eastAsia="Arial" w:hAnsi="Arial"/>
          <w:sz w:val="18"/>
          <w:szCs w:val="18"/>
          <w:color w:val="auto"/>
        </w:rPr>
        <w:t>The overall portfolio was 93.3% leased as of September 30, 2011, compared to 93.4% on June 30, 2011 and 93.9% on September 30, 2010. Federal Realty's same-center portfolio was 94.0% leased on September 30, 2011, compared to 93.7% on June 30, 2011 and 94.5% on September 30, 2010.</w:t>
      </w:r>
    </w:p>
    <w:p>
      <w:pPr>
        <w:spacing w:after="0" w:line="298" w:lineRule="exact"/>
        <w:rPr>
          <w:sz w:val="20"/>
          <w:szCs w:val="20"/>
          <w:color w:val="auto"/>
        </w:rPr>
      </w:pPr>
    </w:p>
    <w:p>
      <w:pPr>
        <w:ind w:right="340"/>
        <w:spacing w:after="0" w:line="361" w:lineRule="auto"/>
        <w:rPr>
          <w:sz w:val="20"/>
          <w:szCs w:val="20"/>
          <w:color w:val="auto"/>
        </w:rPr>
      </w:pPr>
      <w:r>
        <w:rPr>
          <w:rFonts w:ascii="Arial" w:cs="Arial" w:eastAsia="Arial" w:hAnsi="Arial"/>
          <w:sz w:val="18"/>
          <w:szCs w:val="18"/>
          <w:color w:val="auto"/>
        </w:rPr>
        <w:t>During the third quarter of 2011, Federal Realty signed 92 leases for 385,000 square feet of retail space. On a comparable space basis (i.e., spaces for which there was a former tenant), the Trust leased 353,000 square feet at an average cash basis contractual rent increase per square foot (i.e., excluding the impact of straight-line rents) of 8%. The average contractual rent on this comparable space for the first year of the new leases is $31.62 per square foot, compared to the average contractual rent of $29.24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18% for third quarter 2011. As of September 30, 2011, Federal Realty's average contractual, cash basis minimum rent for retail and commercial space in its portfolio was $23.04 per square foot.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ind w:right="44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$0.69 per share, resulting in an indicated annual rate of $2.76 per share. The regular common dividend will be payable on January 17, 2012, to common shareholders of record as of January 3, 2012.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Federal Realty increased its guidance for 2011 FFO per diluted share to a range of $4.02 to $4.04, and provided 2011 earnings per diluted share guidance of $2.30 to $2.32. In addition, Federal Realty provided initial 2012 FFO per diluted share guidance of $4.16 to $4.22 and 2012 earnings per diluted share guidance $2.29 to $2.35.</w:t>
      </w:r>
    </w:p>
    <w:p>
      <w:pPr>
        <w:spacing w:after="0" w:line="298"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“We produced another very solid quarter based on continued strong leasing and positive impacts from our redevelopment properties,” commented Don Wood, president and chief executive officer of Federal Realty. “Looking forward, we have an active development pipeline that will provide future earnings growth and complement our strong existing assets and additional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420" w:right="400" w:hanging="412"/>
        <w:spacing w:after="0" w:line="35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September 12, 2011 - Federal Realty finalized a lease to open a local, organic market at Rockville Town Square. The new grocer will operate under the name “Dawson's Market” and is slated to open in spring 2012, at the intersection of Beall Avenue and North Washington Street in Rockville, Maryland.</w:t>
      </w:r>
    </w:p>
    <w:p>
      <w:pPr>
        <w:spacing w:after="0" w:line="15" w:lineRule="exact"/>
        <w:rPr>
          <w:rFonts w:ascii="Arial" w:cs="Arial" w:eastAsia="Arial" w:hAnsi="Arial"/>
          <w:sz w:val="18"/>
          <w:szCs w:val="18"/>
          <w:color w:val="auto"/>
        </w:rPr>
      </w:pPr>
    </w:p>
    <w:p>
      <w:pPr>
        <w:ind w:left="420" w:right="800" w:hanging="412"/>
        <w:spacing w:after="0" w:line="371"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October 31, 2011 - Federal Realty closed on the sale of the three buildings on Newbury Street owned in its joint venture with an affiliate of Taurus Investment Holdings, LLC created in mid-2010. The sales price of</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98"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$44 million will result in a gain to Federal Realty of approximately $12 million.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ind w:right="300"/>
        <w:spacing w:after="0" w:line="362"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2011 earnings conference call, which is scheduled for November 4, 2011, at 11 a.m. Eastern Daylight Time. To participate, please call (866) 271-0675 five to ten minutes prior to the call start time and use the passcode FRT EARNINGS (required). Federal Realty will also provide an online webcast on the Company's website, www.federalrealty.com, which will remain available for 30 days following the call. A telephone recording of the call will also be available through December 4, 2011, by dialing (888) 286-8010 and using the passcode 14481371.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ind w:right="140"/>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and redevelopment of high quality retail assets. Federal Realty's portfolio (excluding joint venture properties) contains approximately 18.6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93.3% leased to national, regional, and local retailers as of September 30, 2011, with no single tenant accounting for more than approximately 2.6% of annualized base rent. Federal Realty has paid quarterly dividends to its shareholders continuously since its founding in 1962, and has increased its dividend rate for 44 consecutive years, the longest record in the REIT industry. Federal Realty is an S&amp;P MidCap 400 company and its shares are traded on the NYSE under the symbol FRT. For more information, please visit www.federalrealty.com.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5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195" w:lineRule="exact"/>
        <w:rPr>
          <w:sz w:val="20"/>
          <w:szCs w:val="20"/>
          <w:color w:val="auto"/>
        </w:rPr>
      </w:pPr>
    </w:p>
    <w:p>
      <w:pPr>
        <w:ind w:left="260" w:right="80" w:hanging="252"/>
        <w:spacing w:after="0" w:line="261"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risks that our tenants will not pay rent, may vacate early or may file for bankruptcy or that we may be unable to renew leases or re-let space at favorable rents as leases expire;</w:t>
      </w:r>
    </w:p>
    <w:p>
      <w:pPr>
        <w:spacing w:after="0" w:line="6" w:lineRule="exact"/>
        <w:rPr>
          <w:rFonts w:ascii="Arial" w:cs="Arial" w:eastAsia="Arial" w:hAnsi="Arial"/>
          <w:sz w:val="18"/>
          <w:szCs w:val="18"/>
          <w:color w:val="auto"/>
        </w:rPr>
      </w:pPr>
    </w:p>
    <w:p>
      <w:pPr>
        <w:ind w:left="260" w:right="80" w:hanging="252"/>
        <w:spacing w:after="0" w:line="268"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6" w:lineRule="exact"/>
        <w:rPr>
          <w:rFonts w:ascii="Arial" w:cs="Arial" w:eastAsia="Arial" w:hAnsi="Arial"/>
          <w:sz w:val="18"/>
          <w:szCs w:val="18"/>
          <w:color w:val="auto"/>
        </w:rPr>
      </w:pPr>
    </w:p>
    <w:p>
      <w:pPr>
        <w:ind w:left="260" w:hanging="252"/>
        <w:spacing w:after="0" w:line="261"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risks that the number of properties we acquire for our own account, and therefore the amount of capital we invest in acquisitions, may be impacted by our real estate partnerships;</w:t>
      </w:r>
    </w:p>
    <w:p>
      <w:pPr>
        <w:spacing w:after="0" w:line="6" w:lineRule="exact"/>
        <w:rPr>
          <w:rFonts w:ascii="Arial" w:cs="Arial" w:eastAsia="Arial" w:hAnsi="Arial"/>
          <w:sz w:val="18"/>
          <w:szCs w:val="18"/>
          <w:color w:val="auto"/>
        </w:rPr>
      </w:pPr>
    </w:p>
    <w:p>
      <w:pPr>
        <w:ind w:left="260" w:right="40" w:hanging="252"/>
        <w:spacing w:after="0" w:line="281"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w:t>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652"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that we may not be able to sell properties when appropriate;</w:t>
      </w:r>
    </w:p>
    <w:p>
      <w:pPr>
        <w:spacing w:after="0" w:line="26" w:lineRule="exact"/>
        <w:rPr>
          <w:rFonts w:ascii="Arial" w:cs="Arial" w:eastAsia="Arial" w:hAnsi="Arial"/>
          <w:sz w:val="16"/>
          <w:szCs w:val="16"/>
          <w:i w:val="1"/>
          <w:iCs w:val="1"/>
          <w:color w:val="auto"/>
        </w:rPr>
      </w:pPr>
    </w:p>
    <w:p>
      <w:pPr>
        <w:ind w:left="260" w:hanging="252"/>
        <w:spacing w:after="0" w:line="23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risks that our growth will be limited if we cannot obtain additional capital;</w:t>
      </w:r>
    </w:p>
    <w:p>
      <w:pPr>
        <w:spacing w:after="0" w:line="6"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260" w:right="120" w:hanging="252"/>
        <w:spacing w:after="0" w:line="26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 w:lineRule="exact"/>
        <w:rPr>
          <w:rFonts w:ascii="Arial" w:cs="Arial" w:eastAsia="Arial" w:hAnsi="Arial"/>
          <w:sz w:val="18"/>
          <w:szCs w:val="18"/>
          <w:color w:val="auto"/>
        </w:rPr>
      </w:pPr>
    </w:p>
    <w:p>
      <w:pPr>
        <w:ind w:left="260" w:hanging="252"/>
        <w:spacing w:after="0" w:line="281"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6"/>
          <w:szCs w:val="16"/>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7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598" w:right="4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134,014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129,527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401,452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389,988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411,593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404,463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82,334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46,001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45,040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29,431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89,224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234,007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55,896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170,464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170,456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(76,679)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17,769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93,522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93,932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89,974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112,590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89,568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62,818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62,172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61,158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61,359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62,341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61,297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6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462"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2011</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2010</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(including $68,930 and $78,846 of consolidated variable interest entities, respectively)</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3,812,705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3,695,848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207,715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Assets held for sale/disposal (discontinued operations) (including $0 and $18,311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4,024,623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3,895,942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accumulated depreciation and amortization (including $4,727 and $4,431 of consolidated variable interest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(1,102,997)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(1,035,204)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2,921,626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2,860,738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78,503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51,606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117,602</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3,254,848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8"/>
              </w:rPr>
              <w:t>Mortgages and capital lease obligations (including $22,287 and $22,785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547,957</w:t>
            </w:r>
          </w:p>
        </w:tc>
        <w:tc>
          <w:tcPr>
            <w:tcW w:w="12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589,441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97,881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1,004,686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1,079,827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200,846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211,274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1,931,721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1,978,423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1,139,836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1,292,406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1,149,833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1,323,127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1,181,130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3,254,848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6"/>
                <w:szCs w:val="16"/>
                <w:color w:val="auto"/>
              </w:rPr>
            </w:pPr>
          </w:p>
        </w:tc>
        <w:tc>
          <w:tcPr>
            <w:tcW w:w="26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9"/>
        </w:trPr>
        <w:tc>
          <w:tcPr>
            <w:tcW w:w="54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Funds from Operations available for common shareholders (FFO) (1)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31,010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117,157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93,932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(3,958)</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84,723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80,375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7,226</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1,064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189,934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177,229</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w:t>
            </w: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(590)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63,925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58,842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189,468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176,969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1"/>
        </w:trPr>
        <w:tc>
          <w:tcPr>
            <w:tcW w:w="54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FFO per diluted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2.87</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63,350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61,667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03"/>
        </w:trPr>
        <w:tc>
          <w:tcPr>
            <w:tcW w:w="54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Redevelopment and expansions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62,313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44,224</w:t>
            </w:r>
          </w:p>
        </w:tc>
      </w:tr>
      <w:tr>
        <w:trPr>
          <w:trHeight w:val="243"/>
        </w:trPr>
        <w:tc>
          <w:tcPr>
            <w:tcW w:w="40" w:type="dxa"/>
            <w:vAlign w:val="bottom"/>
          </w:tcPr>
          <w:p>
            <w:pPr>
              <w:spacing w:after="0"/>
              <w:rPr>
                <w:sz w:val="21"/>
                <w:szCs w:val="21"/>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18,346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11,285</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80,659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55,509</w:t>
            </w:r>
          </w:p>
        </w:tc>
      </w:tr>
      <w:tr>
        <w:trPr>
          <w:trHeight w:val="243"/>
        </w:trPr>
        <w:tc>
          <w:tcPr>
            <w:tcW w:w="40" w:type="dxa"/>
            <w:vAlign w:val="bottom"/>
          </w:tcPr>
          <w:p>
            <w:pPr>
              <w:spacing w:after="0"/>
              <w:rPr>
                <w:sz w:val="21"/>
                <w:szCs w:val="21"/>
                <w:color w:val="auto"/>
              </w:rPr>
            </w:pPr>
          </w:p>
        </w:tc>
        <w:tc>
          <w:tcPr>
            <w:tcW w:w="536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11,470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38,067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33,367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93,409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66,979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03"/>
        </w:trPr>
        <w:tc>
          <w:tcPr>
            <w:tcW w:w="54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43,809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41,166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127,488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122,169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40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r>
      <w:tr>
        <w:trPr>
          <w:trHeight w:val="276"/>
        </w:trPr>
        <w:tc>
          <w:tcPr>
            <w:tcW w:w="8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2010</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63,494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61,451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81.66</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5,232,541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7"/>
              </w:rPr>
              <w:t>5,018,089</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5,242,541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5,028,089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1,730,875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97"/>
              </w:rPr>
              <w:t>1,721,189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6,973,416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6,749,278</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do not include 360,314 and 369,260 Operating Partnership Units outstanding at September 30, 2011 and 2010,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140" w:hanging="652"/>
        <w:spacing w:after="0" w:line="278"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$17.2 million and $17.3 million which is the Trust's 30% share of the total mortgages payable of $57.4 million and $57.6 million at September 30, 2011 and 2010, respectively, of the partnership with a discretionary fund created and advised by ING Clarion Partners. It also excludes $11.8 million and $8.8 million at September 30, 2011 and 2010, respectively, in mortgage loans on our Newbury Street Partnership for which we are the lender.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250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98,654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94,550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293,622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282,826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25,714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80,083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80,751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6,523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134,014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401,452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389,988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22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$1.6 million and $1.1 million for the three months ended September 30, 2011 and 2010, respectively, and $3.9 million and $3.6 million for the nine months ended September 30, 2011 and 2010, respectively, to recognize minimum rents on a straight-line basis. In addition, minimum rents include $0.3 million and $0.4 million for the three months ended September 30, 2011 and 2010, respectively, and $1.0 million and $1.3 million for the nine months ended September 30, 2011 and 2010, respectively, to recognize income from the amortization of in-place leases.</w:t>
      </w:r>
    </w:p>
    <w:p>
      <w:pPr>
        <w:spacing w:after="0" w:line="25"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As of September 30, 2011</w:t>
            </w: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Stated interest rate</w:t>
            </w:r>
          </w:p>
        </w:tc>
        <w:tc>
          <w:tcPr>
            <w:tcW w:w="200" w:type="dxa"/>
            <w:vAlign w:val="bottom"/>
          </w:tcPr>
          <w:p>
            <w:pPr>
              <w:spacing w:after="0"/>
              <w:rPr>
                <w:sz w:val="13"/>
                <w:szCs w:val="13"/>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Balance</w:t>
            </w:r>
          </w:p>
        </w:tc>
        <w:tc>
          <w:tcPr>
            <w:tcW w:w="820" w:type="dxa"/>
            <w:vAlign w:val="bottom"/>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rate (8)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7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i w:val="1"/>
                <w:iCs w:val="1"/>
                <w:color w:val="auto"/>
              </w:rPr>
              <w:t>Secured fixed rate</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Courtyard Shops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7/1/2012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7,108</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Bethesda Row</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1/1/2013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19,993</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Bethesda Row</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2/1/2013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4,053</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White Marsh Plaza (2)</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4/1/2013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9,360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Crow Canyon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8/11/2013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20,065</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Idylwood Plaza</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16,345</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Leesburg Plaza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28,440</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Loehmann's Plaza</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36,776</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Pentagon Row</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52,794</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Melville Mall (3)</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9/1/2014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22,515</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THE AVENUE at White Marsh</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56,909</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Barracks Road</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39,215</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Hauppauge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14,783</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Lawrence Park</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27,796</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Wildwood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24,432</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Wynnewood</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28,327</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Brick Plaza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28,929</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Rollingwood Apartments</w:t>
            </w: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23,322</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Shoppers' World</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5,482</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Mount Vernon (4)</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4/15/2028</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10,652</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Chelsea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7,670</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gridSpan w:val="5"/>
          </w:tcPr>
          <w:p>
            <w:pPr>
              <w:ind w:left="800"/>
              <w:spacing w:after="0"/>
              <w:rPr>
                <w:sz w:val="20"/>
                <w:szCs w:val="20"/>
                <w:color w:val="auto"/>
              </w:rPr>
            </w:pPr>
            <w:r>
              <w:rPr>
                <w:rFonts w:ascii="Arial" w:cs="Arial" w:eastAsia="Arial" w:hAnsi="Arial"/>
                <w:sz w:val="16"/>
                <w:szCs w:val="16"/>
                <w:color w:val="auto"/>
              </w:rPr>
              <w:t>Subtotal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484,966</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Net unamortized discount</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gridSpan w:val="5"/>
          </w:tcPr>
          <w:p>
            <w:pPr>
              <w:ind w:left="800"/>
              <w:spacing w:after="0"/>
              <w:rPr>
                <w:sz w:val="20"/>
                <w:szCs w:val="20"/>
                <w:color w:val="auto"/>
              </w:rPr>
            </w:pPr>
            <w:r>
              <w:rPr>
                <w:rFonts w:ascii="Arial" w:cs="Arial" w:eastAsia="Arial" w:hAnsi="Arial"/>
                <w:sz w:val="16"/>
                <w:szCs w:val="16"/>
                <w:color w:val="auto"/>
              </w:rPr>
              <w:t>Total mortgages payable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484,502</w:t>
            </w:r>
          </w:p>
        </w:tc>
        <w:tc>
          <w:tcPr>
            <w:tcW w:w="820" w:type="dxa"/>
            <w:vAlign w:val="bottom"/>
          </w:tcPr>
          <w:p>
            <w:pPr>
              <w:spacing w:after="0"/>
              <w:rPr>
                <w:sz w:val="18"/>
                <w:szCs w:val="18"/>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6.99%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80" w:type="dxa"/>
            <w:vAlign w:val="bottom"/>
            <w:gridSpan w:val="6"/>
          </w:tcPr>
          <w:p>
            <w:pPr>
              <w:ind w:left="40"/>
              <w:spacing w:after="0"/>
              <w:rPr>
                <w:sz w:val="20"/>
                <w:szCs w:val="20"/>
                <w:color w:val="auto"/>
              </w:rPr>
            </w:pPr>
            <w:r>
              <w:rPr>
                <w:rFonts w:ascii="Arial" w:cs="Arial" w:eastAsia="Arial" w:hAnsi="Arial"/>
                <w:sz w:val="16"/>
                <w:szCs w:val="16"/>
                <w:color w:val="auto"/>
              </w:rPr>
              <w:t>Notes payable</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i w:val="1"/>
                <w:iCs w:val="1"/>
                <w:color w:val="auto"/>
              </w:rPr>
              <w:t>Unsecured fixed rate</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Various (5)</w:t>
            </w: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2013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10,832</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i w:val="1"/>
                <w:iCs w:val="1"/>
                <w:color w:val="auto"/>
              </w:rPr>
              <w:t>Unsecured variable rate</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Revolving credit facility (6)</w:t>
            </w: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6, 2015</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LIBOR + 1.15%</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158,000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Escondido (Municipal bonds) (7)</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gridSpan w:val="5"/>
          </w:tcPr>
          <w:p>
            <w:pPr>
              <w:ind w:left="800"/>
              <w:spacing w:after="0"/>
              <w:rPr>
                <w:sz w:val="20"/>
                <w:szCs w:val="20"/>
                <w:color w:val="auto"/>
              </w:rPr>
            </w:pPr>
            <w:r>
              <w:rPr>
                <w:rFonts w:ascii="Arial" w:cs="Arial" w:eastAsia="Arial" w:hAnsi="Arial"/>
                <w:sz w:val="16"/>
                <w:szCs w:val="16"/>
                <w:color w:val="auto"/>
              </w:rPr>
              <w:t>Total notes payable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178,232</w:t>
            </w:r>
          </w:p>
        </w:tc>
        <w:tc>
          <w:tcPr>
            <w:tcW w:w="820" w:type="dxa"/>
            <w:vAlign w:val="bottom"/>
          </w:tcPr>
          <w:p>
            <w:pPr>
              <w:spacing w:after="0"/>
              <w:rPr>
                <w:sz w:val="18"/>
                <w:szCs w:val="18"/>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1.51%</w:t>
            </w: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8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i w:val="1"/>
                <w:iCs w:val="1"/>
                <w:color w:val="auto"/>
              </w:rPr>
              <w:t>Unsecured fixed rate</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6.00% notes</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7/15/2012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5.40% notes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12/1/2013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5.95% notes</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8/15/2014</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5.65% notes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6/1/2016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6.20% notes</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5.90% notes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6"/>
                <w:szCs w:val="16"/>
                <w:color w:val="auto"/>
              </w:rPr>
              <w:t>7.48% debentures</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6.82% medium term notes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gridSpan w:val="5"/>
          </w:tcPr>
          <w:p>
            <w:pPr>
              <w:ind w:left="800"/>
              <w:spacing w:after="0"/>
              <w:rPr>
                <w:sz w:val="20"/>
                <w:szCs w:val="20"/>
                <w:color w:val="auto"/>
              </w:rPr>
            </w:pPr>
            <w:r>
              <w:rPr>
                <w:rFonts w:ascii="Arial" w:cs="Arial" w:eastAsia="Arial" w:hAnsi="Arial"/>
                <w:sz w:val="16"/>
                <w:szCs w:val="16"/>
                <w:color w:val="auto"/>
              </w:rPr>
              <w:t>Subtotal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1,004,200</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Net unamortized premium</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40" w:type="dxa"/>
            <w:vAlign w:val="bottom"/>
            <w:gridSpan w:val="5"/>
          </w:tcPr>
          <w:p>
            <w:pPr>
              <w:ind w:left="800"/>
              <w:spacing w:after="0"/>
              <w:rPr>
                <w:sz w:val="20"/>
                <w:szCs w:val="20"/>
                <w:color w:val="auto"/>
              </w:rPr>
            </w:pPr>
            <w:r>
              <w:rPr>
                <w:rFonts w:ascii="Arial" w:cs="Arial" w:eastAsia="Arial" w:hAnsi="Arial"/>
                <w:sz w:val="16"/>
                <w:szCs w:val="16"/>
                <w:color w:val="auto"/>
              </w:rPr>
              <w:t>Total senior notes and debentures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1,004,686</w:t>
            </w:r>
          </w:p>
        </w:tc>
        <w:tc>
          <w:tcPr>
            <w:tcW w:w="820" w:type="dxa"/>
            <w:vAlign w:val="bottom"/>
          </w:tcPr>
          <w:p>
            <w:pPr>
              <w:spacing w:after="0"/>
              <w:rPr>
                <w:sz w:val="18"/>
                <w:szCs w:val="18"/>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6.04%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8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5"/>
            <w:shd w:val="clear" w:color="auto" w:fill="CCEEFF"/>
          </w:tcPr>
          <w:p>
            <w:pPr>
              <w:ind w:left="460"/>
              <w:spacing w:after="0"/>
              <w:rPr>
                <w:sz w:val="20"/>
                <w:szCs w:val="20"/>
                <w:color w:val="auto"/>
              </w:rPr>
            </w:pPr>
            <w:r>
              <w:rPr>
                <w:rFonts w:ascii="Arial" w:cs="Arial" w:eastAsia="Arial" w:hAnsi="Arial"/>
                <w:sz w:val="16"/>
                <w:szCs w:val="16"/>
                <w:color w:val="auto"/>
              </w:rPr>
              <w:t>Various</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63,455</w:t>
            </w: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6.86%</w:t>
            </w:r>
          </w:p>
        </w:tc>
        <w:tc>
          <w:tcPr>
            <w:tcW w:w="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1,730,875</w:t>
            </w:r>
          </w:p>
        </w:tc>
        <w:tc>
          <w:tcPr>
            <w:tcW w:w="8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gridSpan w:val="6"/>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1,563,475</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6.35%</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4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7"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167,400</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1.38%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1,730,875</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5.87%</w:t>
            </w: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6" w:name="page17"/>
    <w:bookmarkEnd w:id="16"/>
    <w:p>
      <w:pPr>
        <w:jc w:val="center"/>
        <w:ind w:left="730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23495</wp:posOffset>
            </wp:positionV>
            <wp:extent cx="1286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9" w:lineRule="exact"/>
        <w:rPr>
          <w:sz w:val="20"/>
          <w:szCs w:val="20"/>
          <w:color w:val="auto"/>
        </w:rPr>
      </w:pPr>
    </w:p>
    <w:p>
      <w:pPr>
        <w:ind w:left="7540"/>
        <w:spacing w:after="0"/>
        <w:tabs>
          <w:tab w:leader="none" w:pos="8520" w:val="left"/>
        </w:tabs>
        <w:rPr>
          <w:sz w:val="20"/>
          <w:szCs w:val="20"/>
          <w:color w:val="auto"/>
        </w:rPr>
      </w:pPr>
      <w:r>
        <w:rPr>
          <w:rFonts w:ascii="Arial" w:cs="Arial" w:eastAsia="Arial" w:hAnsi="Arial"/>
          <w:sz w:val="13"/>
          <w:szCs w:val="13"/>
          <w:b w:val="1"/>
          <w:bCs w:val="1"/>
          <w:color w:val="auto"/>
        </w:rPr>
        <w:t>2011</w:t>
      </w:r>
      <w:r>
        <w:rPr>
          <w:sz w:val="20"/>
          <w:szCs w:val="20"/>
          <w:color w:val="auto"/>
        </w:rPr>
        <w:tab/>
      </w:r>
      <w:r>
        <w:rPr>
          <w:rFonts w:ascii="Arial" w:cs="Arial" w:eastAsia="Arial" w:hAnsi="Arial"/>
          <w:sz w:val="13"/>
          <w:szCs w:val="13"/>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23495</wp:posOffset>
            </wp:positionV>
            <wp:extent cx="1286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2011</w:t>
      </w:r>
      <w:r>
        <w:rPr>
          <w:sz w:val="20"/>
          <w:szCs w:val="20"/>
          <w:color w:val="auto"/>
        </w:rPr>
        <w:tab/>
      </w:r>
      <w:r>
        <w:rPr>
          <w:rFonts w:ascii="Arial" w:cs="Arial" w:eastAsia="Arial" w:hAnsi="Arial"/>
          <w:sz w:val="13"/>
          <w:szCs w:val="13"/>
          <w:b w:val="1"/>
          <w:bCs w:val="1"/>
          <w:color w:val="auto"/>
        </w:rPr>
        <w:t>2010</w:t>
      </w:r>
    </w:p>
    <w:p>
      <w:pPr>
        <w:spacing w:after="0" w:line="93" w:lineRule="exact"/>
        <w:rPr>
          <w:sz w:val="20"/>
          <w:szCs w:val="20"/>
          <w:color w:val="auto"/>
        </w:rPr>
      </w:pPr>
    </w:p>
    <w:p>
      <w:pPr>
        <w:sectPr>
          <w:pgSz w:w="11900" w:h="16838" w:orient="portrait"/>
          <w:cols w:equalWidth="0" w:num="2">
            <w:col w:w="9060" w:space="720"/>
            <w:col w:w="1640"/>
          </w:cols>
          <w:pgMar w:left="240" w:top="806" w:right="239" w:bottom="1440" w:gutter="0" w:footer="0" w:header="0"/>
        </w:sectPr>
      </w:pPr>
    </w:p>
    <w:p>
      <w:pPr>
        <w:ind w:left="140"/>
        <w:spacing w:after="0"/>
        <w:rPr>
          <w:sz w:val="20"/>
          <w:szCs w:val="20"/>
          <w:color w:val="auto"/>
        </w:rPr>
      </w:pPr>
      <w:r>
        <w:rPr>
          <w:rFonts w:ascii="Arial" w:cs="Arial" w:eastAsia="Arial" w:hAnsi="Arial"/>
          <w:sz w:val="16"/>
          <w:szCs w:val="16"/>
          <w:u w:val="single" w:color="auto"/>
          <w:color w:val="auto"/>
        </w:rPr>
        <w:t>Operational Statistics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Pr>
          <w:p>
            <w:pPr>
              <w:ind w:left="500"/>
              <w:spacing w:after="0"/>
              <w:rPr>
                <w:sz w:val="20"/>
                <w:szCs w:val="20"/>
                <w:color w:val="auto"/>
              </w:rPr>
            </w:pPr>
            <w:r>
              <w:rPr>
                <w:rFonts w:ascii="Arial" w:cs="Arial" w:eastAsia="Arial" w:hAnsi="Arial"/>
                <w:sz w:val="16"/>
                <w:szCs w:val="16"/>
                <w:color w:val="auto"/>
              </w:rPr>
              <w:t>Ratio of EBITDA to combined fixed charges and preferred share dividends (10)</w:t>
            </w:r>
          </w:p>
        </w:tc>
        <w:tc>
          <w:tcPr>
            <w:tcW w:w="940" w:type="dxa"/>
            <w:vAlign w:val="bottom"/>
          </w:tcPr>
          <w:p>
            <w:pPr>
              <w:jc w:val="right"/>
              <w:spacing w:after="0"/>
              <w:rPr>
                <w:sz w:val="20"/>
                <w:szCs w:val="20"/>
                <w:color w:val="auto"/>
              </w:rPr>
            </w:pPr>
            <w:r>
              <w:rPr>
                <w:rFonts w:ascii="Arial" w:cs="Arial" w:eastAsia="Arial" w:hAnsi="Arial"/>
                <w:sz w:val="16"/>
                <w:szCs w:val="16"/>
                <w:color w:val="auto"/>
              </w:rPr>
              <w:t>3.96</w:t>
            </w:r>
          </w:p>
        </w:tc>
        <w:tc>
          <w:tcPr>
            <w:tcW w:w="420" w:type="dxa"/>
            <w:vAlign w:val="bottom"/>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3.13</w:t>
            </w:r>
          </w:p>
        </w:tc>
        <w:tc>
          <w:tcPr>
            <w:tcW w:w="520" w:type="dxa"/>
            <w:vAlign w:val="bottom"/>
          </w:tcPr>
          <w:p>
            <w:pPr>
              <w:ind w:left="80"/>
              <w:spacing w:after="0"/>
              <w:rPr>
                <w:sz w:val="20"/>
                <w:szCs w:val="20"/>
                <w:color w:val="auto"/>
              </w:rPr>
            </w:pPr>
            <w:r>
              <w:rPr>
                <w:rFonts w:ascii="Arial" w:cs="Arial" w:eastAsia="Arial" w:hAnsi="Arial"/>
                <w:sz w:val="16"/>
                <w:szCs w:val="16"/>
                <w:color w:val="auto"/>
              </w:rPr>
              <w:t>x</w:t>
            </w:r>
          </w:p>
        </w:tc>
        <w:tc>
          <w:tcPr>
            <w:tcW w:w="680" w:type="dxa"/>
            <w:vAlign w:val="bottom"/>
          </w:tcPr>
          <w:p>
            <w:pPr>
              <w:jc w:val="right"/>
              <w:spacing w:after="0"/>
              <w:rPr>
                <w:sz w:val="20"/>
                <w:szCs w:val="20"/>
                <w:color w:val="auto"/>
              </w:rPr>
            </w:pPr>
            <w:r>
              <w:rPr>
                <w:rFonts w:ascii="Arial" w:cs="Arial" w:eastAsia="Arial" w:hAnsi="Arial"/>
                <w:sz w:val="16"/>
                <w:szCs w:val="16"/>
                <w:color w:val="auto"/>
              </w:rPr>
              <w:t>3.59</w:t>
            </w:r>
          </w:p>
        </w:tc>
        <w:tc>
          <w:tcPr>
            <w:tcW w:w="420" w:type="dxa"/>
            <w:vAlign w:val="bottom"/>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3.07</w:t>
            </w:r>
          </w:p>
        </w:tc>
        <w:tc>
          <w:tcPr>
            <w:tcW w:w="36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6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Ratio of adjusted EBITDA to combined fixed charges and preferred share dividends (10)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52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33"/>
        </w:trPr>
        <w:tc>
          <w:tcPr>
            <w:tcW w:w="68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2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Mortgages payable do not include our 30% share ($17.2 million) of the $57.4 million debt of the partnership with a discretionary fund created and advised by ING Clarion Partners. It also excludes $11.8 million in mortgage loans on our Newbury Street Partnership for which we are the lender.</w:t>
      </w:r>
    </w:p>
    <w:p>
      <w:pPr>
        <w:spacing w:after="0" w:line="11" w:lineRule="exact"/>
        <w:rPr>
          <w:rFonts w:ascii="Arial" w:cs="Arial" w:eastAsia="Arial" w:hAnsi="Arial"/>
          <w:sz w:val="14"/>
          <w:szCs w:val="14"/>
          <w:color w:val="auto"/>
        </w:rPr>
      </w:pPr>
    </w:p>
    <w:p>
      <w:pPr>
        <w:ind w:left="660" w:right="1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11"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interest rate of 3.32% represents the weighted average interest rate for three unsecured fixed rate notes payable. These notes mature between April 1, 2012 and January 31, 2013.</w:t>
      </w:r>
    </w:p>
    <w:p>
      <w:pPr>
        <w:spacing w:after="0" w:line="66" w:lineRule="exact"/>
        <w:rPr>
          <w:rFonts w:ascii="Arial" w:cs="Arial" w:eastAsia="Arial" w:hAnsi="Arial"/>
          <w:sz w:val="13"/>
          <w:szCs w:val="13"/>
          <w:color w:val="auto"/>
        </w:rPr>
      </w:pPr>
    </w:p>
    <w:p>
      <w:pPr>
        <w:jc w:val="both"/>
        <w:ind w:left="660" w:right="24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nine months ended September 30, 2011 was $219.0 million and $265.0 million, respectively. The weighted average effective interest rate on borrowings under our revolving credit facility, before amortization of debt fees, was 1.31% and 0.89% for the three and nine months ended September 30, 2011, respectively.</w:t>
      </w:r>
    </w:p>
    <w:p>
      <w:pPr>
        <w:spacing w:after="0" w:line="23"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9.</w:t>
      </w:r>
    </w:p>
    <w:p>
      <w:pPr>
        <w:spacing w:after="0" w:line="55" w:lineRule="exact"/>
        <w:rPr>
          <w:rFonts w:ascii="Arial" w:cs="Arial" w:eastAsia="Arial" w:hAnsi="Arial"/>
          <w:sz w:val="14"/>
          <w:szCs w:val="14"/>
          <w:color w:val="auto"/>
        </w:rPr>
      </w:pPr>
    </w:p>
    <w:p>
      <w:pPr>
        <w:ind w:left="660" w:right="40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a $158.0 million balance on September 30, 2011.</w:t>
      </w:r>
    </w:p>
    <w:p>
      <w:pPr>
        <w:spacing w:after="0" w:line="11" w:lineRule="exact"/>
        <w:rPr>
          <w:rFonts w:ascii="Arial" w:cs="Arial" w:eastAsia="Arial" w:hAnsi="Arial"/>
          <w:sz w:val="14"/>
          <w:szCs w:val="14"/>
          <w:color w:val="auto"/>
        </w:rPr>
      </w:pPr>
    </w:p>
    <w:p>
      <w:pPr>
        <w:ind w:left="660" w:hanging="652"/>
        <w:spacing w:after="0" w:line="249"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nine months ended September 30, 2011 include $0.3 million of income from early extinguishment of debt due to the write-off of the unamortized debt premium net of a 3% prepayment premium and unamortized debt fees related to the payoff of our mortgage loan on Tower Shops prior to its contractual prepayment date. Fixed charges for the nine months ended September 30, 2010 include $2.8 million of early extinguishment of debt expense due to the write-off of unamortized debt fees related to the $250 million payoff of the term loan prior to its maturity date. Adjusted EBITDA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2011</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12,705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191,916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204,621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12.0%</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196,893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208,761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10,241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297,864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308,105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6,874</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356,391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363,265</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2,920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134,400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137,320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70.8%</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3,129</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203,129</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3,341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82.7%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3,262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153,262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92.9%</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49,988</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72,878</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122,866</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110,351</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1,620,502</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1,730,853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July 7, 2011, we replaced our existing revolving credit facility with a new $400.0 million unsecured revolving credit facility that matures on July 6, 2015, subject to a one-year extension at our option. As of September 30, 2011, there was $158.0 million outstanding on our revolving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September 30, 2011.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$0.5 million</w:t>
      </w:r>
      <w:r>
        <w:rPr>
          <w:rFonts w:ascii="Arial" w:cs="Arial" w:eastAsia="Arial" w:hAnsi="Arial"/>
          <w:sz w:val="16"/>
          <w:szCs w:val="16"/>
          <w:color w:val="auto"/>
        </w:rPr>
        <w:t xml:space="preserve">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Redevelopment Opportunities (1) ($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Property</w:t>
            </w:r>
          </w:p>
        </w:tc>
        <w:tc>
          <w:tcPr>
            <w:tcW w:w="24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Location</w:t>
            </w:r>
          </w:p>
        </w:tc>
        <w:tc>
          <w:tcPr>
            <w:tcW w:w="30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Opportunity</w:t>
            </w:r>
          </w:p>
        </w:tc>
        <w:tc>
          <w:tcPr>
            <w:tcW w:w="2040" w:type="dxa"/>
            <w:vAlign w:val="bottom"/>
          </w:tcPr>
          <w:p>
            <w:pPr>
              <w:jc w:val="center"/>
              <w:ind w:left="908"/>
              <w:spacing w:after="0"/>
              <w:rPr>
                <w:sz w:val="20"/>
                <w:szCs w:val="20"/>
                <w:color w:val="auto"/>
              </w:rPr>
            </w:pPr>
            <w:r>
              <w:rPr>
                <w:rFonts w:ascii="Arial" w:cs="Arial" w:eastAsia="Arial" w:hAnsi="Arial"/>
                <w:sz w:val="14"/>
                <w:szCs w:val="14"/>
                <w:b w:val="1"/>
                <w:bCs w:val="1"/>
                <w:color w:val="auto"/>
                <w:w w:val="97"/>
              </w:rPr>
              <w:t>Projected ROI</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 Cost</w:t>
            </w: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Cost to Date</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w:t>
            </w: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Projects Anticipated to Stabilize in 2011 (3)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Santana Row</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San Jose, CA</w:t>
            </w:r>
          </w:p>
        </w:tc>
        <w:tc>
          <w:tcPr>
            <w:tcW w:w="49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Five-story building with 15,000 square feet of ground level retail and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65,000 square feet of office space</w:t>
            </w:r>
          </w:p>
        </w:tc>
        <w:tc>
          <w:tcPr>
            <w:tcW w:w="10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Crossroads</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Highland Park, IL</w:t>
            </w:r>
          </w:p>
        </w:tc>
        <w:tc>
          <w:tcPr>
            <w:tcW w:w="4960" w:type="dxa"/>
            <w:vAlign w:val="bottom"/>
          </w:tcPr>
          <w:p>
            <w:pPr>
              <w:ind w:left="200"/>
              <w:spacing w:after="0"/>
              <w:rPr>
                <w:sz w:val="20"/>
                <w:szCs w:val="20"/>
                <w:color w:val="auto"/>
              </w:rPr>
            </w:pPr>
            <w:r>
              <w:rPr>
                <w:rFonts w:ascii="Arial" w:cs="Arial" w:eastAsia="Arial" w:hAnsi="Arial"/>
                <w:sz w:val="16"/>
                <w:szCs w:val="16"/>
                <w:color w:val="auto"/>
                <w:w w:val="95"/>
              </w:rPr>
              <w:t>Combine four spaces in preparation for new fitness operator, replacing</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ind w:left="200"/>
              <w:spacing w:after="0"/>
              <w:rPr>
                <w:sz w:val="20"/>
                <w:szCs w:val="20"/>
                <w:color w:val="auto"/>
              </w:rPr>
            </w:pPr>
            <w:r>
              <w:rPr>
                <w:rFonts w:ascii="Arial" w:cs="Arial" w:eastAsia="Arial" w:hAnsi="Arial"/>
                <w:sz w:val="16"/>
                <w:szCs w:val="16"/>
                <w:color w:val="auto"/>
              </w:rPr>
              <w:t>vacant anchor and small shop space.</w:t>
            </w: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Brick</w:t>
            </w:r>
          </w:p>
        </w:tc>
        <w:tc>
          <w:tcPr>
            <w:tcW w:w="1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Brick, NJ</w:t>
            </w: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Redevelopment and expansion of existing pad site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60" w:type="dxa"/>
            <w:vAlign w:val="bottom"/>
            <w:gridSpan w:val="4"/>
          </w:tcPr>
          <w:p>
            <w:pPr>
              <w:ind w:left="760"/>
              <w:spacing w:after="0"/>
              <w:rPr>
                <w:sz w:val="20"/>
                <w:szCs w:val="20"/>
                <w:color w:val="auto"/>
              </w:rPr>
            </w:pPr>
            <w:r>
              <w:rPr>
                <w:rFonts w:ascii="Arial" w:cs="Arial" w:eastAsia="Arial" w:hAnsi="Arial"/>
                <w:sz w:val="16"/>
                <w:szCs w:val="16"/>
                <w:b w:val="1"/>
                <w:bCs w:val="1"/>
                <w:color w:val="auto"/>
              </w:rPr>
              <w:t>Subtotal: Projects Anticipated to Stabilize in 2011 (3) (4)</w:t>
            </w:r>
          </w:p>
        </w:tc>
        <w:tc>
          <w:tcPr>
            <w:tcW w:w="148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6% $</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4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Projects Anticipated to Stabilize in 2012 (3)</w:t>
            </w:r>
          </w:p>
        </w:tc>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340" w:type="dxa"/>
            <w:vAlign w:val="bottom"/>
            <w:gridSpan w:val="4"/>
            <w:vMerge w:val="continue"/>
          </w:tcPr>
          <w:p>
            <w:pPr>
              <w:spacing w:after="0"/>
              <w:rPr>
                <w:sz w:val="24"/>
                <w:szCs w:val="24"/>
                <w:color w:val="auto"/>
              </w:rPr>
            </w:pPr>
          </w:p>
        </w:tc>
        <w:tc>
          <w:tcPr>
            <w:tcW w:w="4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Santana Row</w:t>
            </w:r>
          </w:p>
        </w:tc>
        <w:tc>
          <w:tcPr>
            <w:tcW w:w="1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San Jose, CA</w:t>
            </w: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108 unit residential building</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Shops at Willow Lawn</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Richmond, VA</w:t>
            </w:r>
          </w:p>
        </w:tc>
        <w:tc>
          <w:tcPr>
            <w:tcW w:w="4960" w:type="dxa"/>
            <w:vAlign w:val="bottom"/>
          </w:tcPr>
          <w:p>
            <w:pPr>
              <w:ind w:left="200"/>
              <w:spacing w:after="0"/>
              <w:rPr>
                <w:sz w:val="20"/>
                <w:szCs w:val="20"/>
                <w:color w:val="auto"/>
              </w:rPr>
            </w:pPr>
            <w:r>
              <w:rPr>
                <w:rFonts w:ascii="Arial" w:cs="Arial" w:eastAsia="Arial" w:hAnsi="Arial"/>
                <w:sz w:val="16"/>
                <w:szCs w:val="16"/>
                <w:color w:val="auto"/>
                <w:w w:val="96"/>
              </w:rPr>
              <w:t>Demo interior mall, relocate mall tenants, construct new exterior GLA,</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ind w:left="200"/>
              <w:spacing w:after="0"/>
              <w:rPr>
                <w:sz w:val="20"/>
                <w:szCs w:val="20"/>
                <w:color w:val="auto"/>
              </w:rPr>
            </w:pPr>
            <w:r>
              <w:rPr>
                <w:rFonts w:ascii="Arial" w:cs="Arial" w:eastAsia="Arial" w:hAnsi="Arial"/>
                <w:sz w:val="16"/>
                <w:szCs w:val="16"/>
                <w:color w:val="auto"/>
              </w:rPr>
              <w:t>new pad buildings, and gas station</w:t>
            </w: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 Cynwyd</w:t>
            </w:r>
          </w:p>
        </w:tc>
        <w:tc>
          <w:tcPr>
            <w:tcW w:w="1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Bala Cynwyd, PA</w:t>
            </w: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Construction of two retail pad buildings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Fresh Meadows</w:t>
            </w:r>
          </w:p>
        </w:tc>
        <w:tc>
          <w:tcPr>
            <w:tcW w:w="1600" w:type="dxa"/>
            <w:vAlign w:val="bottom"/>
            <w:gridSpan w:val="2"/>
          </w:tcPr>
          <w:p>
            <w:pPr>
              <w:ind w:left="220"/>
              <w:spacing w:after="0"/>
              <w:rPr>
                <w:sz w:val="20"/>
                <w:szCs w:val="20"/>
                <w:color w:val="auto"/>
              </w:rPr>
            </w:pPr>
            <w:r>
              <w:rPr>
                <w:rFonts w:ascii="Arial" w:cs="Arial" w:eastAsia="Arial" w:hAnsi="Arial"/>
                <w:sz w:val="16"/>
                <w:szCs w:val="16"/>
                <w:color w:val="auto"/>
              </w:rPr>
              <w:t>Queens, NY</w:t>
            </w:r>
          </w:p>
        </w:tc>
        <w:tc>
          <w:tcPr>
            <w:tcW w:w="4960" w:type="dxa"/>
            <w:vAlign w:val="bottom"/>
          </w:tcPr>
          <w:p>
            <w:pPr>
              <w:ind w:left="200"/>
              <w:spacing w:after="0"/>
              <w:rPr>
                <w:sz w:val="20"/>
                <w:szCs w:val="20"/>
                <w:color w:val="auto"/>
              </w:rPr>
            </w:pPr>
            <w:r>
              <w:rPr>
                <w:rFonts w:ascii="Arial" w:cs="Arial" w:eastAsia="Arial" w:hAnsi="Arial"/>
                <w:sz w:val="16"/>
                <w:szCs w:val="16"/>
                <w:color w:val="auto"/>
                <w:w w:val="98"/>
              </w:rPr>
              <w:t>Conversion of 2nd floor office space for new sporting goods retailer.</w:t>
            </w: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Assembly Square</w:t>
            </w:r>
          </w:p>
        </w:tc>
        <w:tc>
          <w:tcPr>
            <w:tcW w:w="1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Somerville, MA</w:t>
            </w:r>
          </w:p>
        </w:tc>
        <w:tc>
          <w:tcPr>
            <w:tcW w:w="4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Restaurant pad site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8260" w:type="dxa"/>
            <w:vAlign w:val="bottom"/>
            <w:tcBorders>
              <w:bottom w:val="single" w:sz="8" w:color="CCEEFF"/>
            </w:tcBorders>
            <w:gridSpan w:val="4"/>
          </w:tcPr>
          <w:p>
            <w:pPr>
              <w:ind w:left="760"/>
              <w:spacing w:after="0"/>
              <w:rPr>
                <w:sz w:val="20"/>
                <w:szCs w:val="20"/>
                <w:color w:val="auto"/>
              </w:rPr>
            </w:pPr>
            <w:r>
              <w:rPr>
                <w:rFonts w:ascii="Arial" w:cs="Arial" w:eastAsia="Arial" w:hAnsi="Arial"/>
                <w:sz w:val="16"/>
                <w:szCs w:val="16"/>
                <w:b w:val="1"/>
                <w:bCs w:val="1"/>
                <w:color w:val="auto"/>
              </w:rPr>
              <w:t>Subtotal: Projects Anticipated to Stabilize in 2012 (3) (4)</w:t>
            </w:r>
          </w:p>
        </w:tc>
        <w:tc>
          <w:tcPr>
            <w:tcW w:w="148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9% $</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4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Projects Anticipated to Stabilize in 2011 and 2012 (3) (4)</w:t>
            </w:r>
          </w:p>
        </w:tc>
        <w:tc>
          <w:tcPr>
            <w:tcW w:w="148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 $</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0" w:right="40"/>
        <w:spacing w:after="0" w:line="297" w:lineRule="auto"/>
        <w:rPr>
          <w:sz w:val="20"/>
          <w:szCs w:val="20"/>
          <w:color w:val="auto"/>
        </w:rPr>
      </w:pPr>
      <w:r>
        <w:rPr>
          <w:rFonts w:ascii="Arial" w:cs="Arial" w:eastAsia="Arial" w:hAnsi="Arial"/>
          <w:sz w:val="15"/>
          <w:szCs w:val="15"/>
          <w:color w:val="auto"/>
        </w:rPr>
        <w:t>A recent review of our portfolio has generated numerous potential opportunities to create future shareholder value, many of which were previously disclosed as future redevelopment opportunities on this schedule. Executing these opportunities could be subject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142" w:lineRule="exact"/>
        <w:rPr>
          <w:sz w:val="20"/>
          <w:szCs w:val="20"/>
          <w:color w:val="auto"/>
        </w:rPr>
      </w:pPr>
    </w:p>
    <w:p>
      <w:pPr>
        <w:ind w:left="40" w:right="100"/>
        <w:spacing w:after="0" w:line="290" w:lineRule="auto"/>
        <w:rPr>
          <w:sz w:val="20"/>
          <w:szCs w:val="20"/>
          <w:color w:val="auto"/>
        </w:rPr>
      </w:pPr>
      <w:r>
        <w:rPr>
          <w:rFonts w:ascii="Arial" w:cs="Arial" w:eastAsia="Arial" w:hAnsi="Arial"/>
          <w:sz w:val="16"/>
          <w:szCs w:val="16"/>
          <w:b w:val="1"/>
          <w:bCs w:val="1"/>
          <w:color w:val="auto"/>
        </w:rPr>
        <w:t>Pad Site Opportunities - Opportunity to invest a total of up to $15-$20 million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Brick Plaza</w:t>
            </w:r>
          </w:p>
        </w:tc>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Brick, NJ</w:t>
            </w:r>
          </w:p>
        </w:tc>
        <w:tc>
          <w:tcPr>
            <w:tcW w:w="2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Melville Mall</w:t>
            </w:r>
          </w:p>
        </w:tc>
        <w:tc>
          <w:tcPr>
            <w:tcW w:w="5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Huntington, NY</w:t>
            </w:r>
          </w:p>
        </w:tc>
      </w:tr>
      <w:tr>
        <w:trPr>
          <w:trHeight w:val="237"/>
        </w:trPr>
        <w:tc>
          <w:tcPr>
            <w:tcW w:w="1480" w:type="dxa"/>
            <w:vAlign w:val="bottom"/>
          </w:tcPr>
          <w:p>
            <w:pPr>
              <w:ind w:left="40"/>
              <w:spacing w:after="0"/>
              <w:rPr>
                <w:sz w:val="20"/>
                <w:szCs w:val="20"/>
                <w:color w:val="auto"/>
              </w:rPr>
            </w:pPr>
            <w:r>
              <w:rPr>
                <w:rFonts w:ascii="Arial" w:cs="Arial" w:eastAsia="Arial" w:hAnsi="Arial"/>
                <w:sz w:val="16"/>
                <w:szCs w:val="16"/>
                <w:color w:val="auto"/>
              </w:rPr>
              <w:t>Dedham Plaza</w:t>
            </w:r>
          </w:p>
        </w:tc>
        <w:tc>
          <w:tcPr>
            <w:tcW w:w="2420" w:type="dxa"/>
            <w:vAlign w:val="bottom"/>
          </w:tcPr>
          <w:p>
            <w:pPr>
              <w:ind w:left="500"/>
              <w:spacing w:after="0"/>
              <w:rPr>
                <w:sz w:val="20"/>
                <w:szCs w:val="20"/>
                <w:color w:val="auto"/>
              </w:rPr>
            </w:pPr>
            <w:r>
              <w:rPr>
                <w:rFonts w:ascii="Arial" w:cs="Arial" w:eastAsia="Arial" w:hAnsi="Arial"/>
                <w:sz w:val="16"/>
                <w:szCs w:val="16"/>
                <w:color w:val="auto"/>
              </w:rPr>
              <w:t>Dedham, MA</w:t>
            </w:r>
          </w:p>
        </w:tc>
        <w:tc>
          <w:tcPr>
            <w:tcW w:w="2480" w:type="dxa"/>
            <w:vAlign w:val="bottom"/>
          </w:tcPr>
          <w:p>
            <w:pPr>
              <w:ind w:left="940"/>
              <w:spacing w:after="0"/>
              <w:rPr>
                <w:sz w:val="20"/>
                <w:szCs w:val="20"/>
                <w:color w:val="auto"/>
              </w:rPr>
            </w:pPr>
            <w:r>
              <w:rPr>
                <w:rFonts w:ascii="Arial" w:cs="Arial" w:eastAsia="Arial" w:hAnsi="Arial"/>
                <w:sz w:val="16"/>
                <w:szCs w:val="16"/>
                <w:color w:val="auto"/>
              </w:rPr>
              <w:t>Mercer Mall</w:t>
            </w:r>
          </w:p>
        </w:tc>
        <w:tc>
          <w:tcPr>
            <w:tcW w:w="5040" w:type="dxa"/>
            <w:vAlign w:val="bottom"/>
          </w:tcPr>
          <w:p>
            <w:pPr>
              <w:ind w:left="640"/>
              <w:spacing w:after="0"/>
              <w:rPr>
                <w:sz w:val="20"/>
                <w:szCs w:val="20"/>
                <w:color w:val="auto"/>
              </w:rPr>
            </w:pPr>
            <w:r>
              <w:rPr>
                <w:rFonts w:ascii="Arial" w:cs="Arial" w:eastAsia="Arial" w:hAnsi="Arial"/>
                <w:sz w:val="16"/>
                <w:szCs w:val="16"/>
                <w:color w:val="auto"/>
              </w:rPr>
              <w:t>Lawrenceville, NJ</w:t>
            </w:r>
          </w:p>
        </w:tc>
      </w:tr>
      <w:tr>
        <w:trPr>
          <w:trHeight w:val="33"/>
        </w:trPr>
        <w:tc>
          <w:tcPr>
            <w:tcW w:w="14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Escondido</w:t>
            </w:r>
          </w:p>
        </w:tc>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Escondido, CA</w:t>
            </w:r>
          </w:p>
        </w:tc>
        <w:tc>
          <w:tcPr>
            <w:tcW w:w="2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Troy</w:t>
            </w:r>
          </w:p>
        </w:tc>
        <w:tc>
          <w:tcPr>
            <w:tcW w:w="5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Parsippany, NJ</w:t>
            </w:r>
          </w:p>
        </w:tc>
      </w:tr>
      <w:tr>
        <w:trPr>
          <w:trHeight w:val="237"/>
        </w:trPr>
        <w:tc>
          <w:tcPr>
            <w:tcW w:w="1480" w:type="dxa"/>
            <w:vAlign w:val="bottom"/>
          </w:tcPr>
          <w:p>
            <w:pPr>
              <w:ind w:left="40"/>
              <w:spacing w:after="0"/>
              <w:rPr>
                <w:sz w:val="20"/>
                <w:szCs w:val="20"/>
                <w:color w:val="auto"/>
              </w:rPr>
            </w:pPr>
            <w:r>
              <w:rPr>
                <w:rFonts w:ascii="Arial" w:cs="Arial" w:eastAsia="Arial" w:hAnsi="Arial"/>
                <w:sz w:val="16"/>
                <w:szCs w:val="16"/>
                <w:color w:val="auto"/>
              </w:rPr>
              <w:t>Federal Plaza</w:t>
            </w:r>
          </w:p>
        </w:tc>
        <w:tc>
          <w:tcPr>
            <w:tcW w:w="2420" w:type="dxa"/>
            <w:vAlign w:val="bottom"/>
          </w:tcPr>
          <w:p>
            <w:pPr>
              <w:ind w:left="500"/>
              <w:spacing w:after="0"/>
              <w:rPr>
                <w:sz w:val="20"/>
                <w:szCs w:val="20"/>
                <w:color w:val="auto"/>
              </w:rPr>
            </w:pPr>
            <w:r>
              <w:rPr>
                <w:rFonts w:ascii="Arial" w:cs="Arial" w:eastAsia="Arial" w:hAnsi="Arial"/>
                <w:sz w:val="16"/>
                <w:szCs w:val="16"/>
                <w:color w:val="auto"/>
              </w:rPr>
              <w:t>Rockville, MD</w:t>
            </w:r>
          </w:p>
        </w:tc>
        <w:tc>
          <w:tcPr>
            <w:tcW w:w="2480" w:type="dxa"/>
            <w:vAlign w:val="bottom"/>
          </w:tcPr>
          <w:p>
            <w:pPr>
              <w:ind w:left="940"/>
              <w:spacing w:after="0"/>
              <w:rPr>
                <w:sz w:val="20"/>
                <w:szCs w:val="20"/>
                <w:color w:val="auto"/>
              </w:rPr>
            </w:pPr>
            <w:r>
              <w:rPr>
                <w:rFonts w:ascii="Arial" w:cs="Arial" w:eastAsia="Arial" w:hAnsi="Arial"/>
                <w:sz w:val="16"/>
                <w:szCs w:val="16"/>
                <w:color w:val="auto"/>
              </w:rPr>
              <w:t>Westgate</w:t>
            </w:r>
          </w:p>
        </w:tc>
        <w:tc>
          <w:tcPr>
            <w:tcW w:w="5040" w:type="dxa"/>
            <w:vAlign w:val="bottom"/>
          </w:tcPr>
          <w:p>
            <w:pPr>
              <w:ind w:left="640"/>
              <w:spacing w:after="0"/>
              <w:rPr>
                <w:sz w:val="20"/>
                <w:szCs w:val="20"/>
                <w:color w:val="auto"/>
              </w:rPr>
            </w:pPr>
            <w:r>
              <w:rPr>
                <w:rFonts w:ascii="Arial" w:cs="Arial" w:eastAsia="Arial" w:hAnsi="Arial"/>
                <w:sz w:val="16"/>
                <w:szCs w:val="16"/>
                <w:color w:val="auto"/>
              </w:rPr>
              <w:t>San Jose, CA</w:t>
            </w:r>
          </w:p>
        </w:tc>
      </w:tr>
      <w:tr>
        <w:trPr>
          <w:trHeight w:val="33"/>
        </w:trPr>
        <w:tc>
          <w:tcPr>
            <w:tcW w:w="14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37"/>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Flourtown</w:t>
            </w:r>
          </w:p>
        </w:tc>
        <w:tc>
          <w:tcPr>
            <w:tcW w:w="2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Flourtown, PA</w:t>
            </w:r>
          </w:p>
        </w:tc>
        <w:tc>
          <w:tcPr>
            <w:tcW w:w="24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Wildwood</w:t>
            </w:r>
          </w:p>
        </w:tc>
        <w:tc>
          <w:tcPr>
            <w:tcW w:w="5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Bethesda, MD</w:t>
            </w:r>
          </w:p>
        </w:tc>
      </w:tr>
      <w:tr>
        <w:trPr>
          <w:trHeight w:val="33"/>
        </w:trPr>
        <w:tc>
          <w:tcPr>
            <w:tcW w:w="14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0" w:right="240"/>
        <w:spacing w:after="0" w:line="290" w:lineRule="auto"/>
        <w:rPr>
          <w:sz w:val="20"/>
          <w:szCs w:val="20"/>
          <w:color w:val="auto"/>
        </w:rPr>
      </w:pPr>
      <w:r>
        <w:rPr>
          <w:rFonts w:ascii="Arial" w:cs="Arial" w:eastAsia="Arial" w:hAnsi="Arial"/>
          <w:sz w:val="16"/>
          <w:szCs w:val="16"/>
          <w:b w:val="1"/>
          <w:bCs w:val="1"/>
          <w:color w:val="auto"/>
        </w:rPr>
        <w:t>Property Expansion or Conversion - Opportunity to invest a total of up to $15-$20 million at successful retail properties to convert previously unusable space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Fresh Meadows</w:t>
            </w:r>
          </w:p>
        </w:tc>
        <w:tc>
          <w:tcPr>
            <w:tcW w:w="2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Queens, NY</w:t>
            </w:r>
          </w:p>
        </w:tc>
        <w:tc>
          <w:tcPr>
            <w:tcW w:w="2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Shoppers' World</w:t>
            </w:r>
          </w:p>
        </w:tc>
        <w:tc>
          <w:tcPr>
            <w:tcW w:w="4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Charlottesville, VA</w:t>
            </w:r>
          </w:p>
        </w:tc>
      </w:tr>
      <w:tr>
        <w:trPr>
          <w:trHeight w:val="237"/>
        </w:trPr>
        <w:tc>
          <w:tcPr>
            <w:tcW w:w="1540" w:type="dxa"/>
            <w:vAlign w:val="bottom"/>
          </w:tcPr>
          <w:p>
            <w:pPr>
              <w:ind w:left="40"/>
              <w:spacing w:after="0"/>
              <w:rPr>
                <w:sz w:val="20"/>
                <w:szCs w:val="20"/>
                <w:color w:val="auto"/>
              </w:rPr>
            </w:pPr>
            <w:r>
              <w:rPr>
                <w:rFonts w:ascii="Arial" w:cs="Arial" w:eastAsia="Arial" w:hAnsi="Arial"/>
                <w:sz w:val="16"/>
                <w:szCs w:val="16"/>
                <w:color w:val="auto"/>
              </w:rPr>
              <w:t>Hollywood Blvd</w:t>
            </w:r>
          </w:p>
        </w:tc>
        <w:tc>
          <w:tcPr>
            <w:tcW w:w="2380" w:type="dxa"/>
            <w:vAlign w:val="bottom"/>
          </w:tcPr>
          <w:p>
            <w:pPr>
              <w:ind w:left="440"/>
              <w:spacing w:after="0"/>
              <w:rPr>
                <w:sz w:val="20"/>
                <w:szCs w:val="20"/>
                <w:color w:val="auto"/>
              </w:rPr>
            </w:pPr>
            <w:r>
              <w:rPr>
                <w:rFonts w:ascii="Arial" w:cs="Arial" w:eastAsia="Arial" w:hAnsi="Arial"/>
                <w:sz w:val="16"/>
                <w:szCs w:val="16"/>
                <w:color w:val="auto"/>
              </w:rPr>
              <w:t>Hollywood, CA</w:t>
            </w:r>
          </w:p>
        </w:tc>
        <w:tc>
          <w:tcPr>
            <w:tcW w:w="2780" w:type="dxa"/>
            <w:vAlign w:val="bottom"/>
          </w:tcPr>
          <w:p>
            <w:pPr>
              <w:ind w:left="920"/>
              <w:spacing w:after="0"/>
              <w:rPr>
                <w:sz w:val="20"/>
                <w:szCs w:val="20"/>
                <w:color w:val="auto"/>
              </w:rPr>
            </w:pPr>
            <w:r>
              <w:rPr>
                <w:rFonts w:ascii="Arial" w:cs="Arial" w:eastAsia="Arial" w:hAnsi="Arial"/>
                <w:sz w:val="16"/>
                <w:szCs w:val="16"/>
                <w:color w:val="auto"/>
              </w:rPr>
              <w:t>Third Street Promenade</w:t>
            </w:r>
          </w:p>
        </w:tc>
        <w:tc>
          <w:tcPr>
            <w:tcW w:w="4720" w:type="dxa"/>
            <w:vAlign w:val="bottom"/>
          </w:tcPr>
          <w:p>
            <w:pPr>
              <w:ind w:left="320"/>
              <w:spacing w:after="0"/>
              <w:rPr>
                <w:sz w:val="20"/>
                <w:szCs w:val="20"/>
                <w:color w:val="auto"/>
              </w:rPr>
            </w:pPr>
            <w:r>
              <w:rPr>
                <w:rFonts w:ascii="Arial" w:cs="Arial" w:eastAsia="Arial" w:hAnsi="Arial"/>
                <w:sz w:val="16"/>
                <w:szCs w:val="16"/>
                <w:color w:val="auto"/>
              </w:rPr>
              <w:t>Santa Monica, CA</w:t>
            </w:r>
          </w:p>
        </w:tc>
      </w:tr>
      <w:tr>
        <w:trPr>
          <w:trHeight w:val="33"/>
        </w:trPr>
        <w:tc>
          <w:tcPr>
            <w:tcW w:w="1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37"/>
        </w:trPr>
        <w:tc>
          <w:tcPr>
            <w:tcW w:w="1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Pentagon Row</w:t>
            </w:r>
          </w:p>
        </w:tc>
        <w:tc>
          <w:tcPr>
            <w:tcW w:w="23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Arlington, VA</w:t>
            </w:r>
          </w:p>
        </w:tc>
        <w:tc>
          <w:tcPr>
            <w:tcW w:w="27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Wildwood</w:t>
            </w:r>
          </w:p>
        </w:tc>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Bethesda, MD</w:t>
            </w:r>
          </w:p>
        </w:tc>
      </w:tr>
      <w:tr>
        <w:trPr>
          <w:trHeight w:val="33"/>
        </w:trPr>
        <w:tc>
          <w:tcPr>
            <w:tcW w:w="15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invest $75-$125 million to add more than 275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Barracks Road</w:t>
            </w:r>
          </w:p>
        </w:tc>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Charlottesville, VA</w:t>
            </w:r>
          </w:p>
        </w:tc>
        <w:tc>
          <w:tcPr>
            <w:tcW w:w="26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Village of Shirlington</w:t>
            </w:r>
          </w:p>
        </w:tc>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Arlington, VA</w:t>
            </w: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color w:val="auto"/>
              </w:rPr>
              <w:t>Congressional Plaza</w:t>
            </w:r>
          </w:p>
        </w:tc>
        <w:tc>
          <w:tcPr>
            <w:tcW w:w="2380" w:type="dxa"/>
            <w:vAlign w:val="bottom"/>
          </w:tcPr>
          <w:p>
            <w:pPr>
              <w:ind w:left="320"/>
              <w:spacing w:after="0"/>
              <w:rPr>
                <w:sz w:val="20"/>
                <w:szCs w:val="20"/>
                <w:color w:val="auto"/>
              </w:rPr>
            </w:pPr>
            <w:r>
              <w:rPr>
                <w:rFonts w:ascii="Arial" w:cs="Arial" w:eastAsia="Arial" w:hAnsi="Arial"/>
                <w:sz w:val="16"/>
                <w:szCs w:val="16"/>
                <w:color w:val="auto"/>
              </w:rPr>
              <w:t>Rockville, MD</w:t>
            </w:r>
          </w:p>
        </w:tc>
        <w:tc>
          <w:tcPr>
            <w:tcW w:w="268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92"/>
        </w:trPr>
        <w:tc>
          <w:tcPr>
            <w:tcW w:w="404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6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3"/>
        </w:trPr>
        <w:tc>
          <w:tcPr>
            <w:tcW w:w="16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Row</w:t>
            </w:r>
          </w:p>
        </w:tc>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Somerville, MA</w:t>
            </w:r>
          </w:p>
        </w:tc>
        <w:tc>
          <w:tcPr>
            <w:tcW w:w="26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Pike 7</w:t>
            </w:r>
          </w:p>
        </w:tc>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Vienna, VA</w:t>
            </w: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color w:val="auto"/>
              </w:rPr>
              <w:t>Bala Cynwyd</w:t>
            </w:r>
          </w:p>
        </w:tc>
        <w:tc>
          <w:tcPr>
            <w:tcW w:w="2380" w:type="dxa"/>
            <w:vAlign w:val="bottom"/>
          </w:tcPr>
          <w:p>
            <w:pPr>
              <w:ind w:left="320"/>
              <w:spacing w:after="0"/>
              <w:rPr>
                <w:sz w:val="20"/>
                <w:szCs w:val="20"/>
                <w:color w:val="auto"/>
              </w:rPr>
            </w:pPr>
            <w:r>
              <w:rPr>
                <w:rFonts w:ascii="Arial" w:cs="Arial" w:eastAsia="Arial" w:hAnsi="Arial"/>
                <w:sz w:val="16"/>
                <w:szCs w:val="16"/>
                <w:color w:val="auto"/>
              </w:rPr>
              <w:t>Bala Cynwyd, PA</w:t>
            </w:r>
          </w:p>
        </w:tc>
        <w:tc>
          <w:tcPr>
            <w:tcW w:w="2680" w:type="dxa"/>
            <w:vAlign w:val="bottom"/>
          </w:tcPr>
          <w:p>
            <w:pPr>
              <w:ind w:left="800"/>
              <w:spacing w:after="0"/>
              <w:rPr>
                <w:sz w:val="20"/>
                <w:szCs w:val="20"/>
                <w:color w:val="auto"/>
              </w:rPr>
            </w:pPr>
            <w:r>
              <w:rPr>
                <w:rFonts w:ascii="Arial" w:cs="Arial" w:eastAsia="Arial" w:hAnsi="Arial"/>
                <w:sz w:val="16"/>
                <w:szCs w:val="16"/>
                <w:color w:val="auto"/>
              </w:rPr>
              <w:t>Pike &amp; Rose (Mid-Pike)</w:t>
            </w:r>
          </w:p>
        </w:tc>
        <w:tc>
          <w:tcPr>
            <w:tcW w:w="4700" w:type="dxa"/>
            <w:vAlign w:val="bottom"/>
          </w:tcPr>
          <w:p>
            <w:pPr>
              <w:ind w:left="300"/>
              <w:spacing w:after="0"/>
              <w:rPr>
                <w:sz w:val="20"/>
                <w:szCs w:val="20"/>
                <w:color w:val="auto"/>
              </w:rPr>
            </w:pPr>
            <w:r>
              <w:rPr>
                <w:rFonts w:ascii="Arial" w:cs="Arial" w:eastAsia="Arial" w:hAnsi="Arial"/>
                <w:sz w:val="16"/>
                <w:szCs w:val="16"/>
                <w:color w:val="auto"/>
              </w:rPr>
              <w:t>Rockville, MD</w:t>
            </w:r>
          </w:p>
        </w:tc>
      </w:tr>
      <w:tr>
        <w:trPr>
          <w:trHeight w:val="270"/>
        </w:trPr>
        <w:tc>
          <w:tcPr>
            <w:tcW w:w="1660" w:type="dxa"/>
            <w:vAlign w:val="bottom"/>
          </w:tcPr>
          <w:p>
            <w:pPr>
              <w:ind w:left="40"/>
              <w:spacing w:after="0"/>
              <w:rPr>
                <w:sz w:val="20"/>
                <w:szCs w:val="20"/>
                <w:color w:val="auto"/>
              </w:rPr>
            </w:pPr>
            <w:r>
              <w:rPr>
                <w:rFonts w:ascii="Arial" w:cs="Arial" w:eastAsia="Arial" w:hAnsi="Arial"/>
                <w:sz w:val="16"/>
                <w:szCs w:val="16"/>
                <w:color w:val="auto"/>
              </w:rPr>
              <w:t>Forest Hills</w:t>
            </w:r>
          </w:p>
        </w:tc>
        <w:tc>
          <w:tcPr>
            <w:tcW w:w="2380" w:type="dxa"/>
            <w:vAlign w:val="bottom"/>
          </w:tcPr>
          <w:p>
            <w:pPr>
              <w:ind w:left="320"/>
              <w:spacing w:after="0"/>
              <w:rPr>
                <w:sz w:val="20"/>
                <w:szCs w:val="20"/>
                <w:color w:val="auto"/>
              </w:rPr>
            </w:pPr>
            <w:r>
              <w:rPr>
                <w:rFonts w:ascii="Arial" w:cs="Arial" w:eastAsia="Arial" w:hAnsi="Arial"/>
                <w:sz w:val="16"/>
                <w:szCs w:val="16"/>
                <w:color w:val="auto"/>
              </w:rPr>
              <w:t>Forest Hills, NY</w:t>
            </w:r>
          </w:p>
        </w:tc>
        <w:tc>
          <w:tcPr>
            <w:tcW w:w="2680" w:type="dxa"/>
            <w:vAlign w:val="bottom"/>
          </w:tcPr>
          <w:p>
            <w:pPr>
              <w:ind w:left="800"/>
              <w:spacing w:after="0"/>
              <w:rPr>
                <w:sz w:val="20"/>
                <w:szCs w:val="20"/>
                <w:color w:val="auto"/>
              </w:rPr>
            </w:pPr>
            <w:r>
              <w:rPr>
                <w:rFonts w:ascii="Arial" w:cs="Arial" w:eastAsia="Arial" w:hAnsi="Arial"/>
                <w:sz w:val="16"/>
                <w:szCs w:val="16"/>
                <w:color w:val="auto"/>
              </w:rPr>
              <w:t>Santana Row</w:t>
            </w:r>
          </w:p>
        </w:tc>
        <w:tc>
          <w:tcPr>
            <w:tcW w:w="4700" w:type="dxa"/>
            <w:vAlign w:val="bottom"/>
          </w:tcPr>
          <w:p>
            <w:pPr>
              <w:ind w:left="300"/>
              <w:spacing w:after="0"/>
              <w:rPr>
                <w:sz w:val="20"/>
                <w:szCs w:val="20"/>
                <w:color w:val="auto"/>
              </w:rPr>
            </w:pPr>
            <w:r>
              <w:rPr>
                <w:rFonts w:ascii="Arial" w:cs="Arial" w:eastAsia="Arial" w:hAnsi="Arial"/>
                <w:sz w:val="16"/>
                <w:szCs w:val="16"/>
                <w:color w:val="auto"/>
              </w:rPr>
              <w:t>San Jose, 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4"/>
          <w:szCs w:val="14"/>
          <w:color w:val="auto"/>
        </w:rPr>
      </w:pPr>
    </w:p>
    <w:p>
      <w:pPr>
        <w:ind w:left="660" w:right="20" w:hanging="652"/>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for Assembly Row include an allocation of infrastructure costs for future phases.</w:t>
      </w:r>
    </w:p>
    <w:p>
      <w:pPr>
        <w:sectPr>
          <w:pgSz w:w="11900" w:h="16838" w:orient="portrait"/>
          <w:cols w:equalWidth="0" w:num="1">
            <w:col w:w="11420"/>
          </w:cols>
          <w:pgMar w:left="240" w:top="976" w:right="239" w:bottom="42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976" w:right="239" w:bottom="42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Mixed Use Development Summary</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306" w:lineRule="exact"/>
        <w:rPr>
          <w:sz w:val="20"/>
          <w:szCs w:val="20"/>
          <w:color w:val="auto"/>
        </w:rPr>
      </w:pPr>
    </w:p>
    <w:p>
      <w:pPr>
        <w:ind w:left="40" w:right="440"/>
        <w:spacing w:after="0" w:line="335" w:lineRule="auto"/>
        <w:rPr>
          <w:sz w:val="20"/>
          <w:szCs w:val="20"/>
          <w:color w:val="auto"/>
        </w:rPr>
      </w:pPr>
      <w:r>
        <w:rPr>
          <w:rFonts w:ascii="Arial" w:cs="Arial" w:eastAsia="Arial" w:hAnsi="Arial"/>
          <w:sz w:val="14"/>
          <w:szCs w:val="14"/>
          <w:b w:val="1"/>
          <w:bCs w:val="1"/>
          <w:i w:val="1"/>
          <w:iCs w:val="1"/>
          <w:color w:val="auto"/>
        </w:rPr>
        <w:t>Federal Realty is actively involved in various stages of development at Assembly Row, Pike &amp; Rose (Mid-Pike) and Santana Row. We are currently pursuing the opportunities described below which will allow us to deploy $500 million of capital at these mixed-use projects through 2015, creating significant shareholder value. Entitlements at these properties allow for additional development that Federal Realty will evaluate which may increase our future investments at these projects.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Construction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Projected Cost</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Projected ROI</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 (1)</w:t>
            </w: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4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Project Description</w:t>
            </w:r>
          </w:p>
        </w:tc>
        <w:tc>
          <w:tcPr>
            <w:tcW w:w="100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10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Start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(in millions)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Santana Row - Lot 6B</w:t>
            </w:r>
          </w:p>
        </w:tc>
        <w:tc>
          <w:tcPr>
            <w:tcW w:w="1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 Jose, CA</w:t>
            </w: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Ground up development of a 4-story rental apartment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Completed</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building, which includes 108 residential units and</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associated parking.</w:t>
            </w:r>
          </w:p>
        </w:tc>
        <w:tc>
          <w:tcPr>
            <w:tcW w:w="10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Santana Row - Lot 8B</w:t>
            </w:r>
          </w:p>
        </w:tc>
        <w:tc>
          <w:tcPr>
            <w:tcW w:w="1200" w:type="dxa"/>
            <w:vAlign w:val="bottom"/>
          </w:tcPr>
          <w:p>
            <w:pPr>
              <w:ind w:left="40"/>
              <w:spacing w:after="0"/>
              <w:rPr>
                <w:sz w:val="20"/>
                <w:szCs w:val="20"/>
                <w:color w:val="auto"/>
              </w:rPr>
            </w:pPr>
            <w:r>
              <w:rPr>
                <w:rFonts w:ascii="Arial" w:cs="Arial" w:eastAsia="Arial" w:hAnsi="Arial"/>
                <w:sz w:val="16"/>
                <w:szCs w:val="16"/>
                <w:color w:val="auto"/>
              </w:rPr>
              <w:t>San Jose, CA</w:t>
            </w:r>
          </w:p>
        </w:tc>
        <w:tc>
          <w:tcPr>
            <w:tcW w:w="4040" w:type="dxa"/>
            <w:vAlign w:val="bottom"/>
          </w:tcPr>
          <w:p>
            <w:pPr>
              <w:ind w:left="100"/>
              <w:spacing w:after="0"/>
              <w:rPr>
                <w:sz w:val="20"/>
                <w:szCs w:val="20"/>
                <w:color w:val="auto"/>
              </w:rPr>
            </w:pPr>
            <w:r>
              <w:rPr>
                <w:rFonts w:ascii="Arial" w:cs="Arial" w:eastAsia="Arial" w:hAnsi="Arial"/>
                <w:sz w:val="16"/>
                <w:szCs w:val="16"/>
                <w:color w:val="auto"/>
              </w:rPr>
              <w:t>Ground up development of a 5-story rental apartment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$68 - $73</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6.5% - 7.5%</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building, which will include 216 residential units and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associated parking.</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Santana Row</w:t>
            </w:r>
          </w:p>
        </w:tc>
        <w:tc>
          <w:tcPr>
            <w:tcW w:w="12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b w:val="1"/>
                <w:bCs w:val="1"/>
                <w:color w:val="auto"/>
              </w:rPr>
              <w:t>(4)</w:t>
            </w:r>
          </w:p>
        </w:tc>
        <w:tc>
          <w:tcPr>
            <w:tcW w:w="120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$102 - $107</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080" w:type="dxa"/>
            <w:vAlign w:val="bottom"/>
            <w:gridSpan w:val="2"/>
          </w:tcPr>
          <w:p>
            <w:pPr>
              <w:spacing w:after="0"/>
              <w:rPr>
                <w:sz w:val="21"/>
                <w:szCs w:val="21"/>
                <w:color w:val="auto"/>
              </w:rPr>
            </w:pPr>
          </w:p>
        </w:tc>
        <w:tc>
          <w:tcPr>
            <w:tcW w:w="4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Assembly Row - Phase I (5) Somerville, MA</w:t>
            </w: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Ground up mixed use development. Initial phase consists of</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$145 - $160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5% - 7%</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575 residential units (by AvalonBay) and 315,000 square</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feet of retail space. A new Orange Line T-Stop will also be</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constructed by Massachusetts Bay Transit Authority, as</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part of Phase I.</w:t>
            </w:r>
          </w:p>
        </w:tc>
        <w:tc>
          <w:tcPr>
            <w:tcW w:w="10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w w:val="97"/>
              </w:rPr>
              <w:t>Pike &amp; Rose (Mid-Pike) (5)</w:t>
            </w:r>
          </w:p>
        </w:tc>
        <w:tc>
          <w:tcPr>
            <w:tcW w:w="1200" w:type="dxa"/>
            <w:vAlign w:val="bottom"/>
          </w:tcPr>
          <w:p>
            <w:pPr>
              <w:ind w:left="40"/>
              <w:spacing w:after="0"/>
              <w:rPr>
                <w:sz w:val="20"/>
                <w:szCs w:val="20"/>
                <w:color w:val="auto"/>
              </w:rPr>
            </w:pPr>
            <w:r>
              <w:rPr>
                <w:rFonts w:ascii="Arial" w:cs="Arial" w:eastAsia="Arial" w:hAnsi="Arial"/>
                <w:sz w:val="16"/>
                <w:szCs w:val="16"/>
                <w:color w:val="auto"/>
              </w:rPr>
              <w:t>Rockville, MD</w:t>
            </w:r>
          </w:p>
        </w:tc>
        <w:tc>
          <w:tcPr>
            <w:tcW w:w="4040" w:type="dxa"/>
            <w:vAlign w:val="bottom"/>
          </w:tcPr>
          <w:p>
            <w:pPr>
              <w:ind w:left="100"/>
              <w:spacing w:after="0"/>
              <w:rPr>
                <w:sz w:val="20"/>
                <w:szCs w:val="20"/>
                <w:color w:val="auto"/>
              </w:rPr>
            </w:pPr>
            <w:r>
              <w:rPr>
                <w:rFonts w:ascii="Arial" w:cs="Arial" w:eastAsia="Arial" w:hAnsi="Arial"/>
                <w:sz w:val="16"/>
                <w:szCs w:val="16"/>
                <w:color w:val="auto"/>
                <w:w w:val="94"/>
              </w:rPr>
              <w:t>Ground up mixed use development on site of existing Mid-</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Approx.</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8% - 9%</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w w:val="99"/>
              </w:rPr>
              <w:t>Pike Shopping Center. Phase I of development involves</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demolition of roughly 25% of existing GLA, and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w w:val="93"/>
              </w:rPr>
              <w:t>construction of 484 residential units, 156,000 square feet of</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retail, and 87,000 square feet of office space.</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55% of projected return</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Approx.</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(4)</w:t>
            </w:r>
          </w:p>
        </w:tc>
        <w:tc>
          <w:tcPr>
            <w:tcW w:w="120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0"/>
              </w:rPr>
              <w:t>relates to residential</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$500</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7% - 8%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Mixed Use Project Entitlements</w:t>
            </w:r>
          </w:p>
        </w:tc>
        <w:tc>
          <w:tcPr>
            <w:tcW w:w="4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4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w:t>
            </w:r>
          </w:p>
        </w:tc>
        <w:tc>
          <w:tcPr>
            <w:tcW w:w="5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Zoning Entitlements</w:t>
            </w: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Santana Row</w:t>
            </w:r>
          </w:p>
        </w:tc>
        <w:tc>
          <w:tcPr>
            <w:tcW w:w="930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w w:val="96"/>
              </w:rPr>
              <w:t>Current remaining entitlements for this property include 339 residential units and 200,000 square feet of commercial space for retail and</w:t>
            </w:r>
          </w:p>
        </w:tc>
        <w:tc>
          <w:tcPr>
            <w:tcW w:w="0" w:type="dxa"/>
            <w:vAlign w:val="bottom"/>
          </w:tcPr>
          <w:p>
            <w:pPr>
              <w:spacing w:after="0"/>
              <w:rPr>
                <w:sz w:val="1"/>
                <w:szCs w:val="1"/>
                <w:color w:val="auto"/>
              </w:rPr>
            </w:pPr>
          </w:p>
        </w:tc>
      </w:tr>
      <w:tr>
        <w:trPr>
          <w:trHeight w:val="219"/>
        </w:trPr>
        <w:tc>
          <w:tcPr>
            <w:tcW w:w="2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w:t>
            </w:r>
          </w:p>
        </w:tc>
        <w:tc>
          <w:tcPr>
            <w:tcW w:w="40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Assembly Row</w:t>
            </w:r>
          </w:p>
        </w:tc>
        <w:tc>
          <w:tcPr>
            <w:tcW w:w="9300" w:type="dxa"/>
            <w:vAlign w:val="bottom"/>
            <w:gridSpan w:val="6"/>
          </w:tcPr>
          <w:p>
            <w:pPr>
              <w:ind w:left="40"/>
              <w:spacing w:after="0"/>
              <w:rPr>
                <w:sz w:val="20"/>
                <w:szCs w:val="20"/>
                <w:color w:val="auto"/>
              </w:rPr>
            </w:pPr>
            <w:r>
              <w:rPr>
                <w:rFonts w:ascii="Arial" w:cs="Arial" w:eastAsia="Arial" w:hAnsi="Arial"/>
                <w:sz w:val="16"/>
                <w:szCs w:val="16"/>
                <w:color w:val="auto"/>
                <w:w w:val="94"/>
              </w:rPr>
              <w:t>The project currently has zoning entitlements to build 2.3 million square feet of commercial-use buildings, 2,100 residential units, and a 200</w:t>
            </w: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room hotel.</w:t>
            </w:r>
          </w:p>
        </w:tc>
        <w:tc>
          <w:tcPr>
            <w:tcW w:w="4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300" w:type="dxa"/>
            <w:vAlign w:val="bottom"/>
            <w:gridSpan w:val="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Pike &amp; Rose (Mid-Pike)</w:t>
            </w:r>
          </w:p>
        </w:tc>
        <w:tc>
          <w:tcPr>
            <w:tcW w:w="930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w w:val="95"/>
              </w:rPr>
              <w:t>The property currently has zoning entitlements to build 1.7 million square feet of commercial-use buildings, and 1.7 million square feet for</w:t>
            </w:r>
          </w:p>
        </w:tc>
        <w:tc>
          <w:tcPr>
            <w:tcW w:w="0" w:type="dxa"/>
            <w:vAlign w:val="bottom"/>
          </w:tcPr>
          <w:p>
            <w:pPr>
              <w:spacing w:after="0"/>
              <w:rPr>
                <w:sz w:val="1"/>
                <w:szCs w:val="1"/>
                <w:color w:val="auto"/>
              </w:rPr>
            </w:pPr>
          </w:p>
        </w:tc>
      </w:tr>
      <w:tr>
        <w:trPr>
          <w:trHeight w:val="206"/>
        </w:trPr>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use.</w:t>
            </w:r>
          </w:p>
        </w:tc>
        <w:tc>
          <w:tcPr>
            <w:tcW w:w="4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260" w:right="40" w:hanging="225"/>
        <w:spacing w:after="0" w:line="238"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current 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0"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developed space is achieved.</w:t>
      </w:r>
    </w:p>
    <w:p>
      <w:pPr>
        <w:spacing w:after="0" w:line="41" w:lineRule="exact"/>
        <w:rPr>
          <w:rFonts w:ascii="Arial" w:cs="Arial" w:eastAsia="Arial" w:hAnsi="Arial"/>
          <w:sz w:val="14"/>
          <w:szCs w:val="14"/>
          <w:color w:val="auto"/>
        </w:rPr>
      </w:pPr>
    </w:p>
    <w:p>
      <w:pPr>
        <w:ind w:left="260" w:right="220" w:hanging="225"/>
        <w:spacing w:after="0" w:line="253"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reflects the deal specific cash, unleveraged Property Operating Income (POI) generated by the development and is calculated as POI divided by cost. Projected ROI does NOT include peripheral impacts, such as the impact on future lease rollovers at the property or the impact on the long-term value of the property.</w:t>
      </w:r>
    </w:p>
    <w:p>
      <w:pPr>
        <w:spacing w:after="0" w:line="1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future phases.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2011 Significant Acquisitions and Dispositions</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Acquisitions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Date</w:t>
            </w:r>
          </w:p>
        </w:tc>
        <w:tc>
          <w:tcPr>
            <w:tcW w:w="23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Property</w:t>
            </w:r>
          </w:p>
        </w:tc>
        <w:tc>
          <w:tcPr>
            <w:tcW w:w="18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City / State</w:t>
            </w:r>
          </w:p>
        </w:tc>
        <w:tc>
          <w:tcPr>
            <w:tcW w:w="12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w w:val="97"/>
              </w:rPr>
              <w:t>Purchase price</w:t>
            </w:r>
          </w:p>
        </w:tc>
        <w:tc>
          <w:tcPr>
            <w:tcW w:w="30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 square feet)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(in millions)</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5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19, 2011</w:t>
            </w:r>
          </w:p>
        </w:tc>
        <w:tc>
          <w:tcPr>
            <w:tcW w:w="2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Tower Shops</w:t>
            </w:r>
          </w:p>
        </w:tc>
        <w:tc>
          <w:tcPr>
            <w:tcW w:w="18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Davie, FL</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372,000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66.1</w:t>
            </w:r>
          </w:p>
        </w:tc>
        <w:tc>
          <w:tcPr>
            <w:tcW w:w="3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 DSW / Old Navy / Ross Dress</w:t>
            </w: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For Less / TJ Maxx</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May 26, 2011</w:t>
            </w:r>
          </w:p>
        </w:tc>
        <w:tc>
          <w:tcPr>
            <w:tcW w:w="2380" w:type="dxa"/>
            <w:vAlign w:val="bottom"/>
          </w:tcPr>
          <w:p>
            <w:pPr>
              <w:ind w:left="380"/>
              <w:spacing w:after="0"/>
              <w:rPr>
                <w:sz w:val="20"/>
                <w:szCs w:val="20"/>
                <w:color w:val="auto"/>
              </w:rPr>
            </w:pPr>
            <w:r>
              <w:rPr>
                <w:rFonts w:ascii="Arial" w:cs="Arial" w:eastAsia="Arial" w:hAnsi="Arial"/>
                <w:sz w:val="16"/>
                <w:szCs w:val="16"/>
                <w:color w:val="auto"/>
              </w:rPr>
              <w:t>Newbury Street (2)</w:t>
            </w:r>
          </w:p>
        </w:tc>
        <w:tc>
          <w:tcPr>
            <w:tcW w:w="1880" w:type="dxa"/>
            <w:vAlign w:val="bottom"/>
          </w:tcPr>
          <w:p>
            <w:pPr>
              <w:ind w:left="500"/>
              <w:spacing w:after="0"/>
              <w:rPr>
                <w:sz w:val="20"/>
                <w:szCs w:val="20"/>
                <w:color w:val="auto"/>
              </w:rPr>
            </w:pPr>
            <w:r>
              <w:rPr>
                <w:rFonts w:ascii="Arial" w:cs="Arial" w:eastAsia="Arial" w:hAnsi="Arial"/>
                <w:sz w:val="16"/>
                <w:szCs w:val="16"/>
                <w:color w:val="auto"/>
              </w:rPr>
              <w:t>Boston, MA</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6,700</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6.2</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Dispositions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Date</w:t>
            </w:r>
          </w:p>
        </w:tc>
        <w:tc>
          <w:tcPr>
            <w:tcW w:w="25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Property</w:t>
            </w:r>
          </w:p>
        </w:tc>
        <w:tc>
          <w:tcPr>
            <w:tcW w:w="16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City / State</w:t>
            </w:r>
          </w:p>
        </w:tc>
        <w:tc>
          <w:tcPr>
            <w:tcW w:w="14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GLA</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Sales price</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(in square feet)</w:t>
            </w:r>
          </w:p>
        </w:tc>
        <w:tc>
          <w:tcPr>
            <w:tcW w:w="300" w:type="dxa"/>
            <w:vAlign w:val="bottom"/>
          </w:tcPr>
          <w:p>
            <w:pPr>
              <w:spacing w:after="0"/>
              <w:rPr>
                <w:sz w:val="16"/>
                <w:szCs w:val="16"/>
                <w:color w:val="auto"/>
              </w:rPr>
            </w:pPr>
          </w:p>
        </w:tc>
        <w:tc>
          <w:tcPr>
            <w:tcW w:w="3960" w:type="dxa"/>
            <w:vAlign w:val="bottom"/>
            <w:gridSpan w:val="2"/>
          </w:tcPr>
          <w:p>
            <w:pPr>
              <w:jc w:val="center"/>
              <w:ind w:right="31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12, 2011</w:t>
            </w:r>
          </w:p>
        </w:tc>
        <w:tc>
          <w:tcPr>
            <w:tcW w:w="2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Feasterville Shopping Center</w:t>
            </w:r>
          </w:p>
        </w:tc>
        <w:tc>
          <w:tcPr>
            <w:tcW w:w="1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Feasterville, PA</w:t>
            </w:r>
          </w:p>
        </w:tc>
        <w:tc>
          <w:tcPr>
            <w:tcW w:w="14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111,000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20.0</w:t>
            </w: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520" w:type="dxa"/>
            <w:vAlign w:val="bottom"/>
          </w:tcPr>
          <w:p>
            <w:pPr>
              <w:ind w:left="40"/>
              <w:spacing w:after="0"/>
              <w:rPr>
                <w:sz w:val="20"/>
                <w:szCs w:val="20"/>
                <w:color w:val="auto"/>
              </w:rPr>
            </w:pPr>
            <w:r>
              <w:rPr>
                <w:rFonts w:ascii="Arial" w:cs="Arial" w:eastAsia="Arial" w:hAnsi="Arial"/>
                <w:sz w:val="16"/>
                <w:szCs w:val="16"/>
                <w:color w:val="auto"/>
              </w:rPr>
              <w:t>October 31, 2011</w:t>
            </w:r>
          </w:p>
        </w:tc>
        <w:tc>
          <w:tcPr>
            <w:tcW w:w="2560" w:type="dxa"/>
            <w:vAlign w:val="bottom"/>
          </w:tcPr>
          <w:p>
            <w:pPr>
              <w:ind w:left="360"/>
              <w:spacing w:after="0"/>
              <w:rPr>
                <w:sz w:val="20"/>
                <w:szCs w:val="20"/>
                <w:color w:val="auto"/>
              </w:rPr>
            </w:pPr>
            <w:r>
              <w:rPr>
                <w:rFonts w:ascii="Arial" w:cs="Arial" w:eastAsia="Arial" w:hAnsi="Arial"/>
                <w:sz w:val="16"/>
                <w:szCs w:val="16"/>
                <w:color w:val="auto"/>
              </w:rPr>
              <w:t>Newbury Street (3)</w:t>
            </w:r>
          </w:p>
        </w:tc>
        <w:tc>
          <w:tcPr>
            <w:tcW w:w="1680" w:type="dxa"/>
            <w:vAlign w:val="bottom"/>
          </w:tcPr>
          <w:p>
            <w:pPr>
              <w:ind w:left="300"/>
              <w:spacing w:after="0"/>
              <w:rPr>
                <w:sz w:val="20"/>
                <w:szCs w:val="20"/>
                <w:color w:val="auto"/>
              </w:rPr>
            </w:pPr>
            <w:r>
              <w:rPr>
                <w:rFonts w:ascii="Arial" w:cs="Arial" w:eastAsia="Arial" w:hAnsi="Arial"/>
                <w:sz w:val="16"/>
                <w:szCs w:val="16"/>
                <w:color w:val="auto"/>
              </w:rPr>
              <w:t>Boston, MA</w:t>
            </w:r>
          </w:p>
        </w:tc>
        <w:tc>
          <w:tcPr>
            <w:tcW w:w="1400" w:type="dxa"/>
            <w:vAlign w:val="bottom"/>
          </w:tcPr>
          <w:p>
            <w:pPr>
              <w:jc w:val="right"/>
              <w:ind w:right="203"/>
              <w:spacing w:after="0"/>
              <w:rPr>
                <w:sz w:val="20"/>
                <w:szCs w:val="20"/>
                <w:color w:val="auto"/>
              </w:rPr>
            </w:pPr>
            <w:r>
              <w:rPr>
                <w:rFonts w:ascii="Arial" w:cs="Arial" w:eastAsia="Arial" w:hAnsi="Arial"/>
                <w:sz w:val="16"/>
                <w:szCs w:val="16"/>
                <w:color w:val="auto"/>
              </w:rPr>
              <w:t>41,000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44.0</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property is on 67 acres and is shadow-anchored by Costco and Home Depot.</w:t>
      </w:r>
    </w:p>
    <w:p>
      <w:pPr>
        <w:spacing w:after="0" w:line="5" w:lineRule="exact"/>
        <w:rPr>
          <w:rFonts w:ascii="Arial" w:cs="Arial" w:eastAsia="Arial" w:hAnsi="Arial"/>
          <w:sz w:val="16"/>
          <w:szCs w:val="16"/>
          <w:color w:val="auto"/>
        </w:rPr>
      </w:pPr>
    </w:p>
    <w:p>
      <w:pPr>
        <w:ind w:left="660" w:right="120" w:hanging="652"/>
        <w:spacing w:after="0" w:line="24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One building was acquired by our Taurus Newbury Street JV II Limited Partnership ("Newbury Street Partnership") in which we hold an 85% limited partnership interest and account for our investment under the equity method. We contributed $2.8 million towards this acquisition and provided a $3.1 million interest-only loan secured by the building.</w:t>
      </w:r>
    </w:p>
    <w:p>
      <w:pPr>
        <w:spacing w:after="0" w:line="1" w:lineRule="exact"/>
        <w:rPr>
          <w:rFonts w:ascii="Arial" w:cs="Arial" w:eastAsia="Arial" w:hAnsi="Arial"/>
          <w:sz w:val="16"/>
          <w:szCs w:val="16"/>
          <w:color w:val="auto"/>
        </w:rPr>
      </w:pPr>
    </w:p>
    <w:p>
      <w:pPr>
        <w:ind w:left="660" w:right="220" w:hanging="652"/>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Newbury Street Partnership sold its three buildings. As part of the sale, we received $34.6 million of the net proceeds which includes the repayment our $11.8 million loans.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08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MSA Description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0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58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60" w:type="dxa"/>
            <w:vAlign w:val="bottom"/>
          </w:tcPr>
          <w:p>
            <w:pPr>
              <w:spacing w:after="0"/>
              <w:rPr>
                <w:sz w:val="12"/>
                <w:szCs w:val="12"/>
                <w:color w:val="auto"/>
              </w:rPr>
            </w:pPr>
          </w:p>
        </w:tc>
        <w:tc>
          <w:tcPr>
            <w:tcW w:w="172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Washington, DC-MD-VA</w:t>
            </w:r>
          </w:p>
        </w:tc>
        <w:tc>
          <w:tcPr>
            <w:tcW w:w="1660" w:type="dxa"/>
            <w:vAlign w:val="bottom"/>
            <w:gridSpan w:val="2"/>
          </w:tcPr>
          <w:p>
            <w:pPr>
              <w:jc w:val="right"/>
              <w:ind w:right="37"/>
              <w:spacing w:after="0" w:line="148" w:lineRule="exact"/>
              <w:rPr>
                <w:sz w:val="20"/>
                <w:szCs w:val="20"/>
                <w:color w:val="auto"/>
              </w:rPr>
            </w:pPr>
            <w:r>
              <w:rPr>
                <w:rFonts w:ascii="Arial" w:cs="Arial" w:eastAsia="Arial" w:hAnsi="Arial"/>
                <w:sz w:val="13"/>
                <w:szCs w:val="13"/>
                <w:color w:val="auto"/>
              </w:rPr>
              <w:t>1993- $ 210,674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w w:val="99"/>
              </w:rPr>
              <w:t>$  24,046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auto"/>
                <w:w w:val="90"/>
              </w:rPr>
              <w:t>40,000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080" w:type="dxa"/>
            <w:vAlign w:val="bottom"/>
          </w:tcPr>
          <w:p>
            <w:pPr>
              <w:ind w:left="80"/>
              <w:spacing w:after="0" w:line="148" w:lineRule="exact"/>
              <w:rPr>
                <w:sz w:val="20"/>
                <w:szCs w:val="20"/>
                <w:color w:val="auto"/>
              </w:rPr>
            </w:pPr>
            <w:r>
              <w:rPr>
                <w:rFonts w:ascii="Arial" w:cs="Arial" w:eastAsia="Arial" w:hAnsi="Arial"/>
                <w:sz w:val="13"/>
                <w:szCs w:val="13"/>
                <w:color w:val="auto"/>
                <w:w w:val="95"/>
              </w:rPr>
              <w:t>Barnes &amp; Noble / Landmark Theater / Apple Computer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w w:val="99"/>
              </w:rPr>
              <w:t>2006/2008/2010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73,471</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Neiman Marcus</w:t>
            </w: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4,455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Falls Plaza/Falls Plaza-</w:t>
            </w:r>
          </w:p>
        </w:tc>
        <w:tc>
          <w:tcPr>
            <w:tcW w:w="26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ind w:left="60"/>
              <w:spacing w:after="0" w:line="148" w:lineRule="exact"/>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12,354</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51,000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East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63,002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10,000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080" w:type="dxa"/>
            <w:vAlign w:val="bottom"/>
          </w:tcPr>
          <w:p>
            <w:pPr>
              <w:ind w:left="8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35,283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24,998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16,063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16,345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0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47,898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61,000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tcPr>
          <w:p>
            <w:pPr>
              <w:ind w:left="8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34,976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28,440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32,909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36,776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080" w:type="dxa"/>
            <w:vAlign w:val="bottom"/>
          </w:tcPr>
          <w:p>
            <w:pPr>
              <w:ind w:left="80"/>
              <w:spacing w:after="0"/>
              <w:rPr>
                <w:sz w:val="20"/>
                <w:szCs w:val="20"/>
                <w:color w:val="auto"/>
              </w:rPr>
            </w:pPr>
            <w:r>
              <w:rPr>
                <w:rFonts w:ascii="Arial" w:cs="Arial" w:eastAsia="Arial" w:hAnsi="Arial"/>
                <w:sz w:val="13"/>
                <w:szCs w:val="13"/>
                <w:color w:val="auto"/>
              </w:rPr>
              <w:t>Bally Total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Mid-Pike Plaza</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52,189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Toys R Us / Bally Total Fitness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72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78,349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10,652</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571,000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auto"/>
                <w:w w:val="90"/>
              </w:rPr>
              <w:t>62,000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3080" w:type="dxa"/>
            <w:vAlign w:val="bottom"/>
          </w:tcPr>
          <w:p>
            <w:pPr>
              <w:ind w:left="80"/>
              <w:spacing w:after="0" w:line="148" w:lineRule="exact"/>
              <w:rPr>
                <w:sz w:val="20"/>
                <w:szCs w:val="20"/>
                <w:color w:val="auto"/>
              </w:rPr>
            </w:pPr>
            <w:r>
              <w:rPr>
                <w:rFonts w:ascii="Arial" w:cs="Arial" w:eastAsia="Arial" w:hAnsi="Arial"/>
                <w:sz w:val="13"/>
                <w:szCs w:val="13"/>
                <w:color w:val="auto"/>
                <w:w w:val="92"/>
              </w:rPr>
              <w:t>Bed, Bath &amp; Beyond / Michaels / Home Depot / TJ Maxx</w:t>
            </w:r>
          </w:p>
        </w:tc>
      </w:tr>
      <w:tr>
        <w:trPr>
          <w:trHeight w:val="135"/>
        </w:trPr>
        <w:tc>
          <w:tcPr>
            <w:tcW w:w="13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 Richmond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080" w:type="dxa"/>
            <w:vAlign w:val="bottom"/>
          </w:tcPr>
          <w:p>
            <w:pPr>
              <w:ind w:left="80"/>
              <w:spacing w:after="0" w:line="135" w:lineRule="exact"/>
              <w:rPr>
                <w:sz w:val="20"/>
                <w:szCs w:val="20"/>
                <w:color w:val="auto"/>
              </w:rPr>
            </w:pPr>
            <w:r>
              <w:rPr>
                <w:rFonts w:ascii="Arial" w:cs="Arial" w:eastAsia="Arial" w:hAnsi="Arial"/>
                <w:sz w:val="13"/>
                <w:szCs w:val="13"/>
                <w:color w:val="auto"/>
              </w:rPr>
              <w:t>/ Gold's Gym</w:t>
            </w:r>
          </w:p>
        </w:tc>
      </w:tr>
      <w:tr>
        <w:trPr>
          <w:trHeight w:val="168"/>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6,233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28,518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63,000</w:t>
            </w:r>
          </w:p>
        </w:tc>
        <w:tc>
          <w:tcPr>
            <w:tcW w:w="900" w:type="dxa"/>
            <w:vAlign w:val="bottom"/>
          </w:tcPr>
          <w:p>
            <w:pPr>
              <w:ind w:left="80"/>
              <w:spacing w:after="0"/>
              <w:rPr>
                <w:sz w:val="20"/>
                <w:szCs w:val="20"/>
                <w:color w:val="auto"/>
              </w:rPr>
            </w:pPr>
            <w:r>
              <w:rPr>
                <w:rFonts w:ascii="Arial" w:cs="Arial" w:eastAsia="Arial" w:hAnsi="Arial"/>
                <w:sz w:val="13"/>
                <w:szCs w:val="13"/>
                <w:color w:val="auto"/>
              </w:rPr>
              <w:t>Safeway</w:t>
            </w:r>
          </w:p>
        </w:tc>
        <w:tc>
          <w:tcPr>
            <w:tcW w:w="3080" w:type="dxa"/>
            <w:vAlign w:val="bottom"/>
          </w:tcPr>
          <w:p>
            <w:pPr>
              <w:ind w:left="8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88,876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52,794</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Bally Total Fitness / 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Pike 7</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35,519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22,612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Magruders</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w w:val="99"/>
              </w:rPr>
              <w:t>Rockville Town Square</w:t>
            </w: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42,915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4,555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174,000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Rollingwood Apartments</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8,437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23,322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Sam's Park &amp; Shop</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12,729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Tower</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20,547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Tyson's Station</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1978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4,129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20" w:type="dxa"/>
            <w:vAlign w:val="bottom"/>
          </w:tcPr>
          <w:p>
            <w:pPr>
              <w:jc w:val="center"/>
              <w:spacing w:after="0"/>
              <w:rPr>
                <w:sz w:val="20"/>
                <w:szCs w:val="20"/>
                <w:color w:val="auto"/>
              </w:rPr>
            </w:pPr>
            <w:r>
              <w:rPr>
                <w:rFonts w:ascii="Arial" w:cs="Arial" w:eastAsia="Arial" w:hAnsi="Arial"/>
                <w:sz w:val="13"/>
                <w:szCs w:val="13"/>
                <w:color w:val="auto"/>
                <w:w w:val="85"/>
              </w:rPr>
              <w:t>11,000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0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55,373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6,355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Wildwood</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1969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18,378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24,432</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20,000</w:t>
            </w:r>
          </w:p>
        </w:tc>
        <w:tc>
          <w:tcPr>
            <w:tcW w:w="900" w:type="dxa"/>
            <w:vAlign w:val="bottom"/>
          </w:tcPr>
          <w:p>
            <w:pPr>
              <w:ind w:left="80"/>
              <w:spacing w:after="0"/>
              <w:rPr>
                <w:sz w:val="20"/>
                <w:szCs w:val="20"/>
                <w:color w:val="auto"/>
              </w:rPr>
            </w:pPr>
            <w:r>
              <w:rPr>
                <w:rFonts w:ascii="Arial" w:cs="Arial" w:eastAsia="Arial" w:hAnsi="Arial"/>
                <w:sz w:val="13"/>
                <w:szCs w:val="13"/>
                <w:color w:val="auto"/>
              </w:rPr>
              <w:t>Balducci's</w:t>
            </w:r>
          </w:p>
        </w:tc>
        <w:tc>
          <w:tcPr>
            <w:tcW w:w="308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2540" w:type="dxa"/>
            <w:vAlign w:val="bottom"/>
            <w:tcBorders>
              <w:bottom w:val="single" w:sz="8" w:color="CCEEFF"/>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30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72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1,030,887</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5,181,000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20" w:type="dxa"/>
            <w:vAlign w:val="bottom"/>
            <w:gridSpan w:val="3"/>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3320" w:type="dxa"/>
            <w:vAlign w:val="bottom"/>
            <w:gridSpan w:val="6"/>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Andorra</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24,087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Kohl's / Staples / L.A. Fitness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Bala Cynwyd</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36,555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45,000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tcPr>
          <w:p>
            <w:pPr>
              <w:ind w:left="80"/>
              <w:spacing w:after="0"/>
              <w:rPr>
                <w:sz w:val="20"/>
                <w:szCs w:val="20"/>
                <w:color w:val="auto"/>
              </w:rPr>
            </w:pPr>
            <w:r>
              <w:rPr>
                <w:rFonts w:ascii="Arial" w:cs="Arial" w:eastAsia="Arial" w:hAnsi="Arial"/>
                <w:sz w:val="13"/>
                <w:szCs w:val="13"/>
                <w:color w:val="auto"/>
              </w:rPr>
              <w:t>Lord &amp; Taylor / L.A. Fitness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Ellisburg Circle</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28,372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47,000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Genuardi's</w:t>
            </w: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Flourtown</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15,894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166,000</w:t>
            </w:r>
          </w:p>
        </w:tc>
        <w:tc>
          <w:tcPr>
            <w:tcW w:w="500" w:type="dxa"/>
            <w:vAlign w:val="bottom"/>
          </w:tcPr>
          <w:p>
            <w:pPr>
              <w:jc w:val="right"/>
              <w:spacing w:after="0"/>
              <w:rPr>
                <w:sz w:val="20"/>
                <w:szCs w:val="20"/>
                <w:color w:val="auto"/>
              </w:rPr>
            </w:pPr>
            <w:r>
              <w:rPr>
                <w:rFonts w:ascii="Arial" w:cs="Arial" w:eastAsia="Arial" w:hAnsi="Arial"/>
                <w:sz w:val="13"/>
                <w:szCs w:val="13"/>
                <w:color w:val="auto"/>
              </w:rPr>
              <w:t>48%</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42,000</w:t>
            </w:r>
          </w:p>
        </w:tc>
        <w:tc>
          <w:tcPr>
            <w:tcW w:w="900" w:type="dxa"/>
            <w:vAlign w:val="bottom"/>
          </w:tcPr>
          <w:p>
            <w:pPr>
              <w:ind w:left="80"/>
              <w:spacing w:after="0"/>
              <w:rPr>
                <w:sz w:val="20"/>
                <w:szCs w:val="20"/>
                <w:color w:val="auto"/>
              </w:rPr>
            </w:pPr>
            <w:r>
              <w:rPr>
                <w:rFonts w:ascii="Arial" w:cs="Arial" w:eastAsia="Arial" w:hAnsi="Arial"/>
                <w:sz w:val="13"/>
                <w:szCs w:val="13"/>
                <w:color w:val="auto"/>
              </w:rPr>
              <w:t>Genuardi's</w:t>
            </w:r>
          </w:p>
        </w:tc>
        <w:tc>
          <w:tcPr>
            <w:tcW w:w="30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6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20,235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Redner's</w:t>
            </w:r>
          </w:p>
        </w:tc>
        <w:tc>
          <w:tcPr>
            <w:tcW w:w="30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30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Mkts.</w:t>
            </w:r>
          </w:p>
        </w:tc>
        <w:tc>
          <w:tcPr>
            <w:tcW w:w="3080" w:type="dxa"/>
            <w:vAlign w:val="bottom"/>
            <w:shd w:val="clear" w:color="auto" w:fill="CCEEFF"/>
          </w:tcPr>
          <w:p>
            <w:pPr>
              <w:spacing w:after="0"/>
              <w:rPr>
                <w:sz w:val="15"/>
                <w:szCs w:val="15"/>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Lawrence Park</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30,670</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27,796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53,000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080" w:type="dxa"/>
            <w:vAlign w:val="bottom"/>
          </w:tcPr>
          <w:p>
            <w:pPr>
              <w:ind w:left="80"/>
              <w:spacing w:after="0"/>
              <w:rPr>
                <w:sz w:val="20"/>
                <w:szCs w:val="20"/>
                <w:color w:val="auto"/>
              </w:rPr>
            </w:pPr>
            <w:r>
              <w:rPr>
                <w:rFonts w:ascii="Arial" w:cs="Arial" w:eastAsia="Arial" w:hAnsi="Arial"/>
                <w:sz w:val="13"/>
                <w:szCs w:val="13"/>
                <w:color w:val="auto"/>
              </w:rPr>
              <w:t>CHI / TJ Maxx / HomeGoods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23,430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Burlington Coat Factory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48"/>
        </w:trPr>
        <w:tc>
          <w:tcPr>
            <w:tcW w:w="13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260" w:type="dxa"/>
            <w:vAlign w:val="bottom"/>
          </w:tcPr>
          <w:p>
            <w:pPr>
              <w:spacing w:after="0"/>
              <w:rPr>
                <w:sz w:val="12"/>
                <w:szCs w:val="12"/>
                <w:color w:val="auto"/>
              </w:rPr>
            </w:pPr>
          </w:p>
        </w:tc>
        <w:tc>
          <w:tcPr>
            <w:tcW w:w="172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14,450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75%</w:t>
            </w: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auto"/>
                <w:w w:val="90"/>
              </w:rPr>
              <w:t>36,000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080" w:type="dxa"/>
            <w:vAlign w:val="bottom"/>
          </w:tcPr>
          <w:p>
            <w:pPr>
              <w:ind w:left="8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Britain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Willow Grove</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Barnes &amp; Noble / HomeGoods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Wynnewood</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Philadelphia, PA-NJ</w:t>
            </w:r>
          </w:p>
        </w:tc>
        <w:tc>
          <w:tcPr>
            <w:tcW w:w="100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36,254</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28,327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256,000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98,000</w:t>
            </w:r>
          </w:p>
        </w:tc>
        <w:tc>
          <w:tcPr>
            <w:tcW w:w="900" w:type="dxa"/>
            <w:vAlign w:val="bottom"/>
          </w:tcPr>
          <w:p>
            <w:pPr>
              <w:ind w:left="80"/>
              <w:spacing w:after="0"/>
              <w:rPr>
                <w:sz w:val="20"/>
                <w:szCs w:val="20"/>
                <w:color w:val="auto"/>
              </w:rPr>
            </w:pPr>
            <w:r>
              <w:rPr>
                <w:rFonts w:ascii="Arial" w:cs="Arial" w:eastAsia="Arial" w:hAnsi="Arial"/>
                <w:sz w:val="13"/>
                <w:szCs w:val="13"/>
                <w:color w:val="auto"/>
              </w:rPr>
              <w:t>Genuardi's</w:t>
            </w:r>
          </w:p>
        </w:tc>
        <w:tc>
          <w:tcPr>
            <w:tcW w:w="3080" w:type="dxa"/>
            <w:vAlign w:val="bottom"/>
          </w:tcPr>
          <w:p>
            <w:pPr>
              <w:ind w:left="8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2540" w:type="dxa"/>
            <w:vAlign w:val="bottom"/>
            <w:tcBorders>
              <w:bottom w:val="single" w:sz="8" w:color="CCEEFF"/>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30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72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258,466</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California</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8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Colorado Blvd</w:t>
            </w:r>
          </w:p>
        </w:tc>
        <w:tc>
          <w:tcPr>
            <w:tcW w:w="2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w w:val="96"/>
              </w:rPr>
              <w:t>Los Angeles-Long Beach, CA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16,776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Pottery Barn / Banana Republic</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Crow Canyon</w:t>
            </w:r>
          </w:p>
        </w:tc>
        <w:tc>
          <w:tcPr>
            <w:tcW w:w="26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3"/>
                <w:szCs w:val="13"/>
                <w:color w:val="auto"/>
              </w:rPr>
              <w:t>San Ramon, CA</w:t>
            </w:r>
          </w:p>
        </w:tc>
        <w:tc>
          <w:tcPr>
            <w:tcW w:w="1000" w:type="dxa"/>
            <w:vAlign w:val="bottom"/>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69,687</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20,065</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Lucky</w:t>
            </w:r>
          </w:p>
        </w:tc>
        <w:tc>
          <w:tcPr>
            <w:tcW w:w="3080" w:type="dxa"/>
            <w:vAlign w:val="bottom"/>
          </w:tcPr>
          <w:p>
            <w:pPr>
              <w:ind w:left="80"/>
              <w:spacing w:after="0"/>
              <w:rPr>
                <w:sz w:val="20"/>
                <w:szCs w:val="20"/>
                <w:color w:val="auto"/>
              </w:rPr>
            </w:pPr>
            <w:r>
              <w:rPr>
                <w:rFonts w:ascii="Arial" w:cs="Arial" w:eastAsia="Arial" w:hAnsi="Arial"/>
                <w:sz w:val="13"/>
                <w:szCs w:val="13"/>
                <w:color w:val="auto"/>
              </w:rPr>
              <w:t>Loehmann's Dress Shop / Rite Aid</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6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9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10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Escondido</w:t>
            </w:r>
          </w:p>
        </w:tc>
        <w:tc>
          <w:tcPr>
            <w:tcW w:w="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(6)</w:t>
            </w:r>
          </w:p>
        </w:tc>
        <w:tc>
          <w:tcPr>
            <w:tcW w:w="18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Diego, CA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1996/2010</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44,514</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1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89"/>
              </w:rPr>
              <w:t>TJ Maxx / Toys R Us / Dick’s Sporting Goods / Ross Dress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Fifth Ave</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San Diego, CA</w:t>
            </w:r>
          </w:p>
        </w:tc>
        <w:tc>
          <w:tcPr>
            <w:tcW w:w="700" w:type="dxa"/>
            <w:vAlign w:val="bottom"/>
          </w:tcPr>
          <w:p>
            <w:pPr>
              <w:jc w:val="right"/>
              <w:spacing w:after="0"/>
              <w:rPr>
                <w:sz w:val="20"/>
                <w:szCs w:val="20"/>
                <w:color w:val="auto"/>
              </w:rPr>
            </w:pPr>
            <w:r>
              <w:rPr>
                <w:rFonts w:ascii="Arial" w:cs="Arial" w:eastAsia="Arial" w:hAnsi="Arial"/>
                <w:sz w:val="13"/>
                <w:szCs w:val="13"/>
                <w:color w:val="auto"/>
              </w:rPr>
              <w:t>1996-1997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10,259</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Urban Outfitters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Hermosa Ave</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 Angeles-Long Beach, CA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5,476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Hollywood Blvd</w:t>
            </w:r>
          </w:p>
        </w:tc>
        <w:tc>
          <w:tcPr>
            <w:tcW w:w="340" w:type="dxa"/>
            <w:vAlign w:val="bottom"/>
          </w:tcPr>
          <w:p>
            <w:pPr>
              <w:jc w:val="center"/>
              <w:spacing w:after="0"/>
              <w:rPr>
                <w:sz w:val="20"/>
                <w:szCs w:val="20"/>
                <w:color w:val="auto"/>
              </w:rPr>
            </w:pPr>
            <w:r>
              <w:rPr>
                <w:rFonts w:ascii="Arial" w:cs="Arial" w:eastAsia="Arial" w:hAnsi="Arial"/>
                <w:sz w:val="13"/>
                <w:szCs w:val="13"/>
                <w:color w:val="auto"/>
              </w:rPr>
              <w:t>(7)</w:t>
            </w:r>
          </w:p>
        </w:tc>
        <w:tc>
          <w:tcPr>
            <w:tcW w:w="1840" w:type="dxa"/>
            <w:vAlign w:val="bottom"/>
          </w:tcPr>
          <w:p>
            <w:pPr>
              <w:ind w:left="40"/>
              <w:spacing w:after="0"/>
              <w:rPr>
                <w:sz w:val="20"/>
                <w:szCs w:val="20"/>
                <w:color w:val="auto"/>
              </w:rPr>
            </w:pPr>
            <w:r>
              <w:rPr>
                <w:rFonts w:ascii="Arial" w:cs="Arial" w:eastAsia="Arial" w:hAnsi="Arial"/>
                <w:sz w:val="13"/>
                <w:szCs w:val="13"/>
                <w:color w:val="auto"/>
              </w:rPr>
              <w:t>Los Angeles-Long Beach, CA</w:t>
            </w:r>
          </w:p>
        </w:tc>
        <w:tc>
          <w:tcPr>
            <w:tcW w:w="700" w:type="dxa"/>
            <w:vAlign w:val="bottom"/>
          </w:tcPr>
          <w:p>
            <w:pPr>
              <w:jc w:val="right"/>
              <w:spacing w:after="0"/>
              <w:rPr>
                <w:sz w:val="20"/>
                <w:szCs w:val="20"/>
                <w:color w:val="auto"/>
              </w:rPr>
            </w:pPr>
            <w:r>
              <w:rPr>
                <w:rFonts w:ascii="Arial" w:cs="Arial" w:eastAsia="Arial" w:hAnsi="Arial"/>
                <w:sz w:val="13"/>
                <w:szCs w:val="13"/>
                <w:color w:val="auto"/>
              </w:rPr>
              <w:t>1999</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37,744</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151,000</w:t>
            </w:r>
          </w:p>
        </w:tc>
        <w:tc>
          <w:tcPr>
            <w:tcW w:w="50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15,000</w:t>
            </w:r>
          </w:p>
        </w:tc>
        <w:tc>
          <w:tcPr>
            <w:tcW w:w="940" w:type="dxa"/>
            <w:vAlign w:val="bottom"/>
          </w:tcPr>
          <w:p>
            <w:pPr>
              <w:ind w:left="80"/>
              <w:spacing w:after="0"/>
              <w:rPr>
                <w:sz w:val="20"/>
                <w:szCs w:val="20"/>
                <w:color w:val="auto"/>
              </w:rPr>
            </w:pPr>
            <w:r>
              <w:rPr>
                <w:rFonts w:ascii="Arial" w:cs="Arial" w:eastAsia="Arial" w:hAnsi="Arial"/>
                <w:sz w:val="13"/>
                <w:szCs w:val="13"/>
                <w:color w:val="auto"/>
              </w:rPr>
              <w:t>Fresh &amp; Easy</w:t>
            </w:r>
          </w:p>
        </w:tc>
        <w:tc>
          <w:tcPr>
            <w:tcW w:w="3100" w:type="dxa"/>
            <w:vAlign w:val="bottom"/>
          </w:tcPr>
          <w:p>
            <w:pPr>
              <w:ind w:left="40"/>
              <w:spacing w:after="0"/>
              <w:rPr>
                <w:sz w:val="20"/>
                <w:szCs w:val="20"/>
                <w:color w:val="auto"/>
              </w:rPr>
            </w:pPr>
            <w:r>
              <w:rPr>
                <w:rFonts w:ascii="Arial" w:cs="Arial" w:eastAsia="Arial" w:hAnsi="Arial"/>
                <w:sz w:val="13"/>
                <w:szCs w:val="13"/>
                <w:color w:val="auto"/>
              </w:rPr>
              <w:t>DSW / L.A. Fitness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Kings Court</w:t>
            </w:r>
          </w:p>
        </w:tc>
        <w:tc>
          <w:tcPr>
            <w:tcW w:w="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(5)</w:t>
            </w:r>
          </w:p>
        </w:tc>
        <w:tc>
          <w:tcPr>
            <w:tcW w:w="18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1998</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11,601</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9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Lunardi's Super</w:t>
            </w:r>
          </w:p>
        </w:tc>
        <w:tc>
          <w:tcPr>
            <w:tcW w:w="31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100" w:type="dxa"/>
            <w:vAlign w:val="bottom"/>
            <w:shd w:val="clear" w:color="auto" w:fill="CCEEFF"/>
          </w:tcPr>
          <w:p>
            <w:pPr>
              <w:spacing w:after="0"/>
              <w:rPr>
                <w:sz w:val="15"/>
                <w:szCs w:val="15"/>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Old Town Center</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34,365</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rPr>
                <w:sz w:val="20"/>
                <w:szCs w:val="20"/>
                <w:color w:val="auto"/>
              </w:rPr>
            </w:pPr>
            <w:r>
              <w:rPr>
                <w:rFonts w:ascii="Arial" w:cs="Arial" w:eastAsia="Arial" w:hAnsi="Arial"/>
                <w:sz w:val="13"/>
                <w:szCs w:val="13"/>
                <w:color w:val="auto"/>
              </w:rPr>
              <w:t>72%</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Gap / Banana Republic</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Santana Row</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575,603</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625,000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1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Crate &amp; Barrel / Container Store / Best Buy / CineArts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Theatre / Hotel Valencia</w:t>
            </w: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Third St Promenade</w:t>
            </w:r>
          </w:p>
        </w:tc>
        <w:tc>
          <w:tcPr>
            <w:tcW w:w="340" w:type="dxa"/>
            <w:vAlign w:val="bottom"/>
          </w:tcPr>
          <w:p>
            <w:pPr>
              <w:spacing w:after="0"/>
              <w:rPr>
                <w:sz w:val="12"/>
                <w:szCs w:val="12"/>
                <w:color w:val="auto"/>
              </w:rPr>
            </w:pP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Los Angeles-Long Beach, CA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78,369</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w w:val="96"/>
              </w:rPr>
              <w:t>J. Crew / Banana Republic / Old Navy / Abercrombie &amp;</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Fitch</w:t>
            </w: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Westgate</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118,012</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Target / Burlington Coat Factory / Barnes &amp; Noble / Ross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Dress For Less / Michaels</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150 Post Street</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San Francisco, CA</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37,812</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Brooks Brothers / H &amp; M</w:t>
            </w:r>
          </w:p>
        </w:tc>
      </w:tr>
      <w:tr>
        <w:trPr>
          <w:trHeight w:val="97"/>
        </w:trPr>
        <w:tc>
          <w:tcPr>
            <w:tcW w:w="4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84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31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1,040,218</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2,571,000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340" w:type="dxa"/>
            <w:vAlign w:val="bottom"/>
            <w:gridSpan w:val="4"/>
          </w:tcPr>
          <w:p>
            <w:pPr>
              <w:ind w:left="60"/>
              <w:spacing w:after="0"/>
              <w:rPr>
                <w:sz w:val="20"/>
                <w:szCs w:val="20"/>
                <w:color w:val="auto"/>
              </w:rPr>
            </w:pPr>
            <w:r>
              <w:rPr>
                <w:rFonts w:ascii="Arial" w:cs="Arial" w:eastAsia="Arial" w:hAnsi="Arial"/>
                <w:sz w:val="13"/>
                <w:szCs w:val="13"/>
                <w:b w:val="1"/>
                <w:bCs w:val="1"/>
                <w:color w:val="auto"/>
                <w:w w:val="88"/>
              </w:rPr>
              <w:t>New York / New Jersey</w:t>
            </w: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Monmouth-Ocean, NJ</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58,496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28,929</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66,000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Forest Hills</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8,156</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Midway Theatre</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73,524</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Kohl's / AMC Loews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Hauppauge</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spacing w:after="0"/>
              <w:rPr>
                <w:sz w:val="20"/>
                <w:szCs w:val="20"/>
                <w:color w:val="auto"/>
              </w:rPr>
            </w:pPr>
            <w:r>
              <w:rPr>
                <w:rFonts w:ascii="Arial" w:cs="Arial" w:eastAsia="Arial" w:hAnsi="Arial"/>
                <w:sz w:val="13"/>
                <w:szCs w:val="13"/>
                <w:color w:val="auto"/>
              </w:rPr>
              <w:t>1998</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27,992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14,783</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133,000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61,000</w:t>
            </w:r>
          </w:p>
        </w:tc>
        <w:tc>
          <w:tcPr>
            <w:tcW w:w="9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10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38,792</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1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Buy Buy Baby / Toys R Us / Bed, Bath &amp; Beyond / Barnes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&amp; Noble / Michaels</w:t>
            </w: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Huntington Square</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10,091</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73"/>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68,930</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22,515</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Dick’s Sporting Goods / Kohl's / Marshalls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Mercer Mall</w:t>
            </w:r>
          </w:p>
        </w:tc>
        <w:tc>
          <w:tcPr>
            <w:tcW w:w="3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Trenton, NJ</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105,920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47,638</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75,000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DSW / TJ Maxx / Raymour &amp;</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ind w:left="40"/>
              <w:spacing w:after="0"/>
              <w:rPr>
                <w:sz w:val="20"/>
                <w:szCs w:val="20"/>
                <w:color w:val="auto"/>
              </w:rPr>
            </w:pPr>
            <w:r>
              <w:rPr>
                <w:rFonts w:ascii="Arial" w:cs="Arial" w:eastAsia="Arial" w:hAnsi="Arial"/>
                <w:sz w:val="13"/>
                <w:szCs w:val="13"/>
                <w:color w:val="auto"/>
              </w:rPr>
              <w:t>Flanigan</w:t>
            </w:r>
          </w:p>
        </w:tc>
      </w:tr>
      <w:tr>
        <w:trPr>
          <w:trHeight w:val="181"/>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27,052</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64,000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3"/>
                <w:szCs w:val="13"/>
                <w:b w:val="1"/>
                <w:bCs w:val="1"/>
                <w:color w:val="auto"/>
              </w:rPr>
              <w:t>Total New York / New Jersey</w:t>
            </w:r>
          </w:p>
        </w:tc>
        <w:tc>
          <w:tcPr>
            <w:tcW w:w="7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418,953</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2,315,000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1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CCEEFF"/>
            </w:tcBorders>
            <w:shd w:val="clear" w:color="auto" w:fill="CCEEFF"/>
          </w:tcPr>
          <w:p>
            <w:pPr>
              <w:spacing w:after="0"/>
              <w:rPr>
                <w:sz w:val="8"/>
                <w:szCs w:val="8"/>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340" w:type="dxa"/>
            <w:vAlign w:val="bottom"/>
          </w:tcPr>
          <w:p>
            <w:pPr>
              <w:spacing w:after="0"/>
              <w:rPr>
                <w:sz w:val="12"/>
                <w:szCs w:val="12"/>
                <w:color w:val="auto"/>
              </w:rPr>
            </w:pP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 MA-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2005-2010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210,667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w w:val="91"/>
              </w:rPr>
              <w:t>AC Moore / Bed, Bath &amp; Beyond / Christmas Tree Shops /</w:t>
            </w:r>
          </w:p>
        </w:tc>
      </w:tr>
      <w:tr>
        <w:trPr>
          <w:trHeight w:val="135"/>
        </w:trPr>
        <w:tc>
          <w:tcPr>
            <w:tcW w:w="1380" w:type="dxa"/>
            <w:vAlign w:val="bottom"/>
            <w:gridSpan w:val="5"/>
          </w:tcPr>
          <w:p>
            <w:pPr>
              <w:ind w:left="40"/>
              <w:spacing w:after="0" w:line="135" w:lineRule="exact"/>
              <w:rPr>
                <w:sz w:val="20"/>
                <w:szCs w:val="20"/>
                <w:color w:val="auto"/>
              </w:rPr>
            </w:pPr>
            <w:r>
              <w:rPr>
                <w:rFonts w:ascii="Arial" w:cs="Arial" w:eastAsia="Arial" w:hAnsi="Arial"/>
                <w:sz w:val="13"/>
                <w:szCs w:val="13"/>
                <w:color w:val="auto"/>
              </w:rPr>
              <w:t>Marketplace/Assembly</w:t>
            </w:r>
          </w:p>
        </w:tc>
        <w:tc>
          <w:tcPr>
            <w:tcW w:w="340" w:type="dxa"/>
            <w:vAlign w:val="bottom"/>
          </w:tcPr>
          <w:p>
            <w:pPr>
              <w:spacing w:after="0"/>
              <w:rPr>
                <w:sz w:val="11"/>
                <w:szCs w:val="11"/>
                <w:color w:val="auto"/>
              </w:rPr>
            </w:pP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NH</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00" w:type="dxa"/>
            <w:vAlign w:val="bottom"/>
          </w:tcPr>
          <w:p>
            <w:pPr>
              <w:ind w:left="40"/>
              <w:spacing w:after="0" w:line="135" w:lineRule="exact"/>
              <w:rPr>
                <w:sz w:val="20"/>
                <w:szCs w:val="20"/>
                <w:color w:val="auto"/>
              </w:rPr>
            </w:pPr>
            <w:r>
              <w:rPr>
                <w:rFonts w:ascii="Arial" w:cs="Arial" w:eastAsia="Arial" w:hAnsi="Arial"/>
                <w:sz w:val="13"/>
                <w:szCs w:val="13"/>
                <w:color w:val="auto"/>
              </w:rPr>
              <w:t>Kmart / Staples / Sports Authority / TJ Maxx</w:t>
            </w:r>
          </w:p>
        </w:tc>
      </w:tr>
      <w:tr>
        <w:trPr>
          <w:trHeight w:val="168"/>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Row</w:t>
            </w: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 MA-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2006-2008</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30,288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7,670</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Dedham Plaza</w:t>
            </w:r>
          </w:p>
        </w:tc>
        <w:tc>
          <w:tcPr>
            <w:tcW w:w="340" w:type="dxa"/>
            <w:vAlign w:val="bottom"/>
          </w:tcPr>
          <w:p>
            <w:pPr>
              <w:spacing w:after="0"/>
              <w:rPr>
                <w:sz w:val="12"/>
                <w:szCs w:val="12"/>
                <w:color w:val="auto"/>
              </w:rPr>
            </w:pP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 MA-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33,286</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80,000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1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NH</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 MA-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146,290</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Roche Brothers</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Supermarkets</w:t>
            </w:r>
          </w:p>
        </w:tc>
        <w:tc>
          <w:tcPr>
            <w:tcW w:w="310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Newbury Street</w:t>
            </w:r>
          </w:p>
        </w:tc>
        <w:tc>
          <w:tcPr>
            <w:tcW w:w="340" w:type="dxa"/>
            <w:vAlign w:val="bottom"/>
          </w:tcPr>
          <w:p>
            <w:pPr>
              <w:jc w:val="center"/>
              <w:spacing w:after="0" w:line="148" w:lineRule="exact"/>
              <w:rPr>
                <w:sz w:val="20"/>
                <w:szCs w:val="20"/>
                <w:color w:val="auto"/>
              </w:rPr>
            </w:pPr>
            <w:r>
              <w:rPr>
                <w:rFonts w:ascii="Arial" w:cs="Arial" w:eastAsia="Arial" w:hAnsi="Arial"/>
                <w:sz w:val="13"/>
                <w:szCs w:val="13"/>
                <w:color w:val="auto"/>
              </w:rPr>
              <w:t>(9)</w:t>
            </w: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 MA-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2010-2011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24,418</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61%</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rPr>
              <w:t>Jonathan Adler / rag &amp; bone</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NH</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 MA-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48,000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1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40" w:type="dxa"/>
            <w:vAlign w:val="bottom"/>
          </w:tcPr>
          <w:p>
            <w:pPr>
              <w:spacing w:after="0"/>
              <w:rPr>
                <w:sz w:val="12"/>
                <w:szCs w:val="12"/>
                <w:color w:val="auto"/>
              </w:rPr>
            </w:pP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 MA-</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15,694</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50,000</w:t>
            </w:r>
          </w:p>
        </w:tc>
        <w:tc>
          <w:tcPr>
            <w:tcW w:w="9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NH</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 MA-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14,564</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55,000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 Stop &amp;</w:t>
            </w:r>
          </w:p>
        </w:tc>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1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6"/>
              </w:rPr>
              <w:t>(10)</w:t>
            </w:r>
          </w:p>
        </w:tc>
        <w:tc>
          <w:tcPr>
            <w:tcW w:w="184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460,157</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1,386,000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1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CCEEFF"/>
            </w:tcBorders>
            <w:shd w:val="clear" w:color="auto" w:fill="CCEEFF"/>
          </w:tcPr>
          <w:p>
            <w:pPr>
              <w:spacing w:after="0"/>
              <w:rPr>
                <w:sz w:val="8"/>
                <w:szCs w:val="8"/>
                <w:color w:val="auto"/>
              </w:rPr>
            </w:pPr>
          </w:p>
        </w:tc>
      </w:tr>
      <w:tr>
        <w:trPr>
          <w:trHeight w:val="173"/>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Governor Plaza</w:t>
            </w:r>
          </w:p>
        </w:tc>
        <w:tc>
          <w:tcPr>
            <w:tcW w:w="3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1985</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25,951</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940" w:type="dxa"/>
            <w:vAlign w:val="bottom"/>
          </w:tcPr>
          <w:p>
            <w:pPr>
              <w:ind w:left="80"/>
              <w:spacing w:after="0"/>
              <w:rPr>
                <w:sz w:val="20"/>
                <w:szCs w:val="20"/>
                <w:color w:val="auto"/>
              </w:rPr>
            </w:pPr>
            <w:r>
              <w:rPr>
                <w:rFonts w:ascii="Arial" w:cs="Arial" w:eastAsia="Arial" w:hAnsi="Arial"/>
                <w:sz w:val="13"/>
                <w:szCs w:val="13"/>
                <w:color w:val="auto"/>
              </w:rPr>
              <w:t>Aldi</w:t>
            </w:r>
          </w:p>
        </w:tc>
        <w:tc>
          <w:tcPr>
            <w:tcW w:w="3100" w:type="dxa"/>
            <w:vAlign w:val="bottom"/>
          </w:tcPr>
          <w:p>
            <w:pPr>
              <w:ind w:left="40"/>
              <w:spacing w:after="0"/>
              <w:rPr>
                <w:sz w:val="20"/>
                <w:szCs w:val="20"/>
                <w:color w:val="auto"/>
              </w:rPr>
            </w:pPr>
            <w:r>
              <w:rPr>
                <w:rFonts w:ascii="Arial" w:cs="Arial" w:eastAsia="Arial" w:hAnsi="Arial"/>
                <w:sz w:val="13"/>
                <w:szCs w:val="13"/>
                <w:color w:val="auto"/>
              </w:rPr>
              <w:t>Bally Total Fitness / Dick’s Sporting Goods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148"/>
        </w:trPr>
        <w:tc>
          <w:tcPr>
            <w:tcW w:w="138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Perring Plaza</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27,750</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401,000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9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4"/>
              </w:rPr>
              <w:t>Shoppers Food</w:t>
            </w:r>
          </w:p>
        </w:tc>
        <w:tc>
          <w:tcPr>
            <w:tcW w:w="31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Home Depot / Burlington Coat Factory / Jo-Ann Stores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100" w:type="dxa"/>
            <w:vAlign w:val="bottom"/>
            <w:shd w:val="clear" w:color="auto" w:fill="CCEEFF"/>
          </w:tcPr>
          <w:p>
            <w:pPr>
              <w:spacing w:after="0"/>
              <w:rPr>
                <w:sz w:val="15"/>
                <w:szCs w:val="15"/>
                <w:color w:val="auto"/>
              </w:rPr>
            </w:pPr>
          </w:p>
        </w:tc>
      </w:tr>
      <w:tr>
        <w:trPr>
          <w:trHeight w:val="148"/>
        </w:trPr>
        <w:tc>
          <w:tcPr>
            <w:tcW w:w="1380" w:type="dxa"/>
            <w:vAlign w:val="bottom"/>
            <w:gridSpan w:val="5"/>
          </w:tcPr>
          <w:p>
            <w:pPr>
              <w:ind w:left="40"/>
              <w:spacing w:after="0" w:line="148" w:lineRule="exact"/>
              <w:rPr>
                <w:sz w:val="20"/>
                <w:szCs w:val="20"/>
                <w:color w:val="auto"/>
              </w:rPr>
            </w:pPr>
            <w:r>
              <w:rPr>
                <w:rFonts w:ascii="Arial" w:cs="Arial" w:eastAsia="Arial" w:hAnsi="Arial"/>
                <w:sz w:val="13"/>
                <w:szCs w:val="13"/>
                <w:color w:val="auto"/>
                <w:w w:val="98"/>
              </w:rPr>
              <w:t>THE AVENUE at White</w:t>
            </w:r>
          </w:p>
        </w:tc>
        <w:tc>
          <w:tcPr>
            <w:tcW w:w="340" w:type="dxa"/>
            <w:vAlign w:val="bottom"/>
          </w:tcPr>
          <w:p>
            <w:pPr>
              <w:jc w:val="center"/>
              <w:spacing w:after="0" w:line="148" w:lineRule="exact"/>
              <w:rPr>
                <w:sz w:val="20"/>
                <w:szCs w:val="20"/>
                <w:color w:val="auto"/>
              </w:rPr>
            </w:pPr>
            <w:r>
              <w:rPr>
                <w:rFonts w:ascii="Arial" w:cs="Arial" w:eastAsia="Arial" w:hAnsi="Arial"/>
                <w:sz w:val="13"/>
                <w:szCs w:val="13"/>
                <w:color w:val="auto"/>
                <w:w w:val="86"/>
              </w:rPr>
              <w:t>(11)</w:t>
            </w:r>
          </w:p>
        </w:tc>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96,057</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56,909</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00" w:type="dxa"/>
            <w:vAlign w:val="bottom"/>
          </w:tcPr>
          <w:p>
            <w:pPr>
              <w:ind w:left="40"/>
              <w:spacing w:after="0" w:line="148" w:lineRule="exact"/>
              <w:rPr>
                <w:sz w:val="20"/>
                <w:szCs w:val="20"/>
                <w:color w:val="auto"/>
              </w:rPr>
            </w:pPr>
            <w:r>
              <w:rPr>
                <w:rFonts w:ascii="Arial" w:cs="Arial" w:eastAsia="Arial" w:hAnsi="Arial"/>
                <w:sz w:val="13"/>
                <w:szCs w:val="13"/>
                <w:color w:val="auto"/>
                <w:w w:val="99"/>
              </w:rPr>
              <w:t>AMC Loews / Old Navy / Barnes &amp; Noble / AC Moore</w:t>
            </w:r>
          </w:p>
        </w:tc>
      </w:tr>
      <w:tr>
        <w:trPr>
          <w:trHeight w:val="168"/>
        </w:trPr>
        <w:tc>
          <w:tcPr>
            <w:tcW w:w="1380" w:type="dxa"/>
            <w:vAlign w:val="bottom"/>
            <w:gridSpan w:val="5"/>
          </w:tcPr>
          <w:p>
            <w:pPr>
              <w:ind w:left="40"/>
              <w:spacing w:after="0"/>
              <w:rPr>
                <w:sz w:val="20"/>
                <w:szCs w:val="20"/>
                <w:color w:val="auto"/>
              </w:rPr>
            </w:pPr>
            <w:r>
              <w:rPr>
                <w:rFonts w:ascii="Arial" w:cs="Arial" w:eastAsia="Arial" w:hAnsi="Arial"/>
                <w:sz w:val="13"/>
                <w:szCs w:val="13"/>
                <w:color w:val="auto"/>
              </w:rPr>
              <w:t>Marsh</w:t>
            </w: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56"/>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The Shoppes at</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27,574</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r>
      <w:tr>
        <w:trPr>
          <w:trHeight w:val="160"/>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Nottingham Square</w:t>
            </w: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r>
      <w:tr>
        <w:trPr>
          <w:trHeight w:val="189"/>
        </w:trPr>
        <w:tc>
          <w:tcPr>
            <w:tcW w:w="13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340" w:type="dxa"/>
            <w:vAlign w:val="bottom"/>
            <w:shd w:val="clear" w:color="auto" w:fill="CCEEFF"/>
          </w:tcPr>
          <w:p>
            <w:pPr>
              <w:spacing w:after="0"/>
              <w:rPr>
                <w:sz w:val="16"/>
                <w:szCs w:val="16"/>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25,024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9,360</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00" w:type="dxa"/>
            <w:vAlign w:val="bottom"/>
            <w:shd w:val="clear" w:color="auto" w:fill="CCEEFF"/>
          </w:tcPr>
          <w:p>
            <w:pPr>
              <w:spacing w:after="0"/>
              <w:rPr>
                <w:sz w:val="16"/>
                <w:szCs w:val="16"/>
                <w:color w:val="auto"/>
              </w:rPr>
            </w:pP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8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18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22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195"/>
        </w:trPr>
        <w:tc>
          <w:tcPr>
            <w:tcW w:w="1300" w:type="dxa"/>
            <w:vAlign w:val="bottom"/>
            <w:gridSpan w:val="5"/>
          </w:tcPr>
          <w:p>
            <w:pPr>
              <w:ind w:left="40"/>
              <w:spacing w:after="0"/>
              <w:rPr>
                <w:sz w:val="20"/>
                <w:szCs w:val="20"/>
                <w:color w:val="auto"/>
              </w:rPr>
            </w:pPr>
            <w:r>
              <w:rPr>
                <w:rFonts w:ascii="Arial" w:cs="Arial" w:eastAsia="Arial" w:hAnsi="Arial"/>
                <w:sz w:val="13"/>
                <w:szCs w:val="13"/>
                <w:color w:val="auto"/>
              </w:rPr>
              <w:t>White Marsh Other</w:t>
            </w:r>
          </w:p>
        </w:tc>
        <w:tc>
          <w:tcPr>
            <w:tcW w:w="2220" w:type="dxa"/>
            <w:vAlign w:val="bottom"/>
          </w:tcPr>
          <w:p>
            <w:pPr>
              <w:ind w:left="42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28,884</w:t>
            </w:r>
          </w:p>
        </w:tc>
        <w:tc>
          <w:tcPr>
            <w:tcW w:w="660" w:type="dxa"/>
            <w:vAlign w:val="bottom"/>
          </w:tcPr>
          <w:p>
            <w:pPr>
              <w:spacing w:after="0"/>
              <w:rPr>
                <w:sz w:val="16"/>
                <w:szCs w:val="16"/>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49,000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1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Baltimore</w:t>
            </w: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231,240</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1,148,000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260" w:type="dxa"/>
            <w:vAlign w:val="bottom"/>
            <w:gridSpan w:val="4"/>
          </w:tcPr>
          <w:p>
            <w:pPr>
              <w:ind w:left="60"/>
              <w:spacing w:after="0"/>
              <w:rPr>
                <w:sz w:val="20"/>
                <w:szCs w:val="20"/>
                <w:color w:val="auto"/>
              </w:rPr>
            </w:pPr>
            <w:r>
              <w:rPr>
                <w:rFonts w:ascii="Arial" w:cs="Arial" w:eastAsia="Arial" w:hAnsi="Arial"/>
                <w:sz w:val="13"/>
                <w:szCs w:val="13"/>
                <w:b w:val="1"/>
                <w:bCs w:val="1"/>
                <w:color w:val="auto"/>
              </w:rPr>
              <w:t>Chicago</w:t>
            </w: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73"/>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30,609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rPr>
              <w:t>Finley Square</w:t>
            </w:r>
          </w:p>
        </w:tc>
        <w:tc>
          <w:tcPr>
            <w:tcW w:w="2220" w:type="dxa"/>
            <w:vAlign w:val="bottom"/>
          </w:tcPr>
          <w:p>
            <w:pPr>
              <w:ind w:left="42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1995</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32,479</w:t>
            </w:r>
          </w:p>
        </w:tc>
        <w:tc>
          <w:tcPr>
            <w:tcW w:w="66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315,000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73"/>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12,236</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w w:val="98"/>
              </w:rPr>
              <w:t>North Lake Commons</w:t>
            </w:r>
          </w:p>
        </w:tc>
        <w:tc>
          <w:tcPr>
            <w:tcW w:w="2220" w:type="dxa"/>
            <w:vAlign w:val="bottom"/>
          </w:tcPr>
          <w:p>
            <w:pPr>
              <w:ind w:left="42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1994</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14,134</w:t>
            </w:r>
          </w:p>
        </w:tc>
        <w:tc>
          <w:tcPr>
            <w:tcW w:w="66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129,000</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77,000</w:t>
            </w:r>
          </w:p>
        </w:tc>
        <w:tc>
          <w:tcPr>
            <w:tcW w:w="86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18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1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Chicago</w:t>
            </w: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89,458</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260" w:type="dxa"/>
            <w:vAlign w:val="bottom"/>
            <w:gridSpan w:val="4"/>
          </w:tcPr>
          <w:p>
            <w:pPr>
              <w:ind w:left="60"/>
              <w:spacing w:after="0"/>
              <w:rPr>
                <w:sz w:val="20"/>
                <w:szCs w:val="20"/>
                <w:color w:val="auto"/>
              </w:rPr>
            </w:pPr>
            <w:r>
              <w:rPr>
                <w:rFonts w:ascii="Arial" w:cs="Arial" w:eastAsia="Arial" w:hAnsi="Arial"/>
                <w:sz w:val="13"/>
                <w:szCs w:val="13"/>
                <w:b w:val="1"/>
                <w:bCs w:val="1"/>
                <w:color w:val="auto"/>
              </w:rPr>
              <w:t>South Florida</w:t>
            </w: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73"/>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Courtyard Shops</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Miami-Ft Lauderdale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40,064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7,108</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49,000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18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rPr>
              <w:t>Del Mar Village</w:t>
            </w:r>
          </w:p>
        </w:tc>
        <w:tc>
          <w:tcPr>
            <w:tcW w:w="2220" w:type="dxa"/>
            <w:vAlign w:val="bottom"/>
          </w:tcPr>
          <w:p>
            <w:pPr>
              <w:ind w:left="420"/>
              <w:spacing w:after="0"/>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rPr>
                <w:sz w:val="20"/>
                <w:szCs w:val="20"/>
                <w:color w:val="auto"/>
              </w:rPr>
            </w:pPr>
            <w:r>
              <w:rPr>
                <w:rFonts w:ascii="Arial" w:cs="Arial" w:eastAsia="Arial" w:hAnsi="Arial"/>
                <w:sz w:val="13"/>
                <w:szCs w:val="13"/>
                <w:color w:val="auto"/>
              </w:rPr>
              <w:t>2008</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55,056</w:t>
            </w:r>
          </w:p>
        </w:tc>
        <w:tc>
          <w:tcPr>
            <w:tcW w:w="66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179,000</w:t>
            </w:r>
          </w:p>
        </w:tc>
        <w:tc>
          <w:tcPr>
            <w:tcW w:w="520" w:type="dxa"/>
            <w:vAlign w:val="bottom"/>
          </w:tcPr>
          <w:p>
            <w:pPr>
              <w:jc w:val="right"/>
              <w:spacing w:after="0"/>
              <w:rPr>
                <w:sz w:val="20"/>
                <w:szCs w:val="20"/>
                <w:color w:val="auto"/>
              </w:rPr>
            </w:pPr>
            <w:r>
              <w:rPr>
                <w:rFonts w:ascii="Arial" w:cs="Arial" w:eastAsia="Arial" w:hAnsi="Arial"/>
                <w:sz w:val="13"/>
                <w:szCs w:val="13"/>
                <w:color w:val="auto"/>
              </w:rPr>
              <w:t>85%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6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180" w:type="dxa"/>
            <w:vAlign w:val="bottom"/>
          </w:tcPr>
          <w:p>
            <w:pPr>
              <w:ind w:left="12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48"/>
        </w:trPr>
        <w:tc>
          <w:tcPr>
            <w:tcW w:w="130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Tower Shops</w:t>
            </w:r>
          </w:p>
        </w:tc>
        <w:tc>
          <w:tcPr>
            <w:tcW w:w="222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Miami-Ft Lauderdale</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70,926</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370,000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18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w w:val="96"/>
              </w:rPr>
              <w:t>Best Buy / DSW / Old Navy / Ross Dress For Less / TJ</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Maxx</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tcPr>
          <w:p>
            <w:pPr>
              <w:ind w:left="42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166,046</w:t>
            </w:r>
          </w:p>
        </w:tc>
        <w:tc>
          <w:tcPr>
            <w:tcW w:w="66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679,000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2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3180" w:type="dxa"/>
            <w:vAlign w:val="bottom"/>
            <w:tcBorders>
              <w:top w:val="single" w:sz="8" w:color="CCEEFF"/>
            </w:tcBorders>
            <w:shd w:val="clear" w:color="auto" w:fill="CCEEFF"/>
          </w:tcPr>
          <w:p>
            <w:pPr>
              <w:spacing w:after="0"/>
              <w:rPr>
                <w:sz w:val="8"/>
                <w:szCs w:val="8"/>
                <w:color w:val="auto"/>
              </w:rPr>
            </w:pPr>
          </w:p>
        </w:tc>
      </w:tr>
      <w:tr>
        <w:trPr>
          <w:trHeight w:val="148"/>
        </w:trPr>
        <w:tc>
          <w:tcPr>
            <w:tcW w:w="13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Barracks Road</w:t>
            </w:r>
          </w:p>
        </w:tc>
        <w:tc>
          <w:tcPr>
            <w:tcW w:w="2220" w:type="dxa"/>
            <w:vAlign w:val="bottom"/>
          </w:tcPr>
          <w:p>
            <w:pPr>
              <w:ind w:left="42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53,293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39,215</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99,000</w:t>
            </w:r>
          </w:p>
        </w:tc>
        <w:tc>
          <w:tcPr>
            <w:tcW w:w="40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Harris Teeter /   Anthropologie / Bed, Bath &amp; Beyond / Barnes &amp; Noble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Kroger</w:t>
            </w:r>
          </w:p>
        </w:tc>
        <w:tc>
          <w:tcPr>
            <w:tcW w:w="3180" w:type="dxa"/>
            <w:vAlign w:val="bottom"/>
          </w:tcPr>
          <w:p>
            <w:pPr>
              <w:ind w:left="120"/>
              <w:spacing w:after="0"/>
              <w:rPr>
                <w:sz w:val="20"/>
                <w:szCs w:val="20"/>
                <w:color w:val="auto"/>
              </w:rPr>
            </w:pPr>
            <w:r>
              <w:rPr>
                <w:rFonts w:ascii="Arial" w:cs="Arial" w:eastAsia="Arial" w:hAnsi="Arial"/>
                <w:sz w:val="13"/>
                <w:szCs w:val="13"/>
                <w:color w:val="auto"/>
              </w:rPr>
              <w:t>Old Navy / Michaels / Ulta</w:t>
            </w:r>
          </w:p>
        </w:tc>
      </w:tr>
      <w:tr>
        <w:trPr>
          <w:trHeight w:val="181"/>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Hartford, CT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28,086</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rPr>
              <w:t>Eastgate</w:t>
            </w:r>
          </w:p>
        </w:tc>
        <w:tc>
          <w:tcPr>
            <w:tcW w:w="2220" w:type="dxa"/>
            <w:vAlign w:val="bottom"/>
          </w:tcPr>
          <w:p>
            <w:pPr>
              <w:ind w:left="420"/>
              <w:spacing w:after="0"/>
              <w:rPr>
                <w:sz w:val="20"/>
                <w:szCs w:val="20"/>
                <w:color w:val="auto"/>
              </w:rPr>
            </w:pPr>
            <w:r>
              <w:rPr>
                <w:rFonts w:ascii="Arial" w:cs="Arial" w:eastAsia="Arial" w:hAnsi="Arial"/>
                <w:sz w:val="13"/>
                <w:szCs w:val="13"/>
                <w:color w:val="auto"/>
                <w:w w:val="94"/>
              </w:rPr>
              <w:t>Raleigh-Durham-Chapel Hill, NC</w:t>
            </w:r>
          </w:p>
        </w:tc>
        <w:tc>
          <w:tcPr>
            <w:tcW w:w="660" w:type="dxa"/>
            <w:vAlign w:val="bottom"/>
          </w:tcPr>
          <w:p>
            <w:pPr>
              <w:jc w:val="right"/>
              <w:spacing w:after="0"/>
              <w:rPr>
                <w:sz w:val="20"/>
                <w:szCs w:val="20"/>
                <w:color w:val="auto"/>
              </w:rPr>
            </w:pPr>
            <w:r>
              <w:rPr>
                <w:rFonts w:ascii="Arial" w:cs="Arial" w:eastAsia="Arial" w:hAnsi="Arial"/>
                <w:sz w:val="13"/>
                <w:szCs w:val="13"/>
                <w:color w:val="auto"/>
              </w:rPr>
              <w:t>1986</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26,491</w:t>
            </w:r>
          </w:p>
        </w:tc>
        <w:tc>
          <w:tcPr>
            <w:tcW w:w="66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153,000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13,000</w:t>
            </w:r>
          </w:p>
        </w:tc>
        <w:tc>
          <w:tcPr>
            <w:tcW w:w="86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180" w:type="dxa"/>
            <w:vAlign w:val="bottom"/>
          </w:tcPr>
          <w:p>
            <w:pPr>
              <w:ind w:left="120"/>
              <w:spacing w:after="0"/>
              <w:rPr>
                <w:sz w:val="20"/>
                <w:szCs w:val="20"/>
                <w:color w:val="auto"/>
              </w:rPr>
            </w:pPr>
            <w:r>
              <w:rPr>
                <w:rFonts w:ascii="Arial" w:cs="Arial" w:eastAsia="Arial" w:hAnsi="Arial"/>
                <w:sz w:val="13"/>
                <w:szCs w:val="13"/>
                <w:color w:val="auto"/>
              </w:rPr>
              <w:t>Stein 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73"/>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Detroit, MI</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18,966</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69,000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48"/>
        </w:trPr>
        <w:tc>
          <w:tcPr>
            <w:tcW w:w="13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2220" w:type="dxa"/>
            <w:vAlign w:val="bottom"/>
          </w:tcPr>
          <w:p>
            <w:pPr>
              <w:ind w:left="420"/>
              <w:spacing w:after="0" w:line="148" w:lineRule="exact"/>
              <w:rPr>
                <w:sz w:val="20"/>
                <w:szCs w:val="20"/>
                <w:color w:val="auto"/>
              </w:rPr>
            </w:pPr>
            <w:r>
              <w:rPr>
                <w:rFonts w:ascii="Arial" w:cs="Arial" w:eastAsia="Arial" w:hAnsi="Arial"/>
                <w:sz w:val="13"/>
                <w:szCs w:val="13"/>
                <w:color w:val="auto"/>
                <w:w w:val="92"/>
              </w:rPr>
              <w:t>New Haven-Bridgeport-Stamford-</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80" w:type="dxa"/>
            <w:vAlign w:val="bottom"/>
          </w:tcPr>
          <w:p>
            <w:pPr>
              <w:ind w:left="1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tcPr>
          <w:p>
            <w:pPr>
              <w:ind w:left="420"/>
              <w:spacing w:after="0"/>
              <w:rPr>
                <w:sz w:val="20"/>
                <w:szCs w:val="20"/>
                <w:color w:val="auto"/>
              </w:rPr>
            </w:pPr>
            <w:r>
              <w:rPr>
                <w:rFonts w:ascii="Arial" w:cs="Arial" w:eastAsia="Arial" w:hAnsi="Arial"/>
                <w:sz w:val="13"/>
                <w:szCs w:val="13"/>
                <w:color w:val="auto"/>
              </w:rPr>
              <w:t>Waterbury</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181"/>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Houston St</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San Antonio, TX</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65,347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rPr>
              <w:t>Lancaster</w:t>
            </w:r>
          </w:p>
        </w:tc>
        <w:tc>
          <w:tcPr>
            <w:tcW w:w="2220" w:type="dxa"/>
            <w:vAlign w:val="bottom"/>
          </w:tcPr>
          <w:p>
            <w:pPr>
              <w:ind w:left="120"/>
              <w:spacing w:after="0"/>
              <w:rPr>
                <w:sz w:val="20"/>
                <w:szCs w:val="20"/>
                <w:color w:val="auto"/>
              </w:rPr>
            </w:pPr>
            <w:r>
              <w:rPr>
                <w:rFonts w:ascii="Arial" w:cs="Arial" w:eastAsia="Arial" w:hAnsi="Arial"/>
                <w:sz w:val="13"/>
                <w:szCs w:val="13"/>
                <w:color w:val="auto"/>
              </w:rPr>
              <w:t>(12)  Lancaster,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1980</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12,800</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127,000</w:t>
            </w: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180" w:type="dxa"/>
            <w:vAlign w:val="bottom"/>
          </w:tcPr>
          <w:p>
            <w:pPr>
              <w:ind w:left="120"/>
              <w:spacing w:after="0"/>
              <w:rPr>
                <w:sz w:val="20"/>
                <w:szCs w:val="20"/>
                <w:color w:val="auto"/>
              </w:rPr>
            </w:pPr>
            <w:r>
              <w:rPr>
                <w:rFonts w:ascii="Arial" w:cs="Arial" w:eastAsia="Arial" w:hAnsi="Arial"/>
                <w:sz w:val="13"/>
                <w:szCs w:val="13"/>
                <w:color w:val="auto"/>
              </w:rPr>
              <w:t>Michaels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180" w:type="dxa"/>
            <w:vAlign w:val="bottom"/>
          </w:tcPr>
          <w:p>
            <w:pPr>
              <w:spacing w:after="0"/>
              <w:rPr>
                <w:sz w:val="8"/>
                <w:szCs w:val="8"/>
                <w:color w:val="auto"/>
              </w:rPr>
            </w:pPr>
          </w:p>
        </w:tc>
      </w:tr>
      <w:tr>
        <w:trPr>
          <w:trHeight w:val="173"/>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Shoppers' World</w:t>
            </w: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Charlottesville, VA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30,486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5,482</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Staples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180" w:type="dxa"/>
            <w:vAlign w:val="bottom"/>
            <w:shd w:val="clear" w:color="auto" w:fill="CCEEFF"/>
          </w:tcPr>
          <w:p>
            <w:pPr>
              <w:spacing w:after="0"/>
              <w:rPr>
                <w:sz w:val="8"/>
                <w:szCs w:val="8"/>
                <w:color w:val="auto"/>
              </w:rPr>
            </w:pPr>
          </w:p>
        </w:tc>
      </w:tr>
      <w:tr>
        <w:trPr>
          <w:trHeight w:val="173"/>
        </w:trPr>
        <w:tc>
          <w:tcPr>
            <w:tcW w:w="1300" w:type="dxa"/>
            <w:vAlign w:val="bottom"/>
            <w:gridSpan w:val="5"/>
          </w:tcPr>
          <w:p>
            <w:pPr>
              <w:ind w:left="40"/>
              <w:spacing w:after="0"/>
              <w:rPr>
                <w:sz w:val="20"/>
                <w:szCs w:val="20"/>
                <w:color w:val="auto"/>
              </w:rPr>
            </w:pPr>
            <w:r>
              <w:rPr>
                <w:rFonts w:ascii="Arial" w:cs="Arial" w:eastAsia="Arial" w:hAnsi="Arial"/>
                <w:sz w:val="13"/>
                <w:szCs w:val="13"/>
                <w:color w:val="auto"/>
                <w:w w:val="97"/>
              </w:rPr>
              <w:t>Shops at Willow Lawn</w:t>
            </w:r>
          </w:p>
        </w:tc>
        <w:tc>
          <w:tcPr>
            <w:tcW w:w="2220" w:type="dxa"/>
            <w:vAlign w:val="bottom"/>
          </w:tcPr>
          <w:p>
            <w:pPr>
              <w:ind w:left="420"/>
              <w:spacing w:after="0"/>
              <w:rPr>
                <w:sz w:val="20"/>
                <w:szCs w:val="20"/>
                <w:color w:val="auto"/>
              </w:rPr>
            </w:pPr>
            <w:r>
              <w:rPr>
                <w:rFonts w:ascii="Arial" w:cs="Arial" w:eastAsia="Arial" w:hAnsi="Arial"/>
                <w:sz w:val="13"/>
                <w:szCs w:val="13"/>
                <w:color w:val="auto"/>
              </w:rPr>
              <w:t>Richmond-Petersburg, VA</w:t>
            </w:r>
          </w:p>
        </w:tc>
        <w:tc>
          <w:tcPr>
            <w:tcW w:w="660" w:type="dxa"/>
            <w:vAlign w:val="bottom"/>
          </w:tcPr>
          <w:p>
            <w:pPr>
              <w:jc w:val="right"/>
              <w:spacing w:after="0"/>
              <w:rPr>
                <w:sz w:val="20"/>
                <w:szCs w:val="20"/>
                <w:color w:val="auto"/>
              </w:rPr>
            </w:pPr>
            <w:r>
              <w:rPr>
                <w:rFonts w:ascii="Arial" w:cs="Arial" w:eastAsia="Arial" w:hAnsi="Arial"/>
                <w:sz w:val="13"/>
                <w:szCs w:val="13"/>
                <w:color w:val="auto"/>
              </w:rPr>
              <w:t>1983</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79,760</w:t>
            </w:r>
          </w:p>
        </w:tc>
        <w:tc>
          <w:tcPr>
            <w:tcW w:w="66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436,000</w:t>
            </w:r>
          </w:p>
        </w:tc>
        <w:tc>
          <w:tcPr>
            <w:tcW w:w="520" w:type="dxa"/>
            <w:vAlign w:val="bottom"/>
          </w:tcPr>
          <w:p>
            <w:pPr>
              <w:jc w:val="right"/>
              <w:spacing w:after="0"/>
              <w:rPr>
                <w:sz w:val="20"/>
                <w:szCs w:val="20"/>
                <w:color w:val="auto"/>
              </w:rPr>
            </w:pPr>
            <w:r>
              <w:rPr>
                <w:rFonts w:ascii="Arial" w:cs="Arial" w:eastAsia="Arial" w:hAnsi="Arial"/>
                <w:sz w:val="13"/>
                <w:szCs w:val="13"/>
                <w:color w:val="auto"/>
              </w:rPr>
              <w:t>83%</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60,000</w:t>
            </w:r>
          </w:p>
        </w:tc>
        <w:tc>
          <w:tcPr>
            <w:tcW w:w="860" w:type="dxa"/>
            <w:vAlign w:val="bottom"/>
          </w:tcPr>
          <w:p>
            <w:pPr>
              <w:ind w:left="80"/>
              <w:spacing w:after="0"/>
              <w:rPr>
                <w:sz w:val="20"/>
                <w:szCs w:val="20"/>
                <w:color w:val="auto"/>
              </w:rPr>
            </w:pPr>
            <w:r>
              <w:rPr>
                <w:rFonts w:ascii="Arial" w:cs="Arial" w:eastAsia="Arial" w:hAnsi="Arial"/>
                <w:sz w:val="13"/>
                <w:szCs w:val="13"/>
                <w:color w:val="auto"/>
              </w:rPr>
              <w:t>Kroger</w:t>
            </w:r>
          </w:p>
        </w:tc>
        <w:tc>
          <w:tcPr>
            <w:tcW w:w="3180" w:type="dxa"/>
            <w:vAlign w:val="bottom"/>
          </w:tcPr>
          <w:p>
            <w:pPr>
              <w:ind w:left="120"/>
              <w:spacing w:after="0"/>
              <w:rPr>
                <w:sz w:val="20"/>
                <w:szCs w:val="20"/>
                <w:color w:val="auto"/>
              </w:rPr>
            </w:pPr>
            <w:r>
              <w:rPr>
                <w:rFonts w:ascii="Arial" w:cs="Arial" w:eastAsia="Arial" w:hAnsi="Arial"/>
                <w:sz w:val="13"/>
                <w:szCs w:val="13"/>
                <w:color w:val="auto"/>
              </w:rPr>
              <w:t>Old Navy / Staples / Ross Dress For Less</w:t>
            </w: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1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Other</w:t>
            </w: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329,198</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2,091,000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180" w:type="dxa"/>
            <w:vAlign w:val="bottom"/>
            <w:shd w:val="clear" w:color="auto" w:fill="CCEEFF"/>
          </w:tcPr>
          <w:p>
            <w:pPr>
              <w:spacing w:after="0"/>
              <w:rPr>
                <w:sz w:val="7"/>
                <w:szCs w:val="7"/>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r>
      <w:tr>
        <w:trPr>
          <w:trHeight w:val="167"/>
        </w:trPr>
        <w:tc>
          <w:tcPr>
            <w:tcW w:w="1300" w:type="dxa"/>
            <w:vAlign w:val="bottom"/>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22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(10)</w:t>
            </w: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7"/>
              </w:rPr>
              <w:t>$ 4,024,623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9"/>
              </w:rPr>
              <w:t>$ 548,421</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6"/>
              </w:rPr>
              <w:t>18,557,000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318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80" w:hanging="1345"/>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64.1% ownership interest in the property.</w:t>
      </w:r>
    </w:p>
    <w:p>
      <w:pPr>
        <w:spacing w:after="0" w:line="39"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Property owned in a "downreit" partnership, of which a wholly owned subsidiary of the Trust is the sole general partner, with third party partners holding operating partnership units.</w:t>
      </w:r>
    </w:p>
    <w:p>
      <w:pPr>
        <w:spacing w:after="0" w:line="51" w:lineRule="exact"/>
        <w:rPr>
          <w:rFonts w:ascii="Arial" w:cs="Arial" w:eastAsia="Arial" w:hAnsi="Arial"/>
          <w:sz w:val="12"/>
          <w:szCs w:val="12"/>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70% ownership interest in the property.</w:t>
      </w:r>
    </w:p>
    <w:p>
      <w:pPr>
        <w:spacing w:after="0" w:line="39"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90% ownership interest in the property.</w:t>
      </w:r>
    </w:p>
    <w:p>
      <w:pPr>
        <w:spacing w:after="0" w:line="39" w:lineRule="exact"/>
        <w:rPr>
          <w:rFonts w:ascii="Arial" w:cs="Arial" w:eastAsia="Arial" w:hAnsi="Arial"/>
          <w:sz w:val="13"/>
          <w:szCs w:val="13"/>
          <w:color w:val="auto"/>
        </w:rPr>
      </w:pPr>
    </w:p>
    <w:p>
      <w:pPr>
        <w:ind w:left="1380" w:right="260" w:hanging="1345"/>
        <w:spacing w:after="0" w:line="237" w:lineRule="auto"/>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28"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an 85% ownership interest in the property which is accounted for on the equity method.</w:t>
      </w:r>
    </w:p>
    <w:p>
      <w:pPr>
        <w:spacing w:after="0" w:line="39"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Aggregate information is calculated on a GLA weighted-average basis, excluding properties acquired through the Taurus Newbury Street JV II Limited Partnership.</w:t>
      </w:r>
    </w:p>
    <w:p>
      <w:pPr>
        <w:spacing w:after="0" w:line="39" w:lineRule="exact"/>
        <w:rPr>
          <w:rFonts w:ascii="Arial" w:cs="Arial" w:eastAsia="Arial" w:hAnsi="Arial"/>
          <w:sz w:val="13"/>
          <w:szCs w:val="13"/>
          <w:color w:val="auto"/>
        </w:rPr>
      </w:pPr>
    </w:p>
    <w:p>
      <w:pPr>
        <w:ind w:left="1380" w:right="560" w:hanging="1345"/>
        <w:spacing w:after="0" w:line="237" w:lineRule="auto"/>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50% of the ownership of this property is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80" w:hanging="1345"/>
        <w:spacing w:after="0"/>
        <w:tabs>
          <w:tab w:leader="none" w:pos="1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2011</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Basis %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841,354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3,932,532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11.13</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369,685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28.21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26.64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581,478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4,396,887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11.89</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339,585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30.52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1,009,729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5,637,159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16.60</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2010</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490,233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23.68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772,696</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5,696,969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11.62</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1,552,812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3,205,257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19,663,547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12.66</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Basis %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45,490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3,846,699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23.77</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136,062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25.47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411,642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4,326,647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31.80</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144,836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653,430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5,561,459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38.40</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2010</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200,350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25.05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195,237</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5,443,775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27.17</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643,070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1,305,799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19,178,580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29.82</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w w:val="96"/>
              </w:rPr>
              <w:t>Renewal Lease Summary - Comparable (2) (7)</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Basis %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795,864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85,833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0.45</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233,623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27.32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169,836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70,240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0.30</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194,749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356,299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75,700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0.39</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2010</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289,883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22.74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577,459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253,194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0.87</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909,742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1,899,458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484,967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0.53</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9"/>
            <w:shd w:val="clear" w:color="auto" w:fill="CCEEFF"/>
          </w:tcPr>
          <w:p>
            <w:pPr>
              <w:spacing w:after="0"/>
              <w:rPr>
                <w:sz w:val="20"/>
                <w:szCs w:val="20"/>
                <w:color w:val="auto"/>
              </w:rPr>
            </w:pPr>
            <w:r>
              <w:rPr>
                <w:rFonts w:ascii="Arial" w:cs="Arial" w:eastAsia="Arial" w:hAnsi="Arial"/>
                <w:sz w:val="14"/>
                <w:szCs w:val="14"/>
                <w:b w:val="1"/>
                <w:bCs w:val="1"/>
                <w:color w:val="auto"/>
                <w:w w:val="97"/>
              </w:rPr>
              <w:t>Total Lease Summary - Comparable and Non-comparable (2)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0"/>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660" w:type="dxa"/>
            <w:vAlign w:val="bottom"/>
            <w:gridSpan w:val="4"/>
          </w:tcPr>
          <w:p>
            <w:pPr>
              <w:ind w:left="4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384,627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30.28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8,075,369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21.00</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4"/>
                <w:szCs w:val="14"/>
                <w:color w:val="auto"/>
              </w:rPr>
              <w:t>395,874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28.27</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6,304,341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15.93</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381,594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29.63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6,439,592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16.88</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2010</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493,039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23.80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5,696,969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11.55</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1,655,134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27.72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26,516,271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16.02</w:t>
            </w: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Leases on this report represent retail activity only; office and residential leases are not included.</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Weighted average is determined on the basis of square footage.</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ectPr>
          <w:pgSz w:w="11900" w:h="16838" w:orient="portrait"/>
          <w:cols w:equalWidth="0" w:num="1">
            <w:col w:w="11220"/>
          </w:cols>
          <w:pgMar w:left="340" w:top="963"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40" w:top="963" w:right="3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2011</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561,000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19.20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860,000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29.51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1,421,000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1,355,000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930,000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32.53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2,286,000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916,000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16.32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1,075,000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1,991,000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577,000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11.10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337,000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33.47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9,496,000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15.74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7,566,000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32.20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17,062,000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2011</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20.54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535,000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29.34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716,000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141,000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12.12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689,000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126,000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15.64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683,000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37.49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27.80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529,000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9,496,000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15.74</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7,566,000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32.20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17,062,000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September 30, 2011.</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2011.</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20" w:right="320"/>
        <w:spacing w:after="0" w:line="355" w:lineRule="auto"/>
        <w:rPr>
          <w:sz w:val="20"/>
          <w:szCs w:val="20"/>
          <w:color w:val="auto"/>
        </w:rPr>
      </w:pPr>
      <w:r>
        <w:rPr>
          <w:rFonts w:ascii="Arial" w:cs="Arial" w:eastAsia="Arial" w:hAnsi="Arial"/>
          <w:sz w:val="17"/>
          <w:szCs w:val="17"/>
          <w:b w:val="1"/>
          <w:bCs w:val="1"/>
          <w:color w:val="auto"/>
        </w:rPr>
        <w:t>Federal Realty Investment Trust Portfolio Leased Statistics September 30, 2011</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Properties (2) (sf)</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Properties (3)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September 30, 2011</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As of September 30, 2010</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w w:val="92"/>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18,557,000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17,323,000</w:t>
            </w:r>
          </w:p>
        </w:tc>
        <w:tc>
          <w:tcPr>
            <w:tcW w:w="34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93.3%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18,246,000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17,139,000</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93.9%</w:t>
            </w:r>
          </w:p>
        </w:tc>
      </w:tr>
      <w:tr>
        <w:trPr>
          <w:trHeight w:val="540"/>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871</w:t>
            </w:r>
          </w:p>
        </w:tc>
        <w:tc>
          <w:tcPr>
            <w:tcW w:w="34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96.5%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874</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96.8%</w:t>
            </w:r>
          </w:p>
        </w:tc>
      </w:tr>
      <w:tr>
        <w:trPr>
          <w:trHeight w:val="864"/>
        </w:trPr>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September 30, 2011</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As of September 30, 2010</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8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w w:val="92"/>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-2057400</wp:posOffset>
            </wp:positionV>
            <wp:extent cx="6603365" cy="277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6840"/>
          </w:cols>
          <w:pgMar w:left="760" w:top="742" w:right="7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Properties (2) (4) (sf)</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16,892,000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15,881,000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94.0%</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16,910,000</w:t>
            </w: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15,983,000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70"/>
        </w:trPr>
        <w:tc>
          <w:tcPr>
            <w:tcW w:w="30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Properties (3) (units)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871</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96.5%</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874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33"/>
        </w:trPr>
        <w:tc>
          <w:tcPr>
            <w:tcW w:w="3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39"/>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Rollingwood, The Crest at Congressional and the residential rental units at Santana Row and Bethesda Row.</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00"/>
          </w:cols>
          <w:pgMar w:left="760" w:top="742" w:right="7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9,179,000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2.33%</w:t>
            </w:r>
          </w:p>
        </w:tc>
        <w:tc>
          <w:tcPr>
            <w:tcW w:w="980" w:type="dxa"/>
            <w:vAlign w:val="bottom"/>
          </w:tcPr>
          <w:p>
            <w:pPr>
              <w:jc w:val="right"/>
              <w:spacing w:after="0"/>
              <w:rPr>
                <w:sz w:val="20"/>
                <w:szCs w:val="20"/>
                <w:color w:val="auto"/>
              </w:rPr>
            </w:pPr>
            <w:r>
              <w:rPr>
                <w:rFonts w:ascii="Arial" w:cs="Arial" w:eastAsia="Arial" w:hAnsi="Arial"/>
                <w:sz w:val="16"/>
                <w:szCs w:val="16"/>
                <w:color w:val="auto"/>
              </w:rPr>
              <w:t>607,000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1.82%</w:t>
            </w:r>
          </w:p>
        </w:tc>
        <w:tc>
          <w:tcPr>
            <w:tcW w:w="980" w:type="dxa"/>
            <w:vAlign w:val="bottom"/>
          </w:tcPr>
          <w:p>
            <w:pPr>
              <w:jc w:val="right"/>
              <w:spacing w:after="0"/>
              <w:rPr>
                <w:sz w:val="20"/>
                <w:szCs w:val="20"/>
                <w:color w:val="auto"/>
              </w:rPr>
            </w:pPr>
            <w:r>
              <w:rPr>
                <w:rFonts w:ascii="Arial" w:cs="Arial" w:eastAsia="Arial" w:hAnsi="Arial"/>
                <w:sz w:val="16"/>
                <w:szCs w:val="16"/>
                <w:color w:val="auto"/>
              </w:rPr>
              <w:t>232,000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Safeway,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5,521,000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1.40%</w:t>
            </w:r>
          </w:p>
        </w:tc>
        <w:tc>
          <w:tcPr>
            <w:tcW w:w="980" w:type="dxa"/>
            <w:vAlign w:val="bottom"/>
          </w:tcPr>
          <w:p>
            <w:pPr>
              <w:jc w:val="right"/>
              <w:spacing w:after="0"/>
              <w:rPr>
                <w:sz w:val="20"/>
                <w:szCs w:val="20"/>
                <w:color w:val="auto"/>
              </w:rPr>
            </w:pPr>
            <w:r>
              <w:rPr>
                <w:rFonts w:ascii="Arial" w:cs="Arial" w:eastAsia="Arial" w:hAnsi="Arial"/>
                <w:sz w:val="16"/>
                <w:szCs w:val="16"/>
                <w:color w:val="auto"/>
              </w:rPr>
              <w:t>391,000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4,283,000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980" w:type="dxa"/>
            <w:vAlign w:val="bottom"/>
          </w:tcPr>
          <w:p>
            <w:pPr>
              <w:jc w:val="right"/>
              <w:spacing w:after="0"/>
              <w:rPr>
                <w:sz w:val="20"/>
                <w:szCs w:val="20"/>
                <w:color w:val="auto"/>
              </w:rPr>
            </w:pPr>
            <w:r>
              <w:rPr>
                <w:rFonts w:ascii="Arial" w:cs="Arial" w:eastAsia="Arial" w:hAnsi="Arial"/>
                <w:sz w:val="16"/>
                <w:szCs w:val="16"/>
                <w:color w:val="auto"/>
              </w:rPr>
              <w:t>222,000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3,738,000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0.95%</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3,542,000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0.84%</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335,000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Bally Total Fitness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2,683,000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156,000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2,544,000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Pr>
          <w:p>
            <w:pPr>
              <w:jc w:val="right"/>
              <w:spacing w:after="0"/>
              <w:rPr>
                <w:sz w:val="20"/>
                <w:szCs w:val="20"/>
                <w:color w:val="auto"/>
              </w:rPr>
            </w:pPr>
            <w:r>
              <w:rPr>
                <w:rFonts w:ascii="Arial" w:cs="Arial" w:eastAsia="Arial" w:hAnsi="Arial"/>
                <w:sz w:val="16"/>
                <w:szCs w:val="16"/>
                <w:color w:val="auto"/>
              </w:rPr>
              <w:t>52,000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107,728,000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27.40%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5,991,000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32.28%</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393,145,000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18,557,000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111" w:lineRule="exact"/>
        <w:rPr>
          <w:rFonts w:ascii="Arial" w:cs="Arial" w:eastAsia="Arial" w:hAnsi="Arial"/>
          <w:sz w:val="15"/>
          <w:szCs w:val="15"/>
          <w:color w:val="auto"/>
        </w:rPr>
      </w:pPr>
    </w:p>
    <w:p>
      <w:pPr>
        <w:ind w:left="720" w:hanging="48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annual in-place contractual (cash-basis) rent as of September 30, 2011.</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2011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3"/>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center"/>
              <w:ind w:left="113"/>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4"/>
                <w:szCs w:val="24"/>
                <w:color w:val="auto"/>
              </w:rPr>
            </w:pPr>
          </w:p>
        </w:tc>
      </w:tr>
      <w:tr>
        <w:trPr>
          <w:trHeight w:val="209"/>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740" w:type="dxa"/>
            <w:vAlign w:val="bottom"/>
            <w:tcBorders>
              <w:top w:val="single" w:sz="8" w:color="auto"/>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2012 Guidance</w:t>
            </w:r>
          </w:p>
        </w:tc>
        <w:tc>
          <w:tcPr>
            <w:tcW w:w="500" w:type="dxa"/>
            <w:vAlign w:val="bottom"/>
            <w:tcBorders>
              <w:bottom w:val="single" w:sz="8" w:color="auto"/>
            </w:tcBorders>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3"/>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center"/>
              <w:ind w:left="113"/>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4"/>
                <w:szCs w:val="24"/>
                <w:color w:val="auto"/>
              </w:rPr>
            </w:pPr>
          </w:p>
        </w:tc>
      </w:tr>
      <w:tr>
        <w:trPr>
          <w:trHeight w:val="209"/>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740" w:type="dxa"/>
            <w:vAlign w:val="bottom"/>
            <w:tcBorders>
              <w:top w:val="single" w:sz="8" w:color="auto"/>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r>
      <w:tr>
        <w:trPr>
          <w:trHeight w:val="28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2" w:right="239"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2010</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4,499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14,337</w:t>
            </w:r>
          </w:p>
        </w:tc>
        <w:tc>
          <w:tcPr>
            <w:tcW w:w="2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13,637</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14,387</w:t>
            </w:r>
          </w:p>
        </w:tc>
        <w:tc>
          <w:tcPr>
            <w:tcW w:w="2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13,688</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2,647</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2,894</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3,864</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3,771</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8,124</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8,435</w:t>
            </w:r>
          </w:p>
        </w:tc>
      </w:tr>
      <w:tr>
        <w:trPr>
          <w:trHeight w:val="237"/>
        </w:trPr>
        <w:tc>
          <w:tcPr>
            <w:tcW w:w="40" w:type="dxa"/>
            <w:vAlign w:val="bottom"/>
          </w:tcPr>
          <w:p>
            <w:pPr>
              <w:spacing w:after="0"/>
              <w:rPr>
                <w:sz w:val="20"/>
                <w:szCs w:val="20"/>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6,263</w:t>
            </w:r>
          </w:p>
        </w:tc>
        <w:tc>
          <w:tcPr>
            <w:tcW w:w="2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5,253</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5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2,702</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2011</w:t>
            </w: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8"/>
              </w:rPr>
              <w:t>December 31, 2010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206,616</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205,849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178,585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181,565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127,277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128,932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3"/>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20" w:type="dxa"/>
            <w:vAlign w:val="bottom"/>
          </w:tcPr>
          <w:p>
            <w:pPr>
              <w:jc w:val="center"/>
              <w:ind w:left="177"/>
              <w:spacing w:after="0"/>
              <w:rPr>
                <w:sz w:val="20"/>
                <w:szCs w:val="20"/>
                <w:color w:val="auto"/>
              </w:rPr>
            </w:pPr>
            <w:r>
              <w:rPr>
                <w:rFonts w:ascii="Arial" w:cs="Arial" w:eastAsia="Arial" w:hAnsi="Arial"/>
                <w:sz w:val="14"/>
                <w:szCs w:val="14"/>
                <w:b w:val="1"/>
                <w:bCs w:val="1"/>
                <w:color w:val="auto"/>
                <w:w w:val="93"/>
              </w:rPr>
              <w:t>Stated</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70"/>
        </w:trPr>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20" w:type="dxa"/>
            <w:vAlign w:val="bottom"/>
          </w:tcPr>
          <w:p>
            <w:pPr>
              <w:jc w:val="center"/>
              <w:ind w:left="177"/>
              <w:spacing w:after="0"/>
              <w:rPr>
                <w:sz w:val="20"/>
                <w:szCs w:val="20"/>
                <w:color w:val="auto"/>
              </w:rPr>
            </w:pPr>
            <w:r>
              <w:rPr>
                <w:rFonts w:ascii="Arial" w:cs="Arial" w:eastAsia="Arial" w:hAnsi="Arial"/>
                <w:sz w:val="14"/>
                <w:szCs w:val="14"/>
                <w:b w:val="1"/>
                <w:bCs w:val="1"/>
                <w:color w:val="auto"/>
                <w:w w:val="92"/>
              </w:rPr>
              <w:t>Interest Rate as of</w:t>
            </w: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w w:val="92"/>
              </w:rPr>
              <w:t>June 30, 2011</w:t>
            </w: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12,544</w:t>
            </w: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57,429</w:t>
            </w:r>
          </w:p>
        </w:tc>
        <w:tc>
          <w:tcPr>
            <w:tcW w:w="2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233</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22,396</w:t>
            </w:r>
          </w:p>
        </w:tc>
        <w:tc>
          <w:tcPr>
            <w:tcW w:w="46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22,538</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59.9%</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Total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57,429</w:t>
            </w:r>
          </w:p>
        </w:tc>
        <w:tc>
          <w:tcPr>
            <w:tcW w:w="6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Lease</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12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19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MSA Description</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at 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tcPr>
          <w:p>
            <w:pPr>
              <w:jc w:val="right"/>
              <w:ind w:right="417"/>
              <w:spacing w:after="0"/>
              <w:rPr>
                <w:sz w:val="20"/>
                <w:szCs w:val="20"/>
                <w:color w:val="auto"/>
              </w:rPr>
            </w:pPr>
            <w:r>
              <w:rPr>
                <w:rFonts w:ascii="Arial" w:cs="Arial" w:eastAsia="Arial" w:hAnsi="Arial"/>
                <w:sz w:val="11"/>
                <w:szCs w:val="11"/>
                <w:color w:val="auto"/>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color w:val="auto"/>
                <w:w w:val="91"/>
              </w:rPr>
              <w:t>(in thousands)</w:t>
            </w:r>
          </w:p>
        </w:tc>
        <w:tc>
          <w:tcPr>
            <w:tcW w:w="660" w:type="dxa"/>
            <w:vAlign w:val="bottom"/>
            <w:gridSpan w:val="2"/>
          </w:tcPr>
          <w:p>
            <w:pPr>
              <w:ind w:left="20"/>
              <w:spacing w:after="0"/>
              <w:rPr>
                <w:sz w:val="20"/>
                <w:szCs w:val="20"/>
                <w:color w:val="auto"/>
              </w:rPr>
            </w:pPr>
            <w:r>
              <w:rPr>
                <w:rFonts w:ascii="Arial" w:cs="Arial" w:eastAsia="Arial" w:hAnsi="Arial"/>
                <w:sz w:val="11"/>
                <w:szCs w:val="11"/>
                <w:color w:val="auto"/>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r>
      <w:tr>
        <w:trPr>
          <w:trHeight w:val="262"/>
        </w:trPr>
        <w:tc>
          <w:tcPr>
            <w:tcW w:w="156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1920" w:type="dxa"/>
            <w:vAlign w:val="bottom"/>
            <w:gridSpan w:val="2"/>
          </w:tcPr>
          <w:p>
            <w:pPr>
              <w:ind w:left="200"/>
              <w:spacing w:after="0"/>
              <w:rPr>
                <w:sz w:val="20"/>
                <w:szCs w:val="20"/>
                <w:color w:val="auto"/>
              </w:rPr>
            </w:pPr>
            <w:r>
              <w:rPr>
                <w:rFonts w:ascii="Arial" w:cs="Arial" w:eastAsia="Arial" w:hAnsi="Arial"/>
                <w:sz w:val="13"/>
                <w:szCs w:val="13"/>
                <w:color w:val="auto"/>
              </w:rPr>
              <w:t>Washington, DC-MD-VA</w:t>
            </w:r>
          </w:p>
        </w:tc>
        <w:tc>
          <w:tcPr>
            <w:tcW w:w="780" w:type="dxa"/>
            <w:vAlign w:val="bottom"/>
          </w:tcPr>
          <w:p>
            <w:pPr>
              <w:ind w:left="120"/>
              <w:spacing w:after="0"/>
              <w:rPr>
                <w:sz w:val="20"/>
                <w:szCs w:val="20"/>
                <w:color w:val="auto"/>
              </w:rPr>
            </w:pPr>
            <w:r>
              <w:rPr>
                <w:rFonts w:ascii="Arial" w:cs="Arial" w:eastAsia="Arial" w:hAnsi="Arial"/>
                <w:sz w:val="13"/>
                <w:szCs w:val="13"/>
                <w:color w:val="auto"/>
              </w:rPr>
              <w:t>2006-2007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34,318</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120" w:type="dxa"/>
            <w:vAlign w:val="bottom"/>
          </w:tcPr>
          <w:p>
            <w:pPr>
              <w:ind w:left="60"/>
              <w:spacing w:after="0"/>
              <w:rPr>
                <w:sz w:val="20"/>
                <w:szCs w:val="20"/>
                <w:color w:val="auto"/>
              </w:rPr>
            </w:pPr>
            <w:r>
              <w:rPr>
                <w:rFonts w:ascii="Arial" w:cs="Arial" w:eastAsia="Arial" w:hAnsi="Arial"/>
                <w:sz w:val="13"/>
                <w:szCs w:val="13"/>
                <w:color w:val="auto"/>
              </w:rPr>
              <w:t>Bank of America</w:t>
            </w:r>
          </w:p>
        </w:tc>
      </w:tr>
      <w:tr>
        <w:trPr>
          <w:trHeight w:val="156"/>
        </w:trPr>
        <w:tc>
          <w:tcPr>
            <w:tcW w:w="15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Free State Shopping</w:t>
            </w: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13"/>
                <w:szCs w:val="13"/>
                <w:color w:val="auto"/>
              </w:rPr>
            </w:pPr>
          </w:p>
        </w:tc>
      </w:tr>
      <w:tr>
        <w:trPr>
          <w:trHeight w:val="176"/>
        </w:trPr>
        <w:tc>
          <w:tcPr>
            <w:tcW w:w="15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Washington, DC-MD-VA</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66,118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Ross Dress For Less / Office Depot</w:t>
            </w:r>
          </w:p>
        </w:tc>
      </w:tr>
      <w:tr>
        <w:trPr>
          <w:trHeight w:val="264"/>
        </w:trPr>
        <w:tc>
          <w:tcPr>
            <w:tcW w:w="156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1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Washington, DC-MD-VA</w:t>
            </w:r>
          </w:p>
        </w:tc>
        <w:tc>
          <w:tcPr>
            <w:tcW w:w="7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21,520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12,544</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31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CVS</w:t>
            </w:r>
          </w:p>
        </w:tc>
      </w:tr>
      <w:tr>
        <w:trPr>
          <w:trHeight w:val="134"/>
        </w:trPr>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ind w:left="200"/>
              <w:spacing w:after="0" w:line="134" w:lineRule="exact"/>
              <w:rPr>
                <w:sz w:val="20"/>
                <w:szCs w:val="20"/>
                <w:color w:val="auto"/>
              </w:rPr>
            </w:pPr>
            <w:r>
              <w:rPr>
                <w:rFonts w:ascii="Arial" w:cs="Arial" w:eastAsia="Arial" w:hAnsi="Arial"/>
                <w:sz w:val="13"/>
                <w:szCs w:val="13"/>
                <w:color w:val="auto"/>
                <w:w w:val="96"/>
              </w:rPr>
              <w:t>Total Washington Metropolitan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Area</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121,956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64"/>
        </w:trPr>
        <w:tc>
          <w:tcPr>
            <w:tcW w:w="15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Nassau-Suffolk, NY</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20,354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ind w:left="200"/>
              <w:spacing w:after="0"/>
              <w:rPr>
                <w:sz w:val="20"/>
                <w:szCs w:val="20"/>
                <w:color w:val="auto"/>
              </w:rPr>
            </w:pPr>
            <w:r>
              <w:rPr>
                <w:rFonts w:ascii="Arial" w:cs="Arial" w:eastAsia="Arial" w:hAnsi="Arial"/>
                <w:sz w:val="13"/>
                <w:szCs w:val="13"/>
                <w:color w:val="auto"/>
              </w:rPr>
              <w:t>Total New York / New Jersey</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20,354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6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r>
      <w:tr>
        <w:trPr>
          <w:trHeight w:val="148"/>
        </w:trPr>
        <w:tc>
          <w:tcPr>
            <w:tcW w:w="15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19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Boston-Worcester-Lawrence-</w:t>
            </w:r>
          </w:p>
        </w:tc>
        <w:tc>
          <w:tcPr>
            <w:tcW w:w="780" w:type="dxa"/>
            <w:vAlign w:val="bottom"/>
          </w:tcPr>
          <w:p>
            <w:pPr>
              <w:ind w:left="120"/>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18,579</w:t>
            </w:r>
          </w:p>
        </w:tc>
        <w:tc>
          <w:tcPr>
            <w:tcW w:w="10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10,500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120" w:type="dxa"/>
            <w:vAlign w:val="bottom"/>
          </w:tcPr>
          <w:p>
            <w:pPr>
              <w:ind w:left="60"/>
              <w:spacing w:after="0" w:line="148" w:lineRule="exact"/>
              <w:rPr>
                <w:sz w:val="20"/>
                <w:szCs w:val="20"/>
                <w:color w:val="auto"/>
              </w:rPr>
            </w:pPr>
            <w:r>
              <w:rPr>
                <w:rFonts w:ascii="Arial" w:cs="Arial" w:eastAsia="Arial" w:hAnsi="Arial"/>
                <w:sz w:val="13"/>
                <w:szCs w:val="13"/>
                <w:color w:val="auto"/>
              </w:rPr>
              <w:t>Sears</w:t>
            </w: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3"/>
                <w:szCs w:val="13"/>
                <w:color w:val="auto"/>
              </w:rPr>
              <w:t>Lowell-Brockton, MA</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56"/>
        </w:trPr>
        <w:tc>
          <w:tcPr>
            <w:tcW w:w="15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Boston-Worcester-Lawrence-</w:t>
            </w:r>
          </w:p>
        </w:tc>
        <w:tc>
          <w:tcPr>
            <w:tcW w:w="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22,443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Roche Brothers</w:t>
            </w:r>
          </w:p>
        </w:tc>
        <w:tc>
          <w:tcPr>
            <w:tcW w:w="3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Lowell-Brockton, MA</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r>
      <w:tr>
        <w:trPr>
          <w:trHeight w:val="148"/>
        </w:trPr>
        <w:tc>
          <w:tcPr>
            <w:tcW w:w="15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Pleasant Shops</w:t>
            </w:r>
          </w:p>
        </w:tc>
        <w:tc>
          <w:tcPr>
            <w:tcW w:w="192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Boston-Worcester-Lawrence-</w:t>
            </w:r>
          </w:p>
        </w:tc>
        <w:tc>
          <w:tcPr>
            <w:tcW w:w="780" w:type="dxa"/>
            <w:vAlign w:val="bottom"/>
          </w:tcPr>
          <w:p>
            <w:pPr>
              <w:ind w:left="120"/>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23,284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Foodmaster</w:t>
            </w:r>
          </w:p>
        </w:tc>
        <w:tc>
          <w:tcPr>
            <w:tcW w:w="312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Lowell-Brockton, MA</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3"/>
                <w:szCs w:val="13"/>
                <w:color w:val="auto"/>
              </w:rPr>
              <w:t>Total New England</w:t>
            </w:r>
          </w:p>
        </w:tc>
        <w:tc>
          <w:tcPr>
            <w:tcW w:w="7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64,306</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spacing w:after="0"/>
              <w:rPr>
                <w:sz w:val="21"/>
                <w:szCs w:val="21"/>
                <w:color w:val="auto"/>
              </w:rPr>
            </w:pPr>
          </w:p>
        </w:tc>
      </w:tr>
      <w:tr>
        <w:trPr>
          <w:trHeight w:val="264"/>
        </w:trPr>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Grand Totals</w:t>
            </w: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206,616</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57,429</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Grocery anchor is defined as a grocery tenant leasing 15,000 square feet or more.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5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2011 and 2010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2010</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117,157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32,083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94,715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89,701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72,744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2,801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104,044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284,149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262,880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89,287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85,882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267,323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261,470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2019-12-10T00:45:03Z</dcterms:created>
  <dcterms:modified xsi:type="dcterms:W3CDTF">2019-12-10T00:45:03Z</dcterms:modified>
</cp:coreProperties>
</file>