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60" w:after="283"/>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pPr>
      <w:r>
        <w:rPr>
          <w:rFonts w:ascii="Times New Roman;sans-serif" w:hAnsi="Times New Roman;sans-serif"/>
          <w:b/>
          <w:color w:val="000000"/>
          <w:sz w:val="28"/>
        </w:rPr>
        <w:t>WASHINGTON, D.C. 20549</w:t>
      </w:r>
      <w:r>
        <w:rPr>
          <w:color w:val="000000"/>
        </w:rPr>
        <w:t> </w:t>
      </w:r>
    </w:p>
    <w:p>
      <w:pPr>
        <w:pStyle w:val="TextBody"/>
        <w:bidi w:val="0"/>
        <w:spacing w:lineRule="auto" w:line="288" w:before="0" w:after="240"/>
        <w:jc w:val="center"/>
        <w:rPr>
          <w:rFonts w:ascii="Times New Roman;sans-serif" w:hAnsi="Times New Roman;sans-serif"/>
          <w:b/>
          <w:color w:val="000000"/>
          <w:sz w:val="28"/>
        </w:rPr>
      </w:pPr>
      <w:r>
        <w:rPr>
          <w:rFonts w:ascii="Times New Roman;sans-serif" w:hAnsi="Times New Roman;sans-serif"/>
          <w:b/>
          <w:color w:val="000000"/>
          <w:sz w:val="28"/>
        </w:rPr>
        <w:t xml:space="preserve">FORM 10-Q </w:t>
      </w:r>
    </w:p>
    <w:tbl>
      <w:tblPr>
        <w:tblW w:w="9447" w:type="dxa"/>
        <w:jc w:val="center"/>
        <w:tblInd w:w="0" w:type="dxa"/>
        <w:tblLayout w:type="fixed"/>
        <w:tblCellMar>
          <w:top w:w="28" w:type="dxa"/>
          <w:left w:w="28" w:type="dxa"/>
          <w:bottom w:w="28" w:type="dxa"/>
          <w:right w:w="28" w:type="dxa"/>
        </w:tblCellMar>
      </w:tblPr>
      <w:tblGrid>
        <w:gridCol w:w="124"/>
        <w:gridCol w:w="109"/>
        <w:gridCol w:w="109"/>
        <w:gridCol w:w="2661"/>
        <w:gridCol w:w="2661"/>
        <w:gridCol w:w="37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1" w:type="dxa"/>
            <w:tcBorders/>
            <w:vAlign w:val="center"/>
          </w:tcPr>
          <w:p>
            <w:pPr>
              <w:pStyle w:val="TableContents"/>
              <w:bidi w:val="0"/>
              <w:spacing w:before="0" w:after="283"/>
              <w:jc w:val="left"/>
              <w:rPr>
                <w:sz w:val="4"/>
                <w:szCs w:val="4"/>
              </w:rPr>
            </w:pPr>
            <w:r>
              <w:rPr>
                <w:sz w:val="4"/>
                <w:szCs w:val="4"/>
              </w:rPr>
            </w:r>
          </w:p>
        </w:tc>
        <w:tc>
          <w:tcPr>
            <w:tcW w:w="2661" w:type="dxa"/>
            <w:tcBorders/>
            <w:vAlign w:val="center"/>
          </w:tcPr>
          <w:p>
            <w:pPr>
              <w:pStyle w:val="TableContents"/>
              <w:bidi w:val="0"/>
              <w:spacing w:before="0" w:after="283"/>
              <w:jc w:val="left"/>
              <w:rPr>
                <w:sz w:val="4"/>
                <w:szCs w:val="4"/>
              </w:rPr>
            </w:pPr>
            <w:r>
              <w:rPr>
                <w:sz w:val="4"/>
                <w:szCs w:val="4"/>
              </w:rPr>
            </w:r>
          </w:p>
        </w:tc>
        <w:tc>
          <w:tcPr>
            <w:tcW w:w="37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QUARTERLY REPORT PURSUANT TO THE SECTION 13 OR 15(D) OF THE SECURITIES EXCHANGE ACT OF 1934</w:t>
            </w:r>
          </w:p>
        </w:tc>
      </w:tr>
    </w:tbl>
    <w:p>
      <w:pPr>
        <w:pStyle w:val="TextBody"/>
        <w:bidi w:val="0"/>
        <w:spacing w:lineRule="auto" w:line="288" w:before="100" w:after="283"/>
        <w:jc w:val="center"/>
        <w:rPr>
          <w:rFonts w:ascii="Times New Roman;sans-serif" w:hAnsi="Times New Roman;sans-serif"/>
          <w:b/>
          <w:color w:val="000000"/>
          <w:sz w:val="17"/>
        </w:rPr>
      </w:pPr>
      <w:r>
        <w:rPr>
          <w:rFonts w:ascii="Times New Roman;sans-serif" w:hAnsi="Times New Roman;sans-serif"/>
          <w:b/>
          <w:color w:val="000000"/>
          <w:sz w:val="17"/>
        </w:rPr>
        <w:t xml:space="preserve">For the quarterly period ended March 31, 2025 </w:t>
      </w:r>
    </w:p>
    <w:p>
      <w:pPr>
        <w:pStyle w:val="TextBody"/>
        <w:bidi w:val="0"/>
        <w:spacing w:lineRule="auto" w:line="288" w:before="40" w:after="283"/>
        <w:jc w:val="center"/>
        <w:rPr>
          <w:rFonts w:ascii="Times New Roman;sans-serif" w:hAnsi="Times New Roman;sans-serif"/>
          <w:b/>
          <w:color w:val="000000"/>
          <w:sz w:val="17"/>
        </w:rPr>
      </w:pPr>
      <w:r>
        <w:rPr>
          <w:rFonts w:ascii="Times New Roman;sans-serif" w:hAnsi="Times New Roman;sans-serif"/>
          <w:b/>
          <w:color w:val="000000"/>
          <w:sz w:val="17"/>
        </w:rPr>
        <w:t>OR</w:t>
      </w:r>
    </w:p>
    <w:tbl>
      <w:tblPr>
        <w:tblW w:w="9041" w:type="dxa"/>
        <w:jc w:val="left"/>
        <w:tblInd w:w="0" w:type="dxa"/>
        <w:tblLayout w:type="fixed"/>
        <w:tblCellMar>
          <w:top w:w="28" w:type="dxa"/>
          <w:left w:w="28" w:type="dxa"/>
          <w:bottom w:w="28" w:type="dxa"/>
          <w:right w:w="28" w:type="dxa"/>
        </w:tblCellMar>
      </w:tblPr>
      <w:tblGrid>
        <w:gridCol w:w="124"/>
        <w:gridCol w:w="109"/>
        <w:gridCol w:w="109"/>
        <w:gridCol w:w="2545"/>
        <w:gridCol w:w="2545"/>
        <w:gridCol w:w="36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5" w:type="dxa"/>
            <w:tcBorders/>
            <w:vAlign w:val="center"/>
          </w:tcPr>
          <w:p>
            <w:pPr>
              <w:pStyle w:val="TableContents"/>
              <w:bidi w:val="0"/>
              <w:spacing w:before="0" w:after="283"/>
              <w:jc w:val="left"/>
              <w:rPr>
                <w:sz w:val="4"/>
                <w:szCs w:val="4"/>
              </w:rPr>
            </w:pPr>
            <w:r>
              <w:rPr>
                <w:sz w:val="4"/>
                <w:szCs w:val="4"/>
              </w:rPr>
            </w:r>
          </w:p>
        </w:tc>
        <w:tc>
          <w:tcPr>
            <w:tcW w:w="2545" w:type="dxa"/>
            <w:tcBorders/>
            <w:vAlign w:val="center"/>
          </w:tcPr>
          <w:p>
            <w:pPr>
              <w:pStyle w:val="TableContents"/>
              <w:bidi w:val="0"/>
              <w:spacing w:before="0" w:after="283"/>
              <w:jc w:val="left"/>
              <w:rPr>
                <w:sz w:val="4"/>
                <w:szCs w:val="4"/>
              </w:rPr>
            </w:pPr>
            <w:r>
              <w:rPr>
                <w:sz w:val="4"/>
                <w:szCs w:val="4"/>
              </w:rPr>
            </w:r>
          </w:p>
        </w:tc>
        <w:tc>
          <w:tcPr>
            <w:tcW w:w="36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TRANSITION REPORT PURSUANT TO SECTION 13 OR 15(D) OF THE SECURITIES EXCHANGE ACT OF 1934</w:t>
            </w:r>
          </w:p>
        </w:tc>
      </w:tr>
    </w:tbl>
    <w:p>
      <w:pPr>
        <w:pStyle w:val="TextBody"/>
        <w:bidi w:val="0"/>
        <w:spacing w:lineRule="auto" w:line="288" w:before="80" w:after="283"/>
        <w:jc w:val="center"/>
        <w:rPr>
          <w:rFonts w:ascii="Times New Roman;sans-serif" w:hAnsi="Times New Roman;sans-serif"/>
          <w:b/>
          <w:color w:val="000000"/>
          <w:sz w:val="17"/>
        </w:rPr>
      </w:pPr>
      <w:r>
        <w:rPr>
          <w:rFonts w:ascii="Times New Roman;sans-serif" w:hAnsi="Times New Roman;sans-serif"/>
          <w:b/>
          <w:color w:val="000000"/>
          <w:sz w:val="17"/>
        </w:rPr>
        <w:t>For the transition period from              to             </w:t>
      </w:r>
    </w:p>
    <w:p>
      <w:pPr>
        <w:pStyle w:val="TextBody"/>
        <w:bidi w:val="0"/>
        <w:spacing w:lineRule="auto" w:line="288" w:before="80" w:after="283"/>
        <w:jc w:val="center"/>
        <w:rPr/>
      </w:pPr>
      <w:r>
        <w:rPr>
          <w:rFonts w:ascii="Times New Roman;sans-serif" w:hAnsi="Times New Roman;sans-serif"/>
          <w:b/>
          <w:color w:val="000000"/>
          <w:sz w:val="17"/>
        </w:rPr>
        <w:t>Commission file number: 1-07533</w:t>
      </w:r>
      <w:r>
        <w:rPr>
          <w:color w:val="000000"/>
        </w:rPr>
        <w:t> </w:t>
      </w:r>
      <w:r>
        <w:rPr>
          <w:rFonts w:ascii="Times New Roman;sans-serif" w:hAnsi="Times New Roman;sans-serif"/>
          <w:b/>
          <w:color w:val="000000"/>
          <w:sz w:val="17"/>
        </w:rPr>
        <w:t>(Federal Realty Investment Trust)</w:t>
      </w:r>
    </w:p>
    <w:p>
      <w:pPr>
        <w:pStyle w:val="TextBody"/>
        <w:bidi w:val="0"/>
        <w:spacing w:lineRule="auto" w:line="288" w:before="20" w:after="283"/>
        <w:jc w:val="center"/>
        <w:rPr/>
      </w:pPr>
      <w:r>
        <w:rPr>
          <w:rFonts w:ascii="Times New Roman;sans-serif" w:hAnsi="Times New Roman;sans-serif"/>
          <w:b/>
          <w:color w:val="000000"/>
          <w:sz w:val="17"/>
        </w:rPr>
        <w:t>Commission file number: 333-262016-01</w:t>
      </w:r>
      <w:r>
        <w:rPr>
          <w:color w:val="000000"/>
        </w:rPr>
        <w:t> </w:t>
      </w:r>
      <w:r>
        <w:rPr>
          <w:rFonts w:ascii="Times New Roman;sans-serif" w:hAnsi="Times New Roman;sans-serif"/>
          <w:b/>
          <w:color w:val="000000"/>
          <w:sz w:val="17"/>
        </w:rPr>
        <w:t>(Federal Realty OP LP)</w:t>
      </w:r>
    </w:p>
    <w:p>
      <w:pPr>
        <w:pStyle w:val="TextBody"/>
        <w:bidi w:val="0"/>
        <w:spacing w:lineRule="auto" w:line="288" w:before="80" w:after="283"/>
        <w:jc w:val="center"/>
        <w:rPr>
          <w:rFonts w:ascii="Times New Roman;sans-serif" w:hAnsi="Times New Roman;sans-serif"/>
          <w:b/>
          <w:color w:val="000000"/>
          <w:sz w:val="34"/>
        </w:rPr>
      </w:pPr>
      <w:r>
        <w:rPr>
          <w:rFonts w:ascii="Times New Roman;sans-serif" w:hAnsi="Times New Roman;sans-serif"/>
          <w:b/>
          <w:color w:val="000000"/>
          <w:sz w:val="34"/>
        </w:rPr>
        <w:t xml:space="preserve">FEDERAL REALTY INVESTMENT TRUST </w:t>
      </w:r>
    </w:p>
    <w:p>
      <w:pPr>
        <w:pStyle w:val="TextBody"/>
        <w:bidi w:val="0"/>
        <w:spacing w:lineRule="auto" w:line="288" w:before="80" w:after="283"/>
        <w:jc w:val="center"/>
        <w:rPr>
          <w:rFonts w:ascii="Times New Roman;sans-serif" w:hAnsi="Times New Roman;sans-serif"/>
          <w:b/>
          <w:color w:val="000000"/>
          <w:sz w:val="34"/>
        </w:rPr>
      </w:pPr>
      <w:r>
        <w:rPr>
          <w:rFonts w:ascii="Times New Roman;sans-serif" w:hAnsi="Times New Roman;sans-serif"/>
          <w:b/>
          <w:color w:val="000000"/>
          <w:sz w:val="34"/>
        </w:rPr>
        <w:t>FEDERAL REALTY OP LP</w:t>
      </w:r>
    </w:p>
    <w:p>
      <w:pPr>
        <w:pStyle w:val="TextBody"/>
        <w:bidi w:val="0"/>
        <w:spacing w:lineRule="auto" w:line="288" w:before="40" w:after="283"/>
        <w:jc w:val="center"/>
        <w:rPr>
          <w:rFonts w:ascii="Times New Roman;sans-serif" w:hAnsi="Times New Roman;sans-serif"/>
          <w:b/>
          <w:color w:val="000000"/>
          <w:sz w:val="17"/>
        </w:rPr>
      </w:pPr>
      <w:r>
        <w:rPr>
          <w:rFonts w:ascii="Times New Roman;sans-serif" w:hAnsi="Times New Roman;sans-serif"/>
          <w:b/>
          <w:color w:val="000000"/>
          <w:sz w:val="17"/>
        </w:rPr>
        <w:t>(Exact Name of Registrant as Specified in its Charter)</w:t>
      </w:r>
    </w:p>
    <w:tbl>
      <w:tblPr>
        <w:tblW w:w="6290" w:type="dxa"/>
        <w:jc w:val="center"/>
        <w:tblInd w:w="0" w:type="dxa"/>
        <w:tblLayout w:type="fixed"/>
        <w:tblCellMar>
          <w:top w:w="28" w:type="dxa"/>
          <w:left w:w="28" w:type="dxa"/>
          <w:bottom w:w="28" w:type="dxa"/>
          <w:right w:w="28" w:type="dxa"/>
        </w:tblCellMar>
      </w:tblPr>
      <w:tblGrid>
        <w:gridCol w:w="418"/>
        <w:gridCol w:w="367"/>
        <w:gridCol w:w="367"/>
        <w:gridCol w:w="367"/>
        <w:gridCol w:w="367"/>
        <w:gridCol w:w="367"/>
        <w:gridCol w:w="367"/>
        <w:gridCol w:w="367"/>
        <w:gridCol w:w="367"/>
        <w:gridCol w:w="109"/>
        <w:gridCol w:w="109"/>
        <w:gridCol w:w="109"/>
        <w:gridCol w:w="760"/>
        <w:gridCol w:w="760"/>
        <w:gridCol w:w="1089"/>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r>
      <w:tr>
        <w:trPr/>
        <w:tc>
          <w:tcPr>
            <w:tcW w:w="335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Maryland (Federal Realty Investment Trust)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87-3916363</w:t>
            </w:r>
          </w:p>
        </w:tc>
      </w:tr>
      <w:tr>
        <w:trPr/>
        <w:tc>
          <w:tcPr>
            <w:tcW w:w="335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7"/>
              </w:rPr>
            </w:pPr>
            <w:r>
              <w:rPr>
                <w:rFonts w:ascii="Times New Roman;sans-serif" w:hAnsi="Times New Roman;sans-serif"/>
                <w:b/>
                <w:color w:val="000000"/>
                <w:sz w:val="17"/>
              </w:rPr>
              <w:t>Delaware (Federal Realty OP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52-0782497</w:t>
            </w:r>
          </w:p>
        </w:tc>
      </w:tr>
      <w:tr>
        <w:trPr/>
        <w:tc>
          <w:tcPr>
            <w:tcW w:w="33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(State of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(IRS Employer Identification No.)</w:t>
            </w:r>
          </w:p>
        </w:tc>
      </w:tr>
    </w:tbl>
    <w:p>
      <w:pPr>
        <w:pStyle w:val="TextBody"/>
        <w:bidi w:val="0"/>
        <w:spacing w:lineRule="auto" w:line="288" w:before="100" w:after="283"/>
        <w:jc w:val="center"/>
        <w:rPr>
          <w:rFonts w:ascii="Times New Roman;sans-serif" w:hAnsi="Times New Roman;sans-serif"/>
          <w:b/>
          <w:color w:val="000000"/>
          <w:sz w:val="17"/>
        </w:rPr>
      </w:pPr>
      <w:r>
        <w:rPr>
          <w:rFonts w:ascii="Times New Roman;sans-serif" w:hAnsi="Times New Roman;sans-serif"/>
          <w:b/>
          <w:color w:val="000000"/>
          <w:sz w:val="17"/>
        </w:rPr>
        <w:t xml:space="preserve">909 Rose Avenue, Suite 200, North Bethesda, Maryland 20852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(Zip Code)</w:t>
      </w:r>
    </w:p>
    <w:p>
      <w:pPr>
        <w:pStyle w:val="TextBody"/>
        <w:bidi w:val="0"/>
        <w:spacing w:lineRule="auto" w:line="288" w:before="100" w:after="283"/>
        <w:jc w:val="center"/>
        <w:rPr>
          <w:rFonts w:ascii="Times New Roman;sans-serif" w:hAnsi="Times New Roman;sans-serif"/>
          <w:b/>
          <w:color w:val="000000"/>
          <w:sz w:val="17"/>
        </w:rPr>
      </w:pPr>
      <w:r>
        <w:rPr>
          <w:rFonts w:ascii="Times New Roman;sans-serif" w:hAnsi="Times New Roman;sans-serif"/>
          <w:b/>
          <w:color w:val="000000"/>
          <w:sz w:val="17"/>
        </w:rPr>
        <w:t xml:space="preserve">(301) 998-8100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7"/>
          <w:u w:val="single"/>
        </w:rPr>
      </w:pPr>
      <w:r>
        <w:rPr>
          <w:rFonts w:ascii="Times New Roman;sans-serif" w:hAnsi="Times New Roman;sans-serif"/>
          <w:b/>
          <w:color w:val="000000"/>
          <w:sz w:val="17"/>
          <w:u w:val="single"/>
        </w:rPr>
        <w:t>Federal Realty Investment Trust</w:t>
      </w:r>
    </w:p>
    <w:tbl>
      <w:tblPr>
        <w:tblW w:w="10079" w:type="dxa"/>
        <w:jc w:val="center"/>
        <w:tblInd w:w="0" w:type="dxa"/>
        <w:tblLayout w:type="fixed"/>
        <w:tblCellMar>
          <w:top w:w="28" w:type="dxa"/>
          <w:left w:w="28" w:type="dxa"/>
          <w:bottom w:w="28" w:type="dxa"/>
          <w:right w:w="28" w:type="dxa"/>
        </w:tblCellMar>
      </w:tblPr>
      <w:tblGrid>
        <w:gridCol w:w="1910"/>
        <w:gridCol w:w="1687"/>
        <w:gridCol w:w="1698"/>
        <w:gridCol w:w="424"/>
        <w:gridCol w:w="424"/>
        <w:gridCol w:w="426"/>
        <w:gridCol w:w="1027"/>
        <w:gridCol w:w="1027"/>
        <w:gridCol w:w="1456"/>
      </w:tblGrid>
      <w:tr>
        <w:trPr/>
        <w:tc>
          <w:tcPr>
            <w:tcW w:w="1910"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u w:val="single"/>
              </w:rPr>
            </w:pPr>
            <w:r>
              <w:rPr>
                <w:rFonts w:ascii="Times New Roman;sans-serif" w:hAnsi="Times New Roman;sans-serif"/>
                <w:b/>
                <w:color w:val="000000"/>
                <w:sz w:val="17"/>
                <w:u w:val="single"/>
              </w:rPr>
              <w:t>Title of Each Class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u w:val="single"/>
              </w:rPr>
            </w:pPr>
            <w:r>
              <w:rPr>
                <w:rFonts w:ascii="Times New Roman;sans-serif" w:hAnsi="Times New Roman;sans-serif"/>
                <w:b/>
                <w:color w:val="000000"/>
                <w:sz w:val="17"/>
                <w:u w:val="single"/>
              </w:rPr>
              <w:t>Trading Symbol</w:t>
            </w:r>
          </w:p>
        </w:tc>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u w:val="single"/>
              </w:rPr>
            </w:pPr>
            <w:r>
              <w:rPr>
                <w:rFonts w:ascii="Times New Roman;sans-serif" w:hAnsi="Times New Roman;sans-serif"/>
                <w:b/>
                <w:color w:val="000000"/>
                <w:sz w:val="17"/>
                <w:u w:val="single"/>
              </w:rPr>
              <w:t>Name of Each Exchange On Which Registered</w:t>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Common Shares of Beneficial Interest</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FRT</w:t>
            </w:r>
          </w:p>
        </w:tc>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New York Stock Exchange</w:t>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$.01 par value per share, with associated Common Share Purchase Rights</w:t>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 xml:space="preserve">Depositary Shares, each representing 1/1000 of a 5.00% </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FRT-C</w:t>
            </w:r>
          </w:p>
        </w:tc>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New York Stock Exchange</w:t>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Series C Cumulative Redeemable Preferred Share, $.01 par value per share</w:t>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17"/>
          <w:u w:val="single"/>
        </w:rPr>
      </w:pPr>
      <w:r>
        <w:rPr>
          <w:rFonts w:ascii="Times New Roman;sans-serif" w:hAnsi="Times New Roman;sans-serif"/>
          <w:b/>
          <w:color w:val="000000"/>
          <w:sz w:val="17"/>
          <w:u w:val="single"/>
        </w:rPr>
        <w:t>Federal Realty OP LP</w:t>
      </w:r>
    </w:p>
    <w:tbl>
      <w:tblPr>
        <w:tblW w:w="6253" w:type="dxa"/>
        <w:jc w:val="center"/>
        <w:tblInd w:w="0" w:type="dxa"/>
        <w:tblLayout w:type="fixed"/>
        <w:tblCellMar>
          <w:top w:w="28" w:type="dxa"/>
          <w:left w:w="28" w:type="dxa"/>
          <w:bottom w:w="28" w:type="dxa"/>
          <w:right w:w="28" w:type="dxa"/>
        </w:tblCellMar>
      </w:tblPr>
      <w:tblGrid>
        <w:gridCol w:w="530"/>
        <w:gridCol w:w="468"/>
        <w:gridCol w:w="471"/>
        <w:gridCol w:w="424"/>
        <w:gridCol w:w="424"/>
        <w:gridCol w:w="426"/>
        <w:gridCol w:w="1027"/>
        <w:gridCol w:w="1027"/>
        <w:gridCol w:w="1456"/>
      </w:tblGrid>
      <w:tr>
        <w:trPr/>
        <w:tc>
          <w:tcPr>
            <w:tcW w:w="530"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u w:val="single"/>
              </w:rPr>
            </w:pPr>
            <w:r>
              <w:rPr>
                <w:rFonts w:ascii="Times New Roman;sans-serif" w:hAnsi="Times New Roman;sans-serif"/>
                <w:b/>
                <w:color w:val="000000"/>
                <w:sz w:val="17"/>
                <w:u w:val="single"/>
              </w:rPr>
              <w:t>Title of Each Class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u w:val="single"/>
              </w:rPr>
            </w:pPr>
            <w:r>
              <w:rPr>
                <w:rFonts w:ascii="Times New Roman;sans-serif" w:hAnsi="Times New Roman;sans-serif"/>
                <w:b/>
                <w:color w:val="000000"/>
                <w:sz w:val="17"/>
                <w:u w:val="single"/>
              </w:rPr>
              <w:t>Trading Symbol</w:t>
            </w:r>
          </w:p>
        </w:tc>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u w:val="single"/>
              </w:rPr>
            </w:pPr>
            <w:r>
              <w:rPr>
                <w:rFonts w:ascii="Times New Roman;sans-serif" w:hAnsi="Times New Roman;sans-serif"/>
                <w:b/>
                <w:color w:val="000000"/>
                <w:sz w:val="17"/>
                <w:u w:val="single"/>
              </w:rPr>
              <w:t>Name of Each Exchange On Which Registered</w:t>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None</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N/A</w:t>
            </w:r>
          </w:p>
        </w:tc>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N/A</w:t>
            </w:r>
          </w:p>
        </w:tc>
      </w:tr>
    </w:tbl>
    <w:p>
      <w:pPr>
        <w:pStyle w:val="TextBody"/>
        <w:bidi w:val="0"/>
        <w:spacing w:lineRule="auto" w:line="288" w:before="1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p>
    <w:p>
      <w:pPr>
        <w:pStyle w:val="TextBody"/>
        <w:bidi w:val="0"/>
        <w:spacing w:lineRule="auto" w:line="288" w:before="0" w:after="0"/>
        <w:jc w:val="center"/>
        <w:rPr/>
      </w:pPr>
      <w:r>
        <w:rPr>
          <w:color w:val="000000"/>
        </w:rPr>
        <w:t> </w:t>
      </w:r>
      <w:r>
        <w:rPr>
          <w:rFonts w:ascii="Times New Roman;sans-serif" w:hAnsi="Times New Roman;sans-serif"/>
          <w:b w:val="false"/>
          <w:color w:val="000000"/>
          <w:sz w:val="16"/>
        </w:rPr>
        <w:t>Federal Realty Investment Trust </w:t>
      </w:r>
      <w:r>
        <w:rPr>
          <w:color w:val="000000"/>
        </w:rPr>
        <w:t>☒  </w:t>
      </w:r>
      <w:r>
        <w:rPr>
          <w:rFonts w:ascii="Times New Roman;sans-serif" w:hAnsi="Times New Roman;sans-serif"/>
          <w:b w:val="false"/>
          <w:color w:val="000000"/>
          <w:sz w:val="16"/>
        </w:rPr>
        <w:t>Yes    </w:t>
      </w:r>
      <w:r>
        <w:rPr>
          <w:color w:val="000000"/>
        </w:rPr>
        <w:t>☐  </w:t>
      </w:r>
      <w:r>
        <w:rPr>
          <w:rFonts w:ascii="Times New Roman;sans-serif" w:hAnsi="Times New Roman;sans-serif"/>
          <w:b w:val="false"/>
          <w:color w:val="000000"/>
          <w:sz w:val="16"/>
        </w:rPr>
        <w:t>No Federal Realty OP LP </w:t>
      </w:r>
      <w:r>
        <w:rPr>
          <w:color w:val="000000"/>
        </w:rPr>
        <w:t>☒  </w:t>
      </w:r>
      <w:r>
        <w:rPr>
          <w:rFonts w:ascii="Times New Roman;sans-serif" w:hAnsi="Times New Roman;sans-serif"/>
          <w:b w:val="false"/>
          <w:color w:val="000000"/>
          <w:sz w:val="16"/>
        </w:rPr>
        <w:t>Yes    </w:t>
      </w:r>
      <w:r>
        <w:rPr>
          <w:color w:val="000000"/>
        </w:rPr>
        <w:t>☐  </w:t>
      </w:r>
      <w:r>
        <w:rPr>
          <w:rFonts w:ascii="Times New Roman;sans-serif" w:hAnsi="Times New Roman;sans-serif"/>
          <w:b w:val="false"/>
          <w:color w:val="000000"/>
          <w:sz w:val="16"/>
        </w:rPr>
        <w:t>No</w:t>
      </w:r>
    </w:p>
    <w:p>
      <w:pPr>
        <w:pStyle w:val="TextBody"/>
        <w:bidi w:val="0"/>
        <w:spacing w:lineRule="auto" w:line="288" w:before="1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lineRule="auto" w:line="288" w:before="0" w:after="0"/>
        <w:jc w:val="center"/>
        <w:rPr/>
      </w:pPr>
      <w:r>
        <w:rPr>
          <w:rFonts w:ascii="Times New Roman;sans-serif" w:hAnsi="Times New Roman;sans-serif"/>
          <w:b w:val="false"/>
          <w:color w:val="000000"/>
          <w:sz w:val="16"/>
        </w:rPr>
        <w:t>Federal Realty Investment Trust </w:t>
      </w:r>
      <w:r>
        <w:rPr>
          <w:color w:val="000000"/>
        </w:rPr>
        <w:t>☒  </w:t>
      </w:r>
      <w:r>
        <w:rPr>
          <w:rFonts w:ascii="Times New Roman;sans-serif" w:hAnsi="Times New Roman;sans-serif"/>
          <w:b w:val="false"/>
          <w:color w:val="000000"/>
          <w:sz w:val="16"/>
        </w:rPr>
        <w:t>Yes    </w:t>
      </w:r>
      <w:r>
        <w:rPr>
          <w:color w:val="000000"/>
        </w:rPr>
        <w:t>☐  </w:t>
      </w:r>
      <w:r>
        <w:rPr>
          <w:rFonts w:ascii="Times New Roman;sans-serif" w:hAnsi="Times New Roman;sans-serif"/>
          <w:b w:val="false"/>
          <w:color w:val="000000"/>
          <w:sz w:val="16"/>
        </w:rPr>
        <w:t>No Federal Realty OP LP </w:t>
      </w:r>
      <w:r>
        <w:rPr>
          <w:color w:val="000000"/>
        </w:rPr>
        <w:t>☒  </w:t>
      </w:r>
      <w:r>
        <w:rPr>
          <w:rFonts w:ascii="Times New Roman;sans-serif" w:hAnsi="Times New Roman;sans-serif"/>
          <w:b w:val="false"/>
          <w:color w:val="000000"/>
          <w:sz w:val="16"/>
        </w:rPr>
        <w:t>Yes    </w:t>
      </w:r>
      <w:r>
        <w:rPr>
          <w:color w:val="000000"/>
        </w:rPr>
        <w:t>☐  </w:t>
      </w:r>
      <w:r>
        <w:rPr>
          <w:rFonts w:ascii="Times New Roman;sans-serif" w:hAnsi="Times New Roman;sans-serif"/>
          <w:b w:val="false"/>
          <w:color w:val="000000"/>
          <w:sz w:val="16"/>
        </w:rPr>
        <w:t>No</w:t>
      </w:r>
    </w:p>
    <w:p>
      <w:pPr>
        <w:pStyle w:val="TextBody"/>
        <w:bidi w:val="0"/>
        <w:spacing w:lineRule="auto" w:line="288" w:before="1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9826" w:type="dxa"/>
        <w:jc w:val="left"/>
        <w:tblInd w:w="0" w:type="dxa"/>
        <w:tblLayout w:type="fixed"/>
        <w:tblCellMar>
          <w:top w:w="28" w:type="dxa"/>
          <w:left w:w="28" w:type="dxa"/>
          <w:bottom w:w="28" w:type="dxa"/>
          <w:right w:w="28" w:type="dxa"/>
        </w:tblCellMar>
      </w:tblPr>
      <w:tblGrid>
        <w:gridCol w:w="630"/>
        <w:gridCol w:w="553"/>
        <w:gridCol w:w="557"/>
        <w:gridCol w:w="191"/>
        <w:gridCol w:w="191"/>
        <w:gridCol w:w="191"/>
        <w:gridCol w:w="673"/>
        <w:gridCol w:w="673"/>
        <w:gridCol w:w="678"/>
        <w:gridCol w:w="191"/>
        <w:gridCol w:w="191"/>
        <w:gridCol w:w="191"/>
        <w:gridCol w:w="109"/>
        <w:gridCol w:w="109"/>
        <w:gridCol w:w="109"/>
        <w:gridCol w:w="574"/>
        <w:gridCol w:w="574"/>
        <w:gridCol w:w="576"/>
        <w:gridCol w:w="131"/>
        <w:gridCol w:w="131"/>
        <w:gridCol w:w="131"/>
        <w:gridCol w:w="673"/>
        <w:gridCol w:w="673"/>
        <w:gridCol w:w="678"/>
        <w:gridCol w:w="131"/>
        <w:gridCol w:w="131"/>
        <w:gridCol w:w="186"/>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91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Federal Realty Investment 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Federal Realty OP LP</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573" w:type="dxa"/>
            <w:gridSpan w:val="3"/>
            <w:tcBorders/>
            <w:tcMar>
              <w:top w:w="0" w:type="dxa"/>
              <w:left w:w="0" w:type="dxa"/>
              <w:bottom w:w="0" w:type="dxa"/>
              <w:right w:w="0" w:type="dxa"/>
            </w:tcMar>
            <w:vAlign w:val="center"/>
          </w:tcPr>
          <w:p>
            <w:pPr>
              <w:pStyle w:val="TableContents"/>
              <w:bidi w:val="0"/>
              <w:spacing w:lineRule="auto" w:line="240" w:before="160" w:after="283"/>
              <w:jc w:val="left"/>
              <w:rPr>
                <w:color w:val="000000"/>
              </w:rPr>
            </w:pPr>
            <w:r>
              <w:rPr>
                <w:color w:val="000000"/>
              </w:rPr>
              <w:t>☒</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573" w:type="dxa"/>
            <w:gridSpan w:val="3"/>
            <w:tcBorders/>
            <w:tcMar>
              <w:top w:w="0" w:type="dxa"/>
              <w:left w:w="0" w:type="dxa"/>
              <w:bottom w:w="0" w:type="dxa"/>
              <w:right w:w="0" w:type="dxa"/>
            </w:tcMar>
            <w:vAlign w:val="center"/>
          </w:tcPr>
          <w:p>
            <w:pPr>
              <w:pStyle w:val="TableContents"/>
              <w:bidi w:val="0"/>
              <w:spacing w:lineRule="auto" w:line="240" w:before="16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93" w:type="dxa"/>
            <w:gridSpan w:val="3"/>
            <w:tcBorders/>
            <w:tcMar>
              <w:top w:w="0" w:type="dxa"/>
              <w:left w:w="0" w:type="dxa"/>
              <w:bottom w:w="0" w:type="dxa"/>
              <w:right w:w="0" w:type="dxa"/>
            </w:tcMar>
            <w:vAlign w:val="center"/>
          </w:tcPr>
          <w:p>
            <w:pPr>
              <w:pStyle w:val="TableContents"/>
              <w:bidi w:val="0"/>
              <w:spacing w:lineRule="auto" w:line="240" w:before="160" w:after="283"/>
              <w:jc w:val="left"/>
              <w:rPr>
                <w:color w:val="000000"/>
              </w:rPr>
            </w:pPr>
            <w:r>
              <w:rPr>
                <w:color w:val="000000"/>
              </w:rPr>
              <w:t>☐</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448" w:type="dxa"/>
            <w:gridSpan w:val="3"/>
            <w:tcBorders/>
            <w:tcMar>
              <w:top w:w="0" w:type="dxa"/>
              <w:left w:w="0" w:type="dxa"/>
              <w:bottom w:w="0" w:type="dxa"/>
              <w:right w:w="0" w:type="dxa"/>
            </w:tcMar>
            <w:vAlign w:val="center"/>
          </w:tcPr>
          <w:p>
            <w:pPr>
              <w:pStyle w:val="TableContents"/>
              <w:bidi w:val="0"/>
              <w:spacing w:lineRule="auto" w:line="240" w:before="160" w:after="283"/>
              <w:jc w:val="left"/>
              <w:rPr>
                <w:color w:val="000000"/>
              </w:rPr>
            </w:pPr>
            <w:r>
              <w:rPr>
                <w:color w:val="000000"/>
              </w:rPr>
              <w:t>☐</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573" w:type="dxa"/>
            <w:gridSpan w:val="3"/>
            <w:tcBorders/>
            <w:tcMar>
              <w:top w:w="0" w:type="dxa"/>
              <w:left w:w="0" w:type="dxa"/>
              <w:bottom w:w="0" w:type="dxa"/>
              <w:right w:w="0" w:type="dxa"/>
            </w:tcMar>
            <w:vAlign w:val="center"/>
          </w:tcPr>
          <w:p>
            <w:pPr>
              <w:pStyle w:val="TableContents"/>
              <w:bidi w:val="0"/>
              <w:spacing w:lineRule="auto" w:line="240" w:before="160" w:after="283"/>
              <w:jc w:val="left"/>
              <w:rPr>
                <w:color w:val="000000"/>
              </w:rPr>
            </w:pPr>
            <w:r>
              <w:rPr>
                <w:color w:val="000000"/>
              </w:rPr>
              <w:t>☐</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573" w:type="dxa"/>
            <w:gridSpan w:val="3"/>
            <w:tcBorders/>
            <w:tcMar>
              <w:top w:w="0" w:type="dxa"/>
              <w:left w:w="0" w:type="dxa"/>
              <w:bottom w:w="0" w:type="dxa"/>
              <w:right w:w="0" w:type="dxa"/>
            </w:tcMar>
            <w:vAlign w:val="center"/>
          </w:tcPr>
          <w:p>
            <w:pPr>
              <w:pStyle w:val="TableContents"/>
              <w:bidi w:val="0"/>
              <w:spacing w:lineRule="auto" w:line="240" w:before="16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448" w:type="dxa"/>
            <w:gridSpan w:val="3"/>
            <w:tcBorders/>
            <w:tcMar>
              <w:top w:w="0" w:type="dxa"/>
              <w:left w:w="0" w:type="dxa"/>
              <w:bottom w:w="0" w:type="dxa"/>
              <w:right w:w="0" w:type="dxa"/>
            </w:tcMar>
            <w:vAlign w:val="center"/>
          </w:tcPr>
          <w:p>
            <w:pPr>
              <w:pStyle w:val="TableContents"/>
              <w:bidi w:val="0"/>
              <w:spacing w:lineRule="auto" w:line="240" w:before="160" w:after="283"/>
              <w:jc w:val="left"/>
              <w:rPr>
                <w:color w:val="000000"/>
              </w:rPr>
            </w:pPr>
            <w:r>
              <w:rPr>
                <w:color w:val="000000"/>
              </w:rPr>
              <w:t>☐</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573" w:type="dxa"/>
            <w:gridSpan w:val="3"/>
            <w:tcBorders/>
            <w:tcMar>
              <w:top w:w="0" w:type="dxa"/>
              <w:left w:w="0" w:type="dxa"/>
              <w:bottom w:w="0" w:type="dxa"/>
              <w:right w:w="0" w:type="dxa"/>
            </w:tcMar>
            <w:vAlign w:val="center"/>
          </w:tcPr>
          <w:p>
            <w:pPr>
              <w:pStyle w:val="TableContents"/>
              <w:bidi w:val="0"/>
              <w:spacing w:lineRule="auto" w:line="240" w:before="16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448" w:type="dxa"/>
            <w:gridSpan w:val="3"/>
            <w:tcBorders/>
            <w:tcMar>
              <w:top w:w="0" w:type="dxa"/>
              <w:left w:w="0" w:type="dxa"/>
              <w:bottom w:w="0" w:type="dxa"/>
              <w:right w:w="0" w:type="dxa"/>
            </w:tcMar>
            <w:vAlign w:val="center"/>
          </w:tcPr>
          <w:p>
            <w:pPr>
              <w:pStyle w:val="TableContents"/>
              <w:bidi w:val="0"/>
              <w:spacing w:lineRule="auto" w:line="240" w:before="160" w:after="283"/>
              <w:jc w:val="left"/>
              <w:rPr>
                <w:color w:val="000000"/>
              </w:rPr>
            </w:pPr>
            <w:r>
              <w:rPr>
                <w:color w:val="000000"/>
              </w:rPr>
              <w:t>☐</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If an emerging growth company, indicate by checkmark if the registrant has elected not to use the extended transition period for complying with any new or revised financial accounting standards provided pursuant to Section 13(a) of the Exchange Act.</w:t>
      </w:r>
    </w:p>
    <w:p>
      <w:pPr>
        <w:pStyle w:val="TextBody"/>
        <w:bidi w:val="0"/>
        <w:spacing w:lineRule="auto" w:line="288" w:before="0" w:after="0"/>
        <w:jc w:val="center"/>
        <w:rPr/>
      </w:pPr>
      <w:r>
        <w:rPr>
          <w:rFonts w:ascii="Times New Roman;sans-serif" w:hAnsi="Times New Roman;sans-serif"/>
          <w:b w:val="false"/>
          <w:color w:val="000000"/>
          <w:sz w:val="16"/>
        </w:rPr>
        <w:t>Federal Realty Investment Trust </w:t>
      </w:r>
      <w:r>
        <w:rPr>
          <w:color w:val="000000"/>
        </w:rPr>
        <w:t xml:space="preserve">☐  </w:t>
      </w:r>
      <w:r>
        <w:rPr>
          <w:rFonts w:ascii="Times New Roman;sans-serif" w:hAnsi="Times New Roman;sans-serif"/>
          <w:b w:val="false"/>
          <w:color w:val="000000"/>
          <w:sz w:val="16"/>
        </w:rPr>
        <w:t>Federal Realty OP LP </w:t>
      </w:r>
      <w:r>
        <w:rPr>
          <w:color w:val="000000"/>
        </w:rPr>
        <w:t>☐  </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shell company (as defined in Rule 12b-2 of the Exchange Act).    </w:t>
      </w:r>
    </w:p>
    <w:p>
      <w:pPr>
        <w:pStyle w:val="TextBody"/>
        <w:bidi w:val="0"/>
        <w:spacing w:lineRule="auto" w:line="288" w:before="0" w:after="0"/>
        <w:jc w:val="center"/>
        <w:rPr/>
      </w:pPr>
      <w:r>
        <w:rPr>
          <w:rFonts w:ascii="Times New Roman;sans-serif" w:hAnsi="Times New Roman;sans-serif"/>
          <w:b w:val="false"/>
          <w:color w:val="000000"/>
          <w:sz w:val="16"/>
        </w:rPr>
        <w:t xml:space="preserve">Federal Realty Investment Trust </w:t>
      </w:r>
      <w:r>
        <w:rPr>
          <w:color w:val="000000"/>
        </w:rPr>
        <w:t>☐  </w:t>
      </w:r>
      <w:r>
        <w:rPr>
          <w:rFonts w:ascii="Times New Roman;sans-serif" w:hAnsi="Times New Roman;sans-serif"/>
          <w:b w:val="false"/>
          <w:color w:val="000000"/>
          <w:sz w:val="16"/>
        </w:rPr>
        <w:t>Yes    </w:t>
      </w:r>
      <w:r>
        <w:rPr>
          <w:color w:val="000000"/>
        </w:rPr>
        <w:t>☒  </w:t>
      </w:r>
      <w:r>
        <w:rPr>
          <w:rFonts w:ascii="Times New Roman;sans-serif" w:hAnsi="Times New Roman;sans-serif"/>
          <w:b w:val="false"/>
          <w:color w:val="000000"/>
          <w:sz w:val="16"/>
        </w:rPr>
        <w:t xml:space="preserve">No Federal Realty OP LP </w:t>
      </w:r>
      <w:r>
        <w:rPr>
          <w:color w:val="000000"/>
        </w:rPr>
        <w:t>☐  </w:t>
      </w:r>
      <w:r>
        <w:rPr>
          <w:rFonts w:ascii="Times New Roman;sans-serif" w:hAnsi="Times New Roman;sans-serif"/>
          <w:b w:val="false"/>
          <w:color w:val="000000"/>
          <w:sz w:val="16"/>
        </w:rPr>
        <w:t>Yes    </w:t>
      </w:r>
      <w:r>
        <w:rPr>
          <w:color w:val="000000"/>
        </w:rPr>
        <w:t>☒  </w:t>
      </w:r>
      <w:r>
        <w:rPr>
          <w:rFonts w:ascii="Times New Roman;sans-serif" w:hAnsi="Times New Roman;sans-serif"/>
          <w:b w:val="false"/>
          <w:color w:val="000000"/>
          <w:sz w:val="16"/>
        </w:rPr>
        <w:t xml:space="preserve">No </w:t>
      </w:r>
    </w:p>
    <w:p>
      <w:pPr>
        <w:pStyle w:val="TextBody"/>
        <w:bidi w:val="0"/>
        <w:spacing w:lineRule="auto" w:line="288" w:before="100" w:after="283"/>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The number of Federal Realty Investment Trust's common shares outstanding on May 5, 2025 was 86,260,740.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EXPLANATORY NOTE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This report combines the quarterly reports on Form 10-Q for the quarter ended March 31, 2025, of Federal Realty Investment Trust and Federal Realty OP, LP. Unless stated otherwise or the context otherwise requires, references to "Federal Realty Investment Trust," the "Parent Company" or the "Trust" mean Federal Realty Investment Trust; and references to "Federal Realty OP LP" or the "Operating Partnership" mean Federal Realty OP LP. The term "the Company," "we," "us," and "our" refer to the Parent Company and its business and operations conducted through its directly and indirectly owned subsidiaries, including the Operating Partnership. References to "shares" and "shareholders" refer to the shares and shareholders of the Parent Company and not the limited partnership interests for limited partners of the Operating Partnership.</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Parent Company is a real estate investment trust ("REIT") that owns 100% of the limited liability company interests of, is the sole member of, and exercises exclusive control over Federal Realty GP LLC (the "General Partner"), which is the sole general partner of the Operating Partnership. As of March 31, 2025, the Parent Company owned 100% of the outstanding partnership units (the "OP Units") in the Operating Partnership.</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believes combining the quarterly reports on Form 10-Q of the Parent Company and the Operating Partnership into this single report provides the following benefits:</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Enhances investors' understanding of the Parent Company and the Operating Partnership by enabling investors to view the businesses as a whole in the same manner as management views and operates the business;</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Eliminates duplicate disclosure and provides a more streamlined and readable presentation; and</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Creates time and cost efficiencies through the preparation of one combined report instead of two separate reports.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operates the Parent Company and the Operating Partnership as one business. Since the Operating Partnership is managed by the Parent Company, and the Parent Company conducts substantially all of its operations through the Operating Partnership, the management of the Parent Company consists of the same individuals as the management of the Operating Partnership.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it is important to understand the few differences between the Parent Company and the Operating Partnership in the context of how the Parent Company and the Operating Partnership operate as a consolidated company. The Parent Company is a REIT, whose only material asset is its direct and indirect interest in the Operating Partnership. As a result, the Parent Company does not conduct business itself other than issuing public equity from time to time. The Parent Company is not expected to incur any material indebtedness. The Operating Partnership holds substantially all of our assets and retains the ownership interests in the Company's joint ventures. Except for net proceeds from public equity issuances by the Parent Company, which are contributed to the Operating Partnership in exchange for OP Units, the Operating Partnership generates all capital required by the Company’s business. Sources of this capital include the Operating Partnership’s operations, its direct or indirect incurrence of indebtedness, and the issuance of partnership units.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 partner capital, and non-controlling interests are the primary areas of difference between the unaudited consolidated financial statements of the Parent Company and those of the Operating Partnership. The Operating Partnership’s capital currently includes OP Units owned by the Parent Company, and may in the future include OP Units owned by third parties. OP Units owned by third parties, if any, are accounted for in capital in the Operating Partnership’s financial statements and in non-controlling interests in the Parent Company’s financial statements.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Parent Company consolidates the Operating Partnership for financial reporting purposes, and the Parent Company does not have assets other than its investment in the Operating Partnership. Therefore, while shareholders’ equity and partners' capital differ as discussed above, the assets and liabilities of the Parent Company and the Operating Partnership are the same on their respective financial statements.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highlight the differences between the Parent Company and the Operating Partnership, there are sections in this report that separately discuss the Parent Company and the Operating Partnership, including separate financial statements (but combined footnotes), separate controls and procedures sections, and separate Exhibit 31 and 32 certifications. In the sections that combine disclosure for the Parent Company and the Operating Partnership, this report refers to actions or holdings as being actions or holdings of the Company.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INVESTMENT TRUST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OP LP</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QUARTERLY REPORT ON FORM 10-Q</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QUARTER ENDED MARCH 31, 2025 </w:t>
      </w:r>
    </w:p>
    <w:p>
      <w:pPr>
        <w:pStyle w:val="TextBody"/>
        <w:bidi w:val="0"/>
        <w:spacing w:before="60" w:after="283"/>
        <w:jc w:val="left"/>
        <w:rPr/>
      </w:pPr>
      <w:r>
        <w:rPr/>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before="60" w:after="283"/>
        <w:jc w:val="left"/>
        <w:rPr/>
      </w:pPr>
      <w:r>
        <w:rPr/>
      </w:r>
    </w:p>
    <w:tbl>
      <w:tblPr>
        <w:tblW w:w="10205" w:type="dxa"/>
        <w:jc w:val="center"/>
        <w:tblInd w:w="0" w:type="dxa"/>
        <w:tblLayout w:type="fixed"/>
        <w:tblCellMar>
          <w:top w:w="28" w:type="dxa"/>
          <w:left w:w="28" w:type="dxa"/>
          <w:bottom w:w="28" w:type="dxa"/>
          <w:right w:w="28" w:type="dxa"/>
        </w:tblCellMar>
      </w:tblPr>
      <w:tblGrid>
        <w:gridCol w:w="575"/>
        <w:gridCol w:w="501"/>
        <w:gridCol w:w="501"/>
        <w:gridCol w:w="2787"/>
        <w:gridCol w:w="2715"/>
        <w:gridCol w:w="2751"/>
        <w:gridCol w:w="109"/>
        <w:gridCol w:w="109"/>
        <w:gridCol w:w="157"/>
      </w:tblGrid>
      <w:tr>
        <w:trPr/>
        <w:tc>
          <w:tcPr>
            <w:tcW w:w="57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15" w:type="dxa"/>
            <w:tcBorders/>
            <w:vAlign w:val="center"/>
          </w:tcPr>
          <w:p>
            <w:pPr>
              <w:pStyle w:val="TableContents"/>
              <w:bidi w:val="0"/>
              <w:spacing w:before="0" w:after="283"/>
              <w:jc w:val="left"/>
              <w:rPr>
                <w:sz w:val="4"/>
                <w:szCs w:val="4"/>
              </w:rPr>
            </w:pPr>
            <w:r>
              <w:rPr>
                <w:sz w:val="4"/>
                <w:szCs w:val="4"/>
              </w:rPr>
            </w:r>
          </w:p>
        </w:tc>
        <w:tc>
          <w:tcPr>
            <w:tcW w:w="2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8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 FINANCIAL INFORMATION</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Statements</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74843193a5f4e9fb00b44685177b672_13">
              <w:r>
                <w:rPr>
                  <w:rStyle w:val="InternetLink"/>
                  <w:rFonts w:ascii="Times New Roman;sans-serif" w:hAnsi="Times New Roman;sans-serif"/>
                  <w:b w:val="false"/>
                  <w:color w:val="0000FF"/>
                  <w:sz w:val="20"/>
                  <w:u w:val="single"/>
                </w:rPr>
                <w:t>3</w:t>
              </w:r>
            </w:hyperlink>
          </w:p>
        </w:tc>
      </w:tr>
      <w:tr>
        <w:trPr/>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Balance Sheets as of March 31, 2025 (unaudited) and December 31, 2024</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74843193a5f4e9fb00b44685177b672_19">
              <w:r>
                <w:rPr>
                  <w:rStyle w:val="InternetLink"/>
                  <w:rFonts w:ascii="Times New Roman;sans-serif" w:hAnsi="Times New Roman;sans-serif"/>
                  <w:b w:val="false"/>
                  <w:color w:val="0000FF"/>
                  <w:sz w:val="20"/>
                  <w:u w:val="single"/>
                </w:rPr>
                <w:t>3</w:t>
              </w:r>
            </w:hyperlink>
          </w:p>
        </w:tc>
      </w:tr>
      <w:tr>
        <w:trPr/>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Comprehensive Income (unaudited) for three months ended March 31, 2025 and 2024</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74843193a5f4e9fb00b44685177b672_25">
              <w:r>
                <w:rPr>
                  <w:rStyle w:val="InternetLink"/>
                  <w:rFonts w:ascii="Times New Roman;sans-serif" w:hAnsi="Times New Roman;sans-serif"/>
                  <w:b w:val="false"/>
                  <w:color w:val="0000FF"/>
                  <w:sz w:val="20"/>
                  <w:u w:val="single"/>
                </w:rPr>
                <w:t>4</w:t>
              </w:r>
            </w:hyperlink>
          </w:p>
        </w:tc>
      </w:tr>
      <w:tr>
        <w:trPr/>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Shareholders' Equity (unaudited) for the three months ended March 31, 2025 and 2024</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74843193a5f4e9fb00b44685177b672_28">
              <w:r>
                <w:rPr>
                  <w:rStyle w:val="InternetLink"/>
                  <w:rFonts w:ascii="Times New Roman;sans-serif" w:hAnsi="Times New Roman;sans-serif"/>
                  <w:b w:val="false"/>
                  <w:color w:val="0000FF"/>
                  <w:sz w:val="20"/>
                  <w:u w:val="single"/>
                </w:rPr>
                <w:t>5</w:t>
              </w:r>
            </w:hyperlink>
          </w:p>
        </w:tc>
      </w:tr>
      <w:tr>
        <w:trPr/>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Cash Flows (unaudited) for the three months ended March 31, 2025 and 2024</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74843193a5f4e9fb00b44685177b672_31">
              <w:r>
                <w:rPr>
                  <w:rStyle w:val="InternetLink"/>
                  <w:rFonts w:ascii="Times New Roman;sans-serif" w:hAnsi="Times New Roman;sans-serif"/>
                  <w:b w:val="false"/>
                  <w:color w:val="0000FF"/>
                  <w:sz w:val="20"/>
                  <w:u w:val="single"/>
                </w:rPr>
                <w:t>6</w:t>
              </w:r>
            </w:hyperlink>
          </w:p>
        </w:tc>
      </w:tr>
      <w:tr>
        <w:trPr/>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OP LP</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Balance Sheets as of March 31, 2025 (unaudited) and December 31, 2024</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74843193a5f4e9fb00b44685177b672_37">
              <w:r>
                <w:rPr>
                  <w:rStyle w:val="InternetLink"/>
                  <w:rFonts w:ascii="Times New Roman;sans-serif" w:hAnsi="Times New Roman;sans-serif"/>
                  <w:b w:val="false"/>
                  <w:color w:val="0000FF"/>
                  <w:sz w:val="20"/>
                  <w:u w:val="single"/>
                </w:rPr>
                <w:t>7</w:t>
              </w:r>
            </w:hyperlink>
          </w:p>
        </w:tc>
      </w:tr>
      <w:tr>
        <w:trPr/>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Comprehensive Income (unaudited) for the three months ended March 31, 2025 and 2024</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74843193a5f4e9fb00b44685177b672_40">
              <w:r>
                <w:rPr>
                  <w:rStyle w:val="InternetLink"/>
                  <w:rFonts w:ascii="Times New Roman;sans-serif" w:hAnsi="Times New Roman;sans-serif"/>
                  <w:b w:val="false"/>
                  <w:color w:val="0000FF"/>
                  <w:sz w:val="20"/>
                  <w:u w:val="single"/>
                </w:rPr>
                <w:t>8</w:t>
              </w:r>
            </w:hyperlink>
          </w:p>
        </w:tc>
      </w:tr>
      <w:tr>
        <w:trPr/>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Capital (unaudited) for the three months ended March 31, 2025 and 2024</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74843193a5f4e9fb00b44685177b672_43">
              <w:r>
                <w:rPr>
                  <w:rStyle w:val="InternetLink"/>
                  <w:rFonts w:ascii="Times New Roman;sans-serif" w:hAnsi="Times New Roman;sans-serif"/>
                  <w:b w:val="false"/>
                  <w:color w:val="0000FF"/>
                  <w:sz w:val="20"/>
                  <w:u w:val="single"/>
                </w:rPr>
                <w:t>9</w:t>
              </w:r>
            </w:hyperlink>
          </w:p>
        </w:tc>
      </w:tr>
      <w:tr>
        <w:trPr/>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Cash Flows (unaudited) for the three months ended March 31, 2025 and 2024</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74843193a5f4e9fb00b44685177b672_46">
              <w:r>
                <w:rPr>
                  <w:rStyle w:val="InternetLink"/>
                  <w:rFonts w:ascii="Times New Roman;sans-serif" w:hAnsi="Times New Roman;sans-serif"/>
                  <w:b w:val="false"/>
                  <w:color w:val="0000FF"/>
                  <w:sz w:val="20"/>
                  <w:u w:val="single"/>
                </w:rPr>
                <w:t>10</w:t>
              </w:r>
            </w:hyperlink>
          </w:p>
        </w:tc>
      </w:tr>
      <w:tr>
        <w:trPr/>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 and Federal Realty OP LP</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 (unaudited)</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74843193a5f4e9fb00b44685177b672_49">
              <w:r>
                <w:rPr>
                  <w:rStyle w:val="InternetLink"/>
                  <w:rFonts w:ascii="Times New Roman;sans-serif" w:hAnsi="Times New Roman;sans-serif"/>
                  <w:b w:val="false"/>
                  <w:color w:val="0000FF"/>
                  <w:sz w:val="20"/>
                  <w:u w:val="single"/>
                </w:rPr>
                <w:t>11</w:t>
              </w:r>
            </w:hyperlink>
          </w:p>
        </w:tc>
      </w:tr>
      <w:tr>
        <w:trPr/>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Management’s Discussion and Analysis of Financial Condition and Results of Operations</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74843193a5f4e9fb00b44685177b672_82">
              <w:r>
                <w:rPr>
                  <w:rStyle w:val="InternetLink"/>
                  <w:rFonts w:ascii="Times New Roman;sans-serif" w:hAnsi="Times New Roman;sans-serif"/>
                  <w:b w:val="false"/>
                  <w:color w:val="0000FF"/>
                  <w:sz w:val="20"/>
                  <w:u w:val="single"/>
                </w:rPr>
                <w:t>19</w:t>
              </w:r>
            </w:hyperlink>
          </w:p>
        </w:tc>
      </w:tr>
      <w:tr>
        <w:trPr/>
        <w:tc>
          <w:tcPr>
            <w:tcW w:w="15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Quantitative and Qualitative Disclosures about Market Risk</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74843193a5f4e9fb00b44685177b672_94">
              <w:r>
                <w:rPr>
                  <w:rStyle w:val="InternetLink"/>
                  <w:rFonts w:ascii="Times New Roman;sans-serif" w:hAnsi="Times New Roman;sans-serif"/>
                  <w:b w:val="false"/>
                  <w:color w:val="0000FF"/>
                  <w:sz w:val="20"/>
                  <w:u w:val="single"/>
                </w:rPr>
                <w:t>31</w:t>
              </w:r>
            </w:hyperlink>
          </w:p>
        </w:tc>
      </w:tr>
      <w:tr>
        <w:trPr/>
        <w:tc>
          <w:tcPr>
            <w:tcW w:w="15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Controls and Procedures</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74843193a5f4e9fb00b44685177b672_97">
              <w:r>
                <w:rPr>
                  <w:rStyle w:val="InternetLink"/>
                  <w:rFonts w:ascii="Times New Roman;sans-serif" w:hAnsi="Times New Roman;sans-serif"/>
                  <w:b w:val="false"/>
                  <w:color w:val="0000FF"/>
                  <w:sz w:val="20"/>
                  <w:u w:val="single"/>
                </w:rPr>
                <w:t>32</w:t>
              </w:r>
            </w:hyperlink>
          </w:p>
        </w:tc>
      </w:tr>
      <w:tr>
        <w:trPr/>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II. OTHER INFORMATION</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74843193a5f4e9fb00b44685177b672_100">
              <w:r>
                <w:rPr>
                  <w:rStyle w:val="InternetLink"/>
                  <w:rFonts w:ascii="Times New Roman;sans-serif" w:hAnsi="Times New Roman;sans-serif"/>
                  <w:b w:val="false"/>
                  <w:color w:val="0000FF"/>
                  <w:sz w:val="20"/>
                  <w:u w:val="single"/>
                </w:rPr>
                <w:t>33</w:t>
              </w:r>
            </w:hyperlink>
          </w:p>
        </w:tc>
      </w:tr>
      <w:tr>
        <w:trPr/>
        <w:tc>
          <w:tcPr>
            <w:tcW w:w="15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Proceedings</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74843193a5f4e9fb00b44685177b672_103">
              <w:r>
                <w:rPr>
                  <w:rStyle w:val="InternetLink"/>
                  <w:rFonts w:ascii="Times New Roman;sans-serif" w:hAnsi="Times New Roman;sans-serif"/>
                  <w:b w:val="false"/>
                  <w:color w:val="0000FF"/>
                  <w:sz w:val="20"/>
                  <w:u w:val="single"/>
                </w:rPr>
                <w:t>33</w:t>
              </w:r>
            </w:hyperlink>
          </w:p>
        </w:tc>
      </w:tr>
      <w:tr>
        <w:trPr/>
        <w:tc>
          <w:tcPr>
            <w:tcW w:w="15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Factors</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74843193a5f4e9fb00b44685177b672_106">
              <w:r>
                <w:rPr>
                  <w:rStyle w:val="InternetLink"/>
                  <w:rFonts w:ascii="Times New Roman;sans-serif" w:hAnsi="Times New Roman;sans-serif"/>
                  <w:b w:val="false"/>
                  <w:color w:val="0000FF"/>
                  <w:sz w:val="20"/>
                  <w:u w:val="single"/>
                </w:rPr>
                <w:t>33</w:t>
              </w:r>
            </w:hyperlink>
          </w:p>
        </w:tc>
      </w:tr>
      <w:tr>
        <w:trPr/>
        <w:tc>
          <w:tcPr>
            <w:tcW w:w="15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Unregistered Sales of Equity Securities and Use of Proceeds</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74843193a5f4e9fb00b44685177b672_109">
              <w:r>
                <w:rPr>
                  <w:rStyle w:val="InternetLink"/>
                  <w:rFonts w:ascii="Times New Roman;sans-serif" w:hAnsi="Times New Roman;sans-serif"/>
                  <w:b w:val="false"/>
                  <w:color w:val="0000FF"/>
                  <w:sz w:val="20"/>
                  <w:u w:val="single"/>
                </w:rPr>
                <w:t>33</w:t>
              </w:r>
            </w:hyperlink>
          </w:p>
        </w:tc>
      </w:tr>
      <w:tr>
        <w:trPr/>
        <w:tc>
          <w:tcPr>
            <w:tcW w:w="15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Defaults Upon Senior Securities</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74843193a5f4e9fb00b44685177b672_112">
              <w:r>
                <w:rPr>
                  <w:rStyle w:val="InternetLink"/>
                  <w:rFonts w:ascii="Times New Roman;sans-serif" w:hAnsi="Times New Roman;sans-serif"/>
                  <w:b w:val="false"/>
                  <w:color w:val="0000FF"/>
                  <w:sz w:val="20"/>
                  <w:u w:val="single"/>
                </w:rPr>
                <w:t>33</w:t>
              </w:r>
            </w:hyperlink>
          </w:p>
        </w:tc>
      </w:tr>
      <w:tr>
        <w:trPr/>
        <w:tc>
          <w:tcPr>
            <w:tcW w:w="15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Mine Safety Disclosures</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74843193a5f4e9fb00b44685177b672_115">
              <w:r>
                <w:rPr>
                  <w:rStyle w:val="InternetLink"/>
                  <w:rFonts w:ascii="Times New Roman;sans-serif" w:hAnsi="Times New Roman;sans-serif"/>
                  <w:b w:val="false"/>
                  <w:color w:val="0000FF"/>
                  <w:sz w:val="20"/>
                  <w:u w:val="single"/>
                </w:rPr>
                <w:t>33</w:t>
              </w:r>
            </w:hyperlink>
          </w:p>
        </w:tc>
      </w:tr>
      <w:tr>
        <w:trPr/>
        <w:tc>
          <w:tcPr>
            <w:tcW w:w="15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Information</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74843193a5f4e9fb00b44685177b672_118">
              <w:r>
                <w:rPr>
                  <w:rStyle w:val="InternetLink"/>
                  <w:rFonts w:ascii="Times New Roman;sans-serif" w:hAnsi="Times New Roman;sans-serif"/>
                  <w:b w:val="false"/>
                  <w:color w:val="0000FF"/>
                  <w:sz w:val="20"/>
                  <w:u w:val="single"/>
                </w:rPr>
                <w:t>33</w:t>
              </w:r>
            </w:hyperlink>
          </w:p>
        </w:tc>
      </w:tr>
      <w:tr>
        <w:trPr/>
        <w:tc>
          <w:tcPr>
            <w:tcW w:w="15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Exhibits</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74843193a5f4e9fb00b44685177b672_121">
              <w:r>
                <w:rPr>
                  <w:rStyle w:val="InternetLink"/>
                  <w:rFonts w:ascii="Times New Roman;sans-serif" w:hAnsi="Times New Roman;sans-serif"/>
                  <w:b w:val="false"/>
                  <w:color w:val="0000FF"/>
                  <w:sz w:val="20"/>
                  <w:u w:val="single"/>
                </w:rPr>
                <w:t>33</w:t>
              </w:r>
            </w:hyperlink>
          </w:p>
        </w:tc>
      </w:tr>
      <w:tr>
        <w:trPr/>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SIGNATURES</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74843193a5f4e9fb00b44685177b672_127">
              <w:r>
                <w:rPr>
                  <w:rStyle w:val="InternetLink"/>
                  <w:rFonts w:ascii="Times New Roman;sans-serif" w:hAnsi="Times New Roman;sans-serif"/>
                  <w:b w:val="false"/>
                  <w:color w:val="0000FF"/>
                  <w:sz w:val="20"/>
                  <w:u w:val="single"/>
                </w:rPr>
                <w:t>41</w:t>
              </w:r>
            </w:hyperlink>
          </w:p>
        </w:tc>
      </w:tr>
    </w:tbl>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Investment Trust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tbl>
      <w:tblPr>
        <w:tblW w:w="10205" w:type="dxa"/>
        <w:jc w:val="center"/>
        <w:tblInd w:w="0" w:type="dxa"/>
        <w:tblLayout w:type="fixed"/>
        <w:tblCellMar>
          <w:top w:w="28" w:type="dxa"/>
          <w:left w:w="28" w:type="dxa"/>
          <w:bottom w:w="28" w:type="dxa"/>
          <w:right w:w="28" w:type="dxa"/>
        </w:tblCellMar>
      </w:tblPr>
      <w:tblGrid>
        <w:gridCol w:w="2943"/>
        <w:gridCol w:w="1973"/>
        <w:gridCol w:w="1943"/>
        <w:gridCol w:w="222"/>
        <w:gridCol w:w="1139"/>
        <w:gridCol w:w="114"/>
        <w:gridCol w:w="114"/>
        <w:gridCol w:w="114"/>
        <w:gridCol w:w="114"/>
        <w:gridCol w:w="222"/>
        <w:gridCol w:w="1139"/>
        <w:gridCol w:w="168"/>
      </w:tblGrid>
      <w:tr>
        <w:trPr/>
        <w:tc>
          <w:tcPr>
            <w:tcW w:w="2943"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6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6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68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4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share and per share data)</w:t>
            </w:r>
          </w:p>
        </w:tc>
      </w:tr>
      <w:tr>
        <w:trPr/>
        <w:tc>
          <w:tcPr>
            <w:tcW w:w="6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at cost</w:t>
            </w:r>
          </w:p>
        </w:tc>
        <w:tc>
          <w:tcPr>
            <w:tcW w:w="1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(including $1,817,974 and $1,825,656 of consolidated variable interest entities, respectively)</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10,521,108 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10,363,961 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Construction-in-progress (including $18,161 and $9,939 of consolidated variable interest entities, respectively)</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561,101 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539,752 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9"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r>
      <w:tr>
        <w:trPr/>
        <w:tc>
          <w:tcPr>
            <w:tcW w:w="6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11,082,209 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10,903,713 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 (including $434,226 and $424,044 of consolidated variable interest entities, respectively)</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(3,220,113)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(3,152,799)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 estate</w:t>
            </w:r>
          </w:p>
        </w:tc>
        <w:tc>
          <w:tcPr>
            <w:tcW w:w="1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7,862,096 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7,750,914 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109,224 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123,409 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and notes receivable, net</w:t>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220,262 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229,080 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notes receivable, net</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partnerships</w:t>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32,888 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33,458 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 of use assets, net</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85,165 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85,806 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right of use assets, net</w:t>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296,509 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286,316 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9"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r>
      <w:tr>
        <w:trPr/>
        <w:tc>
          <w:tcPr>
            <w:tcW w:w="6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8,621,850 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8,524,757 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AND SHAREHOLDERS’ EQUITY</w:t>
            </w:r>
          </w:p>
        </w:tc>
        <w:tc>
          <w:tcPr>
            <w:tcW w:w="14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Mortgages payable, net (including $184,813 and $186,643 of consolidated variable interest entities, respectively)</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512,579 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514,378 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9"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r>
      <w:tr>
        <w:trPr/>
        <w:tc>
          <w:tcPr>
            <w:tcW w:w="6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net</w:t>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641,331 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601,414 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and debentures, net</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3,359,383 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3,357,840 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197,422 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183,564 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payable</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97,265 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96,743 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Security deposits payable</w:t>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34,194 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30,941 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74,230 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74,837 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w:t>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and deferred credits</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247,029 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227,827 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5,176,245 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5,100,327 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6)</w:t>
            </w:r>
          </w:p>
        </w:tc>
        <w:tc>
          <w:tcPr>
            <w:tcW w:w="1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Redeemable noncontrolling interests</w:t>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181,339 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180,286 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w:t>
            </w:r>
          </w:p>
        </w:tc>
        <w:tc>
          <w:tcPr>
            <w:tcW w:w="1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shares, authorized 15,000,000 shares, $.01 par:</w:t>
            </w:r>
          </w:p>
        </w:tc>
        <w:tc>
          <w:tcPr>
            <w:tcW w:w="1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 Series C Cumulative Redeemable Preferred Shares, (stated at liquidation preference $25,000 per share), 6,000 shares issued and outstanding</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5.417% Series 1 Cumulative Convertible Preferred Shares, (stated at liquidation preference $25 per share), 392,878 shares issued and outstanding</w:t>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 of beneficial interest, $.01 par, 200,000,000 shares authorized, respectively, 86,255,005 and 85,666,220 shares issued and outstanding, respectively</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4,303,363 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4,248,824 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dividends in excess of net income</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(1,275,769)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(1,242,654)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 of the Trust</w:t>
            </w:r>
          </w:p>
        </w:tc>
        <w:tc>
          <w:tcPr>
            <w:tcW w:w="1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3,191,881 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3,171,594 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72,385 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72,550 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w:t>
            </w:r>
          </w:p>
        </w:tc>
        <w:tc>
          <w:tcPr>
            <w:tcW w:w="1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3,264,266 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3,244,144 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SHAREHOLDERS’ EQUITY</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8,621,850 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8,524,757 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Investment Trust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578" w:type="dxa"/>
        <w:jc w:val="center"/>
        <w:tblInd w:w="0" w:type="dxa"/>
        <w:tblLayout w:type="fixed"/>
        <w:tblCellMar>
          <w:top w:w="28" w:type="dxa"/>
          <w:left w:w="28" w:type="dxa"/>
          <w:bottom w:w="28" w:type="dxa"/>
          <w:right w:w="28" w:type="dxa"/>
        </w:tblCellMar>
      </w:tblPr>
      <w:tblGrid>
        <w:gridCol w:w="1975"/>
        <w:gridCol w:w="1732"/>
        <w:gridCol w:w="1738"/>
        <w:gridCol w:w="109"/>
        <w:gridCol w:w="109"/>
        <w:gridCol w:w="191"/>
        <w:gridCol w:w="191"/>
        <w:gridCol w:w="371"/>
        <w:gridCol w:w="1453"/>
        <w:gridCol w:w="191"/>
        <w:gridCol w:w="109"/>
        <w:gridCol w:w="109"/>
        <w:gridCol w:w="109"/>
        <w:gridCol w:w="211"/>
        <w:gridCol w:w="826"/>
        <w:gridCol w:w="154"/>
      </w:tblGrid>
      <w:tr>
        <w:trPr/>
        <w:tc>
          <w:tcPr>
            <w:tcW w:w="1975"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518" w:type="dxa"/>
            <w:gridSpan w:val="6"/>
            <w:tcBorders/>
          </w:tcPr>
          <w:p>
            <w:pPr>
              <w:pStyle w:val="TableContents"/>
              <w:bidi w:val="0"/>
              <w:spacing w:before="0" w:after="283"/>
              <w:jc w:val="left"/>
              <w:rPr>
                <w:sz w:val="4"/>
                <w:szCs w:val="4"/>
              </w:rPr>
            </w:pPr>
            <w:r>
              <w:rPr>
                <w:sz w:val="4"/>
                <w:szCs w:val="4"/>
              </w:rPr>
            </w:r>
          </w:p>
        </w:tc>
      </w:tr>
      <w:tr>
        <w:trPr/>
        <w:tc>
          <w:tcPr>
            <w:tcW w:w="54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54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53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302,294 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283,986 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property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309,154 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291,323 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0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67,804 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36,567 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86,946 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202,192 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0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Gain on sale of real estate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0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108,133 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(42,475)</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partnerships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66,578 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THE TRUST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63,768 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preferred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FOR COMMON SHAREHOLDERS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61,760 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0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Net income available for common shareholders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2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85,472 </w:t>
            </w:r>
          </w:p>
        </w:tc>
        <w:tc>
          <w:tcPr>
            <w:tcW w:w="19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82,605 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0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65,334 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0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THE TRUST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62,624 </w:t>
            </w:r>
          </w:p>
        </w:tc>
        <w:tc>
          <w:tcPr>
            <w:tcW w:w="19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59,583 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Investment Trust</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Shareholders’ Equity </w:t>
      </w:r>
    </w:p>
    <w:p>
      <w:pPr>
        <w:pStyle w:val="TextBody"/>
        <w:bidi w:val="0"/>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 2025 and 2024</w:t>
      </w:r>
    </w:p>
    <w:p>
      <w:pPr>
        <w:pStyle w:val="TextBody"/>
        <w:bidi w:val="0"/>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3648" w:type="dxa"/>
        <w:jc w:val="center"/>
        <w:tblInd w:w="0" w:type="dxa"/>
        <w:tblLayout w:type="fixed"/>
        <w:tblCellMar>
          <w:top w:w="28" w:type="dxa"/>
          <w:left w:w="28" w:type="dxa"/>
          <w:bottom w:w="28" w:type="dxa"/>
          <w:right w:w="28" w:type="dxa"/>
        </w:tblCellMar>
      </w:tblPr>
      <w:tblGrid>
        <w:gridCol w:w="520"/>
        <w:gridCol w:w="325"/>
        <w:gridCol w:w="326"/>
        <w:gridCol w:w="368"/>
        <w:gridCol w:w="368"/>
        <w:gridCol w:w="196"/>
        <w:gridCol w:w="109"/>
        <w:gridCol w:w="109"/>
        <w:gridCol w:w="109"/>
        <w:gridCol w:w="196"/>
        <w:gridCol w:w="736"/>
        <w:gridCol w:w="109"/>
        <w:gridCol w:w="109"/>
        <w:gridCol w:w="109"/>
        <w:gridCol w:w="109"/>
        <w:gridCol w:w="480"/>
        <w:gridCol w:w="481"/>
        <w:gridCol w:w="196"/>
        <w:gridCol w:w="109"/>
        <w:gridCol w:w="109"/>
        <w:gridCol w:w="109"/>
        <w:gridCol w:w="196"/>
        <w:gridCol w:w="421"/>
        <w:gridCol w:w="109"/>
        <w:gridCol w:w="109"/>
        <w:gridCol w:w="109"/>
        <w:gridCol w:w="109"/>
        <w:gridCol w:w="196"/>
        <w:gridCol w:w="871"/>
        <w:gridCol w:w="109"/>
        <w:gridCol w:w="109"/>
        <w:gridCol w:w="109"/>
        <w:gridCol w:w="109"/>
        <w:gridCol w:w="196"/>
        <w:gridCol w:w="886"/>
        <w:gridCol w:w="109"/>
        <w:gridCol w:w="109"/>
        <w:gridCol w:w="109"/>
        <w:gridCol w:w="109"/>
        <w:gridCol w:w="276"/>
        <w:gridCol w:w="785"/>
        <w:gridCol w:w="155"/>
        <w:gridCol w:w="109"/>
        <w:gridCol w:w="109"/>
        <w:gridCol w:w="109"/>
        <w:gridCol w:w="247"/>
        <w:gridCol w:w="815"/>
        <w:gridCol w:w="139"/>
        <w:gridCol w:w="109"/>
        <w:gridCol w:w="109"/>
        <w:gridCol w:w="109"/>
        <w:gridCol w:w="196"/>
        <w:gridCol w:w="871"/>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01"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Shareholders’ Equity of the 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Preferred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Dividends in</w:t>
              <w:br/>
              <w:t>Excess of Net</w:t>
              <w:b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Shareholders' Equity</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77" w:type="dxa"/>
            <w:gridSpan w:val="5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share data)</w:t>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2024</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398,878 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85,666,220 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4,248,824 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(1,242,654)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72,550 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3,244,144 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income, excluding $2,003 attributable to redeemable noncontrolling interests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64,575 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 - change in fair value of interest rate swaps, excluding $100 attributable to redeemable noncontrolling interests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 to common shareholders ($1.10 per share)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(94,875)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(94,875)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 to preferred shareholders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declared to noncontrolling interests, excluding $2,263 attributable to redeemable noncontrolling interests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(869)</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shares issued, net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476,543 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54,494 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issued under dividend reinvestment plan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4,291 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 net of forfeitures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148,617 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withheld for employee taxes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(41,824)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downREIT OP units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MARCH 31, 2025</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398,878 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159,822 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86,255,005 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4,303,363 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(1,275,769)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3,596 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72,385 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3,264,266 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2869" w:type="dxa"/>
        <w:jc w:val="center"/>
        <w:tblInd w:w="0" w:type="dxa"/>
        <w:tblLayout w:type="fixed"/>
        <w:tblCellMar>
          <w:top w:w="28" w:type="dxa"/>
          <w:left w:w="28" w:type="dxa"/>
          <w:bottom w:w="28" w:type="dxa"/>
          <w:right w:w="28" w:type="dxa"/>
        </w:tblCellMar>
      </w:tblPr>
      <w:tblGrid>
        <w:gridCol w:w="520"/>
        <w:gridCol w:w="325"/>
        <w:gridCol w:w="326"/>
        <w:gridCol w:w="368"/>
        <w:gridCol w:w="368"/>
        <w:gridCol w:w="109"/>
        <w:gridCol w:w="109"/>
        <w:gridCol w:w="109"/>
        <w:gridCol w:w="109"/>
        <w:gridCol w:w="196"/>
        <w:gridCol w:w="736"/>
        <w:gridCol w:w="109"/>
        <w:gridCol w:w="109"/>
        <w:gridCol w:w="109"/>
        <w:gridCol w:w="109"/>
        <w:gridCol w:w="480"/>
        <w:gridCol w:w="481"/>
        <w:gridCol w:w="109"/>
        <w:gridCol w:w="109"/>
        <w:gridCol w:w="109"/>
        <w:gridCol w:w="109"/>
        <w:gridCol w:w="196"/>
        <w:gridCol w:w="421"/>
        <w:gridCol w:w="109"/>
        <w:gridCol w:w="109"/>
        <w:gridCol w:w="109"/>
        <w:gridCol w:w="109"/>
        <w:gridCol w:w="196"/>
        <w:gridCol w:w="871"/>
        <w:gridCol w:w="109"/>
        <w:gridCol w:w="109"/>
        <w:gridCol w:w="109"/>
        <w:gridCol w:w="109"/>
        <w:gridCol w:w="196"/>
        <w:gridCol w:w="886"/>
        <w:gridCol w:w="109"/>
        <w:gridCol w:w="109"/>
        <w:gridCol w:w="109"/>
        <w:gridCol w:w="109"/>
        <w:gridCol w:w="196"/>
        <w:gridCol w:w="556"/>
        <w:gridCol w:w="109"/>
        <w:gridCol w:w="109"/>
        <w:gridCol w:w="109"/>
        <w:gridCol w:w="109"/>
        <w:gridCol w:w="196"/>
        <w:gridCol w:w="646"/>
        <w:gridCol w:w="109"/>
        <w:gridCol w:w="109"/>
        <w:gridCol w:w="109"/>
        <w:gridCol w:w="109"/>
        <w:gridCol w:w="196"/>
        <w:gridCol w:w="871"/>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8088" w:type="dxa"/>
            <w:gridSpan w:val="36"/>
            <w:tcBorders/>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2826" w:type="dxa"/>
            <w:gridSpan w:val="12"/>
            <w:tcBorders/>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87" w:type="dxa"/>
            <w:gridSpan w:val="15"/>
            <w:tcBorders/>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10853" w:type="dxa"/>
            <w:gridSpan w:val="48"/>
            <w:tcBorders/>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2023</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82,775,286 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3,959,276 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(1,160,474)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3,042,159 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 excluding $1,570 attributable to redeemable noncontrolling interests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56,446 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 change in fair value of interest rate swaps, excluding $81 attributable to redeemable noncontrolling interests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 to common shareholders ($1.09 per share)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(90,479)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(90,479)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 to preferred shareholders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declared to noncontrolling interests, excluding $2,050 attributable to redeemable noncontrolling interests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shares issued, net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issued under dividend reinvestment plan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 net of forfeitures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withheld for employee taxes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(45,804)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downREIT OP units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Contributions from noncontrolling interests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capped calls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MARCH 31, 2024</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398,878 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159,822 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82,948,600 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3,946,740 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(1,196,225)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77,921 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2,995,992 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Investment Trust</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40" w:after="283"/>
        <w:jc w:val="center"/>
        <w:rPr/>
      </w:pPr>
      <w:r>
        <w:rPr>
          <w:color w:val="000000"/>
        </w:rPr>
        <w:t> </w:t>
      </w:r>
      <w:r>
        <w:rPr>
          <w:rFonts w:ascii="Times New Roman;sans-serif" w:hAnsi="Times New Roman;sans-serif"/>
          <w:b/>
          <w:color w:val="000000"/>
          <w:sz w:val="20"/>
        </w:rPr>
        <w:t>(Unaudited)</w:t>
      </w:r>
    </w:p>
    <w:tbl>
      <w:tblPr>
        <w:tblW w:w="9492" w:type="dxa"/>
        <w:jc w:val="left"/>
        <w:tblInd w:w="0" w:type="dxa"/>
        <w:tblLayout w:type="fixed"/>
        <w:tblCellMar>
          <w:top w:w="28" w:type="dxa"/>
          <w:left w:w="28" w:type="dxa"/>
          <w:bottom w:w="28" w:type="dxa"/>
          <w:right w:w="28" w:type="dxa"/>
        </w:tblCellMar>
      </w:tblPr>
      <w:tblGrid>
        <w:gridCol w:w="2433"/>
        <w:gridCol w:w="2137"/>
        <w:gridCol w:w="2149"/>
        <w:gridCol w:w="211"/>
        <w:gridCol w:w="826"/>
        <w:gridCol w:w="109"/>
        <w:gridCol w:w="109"/>
        <w:gridCol w:w="109"/>
        <w:gridCol w:w="109"/>
        <w:gridCol w:w="211"/>
        <w:gridCol w:w="826"/>
        <w:gridCol w:w="109"/>
        <w:gridCol w:w="154"/>
      </w:tblGrid>
      <w:tr>
        <w:trPr/>
        <w:tc>
          <w:tcPr>
            <w:tcW w:w="2433"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54" w:type="dxa"/>
            <w:tcBorders/>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54" w:type="dxa"/>
            <w:tcBorders/>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619"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partnerships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Straight-line 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 net of effects of acquisitions and dispositions: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(increase) in accounts receivable,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prepaid expenses and 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accounts payable and 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security deposits and other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 development and redevelopment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from partnerships in excess of earnings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Leasing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borrowings under revolving credit facility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senior notes, net of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senior notes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Costs to extend and issue notes and mortgages payable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mortgages, finance leases and notes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capped calls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shares, net of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 to common and preferred shareholders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withheld for employee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 from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and redemptions of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(229,401)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cash, cash equivalents and restricted cash</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year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OP LP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tbl>
      <w:tblPr>
        <w:tblW w:w="10205" w:type="dxa"/>
        <w:jc w:val="center"/>
        <w:tblInd w:w="0" w:type="dxa"/>
        <w:tblLayout w:type="fixed"/>
        <w:tblCellMar>
          <w:top w:w="28" w:type="dxa"/>
          <w:left w:w="28" w:type="dxa"/>
          <w:bottom w:w="28" w:type="dxa"/>
          <w:right w:w="28" w:type="dxa"/>
        </w:tblCellMar>
      </w:tblPr>
      <w:tblGrid>
        <w:gridCol w:w="2918"/>
        <w:gridCol w:w="2067"/>
        <w:gridCol w:w="2044"/>
        <w:gridCol w:w="211"/>
        <w:gridCol w:w="1081"/>
        <w:gridCol w:w="109"/>
        <w:gridCol w:w="109"/>
        <w:gridCol w:w="109"/>
        <w:gridCol w:w="109"/>
        <w:gridCol w:w="211"/>
        <w:gridCol w:w="1081"/>
        <w:gridCol w:w="156"/>
      </w:tblGrid>
      <w:tr>
        <w:trPr/>
        <w:tc>
          <w:tcPr>
            <w:tcW w:w="2918"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70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unit data)</w:t>
            </w:r>
          </w:p>
        </w:tc>
      </w:tr>
      <w:tr>
        <w:trPr/>
        <w:tc>
          <w:tcPr>
            <w:tcW w:w="7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at cost</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(including $1,817,974 and $1,825,656 of consolidated variable interest entities, respectively)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10,521,108 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10,363,961 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Construction-in-progress (including $18,161 and $9,939 of consolidated variable interest entities, respectively)</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539,752 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11,082,209 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10,903,713 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 (including $434,226 and $424,044 of consolidated variable interest entities, respectively)</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(3,220,113)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(3,152,799)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 estate</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7,862,096 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7,750,914 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and notes receivable,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229,080 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notes receivable,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partnerships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 of use assets,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right of use assets,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286,316 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8,621,850 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8,524,757 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AND CAPITAL</w:t>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Mortgages payable, net (including $184,813 and $186,643 of consolidated variable interest entities, respectively)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514,378 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601,414 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and debentures,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3,359,383 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3,357,840 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payable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Security deposits payable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and deferred credits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5,176,245 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5,100,327 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6)</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Redeemable noncontrolling interests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Partner capital</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units, 398,878 units issued and outstanding</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units, 86,255,005 and 85,666,220 units issued and outstanding, respectively</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3,033,497 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3,012,066 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partner capital</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3,191,881 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3,171,594 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 in consolidated partnerships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3,264,266 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3,244,144 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CAPITAL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8,621,850 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8,524,757 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OP LP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212"/>
        <w:gridCol w:w="1930"/>
        <w:gridCol w:w="1937"/>
        <w:gridCol w:w="109"/>
        <w:gridCol w:w="109"/>
        <w:gridCol w:w="190"/>
        <w:gridCol w:w="190"/>
        <w:gridCol w:w="369"/>
        <w:gridCol w:w="1447"/>
        <w:gridCol w:w="190"/>
        <w:gridCol w:w="109"/>
        <w:gridCol w:w="109"/>
        <w:gridCol w:w="109"/>
        <w:gridCol w:w="211"/>
        <w:gridCol w:w="826"/>
        <w:gridCol w:w="158"/>
      </w:tblGrid>
      <w:tr>
        <w:trPr/>
        <w:tc>
          <w:tcPr>
            <w:tcW w:w="2212"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6"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522" w:type="dxa"/>
            <w:gridSpan w:val="6"/>
            <w:tcBorders/>
          </w:tcPr>
          <w:p>
            <w:pPr>
              <w:pStyle w:val="TableContents"/>
              <w:bidi w:val="0"/>
              <w:spacing w:before="0" w:after="283"/>
              <w:jc w:val="left"/>
              <w:rPr>
                <w:sz w:val="4"/>
                <w:szCs w:val="4"/>
              </w:rPr>
            </w:pPr>
            <w:r>
              <w:rPr>
                <w:sz w:val="4"/>
                <w:szCs w:val="4"/>
              </w:rPr>
            </w:r>
          </w:p>
        </w:tc>
      </w:tr>
      <w:tr>
        <w:trPr/>
        <w:tc>
          <w:tcPr>
            <w:tcW w:w="60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60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52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unit data)</w:t>
            </w:r>
          </w:p>
        </w:tc>
      </w:tr>
      <w:tr>
        <w:trPr/>
        <w:tc>
          <w:tcPr>
            <w:tcW w:w="6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302,294 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283,986 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property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6,585 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8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309,154 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291,323 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0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67,804 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61,659 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36,567 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34,060 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10,875 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86,946 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83,404 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8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202,192 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191,129 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0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6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Gain on sale of real estate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0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108,133 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100,194 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(42,475)</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(43,693)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60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6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partnerships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60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6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8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66,578 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58,016 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THE PARTNERSHIP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8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63,768 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56,736 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on preferred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FOR COMMON UNIT 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61,760 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54,728 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UNIT,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60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60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60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6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Net income available for common unit 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81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85,472 </w:t>
            </w:r>
          </w:p>
        </w:tc>
        <w:tc>
          <w:tcPr>
            <w:tcW w:w="19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82,605 </w:t>
            </w:r>
          </w:p>
        </w:tc>
        <w:tc>
          <w:tcPr>
            <w:tcW w:w="15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60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60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60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60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60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60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6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65,334 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60,944 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THE PARTNERSHIP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6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62,624 </w:t>
            </w:r>
          </w:p>
        </w:tc>
        <w:tc>
          <w:tcPr>
            <w:tcW w:w="19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59,583 </w:t>
            </w:r>
          </w:p>
        </w:tc>
        <w:tc>
          <w:tcPr>
            <w:tcW w:w="15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OP LP</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Capital</w:t>
      </w:r>
    </w:p>
    <w:p>
      <w:pPr>
        <w:pStyle w:val="TextBody"/>
        <w:bidi w:val="0"/>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 2025 and 2024</w:t>
      </w:r>
    </w:p>
    <w:p>
      <w:pPr>
        <w:pStyle w:val="TextBody"/>
        <w:bidi w:val="0"/>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382" w:type="dxa"/>
        <w:jc w:val="left"/>
        <w:tblInd w:w="0" w:type="dxa"/>
        <w:tblLayout w:type="fixed"/>
        <w:tblCellMar>
          <w:top w:w="28" w:type="dxa"/>
          <w:left w:w="28" w:type="dxa"/>
          <w:bottom w:w="28" w:type="dxa"/>
          <w:right w:w="28" w:type="dxa"/>
        </w:tblCellMar>
      </w:tblPr>
      <w:tblGrid>
        <w:gridCol w:w="520"/>
        <w:gridCol w:w="325"/>
        <w:gridCol w:w="326"/>
        <w:gridCol w:w="109"/>
        <w:gridCol w:w="109"/>
        <w:gridCol w:w="109"/>
        <w:gridCol w:w="196"/>
        <w:gridCol w:w="736"/>
        <w:gridCol w:w="109"/>
        <w:gridCol w:w="109"/>
        <w:gridCol w:w="109"/>
        <w:gridCol w:w="109"/>
        <w:gridCol w:w="196"/>
        <w:gridCol w:w="871"/>
        <w:gridCol w:w="109"/>
        <w:gridCol w:w="109"/>
        <w:gridCol w:w="109"/>
        <w:gridCol w:w="109"/>
        <w:gridCol w:w="109"/>
        <w:gridCol w:w="109"/>
        <w:gridCol w:w="276"/>
        <w:gridCol w:w="785"/>
        <w:gridCol w:w="155"/>
        <w:gridCol w:w="109"/>
        <w:gridCol w:w="109"/>
        <w:gridCol w:w="109"/>
        <w:gridCol w:w="196"/>
        <w:gridCol w:w="871"/>
        <w:gridCol w:w="109"/>
        <w:gridCol w:w="109"/>
        <w:gridCol w:w="109"/>
        <w:gridCol w:w="109"/>
        <w:gridCol w:w="247"/>
        <w:gridCol w:w="815"/>
        <w:gridCol w:w="139"/>
        <w:gridCol w:w="109"/>
        <w:gridCol w:w="109"/>
        <w:gridCol w:w="109"/>
        <w:gridCol w:w="196"/>
        <w:gridCol w:w="871"/>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Preferred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Partner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 in Consolidated Partnerships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Capital</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3" w:type="dxa"/>
            <w:gridSpan w:val="3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548" w:type="dxa"/>
            <w:gridSpan w:val="6"/>
            <w:tcBorders/>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3,012,066 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3,171,594 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72,550 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3,244,144 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income, excluding $2,003 attributable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64,575 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 - change in fair value of interest rate swaps, excluding $100 attributable to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declared to common unit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(94,875)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(94,875)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(94,875)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declared to preferred unit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declared to noncontrolling interests in consolidated partnerships, excluding $2,263 attributable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(869)</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units issued as a result of common stock issued by Parent Company, net of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54,494 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units issued under dividend reinvestment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 net of forfeitures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units withheld for employee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downREIT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154,788 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3,033,497 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3,191,881 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72,385 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3,264,266 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2,804,669 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2,963,509 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78,650 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3,042,159 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 excluding $1,570 attributable to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56,446 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 change in fair value of interest rate swaps, excluding $81 attributable to redeemable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declared to common unit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(90,479)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(90,479)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(90,479)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declared to preferred unit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declared to noncontrolling interests in consolidated partnerships, excluding $2,050 attributable to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(798)</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units issued as a result of common stock issued by Parent Company, net of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units issued under dividend reinvestment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 net of forfeitures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units withheld for employee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downREIT OP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Contributions from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capped calls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154,788 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2,756,384 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6,899 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2,918,071 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77,921 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2,995,992 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tbl>
      <w:tblPr>
        <w:tblW w:w="4529"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4" w:type="dxa"/>
            <w:gridSpan w:val="21"/>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60" w:type="dxa"/>
            <w:gridSpan w:val="35"/>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OP LP</w:t>
      </w:r>
    </w:p>
    <w:p>
      <w:pPr>
        <w:pStyle w:val="TextBody"/>
        <w:bidi w:val="0"/>
        <w:spacing w:lineRule="auto" w:line="288" w:before="60" w:after="283"/>
        <w:jc w:val="center"/>
        <w:rPr/>
      </w:pPr>
      <w:r>
        <w:rPr>
          <w:rFonts w:ascii="Times New Roman;sans-serif" w:hAnsi="Times New Roman;sans-serif"/>
          <w:b/>
          <w:color w:val="000000"/>
          <w:sz w:val="20"/>
        </w:rPr>
        <w:t>Consolidated Statements of Cash Flows</w:t>
      </w:r>
      <w:r>
        <w:rPr>
          <w:color w:val="000000"/>
        </w:rPr>
        <w:t>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492" w:type="dxa"/>
        <w:jc w:val="center"/>
        <w:tblInd w:w="0" w:type="dxa"/>
        <w:tblLayout w:type="fixed"/>
        <w:tblCellMar>
          <w:top w:w="28" w:type="dxa"/>
          <w:left w:w="28" w:type="dxa"/>
          <w:bottom w:w="28" w:type="dxa"/>
          <w:right w:w="28" w:type="dxa"/>
        </w:tblCellMar>
      </w:tblPr>
      <w:tblGrid>
        <w:gridCol w:w="2433"/>
        <w:gridCol w:w="2137"/>
        <w:gridCol w:w="2149"/>
        <w:gridCol w:w="211"/>
        <w:gridCol w:w="826"/>
        <w:gridCol w:w="109"/>
        <w:gridCol w:w="109"/>
        <w:gridCol w:w="109"/>
        <w:gridCol w:w="109"/>
        <w:gridCol w:w="211"/>
        <w:gridCol w:w="826"/>
        <w:gridCol w:w="109"/>
        <w:gridCol w:w="154"/>
      </w:tblGrid>
      <w:tr>
        <w:trPr/>
        <w:tc>
          <w:tcPr>
            <w:tcW w:w="2433"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54" w:type="dxa"/>
            <w:tcBorders/>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54" w:type="dxa"/>
            <w:tcBorders/>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619"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partnerships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Straight-line 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 net of effects of acquisitions and dispositions: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(increase) in accounts receivable,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prepaid expenses and 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accounts payable and 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security deposits and other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 development and redevelopment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from partnerships in excess of earnings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Leasing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borrowings under revolving credit facility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senior notes, net of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senior notes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Costs to extend and issue notes and mortgages payable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mortgages, finance leases and notes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capped calls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units, net of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common and preferred unit holders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withheld for employee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 from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and redemptions of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(229,401)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cash, cash equivalents and restricted cash</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year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Investment Trust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Federal Realty OP LP</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 xml:space="preserve">March 31, 2025 </w:t>
      </w:r>
    </w:p>
    <w:p>
      <w:pPr>
        <w:pStyle w:val="TextBody"/>
        <w:bidi w:val="0"/>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1—BUSINESS AND ORGANIZATION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Realty Investment Trust (the "Parent Company" and the "Trust") is an equity real estate investment trust ("REIT"). Federal Realty OP LP (the "Operating Partnership") is the entity through which the Parent Company conducts substantially all of its operations and owns all of its assets. The Parent Company owns 100% of the limited liability company interests of, is sole member of and exercises exclusive control over Federal Realty GP LLC (the "General Partner"), which in turn, is the sole general partner of the Operating Partnership. The Parent Company specializes in the ownership, management, and redevelopment of retail and mixed-use properties through the Operating Partnership, and has no other substantial assets or liabilities other than through its investment in the Operating Partnership. Our properties are located primarily in communities where we believe retail demand exceeds supply, in strategically selected metropolitan markets in the Mid-Atlantic and Northeast regions of the United States, California, and South Florida. As of March 31, 2025, we owned or had a majority interest in community and neighborhood shopping centers and mixed-use properties which are operated as 103 predominantly retail real estate projects.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operate in a manner intended to enable the Trust to qualify as a REIT for federal income tax purposes. A REIT that distributes at least 90% of its taxable income to its shareholders each year and meets certain other conditions is not taxed on that portion of its taxable income which is distributed to its shareholders. Therefore, federal income taxes on our taxable income have been and are generally expected to be immaterial. We are obligated to pay state taxes, generally consisting of franchise or gross receipts taxes in certain states. Such state taxes also have not been material.</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General Economic Conditions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uncertainty continues within the macro-economic environment including concerns over inflation risk, high interest rates, the introduction of new tariffs and their impact on trade and prices, and potentially worsening economic conditions, which presents risks for our business and tenants. We continue to monitor and address risks related to the general state of the economy. The extent of the future effects on our business, results of operations, cash flows, and growth strategies is highly uncertain and will ultimately depend on future developments, none of which can be predicted.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2—SUMMARY OF SIGNIFICANT ACCOUNTING POLICIES</w:t>
      </w: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unaudited interim consolidated financial statements of the Parent Company and Operating Partnership have been prepared pursuant to the rules and regulations of the Securities and Exchange Commission. Certain information and note disclosures normally included in annual financial statements prepared in accordance with GAAP have been omitted pursuant to those rules and regulations, although we believe that the disclosures made are adequate to make the information not misleading. It is suggested that these financial statements be read in conjunction with the financial statements and notes thereto included in our latest Annual Report on Form 10-K. In the opinion of management, all adjustments (consisting of normal, recurring adjustments) necessary for a fair presentation for the periods presented have been included. The results of operations for the three months ended March 31, 2025 are not necessarily indicative of the results that may be expected for the full year.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Principles of Consolidation</w:t>
      </w:r>
    </w:p>
    <w:p>
      <w:pPr>
        <w:pStyle w:val="TextBody"/>
        <w:bidi w:val="0"/>
        <w:spacing w:lineRule="auto" w:line="288" w:before="100" w:after="283"/>
        <w:jc w:val="left"/>
        <w:rPr/>
      </w:pPr>
      <w:r>
        <w:rPr>
          <w:rFonts w:ascii="Times New Roman;sans-serif" w:hAnsi="Times New Roman;sans-serif"/>
          <w:b w:val="false"/>
          <w:color w:val="000000"/>
          <w:sz w:val="20"/>
        </w:rPr>
        <w:t xml:space="preserve">As discussed in the </w:t>
      </w:r>
      <w:hyperlink w:anchor="ic74843193a5f4e9fb00b44685177b672_7">
        <w:r>
          <w:rPr>
            <w:rStyle w:val="InternetLink"/>
            <w:rFonts w:ascii="Times New Roman;sans-serif" w:hAnsi="Times New Roman;sans-serif"/>
            <w:b w:val="false"/>
            <w:color w:val="0000FF"/>
            <w:sz w:val="20"/>
            <w:u w:val="single"/>
          </w:rPr>
          <w:t>Explanatory Note</w:t>
        </w:r>
      </w:hyperlink>
      <w:r>
        <w:rPr>
          <w:rFonts w:ascii="Times New Roman;sans-serif" w:hAnsi="Times New Roman;sans-serif"/>
          <w:b w:val="false"/>
          <w:color w:val="000000"/>
          <w:sz w:val="20"/>
        </w:rPr>
        <w:t>, we have combined the quarterly reports on Form 10-Q of the Parent Company and the Operating Partnership into this single report. As a result, we present two sets of consolidated financial statements. Both sets of consolidated financial statements include the accounts of the entity, its corporate subsidiaries, and all entities in which it has a controlling interest or has been determined to be the primary beneficiary of a variable interest entity. The Parent Company's consolidated financial statements include the accounts of the Operating Partnership and its subsidiaries as the Parent Company, through its ownership and control over the General Partner, exercises exclusive control over the Operating Partnership. The equity interests of other investors are reflected as noncontrolling interests or redeemable noncontrolling interests. All significant intercompany transactions and balances are eliminated in consolidation. We account for our interests in joint ventures which we do not control using the equity method of accounting.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current and expected events and economic conditions. Actual results could differ from these estimates.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Segment Information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one reportable segment. We evaluate financial performance using property operating income ("POI"), a non-GAAP measure which consists of rental income and mortgage interest income, less rental expenses and real estate taxes.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Reconciliation of property operating income to consolidated net income:</w:t>
      </w:r>
    </w:p>
    <w:tbl>
      <w:tblPr>
        <w:tblW w:w="6908" w:type="dxa"/>
        <w:jc w:val="left"/>
        <w:tblInd w:w="0" w:type="dxa"/>
        <w:tblLayout w:type="fixed"/>
        <w:tblCellMar>
          <w:top w:w="28" w:type="dxa"/>
          <w:left w:w="28" w:type="dxa"/>
          <w:bottom w:w="28" w:type="dxa"/>
          <w:right w:w="28" w:type="dxa"/>
        </w:tblCellMar>
      </w:tblPr>
      <w:tblGrid>
        <w:gridCol w:w="1536"/>
        <w:gridCol w:w="1351"/>
        <w:gridCol w:w="1357"/>
        <w:gridCol w:w="211"/>
        <w:gridCol w:w="826"/>
        <w:gridCol w:w="109"/>
        <w:gridCol w:w="109"/>
        <w:gridCol w:w="109"/>
        <w:gridCol w:w="109"/>
        <w:gridCol w:w="211"/>
        <w:gridCol w:w="826"/>
        <w:gridCol w:w="154"/>
      </w:tblGrid>
      <w:tr>
        <w:trPr/>
        <w:tc>
          <w:tcPr>
            <w:tcW w:w="153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March 31, </w:t>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operating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partnerships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58,016 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the trust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56,736 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do not present significant expense disclosures for our reportable segment as operating segment level expenses are not regularly provided to our chief operating decision maker ("CODM"). However, real estate tax expense is presented on the face of the consolidated statement of comprehensive income.</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do not present a reconciliation of our reportable segment's assets to consolidated assets, as asset information by operating segment is not used by our CODM to allocate resources and capital or assess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before="180" w:after="283"/>
        <w:jc w:val="left"/>
        <w:rPr/>
      </w:pPr>
      <w:r>
        <w:rPr/>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tbl>
      <w:tblPr>
        <w:tblW w:w="10205" w:type="dxa"/>
        <w:jc w:val="left"/>
        <w:tblInd w:w="0" w:type="dxa"/>
        <w:tblLayout w:type="fixed"/>
        <w:tblCellMar>
          <w:top w:w="28" w:type="dxa"/>
          <w:left w:w="28" w:type="dxa"/>
          <w:bottom w:w="28" w:type="dxa"/>
          <w:right w:w="28" w:type="dxa"/>
        </w:tblCellMar>
      </w:tblPr>
      <w:tblGrid>
        <w:gridCol w:w="1137"/>
        <w:gridCol w:w="652"/>
        <w:gridCol w:w="619"/>
        <w:gridCol w:w="109"/>
        <w:gridCol w:w="109"/>
        <w:gridCol w:w="109"/>
        <w:gridCol w:w="2040"/>
        <w:gridCol w:w="1804"/>
        <w:gridCol w:w="1823"/>
        <w:gridCol w:w="109"/>
        <w:gridCol w:w="109"/>
        <w:gridCol w:w="109"/>
        <w:gridCol w:w="430"/>
        <w:gridCol w:w="430"/>
        <w:gridCol w:w="616"/>
      </w:tblGrid>
      <w:tr>
        <w:trPr/>
        <w:tc>
          <w:tcPr>
            <w:tcW w:w="113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24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Standard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Effect on the financial statements or significant matters</w:t>
            </w:r>
          </w:p>
        </w:tc>
      </w:tr>
      <w:tr>
        <w:trPr/>
        <w:tc>
          <w:tcPr>
            <w:tcW w:w="2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9"/>
                <w:u w:val="single"/>
              </w:rPr>
            </w:pPr>
            <w:r>
              <w:rPr>
                <w:rFonts w:ascii="Times New Roman;sans-serif" w:hAnsi="Times New Roman;sans-serif"/>
                <w:b/>
                <w:i/>
                <w:color w:val="000000"/>
                <w:sz w:val="19"/>
                <w:u w:val="single"/>
              </w:rPr>
              <w:t>Issued in 2025 and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9"/>
              </w:rPr>
              <w:t xml:space="preserve">ASU 2025-01, January 2025, and ASU 2024-03, November 2024, </w:t>
            </w:r>
            <w:r>
              <w:rPr>
                <w:rFonts w:ascii="Times New Roman;sans-serif" w:hAnsi="Times New Roman;sans-serif"/>
                <w:b w:val="false"/>
                <w:i/>
                <w:color w:val="000000"/>
                <w:sz w:val="19"/>
              </w:rPr>
              <w:t>Income Statement—Reporting Comprehensive Income — Expense Disaggregation Disclosures (Subtopic 220-40)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7"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ans-serif" w:hAnsi="Times New Roman;sans-serif"/>
                <w:b w:val="false"/>
                <w:color w:val="000000"/>
                <w:sz w:val="18"/>
              </w:rPr>
              <w:t>This ASU requires the disaggregation of specific natural expense categories within relevant income statement captions. Public business entities are required to provide tabular disclosures which disaggregate expenses such as purchases of inventory, employee compensation, depreciation and amortization. A separate total of an entity's selling expenses is also required, along with the disclosure of how the company determines them.</w:t>
              <w:br/>
            </w:r>
            <w:r>
              <w:rPr>
                <w:rFonts w:ascii="Times New Roman;sans-serif" w:hAnsi="Times New Roman;sans-serif"/>
                <w:b w:val="false"/>
                <w:sz w:val="18"/>
              </w:rPr>
              <w:br/>
            </w:r>
            <w:r>
              <w:rPr>
                <w:rFonts w:ascii="Times New Roman;sans-serif" w:hAnsi="Times New Roman;sans-serif"/>
                <w:b w:val="false"/>
                <w:color w:val="000000"/>
                <w:sz w:val="18"/>
              </w:rPr>
              <w:t>The guidance is required to be applied prospectively, but may be applied retrospectively for annual reporting periods beginning after December 15, 2026, and interim periods within annual reporting periods beginning after December 15 2027. Early adoption is permitted.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 are assessing the impact of this ASU on our consolidated financial statements.</w:t>
            </w:r>
          </w:p>
        </w:tc>
      </w:tr>
      <w:tr>
        <w:trPr/>
        <w:tc>
          <w:tcPr>
            <w:tcW w:w="2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9"/>
              </w:rPr>
              <w:t xml:space="preserve">ASU 2024-04, November 2024, </w:t>
            </w:r>
            <w:r>
              <w:rPr>
                <w:rFonts w:ascii="Times New Roman;sans-serif" w:hAnsi="Times New Roman;sans-serif"/>
                <w:b w:val="false"/>
                <w:i/>
                <w:color w:val="000000"/>
                <w:sz w:val="19"/>
              </w:rPr>
              <w:t>Debt—Debt with Conversion and Other Options (Subtopic 470-20), Induced Conversions of Convertible Debt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7"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ans-serif" w:hAnsi="Times New Roman;sans-serif"/>
                <w:b w:val="false"/>
                <w:color w:val="000000"/>
                <w:sz w:val="18"/>
              </w:rPr>
              <w:t>This ASU clarifies that to qualify for induced conversion accounting, an inducement offer must preserve the issuance of all of the consideration (in form and amount) issuable in accordance with the conversion privileges specified in the terms of the existing debt instrument. In addition, the ASU requires that to qualify for induced conversion accounting, an instrument must contain a substantive conversion feature as of the date on which both the issuance offer and the inducement offer are accepted by the convertible debt holder. An entity that doesn't meet all of the criteria for conversion accounting or induced conversion accounting applies extinguishment accounting and recognizes a gain or loss for the difference between the fair value of the entire consideration transferred and the net carrying amount of the debt.</w:t>
              <w:br/>
            </w:r>
            <w:r>
              <w:rPr>
                <w:rFonts w:ascii="Times New Roman;sans-serif" w:hAnsi="Times New Roman;sans-serif"/>
                <w:b w:val="false"/>
                <w:sz w:val="18"/>
              </w:rPr>
              <w:br/>
            </w:r>
            <w:r>
              <w:rPr>
                <w:rFonts w:ascii="Times New Roman;sans-serif" w:hAnsi="Times New Roman;sans-serif"/>
                <w:b w:val="false"/>
                <w:color w:val="000000"/>
                <w:sz w:val="18"/>
              </w:rPr>
              <w:t>Entities have the option to apply the guidance either (1) prospectively to settlements of convertible debt instruments that occur during fiscal years (and interim periods within those fiscal years) beginning after the effective date or (2) retrospectively. Under the retrospective transition approach, the entity recasts prior periods and recognizes a cumulative-effect adjustment to equity as of the later of the beginning of the earliest period presented or the date the entity adopted ASU 2020-06. This is effective for all entities for fiscal years beginning after December 15, 2025, and interim periods within those fiscal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 are assessing the impact of this ASU on our consolidated financial statements.</w:t>
            </w:r>
          </w:p>
        </w:tc>
      </w:tr>
      <w:tr>
        <w:trPr/>
        <w:tc>
          <w:tcPr>
            <w:tcW w:w="2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9"/>
                <w:u w:val="single"/>
              </w:rPr>
            </w:pPr>
            <w:r>
              <w:rPr>
                <w:rFonts w:ascii="Times New Roman;sans-serif" w:hAnsi="Times New Roman;sans-serif"/>
                <w:b/>
                <w:i/>
                <w:color w:val="000000"/>
                <w:sz w:val="19"/>
                <w:u w:val="single"/>
              </w:rPr>
              <w:t>Issued in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9"/>
              </w:rPr>
              <w:t xml:space="preserve">ASU 2023-06, October 2023, </w:t>
            </w:r>
            <w:r>
              <w:rPr>
                <w:rFonts w:ascii="Times New Roman;sans-serif" w:hAnsi="Times New Roman;sans-serif"/>
                <w:b w:val="false"/>
                <w:i/>
                <w:color w:val="000000"/>
                <w:sz w:val="19"/>
              </w:rPr>
              <w:t>Disclosure Improvements: Codification Amendments in Response to the SEC's Disclosure Update and Simplification Initiative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7"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ans-serif" w:hAnsi="Times New Roman;sans-serif"/>
                <w:b w:val="false"/>
                <w:color w:val="000000"/>
                <w:sz w:val="19"/>
              </w:rPr>
              <w:t>This ASU amends the disclosure or presentation requirements related to various subtopics in the FASB Accounting Standard Codification (the "Codification"). The new guidance is intended to align U.S. GAAP requirements with those of the SEC and to facilitate the application of U.S. GAAP for all entities. These disclosure requirements are currently included in either SEC Regulation S-X or SEC Regulation S-K.</w:t>
              <w:br/>
            </w:r>
            <w:r>
              <w:rPr>
                <w:rFonts w:ascii="Times New Roman;sans-serif" w:hAnsi="Times New Roman;sans-serif"/>
                <w:b w:val="false"/>
                <w:sz w:val="19"/>
              </w:rPr>
              <w:br/>
            </w:r>
            <w:r>
              <w:rPr>
                <w:rFonts w:ascii="Times New Roman;sans-serif" w:hAnsi="Times New Roman;sans-serif"/>
                <w:b w:val="false"/>
                <w:color w:val="000000"/>
                <w:sz w:val="19"/>
              </w:rPr>
              <w:t>The effective date for each amendment will be the date on which the SEC's removal of that related disclosure from Regulation S-X or Regulation S-K becomes effective. Early adoption is prohibited and the amendments should be applied prospectively. If the SEC has not removed the applicable requirement from Regulation S-X or Regulation S-K by June 30, 2027, the amendments will be removed from the Codification and will not be effective.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 do not expect this ASU to have a material impact on our consolidated financial statements.</w:t>
            </w:r>
          </w:p>
        </w:tc>
      </w:tr>
      <w:tr>
        <w:trPr/>
        <w:tc>
          <w:tcPr>
            <w:tcW w:w="2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r>
      <w:tr>
        <w:trPr/>
        <w:tc>
          <w:tcPr>
            <w:tcW w:w="2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before="1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Consolidated Statements of Cash Flows—Supplemental Disclosures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provide supplemental disclosures related to the Consolidated Statements of Cash Flows:</w:t>
      </w:r>
    </w:p>
    <w:tbl>
      <w:tblPr>
        <w:tblW w:w="8327" w:type="dxa"/>
        <w:jc w:val="left"/>
        <w:tblInd w:w="0" w:type="dxa"/>
        <w:tblLayout w:type="fixed"/>
        <w:tblCellMar>
          <w:top w:w="28" w:type="dxa"/>
          <w:left w:w="28" w:type="dxa"/>
          <w:bottom w:w="28" w:type="dxa"/>
          <w:right w:w="28" w:type="dxa"/>
        </w:tblCellMar>
      </w:tblPr>
      <w:tblGrid>
        <w:gridCol w:w="2048"/>
        <w:gridCol w:w="1801"/>
        <w:gridCol w:w="1806"/>
        <w:gridCol w:w="211"/>
        <w:gridCol w:w="721"/>
        <w:gridCol w:w="109"/>
        <w:gridCol w:w="109"/>
        <w:gridCol w:w="109"/>
        <w:gridCol w:w="109"/>
        <w:gridCol w:w="211"/>
        <w:gridCol w:w="721"/>
        <w:gridCol w:w="109"/>
        <w:gridCol w:w="109"/>
        <w:gridCol w:w="154"/>
      </w:tblGrid>
      <w:tr>
        <w:trPr/>
        <w:tc>
          <w:tcPr>
            <w:tcW w:w="2048"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DISCLOSURES: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costs incurred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capitalized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 net of amounts capitalized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34,997 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39,199 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(refunded) for income taxes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INVESTING AND FINANCING TRANSACTIONS:</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issued under dividend reinvestment plan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DownREIT operating partnership units redeemed for common shares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9767" w:type="dxa"/>
        <w:jc w:val="center"/>
        <w:tblInd w:w="0" w:type="dxa"/>
        <w:tblLayout w:type="fixed"/>
        <w:tblCellMar>
          <w:top w:w="28" w:type="dxa"/>
          <w:left w:w="28" w:type="dxa"/>
          <w:bottom w:w="28" w:type="dxa"/>
          <w:right w:w="28" w:type="dxa"/>
        </w:tblCellMar>
      </w:tblPr>
      <w:tblGrid>
        <w:gridCol w:w="2495"/>
        <w:gridCol w:w="2191"/>
        <w:gridCol w:w="2199"/>
        <w:gridCol w:w="211"/>
        <w:gridCol w:w="826"/>
        <w:gridCol w:w="109"/>
        <w:gridCol w:w="109"/>
        <w:gridCol w:w="109"/>
        <w:gridCol w:w="109"/>
        <w:gridCol w:w="211"/>
        <w:gridCol w:w="826"/>
        <w:gridCol w:w="109"/>
        <w:gridCol w:w="109"/>
        <w:gridCol w:w="154"/>
      </w:tblGrid>
      <w:tr>
        <w:trPr/>
        <w:tc>
          <w:tcPr>
            <w:tcW w:w="2495"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RECONCILIATION OF CASH, CASH EQUIVALENTS, AND RESTRICTED CASH:</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135,443 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(1)Restricted cash balances are included in "prepaid expenses and other assets" on our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3—REAL ESTATE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25, 2025, we acquired the fee interest in Del Monte Shopping Center, a 675,000 square foot, grocery anchored retail shopping center in Monterey, California for $123.5 million. Approximately $17.7 million and $0.8 million of net assets acquired were allocated to other assets for "acquired lease costs" and "above market leases," respectively, and $23.5 million of net assets acquired were allocated to other liabilities for "below market leases."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we sold a portion of our White Marsh Other property for $3.4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4—DEBT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January 9, 2025, we repaid a $1.2 million mortgage loan at our Hoboken property, at par.</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March 20, 2025, we amended and restated our $600.0 million unsecured term loan, extending the maturity date to March 20, 2028, plus two one-year extensions, at our option. In addition, we have the right until December 20, 2025 to borrow up to an additional $150.0 million in the form of one or more unsecured term loans. Under an accordion feature, we have the right to request additional loans, subject to an aggregate maximum of $1.0 billion borrowed under the restated agreement. Debt issuance costs included in our consolidated Balance Sheet related to this amendment were $4.8 million as of March 31, 2025. Additionally, on May 1, 2025, the interest rate was reduced by removing the 0.10% adjustment to SOFR.</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the maximum amount of borrowings outstanding under our $1.25 billion revolving credit facility was $109.0 million. The weighted average amount of borrowings outstanding was $35.1 million and the weighted average interest rate, before amortization of debt fees, was 5.2% for the three months ended March 31, 2025. At March 31, 2025, our revolving credit facility had $44.6 million outstanding.</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revolving credit facility, term loan, and certain notes require us to comply with various financial covenants, including the maintenance of minimum shareholders' equity and debt coverage ratios and a maximum ratio of debt to net worth. As of March 31, 2025, we were in compliance with all default related debt covenants.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Exchangeable Senior Notes</w:t>
      </w:r>
    </w:p>
    <w:p>
      <w:pPr>
        <w:pStyle w:val="TextBody"/>
        <w:bidi w:val="0"/>
        <w:spacing w:lineRule="auto" w:line="288" w:before="60" w:after="283"/>
        <w:jc w:val="left"/>
        <w:rPr/>
      </w:pPr>
      <w:r>
        <w:rPr>
          <w:rFonts w:ascii="Times New Roman;sans-serif" w:hAnsi="Times New Roman;sans-serif"/>
          <w:b w:val="false"/>
          <w:color w:val="000000"/>
          <w:sz w:val="20"/>
        </w:rPr>
        <w:t>On January 11, 2024, our Operating Partnership issued $485.0 million aggregate principal amount of 3.25% Exchangeable Senior Notes due 2029 (the “Notes”) in a private placement. The Notes bear interest at an annual rate of 3.25%, payable semiannually in arrears on January 15</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and July 15</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 xml:space="preserve">of each year, beginning July 15, 2024. The Notes mature on January 15,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unless earlier exchanged, purchased or redeemed. Net proceeds after the initial purchaser’s discount and offering costs were approximately $471.5 million. Interest expense related to these Notes was $4.6 million and $4.1 million for the three months ended March 31, 2025 and 2024, respectively, and includes debt issuance cost amortization of $0.7 million and $0.6 million, respectively. Including the debt issuance cost amortization, the current effective interest rate on these Notes is approximately 3.9%. The unamortized debt issuance costs related to the Notes were $10.2 million at March 31, 2025.</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to the close of business on July 15, 2028, the Notes will be exchangeable at the option of holders only upon certain circumstances and during certain periods. On or after July 15, 2028, until the close of business on the second scheduled trading day immediately preceding the maturity date of the Notes, holders may exchange their Notes at any time. The Operating Partnership will settle exchanges of the Notes by delivering cash up to the principal amount of the Notes exchanged, and if applicable, cash, common shares of the Trust, or a combination thereof at our option, in respect of the remainder, if any, of the exchange obligation in excess of the principal amount. If we elect to settle any portion of the exchange obligation in excess of the principal amount with shares of the Trust, an equivalent number of common units will be issued by the Operating Partnership to the Trust. The exchange rate initially equals 8.1436 common shares per $1,000 principal amount of the Notes (which is equivalent to an exchange price of approximately $122.80 per common share and reflects an exchange premium of approximately 20% based on the closing price of $102.33 on January 8, 2024). The initial exchange rate is subject to adjustment upon the occurrence of certain events, including in the event of a payment of a quarterly common dividend in excess of $1.09 per share, but will not be adjusted for any accrued and unpaid interest. While our quarterly common dividend per share currently exceeds $1.09, the exchange rate has not materially changed.</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Operating Partnership may redeem the Notes, at its option, in whole or in part, on or after January 20, 2027 if the last reported sales price of the common shares has been at least 130% of the exchange price then in effect for at least 20 trading days (whether or not consecutive) during any 30 day consecutive trading period (including the last trading day of such period) ending on, and including, the trading day immediately preceding the date on which the Operating Partnership provides notice of redemption. The redemption price will be equal to 100% of the principal amount of the Notes to be redeemed, plus accrued and unpaid interest, if any, to, but excluding, the redemption date.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Notes, we entered into privately negotiated capped call transactions with certain of the initial purchasers of the Notes or their affiliates or other financial institutions. The capped call transactions cover, subject to customary adjustments, the number of our common shares that initially underlie the Notes. The capped call transactions are expected generally to reduce the potential dilution to our common shares upon exchange of any Notes and/or offset any cash payments we are required to make in excess of the principal amount of the Notes, with such reduction and/or offset subject to a cap. The cap price of the capped call transaction initially is approximately $143.26 per share, which represents a premium of approximately 40% over the last reported sale price of our common shares of $102.33 on the New York Stock Exchange on January 8, 2024, and is subject to certain adjustments under the terms of the capped call transactions. A portion of the proceeds from the Notes were used to pay the capped call premium of $19.4 million, which was recorded in shareholders' equity for the Trust and capital for the Operating Partnership.</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5—FAIR VALUE OF FINANCIAL INSTRUMENTS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Except as disclosed below, the carrying amount of our financial instruments approximates their fair value. The fair value of our mortgages payable, notes payable and senior notes and debentures is sensitive to fluctuations in interest rates. Quoted market prices (Level 1) were used to estimate the fair value of our marketable senior notes and debentures and discounted cash flow analysis (Level 2) is generally used to estimate the fair value of our mortgages and notes payable. Considerable judgment is necessary to estimate the fair value of financial instruments. The estimates of fair value presented herein are not necessarily indicative of the amounts that could be realized upon disposition of the financial instruments. A summary of the carrying amount and fair value of our mortgages payable, notes payable and senior notes and debentures is as follows:</w:t>
      </w:r>
    </w:p>
    <w:p>
      <w:pPr>
        <w:pStyle w:val="TextBody"/>
        <w:bidi w:val="0"/>
        <w:spacing w:before="0" w:after="0"/>
        <w:jc w:val="left"/>
        <w:rPr/>
      </w:pPr>
      <w:r>
        <w:rPr/>
      </w:r>
    </w:p>
    <w:tbl>
      <w:tblPr>
        <w:tblW w:w="9059" w:type="dxa"/>
        <w:jc w:val="left"/>
        <w:tblInd w:w="0" w:type="dxa"/>
        <w:tblLayout w:type="fixed"/>
        <w:tblCellMar>
          <w:top w:w="28" w:type="dxa"/>
          <w:left w:w="28" w:type="dxa"/>
          <w:bottom w:w="28" w:type="dxa"/>
          <w:right w:w="28" w:type="dxa"/>
        </w:tblCellMar>
      </w:tblPr>
      <w:tblGrid>
        <w:gridCol w:w="1032"/>
        <w:gridCol w:w="906"/>
        <w:gridCol w:w="911"/>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103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2849" w:type="dxa"/>
            <w:gridSpan w:val="3"/>
            <w:vMerge w:val="continue"/>
            <w:tcBorders/>
            <w:tcMar>
              <w:top w:w="0" w:type="dxa"/>
              <w:left w:w="0" w:type="dxa"/>
              <w:bottom w:w="0" w:type="dxa"/>
              <w:right w:w="0" w:type="dxa"/>
            </w:tcMar>
            <w:vAlign w:val="center"/>
          </w:tcPr>
          <w:p>
            <w:pPr>
              <w:pStyle w:val="Normal"/>
              <w:bidi w:val="0"/>
              <w:jc w:val="left"/>
              <w:rPr/>
            </w:pPr>
            <w:r>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849" w:type="dxa"/>
            <w:gridSpan w:val="3"/>
            <w:vMerge w:val="continue"/>
            <w:tcBorders/>
            <w:tcMar>
              <w:top w:w="0" w:type="dxa"/>
              <w:left w:w="0" w:type="dxa"/>
              <w:bottom w:w="0" w:type="dxa"/>
              <w:right w:w="0" w:type="dxa"/>
            </w:tcMar>
            <w:vAlign w:val="center"/>
          </w:tcPr>
          <w:p>
            <w:pPr>
              <w:pStyle w:val="Normal"/>
              <w:bidi w:val="0"/>
              <w:jc w:val="left"/>
              <w:rPr/>
            </w:pPr>
            <w:r>
              <w:rPr/>
            </w:r>
          </w:p>
        </w:tc>
        <w:tc>
          <w:tcPr>
            <w:tcW w:w="6210"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Mortgages and notes payable,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1,098,271 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and debentures,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2,884,583 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2,683,656 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2,883,713 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2,645,097 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Exchangeable senior notes,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495,510 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we have five interest rate swap agreements with total notional amounts of $251.7 million that are measured at fair value on a recurring basis. We have two interest rate swap agreements associated with our Hoboken portfolio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that fix the interest rate on $51.7 million of mortgage payables at 3.67% through December 15, 2029. We also have three interest rate swap agreements associated with our Bethesda Row property that fix the interest rate on a $200.0 million mortgage payable at a weighted average interest rate of 5.03% through December 28, 2025.</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values of the interest rate swap agreements are based on the estimated amounts we would receive or pay to terminate the contracts at the reporting date and are determined using interest rate pricing models and interest rate related observable inputs. The fair value of our swaps at March 31, 2025 was an asset of $4.1 million and is included in "prepaid expenses and other assets" on our consolidated balance sheets. For the three months ended March 31, 2025, the value of our interest rate swaps decreased $1.1 million (including $0.5 million reclassified from other comprehensive income as a decrease to interest expense). A summary of our financial assets that are measured at fair value on a recurring basis, by level within the fair value hierarchy is as follows:</w:t>
      </w:r>
    </w:p>
    <w:tbl>
      <w:tblPr>
        <w:tblW w:w="10205" w:type="dxa"/>
        <w:jc w:val="left"/>
        <w:tblInd w:w="0" w:type="dxa"/>
        <w:tblLayout w:type="fixed"/>
        <w:tblCellMar>
          <w:top w:w="28" w:type="dxa"/>
          <w:left w:w="28" w:type="dxa"/>
          <w:bottom w:w="28" w:type="dxa"/>
          <w:right w:w="28" w:type="dxa"/>
        </w:tblCellMar>
      </w:tblPr>
      <w:tblGrid>
        <w:gridCol w:w="442"/>
        <w:gridCol w:w="388"/>
        <w:gridCol w:w="391"/>
        <w:gridCol w:w="211"/>
        <w:gridCol w:w="406"/>
        <w:gridCol w:w="109"/>
        <w:gridCol w:w="109"/>
        <w:gridCol w:w="109"/>
        <w:gridCol w:w="109"/>
        <w:gridCol w:w="211"/>
        <w:gridCol w:w="616"/>
        <w:gridCol w:w="109"/>
        <w:gridCol w:w="109"/>
        <w:gridCol w:w="109"/>
        <w:gridCol w:w="109"/>
        <w:gridCol w:w="211"/>
        <w:gridCol w:w="406"/>
        <w:gridCol w:w="109"/>
        <w:gridCol w:w="109"/>
        <w:gridCol w:w="109"/>
        <w:gridCol w:w="109"/>
        <w:gridCol w:w="211"/>
        <w:gridCol w:w="616"/>
        <w:gridCol w:w="109"/>
        <w:gridCol w:w="109"/>
        <w:gridCol w:w="109"/>
        <w:gridCol w:w="109"/>
        <w:gridCol w:w="211"/>
        <w:gridCol w:w="406"/>
        <w:gridCol w:w="109"/>
        <w:gridCol w:w="109"/>
        <w:gridCol w:w="109"/>
        <w:gridCol w:w="109"/>
        <w:gridCol w:w="211"/>
        <w:gridCol w:w="616"/>
        <w:gridCol w:w="109"/>
        <w:gridCol w:w="109"/>
        <w:gridCol w:w="109"/>
        <w:gridCol w:w="109"/>
        <w:gridCol w:w="211"/>
        <w:gridCol w:w="406"/>
        <w:gridCol w:w="109"/>
        <w:gridCol w:w="109"/>
        <w:gridCol w:w="109"/>
        <w:gridCol w:w="109"/>
        <w:gridCol w:w="211"/>
        <w:gridCol w:w="616"/>
        <w:gridCol w:w="156"/>
      </w:tblGrid>
      <w:tr>
        <w:trPr/>
        <w:tc>
          <w:tcPr>
            <w:tcW w:w="442"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4"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One of our equity method investees has two interest rate swaps which qualify for cash flow hedge accounting. For the three months ended March 31, 2025, our share of the change in fair value of the related swaps included in "accumulated other comprehensive income" was a loss of $0.1 million. </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6—COMMITMENTS AND CONTINGENCIES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sometimes involved in lawsuits, warranty claims, and environmental matters arising in the ordinary course of business. Management makes assumptions and estimates concerning the likelihood and amount of any potential loss relating to these matters.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currently a party to various legal proceedings. We accrue a liability for litigation if an unfavorable outcome is probable and the amount of loss can be reasonably estimated. If an unfavorable outcome is probable and a reasonable estimate of the loss is a range, we accrue the best estimate within the range; however, if no amount within the range is a better estimate than any other amount, the minimum within the range is accrued. Legal fees related to litigation are expensed as incurred. We do not believe that the ultimate outcome of these matters, either individually or in the aggregate, could have a material adverse effect on our financial position or overall trends in results of operations; however, litigation is subject to inherent uncertainties. Also under our leases, tenants are typically obligated to indemnify us from and against all liabilities, costs and expenses imposed upon or asserted against us (1) as owner of the properties due to certain matters relating to the operation of the properties by the tenant, and (2) where appropriate, due to certain matters relating to the ownership of the properties prior to their acquisition by us.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the terms of certain partnership agreements, the partners have the right to exchange their operating partnership units for cash or common shares, at our option. As of March 31, 2025, a total of 607,190 downREIT operating partnership units were outstanding which had a total fair value of approximately $59.4 million, which is calculated by multiplying the outstanding number of downREIT partnership units by our closing stock price on March 31, 2025. In April 2025, we redeemed 76,510 downREIT operating partnership units for $6.8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7—SHAREHOLDERS’ EQUITY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summary of dividends declared and paid per share:</w:t>
      </w:r>
    </w:p>
    <w:p>
      <w:pPr>
        <w:pStyle w:val="TextBody"/>
        <w:bidi w:val="0"/>
        <w:spacing w:before="0" w:after="0"/>
        <w:jc w:val="left"/>
        <w:rPr/>
      </w:pPr>
      <w:r>
        <w:rPr/>
      </w:r>
    </w:p>
    <w:tbl>
      <w:tblPr>
        <w:tblW w:w="10080" w:type="dxa"/>
        <w:jc w:val="left"/>
        <w:tblInd w:w="0" w:type="dxa"/>
        <w:tblLayout w:type="fixed"/>
        <w:tblCellMar>
          <w:top w:w="28" w:type="dxa"/>
          <w:left w:w="28" w:type="dxa"/>
          <w:bottom w:w="28" w:type="dxa"/>
          <w:right w:w="28" w:type="dxa"/>
        </w:tblCellMar>
      </w:tblPr>
      <w:tblGrid>
        <w:gridCol w:w="1764"/>
        <w:gridCol w:w="1550"/>
        <w:gridCol w:w="1560"/>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154"/>
      </w:tblGrid>
      <w:tr>
        <w:trPr/>
        <w:tc>
          <w:tcPr>
            <w:tcW w:w="1764"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2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481" w:type="dxa"/>
            <w:gridSpan w:val="4"/>
            <w:tcBorders/>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Declared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Declared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5.417% Series 1 Cumulative Convertible Preferred shares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 Series C Cumulative Redeemable Preferred shares (1)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(1)Amount represents dividends per depository share, each representing 1/1000th of a share.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14, 2025, we amended our existing at-the-market ("ATM") equity program under which we may from time to time offer and sell common shares. This amendment reset the aggregate offering price of the program to $750.0 million. Our ATM equity program also allows shares to be sold through forward sales contracts. We intend to use the net proceeds to fund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potential acquisition opportunities, fund our development and redevelopment pipeline, repay indebtedness and/or for general corporate purposes.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we settled our remaining open forward sales agreements by issuing 476,497 common shares for net cash proceeds of $54.5 million including paying $0.1 million in additional offering expenses.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there were no sales and we did not enter into any forward sales contracts under the amended ATM equity program, and therefore we have the capacity to issue up to $750.0 million in common shares under this program as of March 31, 2025.</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NOTE 8—SHARE-BASED COMPENSATION PLANS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share-based compensation expense included in net income is as follows:</w:t>
      </w:r>
    </w:p>
    <w:tbl>
      <w:tblPr>
        <w:tblW w:w="7645" w:type="dxa"/>
        <w:jc w:val="center"/>
        <w:tblInd w:w="0" w:type="dxa"/>
        <w:tblLayout w:type="fixed"/>
        <w:tblCellMar>
          <w:top w:w="28" w:type="dxa"/>
          <w:left w:w="28" w:type="dxa"/>
          <w:bottom w:w="28" w:type="dxa"/>
          <w:right w:w="28" w:type="dxa"/>
        </w:tblCellMar>
      </w:tblPr>
      <w:tblGrid>
        <w:gridCol w:w="1797"/>
        <w:gridCol w:w="1581"/>
        <w:gridCol w:w="1587"/>
        <w:gridCol w:w="211"/>
        <w:gridCol w:w="616"/>
        <w:gridCol w:w="109"/>
        <w:gridCol w:w="109"/>
        <w:gridCol w:w="109"/>
        <w:gridCol w:w="109"/>
        <w:gridCol w:w="211"/>
        <w:gridCol w:w="616"/>
        <w:gridCol w:w="109"/>
        <w:gridCol w:w="109"/>
        <w:gridCol w:w="109"/>
        <w:gridCol w:w="109"/>
        <w:gridCol w:w="154"/>
      </w:tblGrid>
      <w:tr>
        <w:trPr/>
        <w:tc>
          <w:tcPr>
            <w:tcW w:w="1797"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Grants of common shares, restricted stock units, and options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share-based compensation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9—EARNINGS PER SHARE AND UNIT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calculated earnings per share (“EPS”) and earnings per unit ("EPU") under the two-class method. The two-class method is an earnings allocation methodology whereby EPS and EPU for each class of common stock and partnership units, respectively, and participating securities is calculated according to dividends or distributions declared and participation rights in undistributed earnings. For both the three months ended March 31, 2025 and 2024, we had 0.3 million weighted average unvested shares and units outstanding, which are considered participating securities. Therefore, we have allocated our earnings for basic and diluted EPS and EPU between common shares and units and unvested shares and units; the portion of earnings allocated to the unvested shares and units is reflected as “earnings allocated to unvested shares” or "earnings allocated to unvested units" in the reconciliations below.</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potentially issuable shares were excluded from the diluted EPS and EPU calculations because their impact is anti-dilutive: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exercise of 1,190 and 3,019 stock options for the three months ended March 31, 2025 and 2024, respectively,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conversions of downREIT operating partnership units for both the three months ended March 31, 2025 and 2024,</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conversions of 5.417% Series 1 Cumulative Convertible Preferred Shares and units for both the three months ended March 31, 2025 and 2024,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issuance of 0.5 million shares and units issuable under common share forward sales agreements for the period they were outstanding during the three months ended March 31, 2025, and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exchange of common shares and units related to the 3.25% Exchangeable Senior Notes due 2029 for both the three months ended March 31, 2025 and 2024.</w:t>
      </w:r>
    </w:p>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Federal Realty Investment Trust Earnings per Share</w:t>
      </w:r>
    </w:p>
    <w:tbl>
      <w:tblPr>
        <w:tblW w:w="8969" w:type="dxa"/>
        <w:jc w:val="left"/>
        <w:tblInd w:w="0" w:type="dxa"/>
        <w:tblLayout w:type="fixed"/>
        <w:tblCellMar>
          <w:top w:w="28" w:type="dxa"/>
          <w:left w:w="28" w:type="dxa"/>
          <w:bottom w:w="28" w:type="dxa"/>
          <w:right w:w="28" w:type="dxa"/>
        </w:tblCellMar>
      </w:tblPr>
      <w:tblGrid>
        <w:gridCol w:w="2064"/>
        <w:gridCol w:w="1814"/>
        <w:gridCol w:w="1822"/>
        <w:gridCol w:w="244"/>
        <w:gridCol w:w="835"/>
        <w:gridCol w:w="126"/>
        <w:gridCol w:w="126"/>
        <w:gridCol w:w="126"/>
        <w:gridCol w:w="126"/>
        <w:gridCol w:w="244"/>
        <w:gridCol w:w="835"/>
        <w:gridCol w:w="126"/>
        <w:gridCol w:w="109"/>
        <w:gridCol w:w="109"/>
        <w:gridCol w:w="109"/>
        <w:gridCol w:w="154"/>
      </w:tblGrid>
      <w:tr>
        <w:trPr/>
        <w:tc>
          <w:tcPr>
            <w:tcW w:w="2064"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c>
          <w:tcPr>
            <w:tcW w:w="481" w:type="dxa"/>
            <w:gridSpan w:val="4"/>
            <w:tcBorders/>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66,578 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58,016 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Preferred share dividends</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Income from operations attributable to noncontrolling interests</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Earnings allocated to unvested shares</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for common shareholders, basic and diluted</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61,439 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54,395 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2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basic and diluted</w:t>
            </w:r>
          </w:p>
        </w:tc>
        <w:tc>
          <w:tcPr>
            <w:tcW w:w="10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85,472 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82,605 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 BASIC AND DILUTED:</w:t>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for common shareholders</w:t>
            </w:r>
          </w:p>
        </w:tc>
        <w:tc>
          <w:tcPr>
            <w:tcW w:w="24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0.72 </w:t>
            </w:r>
          </w:p>
        </w:tc>
        <w:tc>
          <w:tcPr>
            <w:tcW w:w="1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0.66 </w:t>
            </w:r>
          </w:p>
        </w:tc>
        <w:tc>
          <w:tcPr>
            <w:tcW w:w="1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Federal Realty OP LP Earnings per Unit</w:t>
      </w:r>
    </w:p>
    <w:tbl>
      <w:tblPr>
        <w:tblW w:w="8971" w:type="dxa"/>
        <w:jc w:val="left"/>
        <w:tblInd w:w="0" w:type="dxa"/>
        <w:tblLayout w:type="fixed"/>
        <w:tblCellMar>
          <w:top w:w="28" w:type="dxa"/>
          <w:left w:w="28" w:type="dxa"/>
          <w:bottom w:w="28" w:type="dxa"/>
          <w:right w:w="28" w:type="dxa"/>
        </w:tblCellMar>
      </w:tblPr>
      <w:tblGrid>
        <w:gridCol w:w="2064"/>
        <w:gridCol w:w="1814"/>
        <w:gridCol w:w="1822"/>
        <w:gridCol w:w="235"/>
        <w:gridCol w:w="803"/>
        <w:gridCol w:w="121"/>
        <w:gridCol w:w="121"/>
        <w:gridCol w:w="121"/>
        <w:gridCol w:w="121"/>
        <w:gridCol w:w="235"/>
        <w:gridCol w:w="803"/>
        <w:gridCol w:w="121"/>
        <w:gridCol w:w="109"/>
        <w:gridCol w:w="109"/>
        <w:gridCol w:w="109"/>
        <w:gridCol w:w="109"/>
        <w:gridCol w:w="154"/>
      </w:tblGrid>
      <w:tr>
        <w:trPr/>
        <w:tc>
          <w:tcPr>
            <w:tcW w:w="2064"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unit data)</w:t>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66,578 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58,016 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Preferred unit distributions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Income from operations attributable to noncontrolling interests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Earnings allocated to unvested units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for common unit holders, basic and diluted</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61,439 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54,395 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1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units outstanding, basic and diluted</w:t>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85,472 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82,605 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UNIT, BASIC AND DILUTED:</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for common unit holders</w:t>
            </w:r>
          </w:p>
        </w:tc>
        <w:tc>
          <w:tcPr>
            <w:tcW w:w="23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0.72 </w:t>
            </w:r>
          </w:p>
        </w:tc>
        <w:tc>
          <w:tcPr>
            <w:tcW w:w="1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0.66 </w:t>
            </w:r>
          </w:p>
        </w:tc>
        <w:tc>
          <w:tcPr>
            <w:tcW w:w="1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10—</w:t>
      </w:r>
      <w:bookmarkStart w:id="0" w:name="if726cc61216d420198006f4a41906ceb_1282"/>
      <w:bookmarkEnd w:id="0"/>
      <w:r>
        <w:rPr>
          <w:rFonts w:ascii="Times New Roman;sans-serif" w:hAnsi="Times New Roman;sans-serif"/>
          <w:b/>
          <w:color w:val="000000"/>
          <w:sz w:val="20"/>
        </w:rPr>
        <w:t>SUBSEQUENT EVENT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April 10, 2025, we announced that our Board of Trustees had approved a new common share repurchase program, under which we may purchase up to $300.0 million of our outstanding common shares of beneficial interest, $0.01 par value per share from time to time using a variety of methods, including open market, privately negotiated transactions or otherwise. The specific timing and amount of common share repurchases, if any, will depend on a number of factors, including prevailing share prices, trading volume and general market conditions, along with our working capital requirements, cash flow, and other factors. The program does not require us to repurchase any dollar amount or number of common shares and may be suspended or discontinued at any time. As of May 8, 2025, no common shares have been repurchased through the program.</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100" w:after="283"/>
        <w:jc w:val="left"/>
        <w:rPr/>
      </w:pPr>
      <w:r>
        <w:rPr>
          <w:rFonts w:ascii="Times New Roman;sans-serif" w:hAnsi="Times New Roman;sans-serif"/>
          <w:b w:val="false"/>
          <w:color w:val="000000"/>
          <w:sz w:val="20"/>
        </w:rPr>
        <w:t xml:space="preserve">The following discussion should be read in conjunction with the consolidated interim financial statements and notes thereto appearing in Item 1 of this report and the more detailed information contained in our Annual Report on </w:t>
      </w:r>
      <w:hyperlink r:id="rId2">
        <w:r>
          <w:rPr>
            <w:rStyle w:val="InternetLink"/>
            <w:rFonts w:ascii="Times New Roman;sans-serif" w:hAnsi="Times New Roman;sans-serif"/>
            <w:b w:val="false"/>
            <w:color w:val="0000FF"/>
            <w:sz w:val="20"/>
            <w:u w:val="single"/>
          </w:rPr>
          <w:t>Form 10-K</w:t>
        </w:r>
      </w:hyperlink>
      <w:r>
        <w:rPr>
          <w:color w:val="000000"/>
        </w:rPr>
        <w:t xml:space="preserve"> </w:t>
      </w:r>
      <w:r>
        <w:rPr>
          <w:rFonts w:ascii="Times New Roman;sans-serif" w:hAnsi="Times New Roman;sans-serif"/>
          <w:b w:val="false"/>
          <w:color w:val="000000"/>
          <w:sz w:val="20"/>
        </w:rPr>
        <w:t>for the year ended December 31, 2024 filed with the Securities and Exchange Commission (the “SEC”) on February 13, 2025.</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Certain statements included in this Quarterly Report on Form 10-Q are forward-looking statements. Those statements include statements regarding the intent, belief or current expectations of the Company and members of our management team, as well as the assumptions on which such statements are based, and generally are identified by the use of words such as “may,” “will,” “seeks,” “anticipates,” “believes,” “estimates,” “expects,” “plans,” “intends,” “should” or similar expressions. Actual results may differ materially from those contemplated by such forward-looking statements. Further, forward-looking statements speak only as of the date they are made, and we undertake no obligation to update or revise forward-looking statements to reflect changed assumptions, the occurrence of unanticipated events or changes to future operating results over time, unless required by law.</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are some of the risks and uncertainties, although not all risks and uncertainties, that could cause our actual results to differ materially from those presented in our forward-looking statements: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risks that our tenants will not pay rent, may vacate early or may file for bankruptcy or that we may be unable to renew leases or re-let space at favorable rents as leases expire or to fill existing vacancy;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risks that we may not be able to proceed with or obtain necessary approvals for any development, redevelopment or renovation project, and that completion of anticipated or ongoing property development, redevelopment, or renovation projects that we do pursue may cost more, take more time to complete or fail to perform as expected;</w:t>
      </w:r>
    </w:p>
    <w:p>
      <w:pPr>
        <w:pStyle w:val="TextBody"/>
        <w:bidi w:val="0"/>
        <w:spacing w:lineRule="auto" w:line="288" w:before="0" w:after="0"/>
        <w:ind w:left="0" w:right="0" w:hanging="360"/>
        <w:jc w:val="left"/>
        <w:rPr/>
      </w:pPr>
      <w:r>
        <w:rPr>
          <w:color w:val="212529"/>
        </w:rPr>
        <w:t>•</w:t>
      </w:r>
      <w:r>
        <w:rPr>
          <w:rFonts w:ascii="Times New Roman;sans-serif" w:hAnsi="Times New Roman;sans-serif"/>
          <w:b w:val="false"/>
          <w:color w:val="000000"/>
          <w:sz w:val="20"/>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risks that our growth will be limited if we cannot obtain additional capital, or if the costs of capital we obtain are significantly higher than historical levels;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risks associated with general economic conditions, including inflation, tariffs, and local economic conditions in our geographic markets;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risks related to the Trust's status as a real estate investment trust, commonly referred to as a REIT, for federal income tax purposes, such as the existence of complex tax regulations relating to the Trust's status as a REIT, the effect of future changes in REIT requirements as a result of new legislation, and the adverse consequences of the failure to qualify as a REIT;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risks related to natural disasters, climate change and public health crises (such as worldwide pandemics),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Given these uncertainties, readers are cautioned not to place undue reliance on any forward-looking statements that we make, including those in this Quarterly Report on Form 10-Q. You should carefully review the risks and the risk factors included in our Annual Report on Form 10-K for the year ended December 31, 2024 and under Part II, Item 1A in this Quarterly Report on Form 10-Q, before making any investments in us.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Federal Realty Investment Trust (the "Parent Company" or the "Trust") is an equity real estate investment trust ("REIT"). Federal Realty OP LP (the "Operating Partnership") is the entity through which the Trust conducts substantially all of its operations and owns substantially all of its assets. The Trust owns 100% of the limited liability company interests of, and is sole member and exercises exclusive control over Federal Realty GP LLC (the "General Partner"), which in turn, is the sole general partner of the Operating Partnership. Unless stated otherwise or the context otherwise requires, "we," "our," and "us" means the Trust and its business and operations conducted through its directly and indirectly owned subsidiaries, including the Operating Partnership. We specialize in the ownership, management, and redevelopment of high quality retail and mixed-use properties.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we owned or had a majority interest in community and neighborhood shopping centers and mixed-use properties which are operated as 103 predominantly retail real estate projects comprising approximately 27.5 million commercial square feet. In total, the real estate projects were 95.7% leased and 93.6% occupied at March 31, 2025.</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General Economic Conditions</w:t>
      </w:r>
    </w:p>
    <w:p>
      <w:pPr>
        <w:pStyle w:val="TextBody"/>
        <w:bidi w:val="0"/>
        <w:spacing w:lineRule="auto" w:line="288" w:before="100" w:after="283"/>
        <w:jc w:val="left"/>
        <w:rPr/>
      </w:pPr>
      <w:r>
        <w:rPr>
          <w:rFonts w:ascii="Times New Roman;sans-serif" w:hAnsi="Times New Roman;sans-serif"/>
          <w:b w:val="false"/>
          <w:color w:val="000000"/>
          <w:sz w:val="20"/>
        </w:rPr>
        <w:t>Significant uncertainty continues within the macro-economic environment</w:t>
      </w:r>
      <w:r>
        <w:rPr>
          <w:color w:val="212529"/>
        </w:rPr>
        <w:t xml:space="preserve"> </w:t>
      </w:r>
      <w:r>
        <w:rPr>
          <w:rFonts w:ascii="Times New Roman;sans-serif" w:hAnsi="Times New Roman;sans-serif"/>
          <w:b w:val="false"/>
          <w:color w:val="212529"/>
          <w:sz w:val="20"/>
        </w:rPr>
        <w:t xml:space="preserve">including concerns over inflation risk, high interest rates, the introduction of new tariffs and their impact on trade and prices, and </w:t>
      </w:r>
      <w:r>
        <w:rPr>
          <w:rFonts w:ascii="Times New Roman;sans-serif" w:hAnsi="Times New Roman;sans-serif"/>
          <w:b w:val="false"/>
          <w:color w:val="000000"/>
          <w:sz w:val="20"/>
        </w:rPr>
        <w:t>potentially worsening economic conditions, which presents risks for our business and tenants.</w:t>
      </w:r>
      <w:r>
        <w:rPr>
          <w:color w:val="212529"/>
        </w:rPr>
        <w:t xml:space="preserve"> </w:t>
      </w:r>
      <w:r>
        <w:rPr>
          <w:rFonts w:ascii="Times New Roman;sans-serif" w:hAnsi="Times New Roman;sans-serif"/>
          <w:b w:val="false"/>
          <w:color w:val="212529"/>
          <w:sz w:val="20"/>
        </w:rPr>
        <w:t xml:space="preserve">We continue to monitor and address risks related to the general state of the economy. </w:t>
      </w:r>
      <w:r>
        <w:rPr>
          <w:rFonts w:ascii="Times New Roman;sans-serif" w:hAnsi="Times New Roman;sans-serif"/>
          <w:b w:val="false"/>
          <w:color w:val="000000"/>
          <w:sz w:val="20"/>
        </w:rPr>
        <w:t>We believe that the actions we have taken to maintain a strong financial position and reinforce our liquidity will continue to mitigate the negative short term impacts of the current economic environment.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further discussion of the impact of current economic conditions on our business throughout Item 2.</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w:t>
      </w:r>
    </w:p>
    <w:p>
      <w:pPr>
        <w:pStyle w:val="TextBody"/>
        <w:bidi w:val="0"/>
        <w:spacing w:lineRule="auto" w:line="288" w:before="100" w:after="283"/>
        <w:jc w:val="left"/>
        <w:rPr/>
      </w:pPr>
      <w:r>
        <w:rPr>
          <w:rFonts w:ascii="Times New Roman;sans-serif" w:hAnsi="Times New Roman;sans-serif"/>
          <w:b w:val="false"/>
          <w:color w:val="000000"/>
          <w:sz w:val="20"/>
        </w:rPr>
        <w:t xml:space="preserve">There have been no significant changes to the critical accounting policies disclosed in “Management’s Discussion and Analysis of Financial Condition and Results of Operations” in our 2024 Annual Report on </w:t>
      </w:r>
      <w:hyperlink r:id="rId3">
        <w:r>
          <w:rPr>
            <w:rStyle w:val="InternetLink"/>
            <w:rFonts w:ascii="Times New Roman;sans-serif" w:hAnsi="Times New Roman;sans-serif"/>
            <w:b w:val="false"/>
            <w:color w:val="0000FF"/>
            <w:sz w:val="20"/>
            <w:u w:val="single"/>
          </w:rPr>
          <w:t>Form 10-K</w:t>
        </w:r>
      </w:hyperlink>
      <w:r>
        <w:rPr>
          <w:rFonts w:ascii="Times New Roman;sans-serif" w:hAnsi="Times New Roman;sans-serif"/>
          <w:b w:val="false"/>
          <w:color w:val="000000"/>
          <w:sz w:val="20"/>
        </w:rPr>
        <w: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Property Acquisitions and Dispositions</w:t>
      </w:r>
    </w:p>
    <w:p>
      <w:pPr>
        <w:pStyle w:val="TextBody"/>
        <w:bidi w:val="0"/>
        <w:spacing w:lineRule="auto" w:line="288" w:before="100" w:after="283"/>
        <w:jc w:val="left"/>
        <w:rPr/>
      </w:pPr>
      <w:r>
        <w:rPr>
          <w:rFonts w:ascii="Times New Roman;sans-serif" w:hAnsi="Times New Roman;sans-serif"/>
          <w:b w:val="false"/>
          <w:color w:val="000000"/>
          <w:sz w:val="20"/>
        </w:rPr>
        <w:t xml:space="preserve">On February 25, 2025, we acquired the fee interest in Del Monte Shopping Center, a </w:t>
      </w:r>
      <w:r>
        <w:rPr>
          <w:rFonts w:ascii="Times New Roman;sans-serif" w:hAnsi="Times New Roman;sans-serif"/>
          <w:b w:val="false"/>
          <w:color w:val="000000"/>
          <w:sz w:val="20"/>
          <w:shd w:fill="FFFFFF" w:val="clear"/>
        </w:rPr>
        <w:t>675,000</w:t>
      </w:r>
      <w:r>
        <w:rPr>
          <w:color w:val="000000"/>
        </w:rPr>
        <w:t xml:space="preserve"> </w:t>
      </w:r>
      <w:r>
        <w:rPr>
          <w:rFonts w:ascii="Times New Roman;sans-serif" w:hAnsi="Times New Roman;sans-serif"/>
          <w:b w:val="false"/>
          <w:color w:val="000000"/>
          <w:sz w:val="20"/>
        </w:rPr>
        <w:t xml:space="preserve">square foot, grocery anchored retail shopping center in Monterey, California, for </w:t>
      </w:r>
      <w:r>
        <w:rPr>
          <w:rFonts w:ascii="Times New Roman;sans-serif" w:hAnsi="Times New Roman;sans-serif"/>
          <w:b w:val="false"/>
          <w:color w:val="000000"/>
          <w:sz w:val="20"/>
          <w:shd w:fill="FFFFFF" w:val="clear"/>
        </w:rPr>
        <w:t>$123.5 million</w:t>
      </w:r>
      <w:r>
        <w:rPr>
          <w:rFonts w:ascii="Times New Roman;sans-serif" w:hAnsi="Times New Roman;sans-serif"/>
          <w:b w:val="false"/>
          <w:color w:val="000000"/>
          <w:sz w:val="20"/>
        </w:rPr>
        <w:t>. Approximately $17.7 million and $0.8 million of net assets acquired were allocated to other assets for "acquired lease costs" and "above market leases," respectively, and $23.5 million of net assets acquired were allocated to other liabilities for "below market leases."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we sold a portion of our White Marsh Other property for $3.4 million.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Debt and Equity Transactions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January 9, 2025, we repaid a $1.2 million mortgage loan at our Hoboken property, at par.</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March 20, 2025, we amended and restated our $600.0 million unsecured term loan, extending the maturity date to March 20, 2028, plus two one-year extensions, at our option. In addition, we have the right until December 20, 2025 to borrow up to an additional $150.0 million in the form of one or more unsecured term loans. Under an accordion feature, we have the right to request additional loans, subject to an aggregate maximum of $1.0 billion borrowed under the restated agreement. Debt issuance costs included in our consolidated Balance Sheet related to this amendment were $4.8 million as of March 31, 2025. Additionally, on May 1, 2025, the interest rate was reduced by removing the 0.10% adjustment to SOFR.</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the maximum amount of borrowings outstanding under our $1.25 billion revolving credit facility was $109.0 million. The weighted average amount of borrowings outstanding was $35.1 million and the weighted average interest rate, before amortization of debt fees, was 5.2% for the three months ended March 31, 2025. At March 31, 2025, our revolving credit facility had $44.6 million outstanding.</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revolving credit facility, term loan, and certain notes require us to comply with various financial covenants, including the maintenance of minimum shareholders' equity and debt coverage ratios and a maximum ratio of debt to net worth. As of March 31, 2025, we were in compliance with all default related debt covenants.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14, 2025, we amended our existing at-the-market ("ATM") equity program under which we may from time to time offer and sell common shares. This amendment reset the aggregate offering price of the program to $750.0 million. Our ATM equity program also allows shares to be sold through forward sales contracts. We intend to use the net proceeds to fund potential acquisition opportunities, fund our development and redevelopment pipeline, repay indebtedness and/or for general corporate purposes. As of March 31, 2025, we have the capacity to issue up to $750.0 million in common shares under this program.</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we settled our remaining open forward sales agreements by issuing 476,497 common shares for net cash proceeds of $54.5 million including paying $0.1 million in additional offering expenses.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April 10, 2025, we announced that our Board of Trustees had approved a new common share repurchase program, under which we may purchase up to $300.0 million of our outstanding common shares of beneficial interest, $0.01 par value per share from time to time using a variety of methods, including open market, privately negotiated transactions or otherwise. The specific timing and amount of common share repurchases, if any, will depend on a number of factors, including prevailing share prices, trading volume and general market conditions, along with our working capital requirements, cash flow, and other factors. The program does not require us to repurchase any dollar amount or number of common shares and may be suspended or discontinued at any time. As of May 8, 2025, no common shares have been repurchased through the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Recently Issued Accounting Pronouncements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Note 2 to the consolidated financial statements.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Capitalized Costs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external and internal costs directly related to the development, redevelopment and leasing of real estate, including pre-construction costs, real estate taxes, insurance, construction costs and salaries and related costs of personnel directly involved, are capitalized. We capitalized certain external and internal costs related to both development and redevelopment activities of $32 million and $2 million, respectively, for the three months ended March 31, 2025, and $36 million and $2 million for the three months ended March 31, 2024. We capitalized external and internal costs related to other property improvements of $26 million and $1 million, respectively, for the three months ended March 31, 2025, and $27 million and $1 million, respectively, for the three months ended March 31, 2024. We capitalized external and internal costs related to leasing activities of $5 million and $1 million, for both the three months ended March 31, 2025 and 2024. The amount of capitalized internal costs for salaries and related benefits for development and redevelopment activities, other property improvements, and leasing activities were $2 million, $1 million, and $1 million, respectively, for both the three months ended March 31, 2025 and 2024. Total capitalized costs were $68 million and $72 million for the three months ended March 31, 2025 and 2024, respectively.</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Outlook</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long-term growth strategy is focused on growth in earnings, funds from operations, and cash flows primarily through a combination of the following:</w:t>
      </w:r>
    </w:p>
    <w:p>
      <w:pPr>
        <w:pStyle w:val="TextBody"/>
        <w:bidi w:val="0"/>
        <w:spacing w:lineRule="auto" w:line="288" w:before="60" w:after="283"/>
        <w:ind w:left="0" w:right="0" w:hanging="900"/>
        <w:jc w:val="left"/>
        <w:rPr/>
      </w:pPr>
      <w:r>
        <w:rPr>
          <w:color w:val="000000"/>
        </w:rPr>
        <w:t>•</w:t>
      </w:r>
      <w:r>
        <w:rPr>
          <w:rFonts w:ascii="Times New Roman;sans-serif" w:hAnsi="Times New Roman;sans-serif"/>
          <w:b w:val="false"/>
          <w:color w:val="000000"/>
          <w:sz w:val="20"/>
        </w:rPr>
        <w:t>growth in our comparable property portfolio,</w:t>
      </w:r>
    </w:p>
    <w:p>
      <w:pPr>
        <w:pStyle w:val="TextBody"/>
        <w:bidi w:val="0"/>
        <w:spacing w:lineRule="auto" w:line="288" w:before="60" w:after="283"/>
        <w:ind w:left="0" w:right="0" w:hanging="900"/>
        <w:jc w:val="left"/>
        <w:rPr/>
      </w:pPr>
      <w:r>
        <w:rPr>
          <w:color w:val="000000"/>
        </w:rPr>
        <w:t>•</w:t>
      </w:r>
      <w:r>
        <w:rPr>
          <w:rFonts w:ascii="Times New Roman;sans-serif" w:hAnsi="Times New Roman;sans-serif"/>
          <w:b w:val="false"/>
          <w:color w:val="000000"/>
          <w:sz w:val="20"/>
        </w:rPr>
        <w:t>expansion of our portfolio through property acquisitions, and</w:t>
      </w:r>
    </w:p>
    <w:p>
      <w:pPr>
        <w:pStyle w:val="TextBody"/>
        <w:bidi w:val="0"/>
        <w:spacing w:lineRule="auto" w:line="288" w:before="60" w:after="283"/>
        <w:ind w:left="0" w:right="0" w:hanging="900"/>
        <w:jc w:val="left"/>
        <w:rPr/>
      </w:pPr>
      <w:r>
        <w:rPr>
          <w:color w:val="000000"/>
        </w:rPr>
        <w:t>•</w:t>
      </w:r>
      <w:r>
        <w:rPr>
          <w:rFonts w:ascii="Times New Roman;sans-serif" w:hAnsi="Times New Roman;sans-serif"/>
          <w:b w:val="false"/>
          <w:color w:val="000000"/>
          <w:sz w:val="20"/>
        </w:rPr>
        <w:t>growth in our portfolio from property redevelopments and expansions.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Although general economic impacts of elevated levels of inflation and higher interest rates are impacting us in the short-term, our long-term focus has not changed. See our Annual Report on Form 10-K filed on February 13, 2025, for additional discussion of our long-term strategies.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212529"/>
          <w:sz w:val="20"/>
        </w:rPr>
        <w:t xml:space="preserve">Our comparable property growth is primarily driven by increases in rental rates on new leases and lease renewals, changes in portfolio occupancy, and the redevelopment of those assets. Over the long-term, </w:t>
      </w:r>
      <w:r>
        <w:rPr>
          <w:rFonts w:ascii="Times New Roman;sans-serif" w:hAnsi="Times New Roman;sans-serif"/>
          <w:b w:val="false"/>
          <w:color w:val="000000"/>
          <w:sz w:val="20"/>
        </w:rPr>
        <w:t>the infill nature and strong demographics of our properties provide a strategic advantage allowing us to maintain relatively high occupancy and generally increase rental rates. We continue to experience strong demand for our commercial space as evidenced by the</w:t>
      </w:r>
      <w:r>
        <w:rPr>
          <w:color w:val="212529"/>
        </w:rPr>
        <w:t xml:space="preserve"> </w:t>
      </w:r>
      <w:r>
        <w:rPr>
          <w:rFonts w:ascii="Times New Roman;sans-serif" w:hAnsi="Times New Roman;sans-serif"/>
          <w:b w:val="false"/>
          <w:color w:val="212529"/>
          <w:sz w:val="20"/>
        </w:rPr>
        <w:t xml:space="preserve">2.2 </w:t>
      </w:r>
      <w:r>
        <w:rPr>
          <w:rFonts w:ascii="Times New Roman;sans-serif" w:hAnsi="Times New Roman;sans-serif"/>
          <w:b w:val="false"/>
          <w:color w:val="000000"/>
          <w:sz w:val="20"/>
        </w:rPr>
        <w:t>million</w:t>
      </w:r>
      <w:r>
        <w:rPr>
          <w:color w:val="212529"/>
        </w:rPr>
        <w:t xml:space="preserve"> </w:t>
      </w:r>
      <w:r>
        <w:rPr>
          <w:rFonts w:ascii="Times New Roman;sans-serif" w:hAnsi="Times New Roman;sans-serif"/>
          <w:b w:val="false"/>
          <w:color w:val="212529"/>
          <w:sz w:val="20"/>
        </w:rPr>
        <w:t xml:space="preserve">square feet of comparable space leasing we've completed in the last twelve months, and the </w:t>
      </w:r>
      <w:r>
        <w:rPr>
          <w:rFonts w:ascii="Times New Roman;sans-serif" w:hAnsi="Times New Roman;sans-serif"/>
          <w:b w:val="false"/>
          <w:color w:val="000000"/>
          <w:sz w:val="20"/>
        </w:rPr>
        <w:t>2.1%</w:t>
      </w:r>
      <w:r>
        <w:rPr>
          <w:color w:val="212529"/>
        </w:rPr>
        <w:t xml:space="preserve"> </w:t>
      </w:r>
      <w:r>
        <w:rPr>
          <w:rFonts w:ascii="Times New Roman;sans-serif" w:hAnsi="Times New Roman;sans-serif"/>
          <w:b w:val="false"/>
          <w:color w:val="212529"/>
          <w:sz w:val="20"/>
        </w:rPr>
        <w:t xml:space="preserve">spread between our leased rate of 95.7% and our occupied rate of 93.6%. </w:t>
      </w:r>
      <w:r>
        <w:rPr>
          <w:rFonts w:ascii="Times New Roman;sans-serif" w:hAnsi="Times New Roman;sans-serif"/>
          <w:b w:val="false"/>
          <w:color w:val="000000"/>
          <w:sz w:val="20"/>
        </w:rPr>
        <w:t xml:space="preserve">However, the effects of inflationary pressures and elevated interest rates continue to negatively impact our business with the largest impacts being higher interest costs, increased material costs, and higher operating costs. Additionally, significant impacts from supply chain disruptions or tariffs could also result in extended time frames and/or increased costs for completion of our projects and tenant build-outs, which could delay the commencement of rent payments under new leases. Similarly, if our tenants experience significant disruptions in supply chains and unexpected impacts of tariffs supporting their own products, staffing issues due to labor shortages, or are otherwise impacted by worsening economic conditions, their ability to pay rent may be adversely affected. We continue to monitor these macroeconomic developments and are working with our tenants and our vendors to limit the overall impact to our business.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the locations and nature of our centers and diverse tenant base partially mitigates any potential negative changes in the economic environment. However, any significant reduction in our tenants' abilities to pay base rent, percentage rent or other charges, will adversely affect our financial condition and results of operations. We seek to maintain a mix of strong national, regional, and local retailers.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continue to have several development projects in process being delivered as follows: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Phase IV at Pike &amp; Rose is a 276,000 square foot office building (which includes 10,000 square feet of ground floor retail space). Approximately 250,000 square feet of the office space is leased, of which, 193,000 square feet is open, and all of the retail space is open. The building is expected to cost between $180 million and $190 million, and began delivering in late September 2023.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Construction on Santana West includes an eight story 369,000 square foot office building, which is expected to cost between $325 million and $335 million. Approximately 302,000 square feet of space is leased.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Throughout the portfolio, we currently have redevelopment projects underway with a projected total cost of approximately $271 million that we expect to stabilize over the next several years.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above includes our best estimates based on information currently known, however, the completion of construction, final costs, and the timing of leasing and openings may be further impacted by the current environment including the duration and severity of the economic impacts of broader, as well as local, economic conditions, inflation, tariffs, higher interest rates, and higher operating costs.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development of future phases of Assembly Row, Pike &amp; Rose, Santana Row, and other properties will be pursued opportunistically based on, among other things, market conditions, tenant demand, and our evaluation of whether those phases will generate an appropriate financial return.</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continue to review acquisition opportunities that complement our portfolio and provide long-term growth opportunities. Initially, some of our acquisitions do not contribute significantly to earnings growth; however, we believe they provide long-term re-leasing growth, redevelopment opportunities, and other strategic opportunities. Any growth from acquisitions is contingent on our ability to find properties that meet our qualitative standards at prices that meet our financial hurdles. Changes in interest rates may affect our success in achieving earnings growth through acquisitions by affecting both the price that must be paid to acquire a property, as well as our ability to economically finance the property acquisition. Generally, our acquisitions are initially financed by available cash and/or borrowings under our revolving credit facility which may be repaid later with funds raised through the issuance of new equity or new long-term debt. We may also finance our acquisitions through the issuance of common shares, preferred shares, or units in the Operating Partnership, as well as through assumed mortgages and property sales.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March 31, 2025, the leasable commercial square feet in our properties was 95.7% leased and 93.6% occupied. The leased rate is higher than the occupied rate due to leased spaces that are being redeveloped or improved or that are awaiting permits and, therefore, are not yet ready to be occupied. Our occupancy and leased rates are subject to variability over time due to factors including acquisitions, the timing of the start and stabilization of our redevelopment projects, lease expirations and tenant closings and bankruptcies.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Lease Rollovers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first quarter of 2025, we signed retail leases for a total of 430,000 square feet of retail space including 369,000 square feet of comparable space leases (leases for which there was a prior tenant) at an average rental increase of 6% on a cash basis. New leases for comparable spaces were signed for 175,000 square feet, with an average rental increase of 2% on a cash basis. Renewals for comparable spaces were signed for 194,000 square feet at a 8% average rental increase on a cash basis. Tenant improvements and incentives for comparable spaces were $19.36 per square foot, of which $39.22 per square foot was for new leases and $1.48 per square foot was for renewals for the three months ended March 31, 2025.</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rental increases associated with comparable spaces generally include all leases signed for retail space in arms-length transactions reflecting market leverage between landlords and tenants during the period, excluding leases at properties sold or under contract to be sold. The comparison between the rent for expiring leases and new leases is determined by including contractual rent on the expiring lease, including percentage rent considered to part of base rent, and the comparable annual rent and in some instances, projections of percentage rent, to be paid on the new lease. In atypical circumstances, management may exercise judgment as to how to most effectively reflect the comparability of spaces reported in this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 Tenant improvements and incentives include the total dollars committed for the improvement (fit out) of a space as it relates to a specific lease. Incentives include amounts paid to tenants as an inducement to sign a lease that do not represent building improvements. Costs related to tenant improvements require judgement by management in determining what are costs specific to the tenant and not deferred maintenance on the space.</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past five years, we have executed comparable space leases for 1.7 to 2.4 million square feet of retail space each year and expect the volume in 2025 will be in line with these historical averages. Although we expect overall positive increases in annual rent for comparable spaces, changes in annual rent for any individual lease or combinations of individual leases reported in any particular period may be positive or negative and we can provide no assurance that the annual rents on comparable space leases will continue to increase at historical levels, if at all. A decline in current economic conditions could adversely impact our volume of leasing activity and the amount of rent we are able to charge to new or renewing tenants.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leases signed in 2025 generally become effective over the following two years though some may not become effective until 2028 and beyond. Further, there is risk that some new tenants will not ultimately take possession of their space and that tenants for both new and renewal leases may not pay all of their contractual rent due to operating, financing or other matters. However, our historical increases in rental rates do provide information about the tenant/landlord relationship and the potential increase we may achieve in rental income over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Comparable Properties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Throughout this section, we have provided certain information on a “comparable property” basis. Information provided on a comparable property basis includes the results of properties that we owned and operated for the entirety of both periods being compared except for properties that are currently under development or are being repositioned for significant redevelopment and investment. For the three months ended March 31, 2025, all or a portion of 96 properties were considered comparable properties and seven properties were considered non-comparable properties. For the three months ended March 31, 2025, one property was moved from comparable properties to non-comparable properties compared to the designations as of December 31, 2024. While there is judgment surrounding changes in designations, we typically move non-comparable properties to comparable properties once they have stabilized, which is typically considered 90% physical occupancy or when the growth expected from the redevelopment has been included in the comparable periods. We typically remove properties from comparable properties when the repositioning of the asset has commenced and has or is expected to have a significant impact on property operating income within the calendar year. Acquisitions are moved to comparable properties once we have owned the property for the entirety of comparable periods and the property is not under development or being repositioned for significant redevelopment and investment. </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 xml:space="preserve">RESULTS OF OPERATIONS - THREE MONTHS ENDED MARCH 31, 2025 AND 2024 </w:t>
      </w:r>
    </w:p>
    <w:tbl>
      <w:tblPr>
        <w:tblW w:w="9599" w:type="dxa"/>
        <w:jc w:val="left"/>
        <w:tblInd w:w="0" w:type="dxa"/>
        <w:tblLayout w:type="fixed"/>
        <w:tblCellMar>
          <w:top w:w="28" w:type="dxa"/>
          <w:left w:w="28" w:type="dxa"/>
          <w:bottom w:w="28" w:type="dxa"/>
          <w:right w:w="28" w:type="dxa"/>
        </w:tblCellMar>
      </w:tblPr>
      <w:tblGrid>
        <w:gridCol w:w="1537"/>
        <w:gridCol w:w="1347"/>
        <w:gridCol w:w="1360"/>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306"/>
        <w:gridCol w:w="310"/>
        <w:gridCol w:w="271"/>
        <w:gridCol w:w="154"/>
      </w:tblGrid>
      <w:tr>
        <w:trPr/>
        <w:tc>
          <w:tcPr>
            <w:tcW w:w="1537"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0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 amounts in thousands)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property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revenue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309,154 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291,323 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operating income (1)</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204,783 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partnerships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net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the Trust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(1)Property operating income is a non-GAAP measure that consists of rental income and mortgage interest income, less rental expenses and real estate taxes. This measure is used internally to evaluate the performance of property operations and we consider it to be a significant measure. Property operating income should not be considered an alternative measure of operating results or cash flow from operations as determined in accordance with GAAP. The reconciliation of operating income to property operating income for the three months ended March 31, 2025 and 2024 is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tbl>
      <w:tblPr>
        <w:tblW w:w="5259" w:type="dxa"/>
        <w:jc w:val="left"/>
        <w:tblInd w:w="0" w:type="dxa"/>
        <w:tblLayout w:type="fixed"/>
        <w:tblCellMar>
          <w:top w:w="28" w:type="dxa"/>
          <w:left w:w="28" w:type="dxa"/>
          <w:bottom w:w="28" w:type="dxa"/>
          <w:right w:w="28" w:type="dxa"/>
        </w:tblCellMar>
      </w:tblPr>
      <w:tblGrid>
        <w:gridCol w:w="939"/>
        <w:gridCol w:w="826"/>
        <w:gridCol w:w="830"/>
        <w:gridCol w:w="211"/>
        <w:gridCol w:w="826"/>
        <w:gridCol w:w="109"/>
        <w:gridCol w:w="109"/>
        <w:gridCol w:w="109"/>
        <w:gridCol w:w="109"/>
        <w:gridCol w:w="211"/>
        <w:gridCol w:w="826"/>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operating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204,783 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Property Revenues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revenue increased $17.8 million, or 6.1%, to $309.2 million in the three months ended March 31, 2025 compared to $291.3 million in the three months ended March 31, 2024. The percentage occupied at our shopping centers was 93.6% and 92.0% at March 31, 2025 and 2024, respectively. Rental income consists primarily of minimum rent, cost reimbursements from tenants and percentage rent, and is net of collectibility related adjustments. Other property income includes revenue for our Pike &amp; Rose hotel, parking income, and other incidental income from our properties. The increase in property revenues is due primarily to the following:</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 xml:space="preserve">an increase of $11.0 million from comparable properties primarily related to higher average occupancy of approximately $3.4 million, higher rental rates of approximately $3.0 million, a $4.5 million increase in recoveries from tenants on higher expenses, and a $0.5 million decrease in collectibility related adjustments, </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$9.4 million from 2024 and 2025 acquisitions, and</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$1.7 million from non-comparable properties primarily driven by occupancy increases at Santana West, Huntington Shopping Center, and Pike &amp; Rose Phase IV,</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 decrease of $4.0 million from property dispositions.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Property Expenses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expenses increased $8.7 million, or 9.0%, to $104.4 million in the three months ended March 31, 2025 compared to $95.7 million in the three months ended March 31, 2024. Changes in the components of property expenses are discussed below.</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Rental Expenses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expenses increased $6.1 million, or 10.0%, to $67.8 million in the three months ended March 31, 2025 compared to $61.7 million in the three months ended March 31, 2024 due primarily to the following:</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$4.7 million from comparable properties due primarily to higher snow removal costs, higher utilities and other operating costs, and an increase in management fees on higher revenues, and</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an increase of $2.1 million from 2024 and 2025 acquisitions,</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 decrease of $0.7 million from property dispositions.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changes in rental income and rental expenses as discussed above, rental expenses as a percentage of rental income increased to 22.4% in the three months ended March 31, 2025 from 21.7% in the three months ended March 31, 2024. </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Real Estate Taxes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tax expense increased $2.5 million, or 7.4%, to $36.6 million in the three months ended March 31, 2025 compared to $34.1 million in the three months ended March 31, 2024. This increase is primarily due to an increase of $1.4 million from comparable properties primarily due to higher assessments, and an increase of $1.1 million from 2024 and 2025 acquisitions.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Property Operating Income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operating income increased $9.2 million, or 4.7%, to $204.8 million in the three months ended March 31, 2025 compared to $195.6 million in the three months ended March 31, 2024. This increase is primarily driven by higher rental rates and average occupancy, 2024 and 2025 acquisitions, 2024 and 2025 openings at our non-comparable properties, and lower collectibility related adjustments, partially offset by property dispositions, and higher rental expenses after recoveries from tenants.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Other Operating</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 decreased $1.1 million, or 9.4%, to $10.9 million in the three months ended March 31, 2025 compared to $12.0 million in the three months ended March 31, 2024. This decrease is due primarily to lower personnel related costs.</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Depreciation and Amortization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increased $3.5 million, or 4.2%, to $86.9 million in the three months ended March 31, 2025 compared to $83.4 million in the three months ended March 31, 2024. This increase is due primarily to 2024 and 2025 acquisitions, partially offset by property dispositions.</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Gain on Sale of Real Estate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$1.2 million gain on sale of real estate for the three months ended March 31, 2025 is primarily due to the sale of a portion of our White Marsh Other property.</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increased $7.9 million, or 7.9%, to $108.1 million in the three months ended March 31, 2025 compared to $100.2 million in the three months ended March 31, 2024. This increase is primarily driven by higher rental rates and average occupancy, 2024 and 2025 acquisitions, 2024 and 2025 openings at our non-comparable properties, higher gains on sale of real estate, lower personnel related costs, and lower collectibility related adjustments, partially offset by property dispositions, and higher rental expenses after recoveries from tenants.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Other</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decreased $1.2 million, or 2.8%, to $42.5 million in the three months ended March 31, 2025 compared to $43.7 million in the three months ended March 31, 2024. This decrease is due primarily to the following:</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 decrease of $1.6 million due to a lower overall weighted average borrowing rate, and</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 decrease of $0.1 million due to lower weighted average borrowings,</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 decrease of $0.5 million in capitalized interest.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interest costs were $47.3 million and $49.0 million in the three months ended March 31, 2025 and 2024, respectively. Capitalized interest was $4.8 million and $5.3 million for the three months ended March 31,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the nature of our business and strategy, we typically generate significant amounts of cash from operations which is largely paid to our common and preferred shareholders in the form of dividends because as a REIT, the Trust is generally required to make annual distributions to shareholders of at least 90% of our taxable income (cash dividends paid in the three months ended March 31, 2025 were approximately $96.4 million). Remaining cash flow from operations after regular debt service requirements (including debt service relating to additional or replacement debt, as well as scheduled debt maturities) and dividend payments is used to fund recurring and non-recurring capital projects (such as tenant improvements and redevelopments). We maintain an unsecured $1.25 billion revolving credit facility to fund short term cash flow needs and also look to the public and private debt and equity markets, joint venture relationships, and property dispositions to fund capital expenditures on a long-term basis.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March 20, 2025, we amended and restated our $600.0 million unsecured term loan, extending the maturity date to March 20, 2028, plus two one-year extensions, at our option. In addition, we have the right until December 20, 2025 to borrow up to an additional $150.0 million in the form of one or more unsecured term loans. In the next twelve months, we have $644.6 million of debt maturing, of which, $200.0 million is the mortgage loan secured by Bethesda Row, which has two one-year extensions, at our option, that would extend the maturity date to December 28, 2027.</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we had cash and cash equivalents of $109.2 million and $44.6 million outstanding on our $1.25 billion revolving credit facility. We also have the capacity to issue up to $750.0 million in common shares under our ATM equity program.</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2025, the weighted average amount of borrowings outstanding on our revolving credit facility was $35.1 million, and the weighted average interest rate, before amortization of debt fees, was 5.2%.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overall capital requirements for the remainder of 2025 will depend on acquisition opportunities, the level and general timing of our redevelopment and development activities, and the overall economic environment. We currently have development and redevelopment projects in various stages of constructions with remaining costs of $204 million. We expect to incur the majority of these costs in the next two years. We expect overall capital costs to be at levels consistent with 2024. </w:t>
      </w:r>
    </w:p>
    <w:p>
      <w:pPr>
        <w:pStyle w:val="TextBody"/>
        <w:bidi w:val="0"/>
        <w:spacing w:lineRule="auto" w:line="288" w:before="100" w:after="283"/>
        <w:jc w:val="left"/>
        <w:rPr/>
      </w:pPr>
      <w:r>
        <w:rPr>
          <w:rFonts w:ascii="Times New Roman;sans-serif" w:hAnsi="Times New Roman;sans-serif"/>
          <w:b w:val="false"/>
          <w:color w:val="000000"/>
          <w:sz w:val="20"/>
        </w:rPr>
        <w:t xml:space="preserve">We believe cash flow from operations, the cash </w:t>
      </w:r>
      <w:r>
        <w:rPr>
          <w:rFonts w:ascii="Times New Roman;sans-serif" w:hAnsi="Times New Roman;sans-serif"/>
          <w:b w:val="false"/>
          <w:color w:val="212529"/>
          <w:sz w:val="20"/>
        </w:rPr>
        <w:t xml:space="preserve">on our balance sheet, and our </w:t>
      </w:r>
      <w:r>
        <w:rPr>
          <w:rFonts w:ascii="Times New Roman;sans-serif" w:hAnsi="Times New Roman;sans-serif"/>
          <w:b w:val="false"/>
          <w:color w:val="000000"/>
          <w:sz w:val="20"/>
        </w:rPr>
        <w:t>$1.25 billion</w:t>
      </w:r>
      <w:r>
        <w:rPr>
          <w:color w:val="212529"/>
        </w:rPr>
        <w:t xml:space="preserve"> </w:t>
      </w:r>
      <w:r>
        <w:rPr>
          <w:rFonts w:ascii="Times New Roman;sans-serif" w:hAnsi="Times New Roman;sans-serif"/>
          <w:b w:val="false"/>
          <w:color w:val="212529"/>
          <w:sz w:val="20"/>
        </w:rPr>
        <w:t xml:space="preserve">revolving credit facility will allow us to continue to operate our business in the short-term. </w:t>
      </w:r>
      <w:r>
        <w:rPr>
          <w:rFonts w:ascii="Times New Roman;sans-serif" w:hAnsi="Times New Roman;sans-serif"/>
          <w:b w:val="false"/>
          <w:color w:val="000000"/>
          <w:sz w:val="20"/>
        </w:rPr>
        <w:t>Given our ability to access the capital markets, we also expect debt or equity financing to be available to us, although newly issued debt would likely be at higher interest rates than we currently have outstanding. We also have the ability to delay the timing of certain development and redevelopment projects as well as limit future acquisitions, reduce our operating expenditures, or re-evaluate our dividend policy. We expect these sources of liquidity and opportunities for operating flexibility to allow us to meet our financial obligations over the long term. We intend to operate with and to maintain our long term commitment to a conservative capital structure that will allow us to maintain strong debt service coverage and fixed-charge coverage ratios as part of our commitment to investment-grade debt ratings.</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Summary of Cash Flows</w:t>
      </w:r>
    </w:p>
    <w:tbl>
      <w:tblPr>
        <w:tblW w:w="9266" w:type="dxa"/>
        <w:jc w:val="left"/>
        <w:tblInd w:w="0" w:type="dxa"/>
        <w:tblLayout w:type="fixed"/>
        <w:tblCellMar>
          <w:top w:w="28" w:type="dxa"/>
          <w:left w:w="28" w:type="dxa"/>
          <w:bottom w:w="28" w:type="dxa"/>
          <w:right w:w="28" w:type="dxa"/>
        </w:tblCellMar>
      </w:tblPr>
      <w:tblGrid>
        <w:gridCol w:w="1895"/>
        <w:gridCol w:w="1667"/>
        <w:gridCol w:w="1672"/>
        <w:gridCol w:w="211"/>
        <w:gridCol w:w="826"/>
        <w:gridCol w:w="109"/>
        <w:gridCol w:w="109"/>
        <w:gridCol w:w="109"/>
        <w:gridCol w:w="109"/>
        <w:gridCol w:w="211"/>
        <w:gridCol w:w="826"/>
        <w:gridCol w:w="109"/>
        <w:gridCol w:w="109"/>
        <w:gridCol w:w="109"/>
        <w:gridCol w:w="109"/>
        <w:gridCol w:w="211"/>
        <w:gridCol w:w="721"/>
        <w:gridCol w:w="154"/>
      </w:tblGrid>
      <w:tr>
        <w:trPr/>
        <w:tc>
          <w:tcPr>
            <w:tcW w:w="1895"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3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(229,401)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219,383 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cash, cash equivalents and restricted cash</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142,443 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year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increased $37.9 million to $179.0 million during the three months ended March 31, 2025 from $141.2 million during the three months ended March 31, 2024. The increase was primarily due to higher collections related to year end recovery billings, timing of cash receipts related to prepaid rent, and higher net income after adjusting for non-cash items and gain on sale of real estate.</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increased $114.8 million to $181.8 million during the three months ended March 31, 2025 from $66.9 million during the three months ended March 31, 2024. The increase was primarily attributable to:</w:t>
      </w:r>
    </w:p>
    <w:p>
      <w:pPr>
        <w:pStyle w:val="TextBody"/>
        <w:bidi w:val="0"/>
        <w:spacing w:lineRule="auto" w:line="256" w:before="60" w:after="283"/>
        <w:ind w:left="0" w:right="0" w:hanging="270"/>
        <w:jc w:val="left"/>
        <w:rPr/>
      </w:pPr>
      <w:r>
        <w:rPr>
          <w:color w:val="000000"/>
        </w:rPr>
        <w:t>•</w:t>
      </w:r>
      <w:r>
        <w:rPr>
          <w:rFonts w:ascii="Times New Roman;sans-serif" w:hAnsi="Times New Roman;sans-serif"/>
          <w:b w:val="false"/>
          <w:color w:val="000000"/>
          <w:sz w:val="20"/>
        </w:rPr>
        <w:t>a $120.4 million increase in acquisition of real estate due to the February 2025 acquisition of the fee interest in Del Monte Shopping Center (see Note 3 to the consolidated financial statements for additional information),</w:t>
      </w:r>
    </w:p>
    <w:p>
      <w:pPr>
        <w:pStyle w:val="TextBody"/>
        <w:bidi w:val="0"/>
        <w:spacing w:lineRule="auto" w:line="256"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56" w:before="60" w:after="283"/>
        <w:ind w:left="0" w:right="0" w:hanging="270"/>
        <w:jc w:val="left"/>
        <w:rPr/>
      </w:pPr>
      <w:r>
        <w:rPr>
          <w:color w:val="000000"/>
        </w:rPr>
        <w:t>•</w:t>
      </w:r>
      <w:r>
        <w:rPr>
          <w:rFonts w:ascii="Times New Roman;sans-serif" w:hAnsi="Times New Roman;sans-serif"/>
          <w:b w:val="false"/>
          <w:color w:val="000000"/>
          <w:sz w:val="20"/>
        </w:rPr>
        <w:t>a $4.7 million decrease in capital expenditures.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decreased $219.4 million to $10.0 million during the three months ended March 31, 2025 from $229.4 million during the three months ended March 31, 2024. The decrease was primarily attributable to:</w:t>
      </w:r>
    </w:p>
    <w:p>
      <w:pPr>
        <w:pStyle w:val="TextBody"/>
        <w:bidi w:val="0"/>
        <w:spacing w:lineRule="auto" w:line="256" w:before="60" w:after="283"/>
        <w:ind w:left="0" w:right="0" w:hanging="270"/>
        <w:jc w:val="left"/>
        <w:rPr/>
      </w:pPr>
      <w:r>
        <w:rPr>
          <w:color w:val="000000"/>
        </w:rPr>
        <w:t>•</w:t>
      </w:r>
      <w:r>
        <w:rPr>
          <w:rFonts w:ascii="Times New Roman;sans-serif" w:hAnsi="Times New Roman;sans-serif"/>
          <w:b w:val="false"/>
          <w:color w:val="000000"/>
          <w:sz w:val="20"/>
        </w:rPr>
        <w:t>$600.0 million from the January 2024 repayment of our $600.0 million 3.95% senior unsecured notes at maturity,</w:t>
      </w:r>
    </w:p>
    <w:p>
      <w:pPr>
        <w:pStyle w:val="TextBody"/>
        <w:bidi w:val="0"/>
        <w:spacing w:lineRule="auto" w:line="256" w:before="60" w:after="283"/>
        <w:ind w:left="0" w:right="0" w:hanging="270"/>
        <w:jc w:val="left"/>
        <w:rPr/>
      </w:pPr>
      <w:r>
        <w:rPr>
          <w:color w:val="000000"/>
        </w:rPr>
        <w:t>•</w:t>
      </w:r>
      <w:r>
        <w:rPr>
          <w:rFonts w:ascii="Times New Roman;sans-serif" w:hAnsi="Times New Roman;sans-serif"/>
          <w:b w:val="false"/>
          <w:color w:val="000000"/>
          <w:sz w:val="20"/>
        </w:rPr>
        <w:t>a $48.2 million increase in net proceeds from the issuance of common shares under our ATM program,</w:t>
      </w:r>
    </w:p>
    <w:p>
      <w:pPr>
        <w:pStyle w:val="TextBody"/>
        <w:bidi w:val="0"/>
        <w:spacing w:lineRule="auto" w:line="256" w:before="60" w:after="283"/>
        <w:ind w:left="0" w:right="0" w:hanging="270"/>
        <w:jc w:val="left"/>
        <w:rPr/>
      </w:pPr>
      <w:r>
        <w:rPr>
          <w:color w:val="000000"/>
        </w:rPr>
        <w:t>•</w:t>
      </w:r>
      <w:r>
        <w:rPr>
          <w:rFonts w:ascii="Times New Roman;sans-serif" w:hAnsi="Times New Roman;sans-serif"/>
          <w:b w:val="false"/>
          <w:color w:val="000000"/>
          <w:sz w:val="20"/>
        </w:rPr>
        <w:t>a $32.1 million increase in net borrowings on our revolving credit facility to $44.6 million of net borrowings during the three months ended March 31, 2025, as compared to $12.5 million of net borrowings during the three months ended March 31, 2024, and</w:t>
      </w:r>
    </w:p>
    <w:p>
      <w:pPr>
        <w:pStyle w:val="TextBody"/>
        <w:bidi w:val="0"/>
        <w:spacing w:lineRule="auto" w:line="256" w:before="60" w:after="283"/>
        <w:ind w:left="0" w:right="0" w:hanging="270"/>
        <w:jc w:val="left"/>
        <w:rPr/>
      </w:pPr>
      <w:r>
        <w:rPr>
          <w:color w:val="000000"/>
        </w:rPr>
        <w:t>•</w:t>
      </w:r>
      <w:r>
        <w:rPr>
          <w:rFonts w:ascii="Times New Roman;sans-serif" w:hAnsi="Times New Roman;sans-serif"/>
          <w:b w:val="false"/>
          <w:color w:val="000000"/>
          <w:sz w:val="20"/>
        </w:rPr>
        <w:t>a $19.4 million premium paid for the capped call transactions entered into in connection with the issuance of $485.0 million 3.25% exchangeable senior notes in January 2024.</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bidi w:val="0"/>
        <w:spacing w:lineRule="auto" w:line="256" w:before="60" w:after="283"/>
        <w:ind w:left="0" w:right="0" w:hanging="270"/>
        <w:jc w:val="left"/>
        <w:rPr/>
      </w:pPr>
      <w:r>
        <w:rPr>
          <w:color w:val="000000"/>
        </w:rPr>
        <w:t>•</w:t>
      </w:r>
      <w:r>
        <w:rPr>
          <w:rFonts w:ascii="Times New Roman;sans-serif" w:hAnsi="Times New Roman;sans-serif"/>
          <w:b w:val="false"/>
          <w:color w:val="000000"/>
          <w:sz w:val="20"/>
        </w:rPr>
        <w:t>$471.6 million in net proceeds from the issuance of $485.0 million 3.25% exchangeable senior notes in January 2024, and</w:t>
      </w:r>
    </w:p>
    <w:p>
      <w:pPr>
        <w:pStyle w:val="TextBody"/>
        <w:bidi w:val="0"/>
        <w:spacing w:lineRule="auto" w:line="256" w:before="60" w:after="283"/>
        <w:ind w:left="0" w:right="0" w:hanging="270"/>
        <w:jc w:val="left"/>
        <w:rPr/>
      </w:pPr>
      <w:r>
        <w:rPr>
          <w:color w:val="000000"/>
        </w:rPr>
        <w:t>•</w:t>
      </w:r>
      <w:r>
        <w:rPr>
          <w:rFonts w:ascii="Times New Roman;sans-serif" w:hAnsi="Times New Roman;sans-serif"/>
          <w:b w:val="false"/>
          <w:color w:val="000000"/>
          <w:sz w:val="20"/>
        </w:rPr>
        <w:t>a $4.1 million increase in dividends paid to common and preferred shareholders due to an increase in the number of outstanding shares, as well as an increase to the common share dividend 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Debt Financing Arrangements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our total debt outstanding as of March 31, 2025:</w:t>
      </w:r>
    </w:p>
    <w:tbl>
      <w:tblPr>
        <w:tblW w:w="10205" w:type="dxa"/>
        <w:jc w:val="left"/>
        <w:tblInd w:w="0" w:type="dxa"/>
        <w:tblLayout w:type="fixed"/>
        <w:tblCellMar>
          <w:top w:w="28" w:type="dxa"/>
          <w:left w:w="28" w:type="dxa"/>
          <w:bottom w:w="28" w:type="dxa"/>
          <w:right w:w="28" w:type="dxa"/>
        </w:tblCellMar>
      </w:tblPr>
      <w:tblGrid>
        <w:gridCol w:w="895"/>
        <w:gridCol w:w="779"/>
        <w:gridCol w:w="783"/>
        <w:gridCol w:w="262"/>
        <w:gridCol w:w="262"/>
        <w:gridCol w:w="266"/>
        <w:gridCol w:w="109"/>
        <w:gridCol w:w="109"/>
        <w:gridCol w:w="109"/>
        <w:gridCol w:w="430"/>
        <w:gridCol w:w="1915"/>
        <w:gridCol w:w="239"/>
        <w:gridCol w:w="109"/>
        <w:gridCol w:w="109"/>
        <w:gridCol w:w="109"/>
        <w:gridCol w:w="449"/>
        <w:gridCol w:w="395"/>
        <w:gridCol w:w="929"/>
        <w:gridCol w:w="109"/>
        <w:gridCol w:w="109"/>
        <w:gridCol w:w="109"/>
        <w:gridCol w:w="471"/>
        <w:gridCol w:w="471"/>
        <w:gridCol w:w="678"/>
      </w:tblGrid>
      <w:tr>
        <w:trPr/>
        <w:tc>
          <w:tcPr>
            <w:tcW w:w="895"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r>
      <w:tr>
        <w:trPr/>
        <w:tc>
          <w:tcPr>
            <w:tcW w:w="24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 of Debt</w:t>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Original</w:t>
              <w:br/>
              <w:t>Debt</w:t>
              <w:br/>
              <w:t>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Principal Balance as of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Stated Interest Rate as of</w:t>
              <w:b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Maturity Date</w:t>
            </w:r>
          </w:p>
        </w:tc>
      </w:tr>
      <w:tr>
        <w:trPr/>
        <w:tc>
          <w:tcPr>
            <w:tcW w:w="24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Mortgages payable</w:t>
            </w:r>
          </w:p>
        </w:tc>
        <w:tc>
          <w:tcPr>
            <w:tcW w:w="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Secured fixed rate</w:t>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45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45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45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45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45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45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45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Azalea</w:t>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9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3.73 </w:t>
            </w:r>
          </w:p>
        </w:tc>
        <w:tc>
          <w:tcPr>
            <w:tcW w:w="9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November 1, 2025</w:t>
            </w:r>
          </w:p>
        </w:tc>
      </w:tr>
      <w:tr>
        <w:trPr/>
        <w:tc>
          <w:tcPr>
            <w:tcW w:w="2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Bethesda Row (1)</w:t>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200,000 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SOFR + 0.95%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December 28, 2025</w:t>
            </w:r>
          </w:p>
        </w:tc>
      </w:tr>
      <w:tr>
        <w:trPr/>
        <w:tc>
          <w:tcPr>
            <w:tcW w:w="2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Bell Gardens</w:t>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11,133 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4.06 </w:t>
            </w:r>
          </w:p>
        </w:tc>
        <w:tc>
          <w:tcPr>
            <w:tcW w:w="9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August 1, 2026</w:t>
            </w:r>
          </w:p>
        </w:tc>
      </w:tr>
      <w:tr>
        <w:trPr/>
        <w:tc>
          <w:tcPr>
            <w:tcW w:w="2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Plaza El Segundo</w:t>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125,000 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3.83 </w:t>
            </w:r>
          </w:p>
        </w:tc>
        <w:tc>
          <w:tcPr>
            <w:tcW w:w="9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June 5, 2027</w:t>
            </w:r>
          </w:p>
        </w:tc>
      </w:tr>
      <w:tr>
        <w:trPr/>
        <w:tc>
          <w:tcPr>
            <w:tcW w:w="2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Grove at Shrewsbury (East)</w:t>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43,600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43,600 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3.77 </w:t>
            </w:r>
          </w:p>
        </w:tc>
        <w:tc>
          <w:tcPr>
            <w:tcW w:w="9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September 1, 2027</w:t>
            </w:r>
          </w:p>
        </w:tc>
      </w:tr>
      <w:tr>
        <w:trPr/>
        <w:tc>
          <w:tcPr>
            <w:tcW w:w="2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Brook 35</w:t>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11,500 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4.65 </w:t>
            </w:r>
          </w:p>
        </w:tc>
        <w:tc>
          <w:tcPr>
            <w:tcW w:w="9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July 1, 2029</w:t>
            </w:r>
          </w:p>
        </w:tc>
      </w:tr>
      <w:tr>
        <w:trPr/>
        <w:tc>
          <w:tcPr>
            <w:tcW w:w="2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Hoboken (24 Buildings) (2)</w:t>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56,450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51,735 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SOFR + 1.95%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December 15, 2029</w:t>
            </w:r>
          </w:p>
        </w:tc>
      </w:tr>
      <w:tr>
        <w:trPr/>
        <w:tc>
          <w:tcPr>
            <w:tcW w:w="2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Various Hoboken (13 Buildings) (3)</w:t>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27,421 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 through 2029</w:t>
            </w:r>
          </w:p>
        </w:tc>
      </w:tr>
      <w:tr>
        <w:trPr/>
        <w:tc>
          <w:tcPr>
            <w:tcW w:w="2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Chelsea</w:t>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3,450 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5.36 </w:t>
            </w:r>
          </w:p>
        </w:tc>
        <w:tc>
          <w:tcPr>
            <w:tcW w:w="9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January 15, 2031</w:t>
            </w:r>
          </w:p>
        </w:tc>
      </w:tr>
      <w:tr>
        <w:trPr/>
        <w:tc>
          <w:tcPr>
            <w:tcW w:w="2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Subtotal</w:t>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513,839 </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unamortized debt issuance costs and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(1,260)</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mortgages payable, net</w:t>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512,579 </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Notes payable</w:t>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Revolving credit facility (4)(5)</w:t>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44,550 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Adjusted SOFR + 0.775%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April 5, 2027</w:t>
            </w:r>
          </w:p>
        </w:tc>
      </w:tr>
      <w:tr>
        <w:trPr/>
        <w:tc>
          <w:tcPr>
            <w:tcW w:w="2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Term loan (4)(5)</w:t>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600,000 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Adjusted SOFR + 0.85%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March 20, 2028</w:t>
            </w:r>
          </w:p>
        </w:tc>
      </w:tr>
      <w:tr>
        <w:trPr/>
        <w:tc>
          <w:tcPr>
            <w:tcW w:w="2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Various</w:t>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1,627 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Various through 2059</w:t>
            </w:r>
          </w:p>
        </w:tc>
      </w:tr>
      <w:tr>
        <w:trPr/>
        <w:tc>
          <w:tcPr>
            <w:tcW w:w="245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45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Subtotal</w:t>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646,177 </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unamortized debt issuance costs</w:t>
            </w:r>
          </w:p>
        </w:tc>
        <w:tc>
          <w:tcPr>
            <w:tcW w:w="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(4,846)</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notes payable, net</w:t>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641,331 </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Senior notes and debentures (5)</w:t>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Unsecured fixed rate</w:t>
            </w:r>
          </w:p>
        </w:tc>
        <w:tc>
          <w:tcPr>
            <w:tcW w:w="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45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45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45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45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1.25% notes</w:t>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9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February 15, 2026</w:t>
            </w:r>
          </w:p>
        </w:tc>
      </w:tr>
      <w:tr>
        <w:trPr/>
        <w:tc>
          <w:tcPr>
            <w:tcW w:w="2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7.48% debentures</w:t>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29,200 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7.48 </w:t>
            </w:r>
          </w:p>
        </w:tc>
        <w:tc>
          <w:tcPr>
            <w:tcW w:w="9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August 15, 2026</w:t>
            </w:r>
          </w:p>
        </w:tc>
      </w:tr>
      <w:tr>
        <w:trPr/>
        <w:tc>
          <w:tcPr>
            <w:tcW w:w="2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3.25% notes</w:t>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475,000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475,000 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3.25 </w:t>
            </w:r>
          </w:p>
        </w:tc>
        <w:tc>
          <w:tcPr>
            <w:tcW w:w="9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July 15, 2027</w:t>
            </w:r>
          </w:p>
        </w:tc>
      </w:tr>
      <w:tr>
        <w:trPr/>
        <w:tc>
          <w:tcPr>
            <w:tcW w:w="2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6.82% medium term notes</w:t>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6.82 </w:t>
            </w:r>
          </w:p>
        </w:tc>
        <w:tc>
          <w:tcPr>
            <w:tcW w:w="9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August 1, 2027</w:t>
            </w:r>
          </w:p>
        </w:tc>
      </w:tr>
      <w:tr>
        <w:trPr/>
        <w:tc>
          <w:tcPr>
            <w:tcW w:w="2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5.375% notes</w:t>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350,000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350,000 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5.375 </w:t>
            </w:r>
          </w:p>
        </w:tc>
        <w:tc>
          <w:tcPr>
            <w:tcW w:w="9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May 1, 2028</w:t>
            </w:r>
          </w:p>
        </w:tc>
      </w:tr>
      <w:tr>
        <w:trPr/>
        <w:tc>
          <w:tcPr>
            <w:tcW w:w="2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3.25% exchangeable notes</w:t>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485,000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485,000 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3.25 </w:t>
            </w:r>
          </w:p>
        </w:tc>
        <w:tc>
          <w:tcPr>
            <w:tcW w:w="9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January 15, 2029</w:t>
            </w:r>
          </w:p>
        </w:tc>
      </w:tr>
      <w:tr>
        <w:trPr/>
        <w:tc>
          <w:tcPr>
            <w:tcW w:w="2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3.20% notes</w:t>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3.20 </w:t>
            </w:r>
          </w:p>
        </w:tc>
        <w:tc>
          <w:tcPr>
            <w:tcW w:w="9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June 15, 2029</w:t>
            </w:r>
          </w:p>
        </w:tc>
      </w:tr>
      <w:tr>
        <w:trPr/>
        <w:tc>
          <w:tcPr>
            <w:tcW w:w="2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3.50% notes</w:t>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3.50 </w:t>
            </w:r>
          </w:p>
        </w:tc>
        <w:tc>
          <w:tcPr>
            <w:tcW w:w="9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June 1, 2030</w:t>
            </w:r>
          </w:p>
        </w:tc>
      </w:tr>
      <w:tr>
        <w:trPr/>
        <w:tc>
          <w:tcPr>
            <w:tcW w:w="2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4.50% notes</w:t>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550,000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550,000 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4.50 </w:t>
            </w:r>
          </w:p>
        </w:tc>
        <w:tc>
          <w:tcPr>
            <w:tcW w:w="9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December 1, 2044</w:t>
            </w:r>
          </w:p>
        </w:tc>
      </w:tr>
      <w:tr>
        <w:trPr/>
        <w:tc>
          <w:tcPr>
            <w:tcW w:w="2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3.625% notes</w:t>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250,000 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3.625 </w:t>
            </w:r>
          </w:p>
        </w:tc>
        <w:tc>
          <w:tcPr>
            <w:tcW w:w="9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August 1, 2046</w:t>
            </w:r>
          </w:p>
        </w:tc>
      </w:tr>
      <w:tr>
        <w:trPr/>
        <w:tc>
          <w:tcPr>
            <w:tcW w:w="2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Subtotal</w:t>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3,379,200 </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unamortized debt issuance costs and premium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(19,817)</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senior notes and debentures, net</w:t>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3,359,383 </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45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debt, net</w:t>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91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4,513,293 </w:t>
            </w:r>
          </w:p>
        </w:tc>
        <w:tc>
          <w:tcPr>
            <w:tcW w:w="23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(1)The interest rate on this mortgage loan is fixed at a weighted average interest rate of 5.03% through the initial maturity date through three interest rate swap agreements. We have two one-year extensions, at our option to extend the maturity date of this mortgage loan to December 28, 2027.</w:t>
      </w:r>
    </w:p>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(2)The interest rate on this mortgage loan is fixed at 3.67% through two interest rate swap agreements. </w:t>
      </w:r>
    </w:p>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(3)The interest rates on these mortgages range from 3.91% to 5.00%.</w:t>
      </w:r>
    </w:p>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(4)Our revolving credit facility SOFR loans and our term loan bear interest at Daily Simple SOFR or Term SOFR, as defined in the respective credit agreements, plus 0.10%, plus a spread, based on our current credit rating. On May 1, 2025, the 0.10% adjustment to SOFR was removed from the term loan.</w:t>
      </w:r>
    </w:p>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(5)The Operating Partnership is the named obligor under our revolving credit facility, and senior notes and debenture. Effective March 20, 2025, the Operating Partnership and a wholly owned subsidiary of the Operating Partnership are both named obligors of the term loan.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(6)The maximum amount drawn under our $1.25 billion revolving credit facility during the three months ended March 31, 2025 was $109.0 million and the weighted average interest rate on borrowings under our revolving credit facility, before amortization of debt fees, was 5.2%.</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revolving credit facility, unsecured term loan, and other debt agreements include financial and other covenants that may limit our operating activities in the future. As of March 31, 2025, we were in compliance with all financial and other covenants related to our revolving credit facility, term loan, and senior notes. Additionally, we were in compliance with all of the financial and other covenants that could trigger a loan default on our mortgage loans. If we were to breach any of these financial and other covenants and did not cure the breach within an applicable cure period, our lenders could require us to repay the debt immediately and, if the debt is secured, could immediately begin proceedings to take possession of the property securing the loan. Many of our debt arrangements, including our public notes and our revolving credit facility, are cross-defaulted, which means that the lenders under those debt arrangements can put us in 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 Our organizational documents do not limit the level or amount of debt that we may incur.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our scheduled principal repayments as of March 31, 2025:</w:t>
      </w:r>
    </w:p>
    <w:p>
      <w:pPr>
        <w:pStyle w:val="TextBody"/>
        <w:bidi w:val="0"/>
        <w:spacing w:lineRule="auto" w:line="288" w:before="0" w:after="0"/>
        <w:jc w:val="left"/>
        <w:rPr>
          <w:color w:val="000000"/>
        </w:rPr>
      </w:pPr>
      <w:r>
        <w:rPr>
          <w:color w:val="000000"/>
        </w:rPr>
        <w:t> </w:t>
      </w:r>
    </w:p>
    <w:tbl>
      <w:tblPr>
        <w:tblW w:w="5974" w:type="dxa"/>
        <w:jc w:val="left"/>
        <w:tblInd w:w="0" w:type="dxa"/>
        <w:tblLayout w:type="fixed"/>
        <w:tblCellMar>
          <w:top w:w="28" w:type="dxa"/>
          <w:left w:w="28" w:type="dxa"/>
          <w:bottom w:w="28" w:type="dxa"/>
          <w:right w:w="28" w:type="dxa"/>
        </w:tblCellMar>
      </w:tblPr>
      <w:tblGrid>
        <w:gridCol w:w="342"/>
        <w:gridCol w:w="300"/>
        <w:gridCol w:w="304"/>
        <w:gridCol w:w="211"/>
        <w:gridCol w:w="976"/>
        <w:gridCol w:w="109"/>
        <w:gridCol w:w="110"/>
        <w:gridCol w:w="110"/>
        <w:gridCol w:w="110"/>
        <w:gridCol w:w="211"/>
        <w:gridCol w:w="826"/>
        <w:gridCol w:w="109"/>
        <w:gridCol w:w="110"/>
        <w:gridCol w:w="110"/>
        <w:gridCol w:w="110"/>
        <w:gridCol w:w="109"/>
        <w:gridCol w:w="146"/>
        <w:gridCol w:w="211"/>
        <w:gridCol w:w="976"/>
        <w:gridCol w:w="109"/>
        <w:gridCol w:w="110"/>
        <w:gridCol w:w="110"/>
        <w:gridCol w:w="155"/>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Unsecured</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Secured</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1" w:type="dxa"/>
            <w:gridSpan w:val="1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46" w:type="dxa"/>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1" w:type="dxa"/>
            <w:gridSpan w:val="6"/>
            <w:tcBorders/>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4,025,377 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513,839 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4,539,216 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r>
    </w:tbl>
    <w:p>
      <w:pPr>
        <w:pStyle w:val="TextBody"/>
        <w:bidi w:val="0"/>
        <w:spacing w:lineRule="auto" w:line="288" w:before="0" w:after="0"/>
        <w:jc w:val="left"/>
        <w:rPr/>
      </w:pPr>
      <w:r>
        <w:rPr>
          <w:rFonts w:ascii="Times New Roman;sans-serif" w:hAnsi="Times New Roman;sans-serif"/>
          <w:b w:val="false"/>
          <w:color w:val="000000"/>
          <w:sz w:val="20"/>
        </w:rPr>
        <w:t>__________________</w:t>
      </w:r>
      <w:r>
        <w:rPr>
          <w:color w:val="000000"/>
          <w:shd w:fill="FFFFFF" w:val="clear"/>
        </w:rPr>
        <w:t>    </w:t>
      </w:r>
    </w:p>
    <w:p>
      <w:pPr>
        <w:pStyle w:val="TextBody"/>
        <w:bidi w:val="0"/>
        <w:spacing w:lineRule="auto" w:line="288" w:before="60" w:after="283"/>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(1)Our $200.0 million mortgage loan secured by Bethesda Row matures on December 28, 2025, plus two one-year extensions at our option to December 28, 2027.</w:t>
      </w:r>
    </w:p>
    <w:p>
      <w:pPr>
        <w:pStyle w:val="TextBody"/>
        <w:bidi w:val="0"/>
        <w:spacing w:lineRule="auto" w:line="288" w:before="60" w:after="283"/>
        <w:ind w:left="0" w:right="0" w:hanging="630"/>
        <w:jc w:val="left"/>
        <w:rPr/>
      </w:pPr>
      <w:r>
        <w:rPr>
          <w:rFonts w:ascii="Times New Roman;sans-serif" w:hAnsi="Times New Roman;sans-serif"/>
          <w:b w:val="false"/>
          <w:color w:val="000000"/>
          <w:sz w:val="20"/>
          <w:shd w:fill="FFFFFF" w:val="clear"/>
        </w:rPr>
        <w:t xml:space="preserve">(2)Our $1.25 billion revolving credit facility matures on April 5, 2027, plus two six-month extensions at our option to April 5, 2028. As of </w:t>
      </w:r>
      <w:r>
        <w:rPr>
          <w:rFonts w:ascii="Times New Roman;sans-serif" w:hAnsi="Times New Roman;sans-serif"/>
          <w:b w:val="false"/>
          <w:color w:val="000000"/>
          <w:sz w:val="20"/>
        </w:rPr>
        <w:t xml:space="preserve">March 31, 2025, there was $44.6 million outstanding under this credit facility. </w:t>
      </w:r>
    </w:p>
    <w:p>
      <w:pPr>
        <w:pStyle w:val="TextBody"/>
        <w:bidi w:val="0"/>
        <w:spacing w:lineRule="auto" w:line="288" w:before="60" w:after="283"/>
        <w:ind w:left="0" w:right="0" w:hanging="630"/>
        <w:jc w:val="left"/>
        <w:rPr/>
      </w:pPr>
      <w:r>
        <w:rPr>
          <w:rFonts w:ascii="Times New Roman;sans-serif" w:hAnsi="Times New Roman;sans-serif"/>
          <w:b w:val="false"/>
          <w:color w:val="000000"/>
          <w:sz w:val="20"/>
          <w:shd w:fill="FFFFFF" w:val="clear"/>
        </w:rPr>
        <w:t>(3)Our</w:t>
      </w:r>
      <w:r>
        <w:rPr>
          <w:color w:val="000000"/>
        </w:rPr>
        <w:t xml:space="preserve"> </w:t>
      </w:r>
      <w:r>
        <w:rPr>
          <w:rFonts w:ascii="Times New Roman;sans-serif" w:hAnsi="Times New Roman;sans-serif"/>
          <w:b w:val="false"/>
          <w:color w:val="000000"/>
          <w:sz w:val="20"/>
        </w:rPr>
        <w:t>$600.0 million term loan matures on March 20, 2028, plus two one-year extensions at our option to March 20, 2030.</w:t>
      </w:r>
    </w:p>
    <w:p>
      <w:pPr>
        <w:pStyle w:val="TextBody"/>
        <w:bidi w:val="0"/>
        <w:spacing w:lineRule="auto" w:line="288" w:before="60" w:after="283"/>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(4)The total debt maturities differ from the total reported on the consolidated balance sheets due to the unamortized net debt issuance costs and premium/discount on mortgage loans, notes payable, and senior notes as of March 31, 2025.</w:t>
      </w:r>
    </w:p>
    <w:p>
      <w:pPr>
        <w:pStyle w:val="TextBody"/>
        <w:bidi w:val="0"/>
        <w:spacing w:lineRule="auto" w:line="288" w:before="2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Rate Hedging</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 associated with cash flow hedges are recorded at fair value on a recurring basis. Effectiveness of cash flow hedges is assessed both at inception and on an ongoing basis. The effective portion of changes in fair value of the interest rate swaps associated with cash flow hedges is recorded in other comprehensive income which is included in "accumulated other comprehensive income (loss)" on the balance sheet and statement of shareholders' equity. Cash flow hedges become ineffective if critical terms of the hedging instrument and the debt instrument do not perfectly match such as notional amounts, settlement dates, reset dates, calculation period and SOFR rate. In addition, we evaluate the default risk of the counterparty by monitoring the credit-worthiness of the counterparty which includes reviewing debt ratings and financial performance. If a cash flow hedge is deemed ineffective, the ineffective portion of changes in fair value of the interest rate swaps associated with cash flow hedges is recognized in earnings in the period affected.</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we have two interest rate swap agreements that effectively fix the rate on a mortgage payable associated with our Hoboken portfolio at 3.67% and we have three interest rate swap agreements that effectively fix the interest rate on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payable associated with Bethesda Row at 5.03% through the initial maturity date. Our Assembly Row hotel joint venture is also a party to two interest rate swap agreements that effectively fix 100% of its outstanding $38.4 million of debt through May 2025 at 6.39%, and 50% of its outstanding debt from June 2025 through May 2028 at 6.03%. All swaps were designated and qualify as cash flow hedges. Hedge ineffectiveness has not impacted earnings as of March 31, 2025.</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REIT Qualification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intend to maintain the Trust's qualification as a REIT under Section 856(c) of the Code. As a REIT, we generally will not be subject to corporate federal income taxes on income we distribute to our shareholders as long as we satisfy certain technical requirements of the Code, including the requirement to distribute at least 90% of our taxable income to our shareholders.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Funds From Operations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Funds from operations (“FFO”) is a supplemental non-GAAP financial measure of real estate companies’ operating performance. The National Association of Real Estate Investment Trusts (“NAREIT”) defines FFO as follows: net income, computed in accordance with U.S. GAAP, plus real estate related depreciation and amortization and excluding gains and losses on the sale of real estate or changes in control, net of tax, and impairment write-downs of certain real estate assets and investments in entities when the impairment is directly attributable to decreases in the value of depreciable real estate held by the entity. We compute FFO in accordance with the NAREIT definition, and we have historically reported our FFO available for common shareholders in addition to our net income and net cash provided by operating activities. It should be noted that FFO:</w:t>
      </w:r>
    </w:p>
    <w:p>
      <w:pPr>
        <w:pStyle w:val="TextBody"/>
        <w:bidi w:val="0"/>
        <w:spacing w:lineRule="auto" w:line="288" w:before="60" w:after="283"/>
        <w:ind w:left="0" w:right="0" w:hanging="900"/>
        <w:jc w:val="left"/>
        <w:rPr/>
      </w:pPr>
      <w:r>
        <w:rPr>
          <w:color w:val="000000"/>
        </w:rPr>
        <w:t>•</w:t>
      </w:r>
      <w:r>
        <w:rPr>
          <w:rFonts w:ascii="Times New Roman;sans-serif" w:hAnsi="Times New Roman;sans-serif"/>
          <w:b w:val="false"/>
          <w:color w:val="000000"/>
          <w:sz w:val="20"/>
        </w:rPr>
        <w:t>does not represent cash flows from operating activities in accordance with GAAP (which, unlike FFO, generally reflects all cash effects of transactions and other events in the determination of net income);</w:t>
      </w:r>
    </w:p>
    <w:p>
      <w:pPr>
        <w:pStyle w:val="TextBody"/>
        <w:bidi w:val="0"/>
        <w:spacing w:lineRule="auto" w:line="288" w:before="60" w:after="283"/>
        <w:ind w:left="0" w:right="0" w:hanging="900"/>
        <w:jc w:val="left"/>
        <w:rPr/>
      </w:pPr>
      <w:r>
        <w:rPr>
          <w:color w:val="000000"/>
        </w:rPr>
        <w:t>•</w:t>
      </w:r>
      <w:r>
        <w:rPr>
          <w:rFonts w:ascii="Times New Roman;sans-serif" w:hAnsi="Times New Roman;sans-serif"/>
          <w:b w:val="false"/>
          <w:color w:val="000000"/>
          <w:sz w:val="20"/>
        </w:rPr>
        <w:t>should not be considered an alternative to net income as an indication of our performance; and</w:t>
      </w:r>
    </w:p>
    <w:p>
      <w:pPr>
        <w:pStyle w:val="TextBody"/>
        <w:bidi w:val="0"/>
        <w:spacing w:lineRule="auto" w:line="288" w:before="60" w:after="283"/>
        <w:ind w:left="0" w:right="0" w:hanging="900"/>
        <w:jc w:val="left"/>
        <w:rPr/>
      </w:pPr>
      <w:r>
        <w:rPr>
          <w:color w:val="000000"/>
        </w:rPr>
        <w:t>•</w:t>
      </w:r>
      <w:r>
        <w:rPr>
          <w:rFonts w:ascii="Times New Roman;sans-serif" w:hAnsi="Times New Roman;sans-serif"/>
          <w:b w:val="false"/>
          <w:color w:val="000000"/>
          <w:sz w:val="20"/>
        </w:rPr>
        <w:t>is not necessarily indicative of cash flow as a measure of liquidity or ability to fund cash needs, including the payment of dividends.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 increase or decrease in FFO available for common shareholders does not necessarily result in an increase or decrease in aggregate distributions because our Board of Trustees is not required to increase distributions on a quarterly basis. However, we must distribute at least 90% of our annual taxable income to remain qualified as a REIT. Therefore, a significant increase in FFO will generally require an increase in distributions to shareholders although not necessarily on a proportionate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reconciliation of net income to FFO available for common shareholders is as follows:</w:t>
      </w:r>
    </w:p>
    <w:p>
      <w:pPr>
        <w:pStyle w:val="TextBody"/>
        <w:bidi w:val="0"/>
        <w:spacing w:before="0" w:after="0"/>
        <w:jc w:val="left"/>
        <w:rPr/>
      </w:pPr>
      <w:r>
        <w:rPr/>
      </w:r>
    </w:p>
    <w:tbl>
      <w:tblPr>
        <w:tblW w:w="9863" w:type="dxa"/>
        <w:jc w:val="left"/>
        <w:tblInd w:w="0" w:type="dxa"/>
        <w:tblLayout w:type="fixed"/>
        <w:tblCellMar>
          <w:top w:w="28" w:type="dxa"/>
          <w:left w:w="28" w:type="dxa"/>
          <w:bottom w:w="28" w:type="dxa"/>
          <w:right w:w="28" w:type="dxa"/>
        </w:tblCellMar>
      </w:tblPr>
      <w:tblGrid>
        <w:gridCol w:w="2361"/>
        <w:gridCol w:w="2073"/>
        <w:gridCol w:w="2091"/>
        <w:gridCol w:w="109"/>
        <w:gridCol w:w="109"/>
        <w:gridCol w:w="110"/>
        <w:gridCol w:w="110"/>
        <w:gridCol w:w="110"/>
        <w:gridCol w:w="110"/>
        <w:gridCol w:w="214"/>
        <w:gridCol w:w="838"/>
        <w:gridCol w:w="110"/>
        <w:gridCol w:w="109"/>
        <w:gridCol w:w="109"/>
        <w:gridCol w:w="109"/>
        <w:gridCol w:w="211"/>
        <w:gridCol w:w="826"/>
        <w:gridCol w:w="154"/>
      </w:tblGrid>
      <w:tr>
        <w:trPr/>
        <w:tc>
          <w:tcPr>
            <w:tcW w:w="2361"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20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518" w:type="dxa"/>
            <w:gridSpan w:val="6"/>
            <w:tcBorders/>
          </w:tcPr>
          <w:p>
            <w:pPr>
              <w:pStyle w:val="TableContents"/>
              <w:bidi w:val="0"/>
              <w:spacing w:before="0" w:after="283"/>
              <w:jc w:val="left"/>
              <w:rPr>
                <w:sz w:val="4"/>
                <w:szCs w:val="4"/>
              </w:rPr>
            </w:pPr>
            <w:r>
              <w:rPr>
                <w:sz w:val="4"/>
                <w:szCs w:val="4"/>
              </w:rPr>
            </w:r>
          </w:p>
        </w:tc>
      </w:tr>
      <w:tr>
        <w:trPr/>
        <w:tc>
          <w:tcPr>
            <w:tcW w:w="6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1518" w:type="dxa"/>
            <w:gridSpan w:val="6"/>
            <w:tcBorders/>
          </w:tcPr>
          <w:p>
            <w:pPr>
              <w:pStyle w:val="TableContents"/>
              <w:bidi w:val="0"/>
              <w:spacing w:before="0" w:after="283"/>
              <w:jc w:val="left"/>
              <w:rPr>
                <w:sz w:val="4"/>
                <w:szCs w:val="4"/>
              </w:rPr>
            </w:pPr>
            <w:r>
              <w:rPr>
                <w:sz w:val="4"/>
                <w:szCs w:val="4"/>
              </w:rPr>
            </w:r>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01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66,578 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5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real estate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76,498 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initial direct costs of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Funds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148,172 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preferred shares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attributable to downREIT operating partnership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attributable to unvested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Funds from operations available for common shareholders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146,476 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5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shares, diluted (1)(2)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86,177 </w:t>
            </w:r>
          </w:p>
        </w:tc>
        <w:tc>
          <w:tcPr>
            <w:tcW w:w="11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83,334 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Funds from operations available for common shareholders, per diluted share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1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5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(1)For the three months ended March 31, 2025 and 2024, dividends on our Series 1 preferred stock were not deducted in the calculation of FFO available to common shareholders, as the related shares were dilutive and included in "weighted average number of common shares, diluted." </w:t>
      </w:r>
    </w:p>
    <w:p>
      <w:pPr>
        <w:pStyle w:val="TextBody"/>
        <w:bidi w:val="0"/>
        <w:spacing w:lineRule="auto" w:line="288"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(2)The weighted average common shares used to compute FFO per diluted common share includes downREIT operating partnership units that were excluded from the computation of diluted EPS. Conversion of these operating partnership units is dilutive in the computation of FFO per diluted share for all periods presented but is anti-dilutive for the computation of diluted EPS.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 </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discusses the effect of hypothetical changes in market rates of interest on interest expense for our variable rate debt and on the fair value of our total outstanding debt, including our fixed-rate debt. Interest rate risk amounts were determined by considering the impact of hypothetical interest rates on our debt. Quoted market prices were used to estimate the fair value of our marketable senior notes and debentures and discounted cash flow analysis is generally used to estimate the fair value of our mortgages and notes payable. Considerable judgment is necessary to estimate the fair value of financial instruments. This analysis does not purport to take into account all of the factors that may affect our debt, such as the effect that a changing interest rate environment could have on the overall level of economic activity or the action that our management might take to reduce our exposure to the change. This analysis assumes no change in our financial structure.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2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Fixed Interest Rate Debt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majority of our outstanding debt obligations (maturing at various times through 2059) have fixed interest rates which limit the risk of fluctuating interest rates. However, interest rate fluctuations may affect the fair value of our fixed rate debt instruments. At March 31, 2025, we had $3.9 billion of fixed-rate debt outstanding, including $251.7 million of mortgage payables for which the rate is effectively fixed by five interest rate swap agreements. If market interest rates used to calculate the fair value on our fixed-rate debt instruments at March 31, 2025 had been 1.0% higher, the fair value of those debt instruments on that date would have decreased by approximately $153.0 million. If market interest rates used to calculate the fair value on our fixed-rate debt instruments at March 31, 2025 had been 1.0% lower, the fair value of those debt instruments on that date would have increased by approximately $170.1 million.</w:t>
      </w:r>
    </w:p>
    <w:p>
      <w:pPr>
        <w:pStyle w:val="TextBody"/>
        <w:bidi w:val="0"/>
        <w:spacing w:lineRule="auto" w:line="288" w:before="2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Variable Interest Rate Debt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Generally, we believe that our primary interest rate risk is due to fluctuations in interest rates on our outstanding variable rate debt. At March 31, 2025, we had $644.6 million of variable rate debt outstanding (the principal balance on our unsecured term loan and $44.6 million outstanding in our revolving credit facility). Based upon this amount of variable rate debt and the specific terms, if market interest rates increased 1.0%, our annual interest expense would increase approximately $6.4 million with a corresponding decrease in our net income and cash flows for the year. Conversely, if market interest rates decreased 1.0%, our annual interest expense would decrease by approximately $6.4 million with a corresponding increase in our net income and cash flows for the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Controls and Procedures (Federal Realty Investment Trust)</w:t>
      </w: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Periodic Evaluation and Conclusion of Disclosure Controls and Procedures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 evaluation has been performed, under the supervision and with the participation of our management, including our Chief Executive Officer and Chief Financial Officer, of the effectiveness of the design and operation of the Trust's disclosure controls and procedures as of March 31, 2025. Based on this evaluation, our management, including our Chief Executive Officer and Chief Financial Officer, concluded that the Trust's disclosure controls and procedures were effective as of March 31, 2025 to provide reasonable assurance that information required to be disclosed in the Trust's reports filed or submitted under the Securities Exchange Act of 1934 is (i) recorded, processed, summarized and reported within the time periods specified in the rules and forms of the SEC and (ii) accumulated and communicated to the Trust’s management including its principal executive and principal financial officer as appropriate to allow timely decisions regarding required disclosure.</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has been no change in the Trust's internal control over financial reporting during the quarterly period covered by this report that materially affected, or is reasonably likely to materially affect, the Trust's internal control over financial reporting.</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Controls and Procedures (Federal Realty OP LP)</w:t>
      </w: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Periodic Evaluation and Conclusion of Disclosure Controls and Procedures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 evaluation has been performed, under the supervision and with the participation of our management, including our Chief Executive Officer and Chief Financial Officer, of the effectiveness of the design and operation of the Operating Partnership's disclosure controls and procedures as of March 31, 2025. Based on this evaluation, our management, including our Chief Executive Officer and Chief Financial Officer, concluded that the Operating Partnership's disclosure controls and procedures were effective as of March 31, 2025 to provide reasonable assurance that information required to be disclosed in our reports filed or submitted under the Securities Exchange Act of 1934 is (i) recorded, processed, summarized and reported within the time periods specified in the rules and forms of the SEC and (ii) accumulated and communicated to the Operating Partnership’s management including its principal executive and principal financial officer as appropriate to allow timely decisions regarding required disclosure.</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has been no change in the Operating Partnership's internal control over financial reporting during the quarterly period covered by this report that materially affected, or is reasonably likely to materially affect, the Operating Partnership's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developments in any of our legal proceedings since the disclosure contained in our Annual Report to Form 10-K for the fiscal year ended December 31, 2024 filed with the SEC on February 13,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the risk factors previously disclosed in our Annual Report to our Form 10-K for the year ended December 31, 2024 filed with the SEC on February 13,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2.UNREGISTERED SALES OF EQUITY SECURITIES AND USE OF PROCEEDS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April 10, 2025, we announced that our Board of Trustees had approved a new common share repurchase program, under which we may purchase up to $300.0 million of our outstanding common shares of beneficial interest, $0.01 par value per share from time to time using a variety of methods, including open market, privately negotiated transactions or otherwise. The specific timing and amount of common share repurchases, if any, will depend on a number of factors, including prevailing share prices, trading volume and general market conditions, along with our working capital requirements, cash flow, and other factors. The program does not require us to repurchase any dollar amount or number of common shares and may be suspended or discontinued at any time. As of May 8, 2025, no shares have been repurchased through the program.</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the terms of various partnership agreements of certain of our affiliated limited partnerships, the interest of limited partners in those limited partnerships may be redeemed, subject to certain conditions, for cash or common shares, at our option. During the three months ended March 31, 2025, we redeemed 1,158 downREIT operating partnership units for common shares.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could be deemed to have repurchased shares as a result of shares withheld for tax purposes upon a stock</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related vesting event.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3.DEFAULTS UPON SENIOR SECURITIES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4.MINE SAFETY DISCLOSURES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5.OTHER INFORMATION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6.EXHIBITS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list of exhibits to this Quarterly Report on Form 10-Q is set forth on the Exhibit Index immediately preceding such exhibits and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53"/>
        <w:gridCol w:w="222"/>
        <w:gridCol w:w="224"/>
        <w:gridCol w:w="121"/>
        <w:gridCol w:w="121"/>
        <w:gridCol w:w="121"/>
        <w:gridCol w:w="2910"/>
        <w:gridCol w:w="2861"/>
        <w:gridCol w:w="2887"/>
        <w:gridCol w:w="109"/>
        <w:gridCol w:w="109"/>
        <w:gridCol w:w="109"/>
        <w:gridCol w:w="158"/>
      </w:tblGrid>
      <w:tr>
        <w:trPr/>
        <w:tc>
          <w:tcPr>
            <w:tcW w:w="25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910" w:type="dxa"/>
            <w:tcBorders/>
            <w:vAlign w:val="center"/>
          </w:tcPr>
          <w:p>
            <w:pPr>
              <w:pStyle w:val="TableContents"/>
              <w:bidi w:val="0"/>
              <w:spacing w:before="0" w:after="283"/>
              <w:jc w:val="left"/>
              <w:rPr>
                <w:sz w:val="4"/>
                <w:szCs w:val="4"/>
              </w:rPr>
            </w:pPr>
            <w:r>
              <w:rPr>
                <w:sz w:val="4"/>
                <w:szCs w:val="4"/>
              </w:rPr>
            </w:r>
          </w:p>
        </w:tc>
        <w:tc>
          <w:tcPr>
            <w:tcW w:w="2861"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7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INDEX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 No.</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Amended and Restated Term Loan Agreement, dated as of March 20, 2025, by and among the Partnership, FRIT San Jose, the financial institutions party thereto, as Lenders, PNC Bank, National Association, as Administrative Agent, and the other parties thereto (previously filed as </w:t>
            </w:r>
            <w:hyperlink r:id="rId4">
              <w:r>
                <w:rPr>
                  <w:rStyle w:val="InternetLink"/>
                  <w:rFonts w:ascii="Times New Roman;sans-serif" w:hAnsi="Times New Roman;sans-serif"/>
                  <w:b w:val="false"/>
                  <w:color w:val="0000FF"/>
                  <w:sz w:val="20"/>
                  <w:u w:val="single"/>
                </w:rPr>
                <w:t>Exhibit 10.1</w:t>
              </w:r>
            </w:hyperlink>
            <w:r>
              <w:rPr>
                <w:color w:val="000000"/>
              </w:rPr>
              <w:t xml:space="preserve"> </w:t>
            </w:r>
            <w:r>
              <w:rPr>
                <w:rFonts w:ascii="Times New Roman;sans-serif" w:hAnsi="Times New Roman;sans-serif"/>
                <w:b w:val="false"/>
                <w:color w:val="000000"/>
                <w:sz w:val="20"/>
              </w:rPr>
              <w:t>to the Trust’s Current Report on Form 8-K filed on March 21, 2025 and incorporated herein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03312025xex311.htm">
              <w:r>
                <w:rPr>
                  <w:rStyle w:val="InternetLink"/>
                  <w:rFonts w:ascii="Times New Roman;sans-serif" w:hAnsi="Times New Roman;sans-serif"/>
                  <w:b w:val="false"/>
                  <w:color w:val="0000FF"/>
                  <w:sz w:val="20"/>
                  <w:u w:val="single"/>
                </w:rPr>
                <w:t>31.1</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Rule 13a-14(a) Certification of Chief Executive Officer - Federal Realty Investment Trust (filed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03312025xex312.htm">
              <w:r>
                <w:rPr>
                  <w:rStyle w:val="InternetLink"/>
                  <w:rFonts w:ascii="Times New Roman;sans-serif" w:hAnsi="Times New Roman;sans-serif"/>
                  <w:b w:val="false"/>
                  <w:color w:val="0000FF"/>
                  <w:sz w:val="20"/>
                  <w:u w:val="single"/>
                </w:rPr>
                <w:t>31.2</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Rule 13a-14(a) Certification of Chief Financial Officer - Federal Realty Investment Trust (filed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03312025xex313.htm">
              <w:r>
                <w:rPr>
                  <w:rStyle w:val="InternetLink"/>
                  <w:rFonts w:ascii="Times New Roman;sans-serif" w:hAnsi="Times New Roman;sans-serif"/>
                  <w:b w:val="false"/>
                  <w:color w:val="0000FF"/>
                  <w:sz w:val="20"/>
                  <w:u w:val="single"/>
                </w:rPr>
                <w:t>31.3</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Rule 13a-14(a) Certification of Chief Executive Officer - Federal Realty OP LP (filed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03312025xex314.htm">
              <w:r>
                <w:rPr>
                  <w:rStyle w:val="InternetLink"/>
                  <w:rFonts w:ascii="Times New Roman;sans-serif" w:hAnsi="Times New Roman;sans-serif"/>
                  <w:b w:val="false"/>
                  <w:color w:val="0000FF"/>
                  <w:sz w:val="20"/>
                  <w:u w:val="single"/>
                </w:rPr>
                <w:t>31.4</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Rule 13a-14(a) Certification of Chief Financial Officer - Federal Realty OP LP (filed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03312025xex321.htm">
              <w:r>
                <w:rPr>
                  <w:rStyle w:val="InternetLink"/>
                  <w:rFonts w:ascii="Times New Roman;sans-serif" w:hAnsi="Times New Roman;sans-serif"/>
                  <w:b w:val="false"/>
                  <w:color w:val="0000FF"/>
                  <w:sz w:val="20"/>
                  <w:u w:val="single"/>
                </w:rPr>
                <w:t>32.1</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1350 Certification of Chief Executive Officer - Federal Realty Investment Trust (filed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03312025xex322.htm">
              <w:r>
                <w:rPr>
                  <w:rStyle w:val="InternetLink"/>
                  <w:rFonts w:ascii="Times New Roman;sans-serif" w:hAnsi="Times New Roman;sans-serif"/>
                  <w:b w:val="false"/>
                  <w:color w:val="0000FF"/>
                  <w:sz w:val="20"/>
                  <w:u w:val="single"/>
                </w:rPr>
                <w:t>32.2</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1350 Certification of Chief Financial Officer - Federal Realty Investment Trust (filed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03312025xex323.htm">
              <w:r>
                <w:rPr>
                  <w:rStyle w:val="InternetLink"/>
                  <w:rFonts w:ascii="Times New Roman;sans-serif" w:hAnsi="Times New Roman;sans-serif"/>
                  <w:b w:val="false"/>
                  <w:color w:val="0000FF"/>
                  <w:sz w:val="20"/>
                  <w:u w:val="single"/>
                </w:rPr>
                <w:t>32.3</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1350 Certification of Chief Executive Officer - Federal Realty OP LP (filed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03312025xex324.htm">
              <w:r>
                <w:rPr>
                  <w:rStyle w:val="InternetLink"/>
                  <w:rFonts w:ascii="Times New Roman;sans-serif" w:hAnsi="Times New Roman;sans-serif"/>
                  <w:b w:val="false"/>
                  <w:color w:val="0000FF"/>
                  <w:sz w:val="20"/>
                  <w:u w:val="single"/>
                </w:rPr>
                <w:t>32.4</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1350 Certification of Chief Financial Officer - Federal Realty OP LP (filed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materials from Federal Realty Investment Trust and Federal Realty OP LP’s Quarterly Report on Form 10-Q for the quarter ended March 31, 2025, formatted in XBRL (Extensible Business Reporting Language): (1) the Consolidated Balance Sheets, (2) the Consolidated Statements of Comprehensive Income, (3) the Consolidated Statement of Shareholders’ Equity, (4) the Consolidated Statements of Cash Flows, and (5) Notes to Consolidated Financial Statements that have been detail tagged.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in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FF"/>
          <w:sz w:val="18"/>
          <w:u w:val="single"/>
        </w:rPr>
      </w:pPr>
      <w:r>
        <w:rPr>
          <w:rFonts w:ascii="Times New Roman;sans-serif" w:hAnsi="Times New Roman;sans-serif"/>
          <w:b/>
          <w:color w:val="0000FF"/>
          <w:sz w:val="18"/>
          <w:u w:val="single"/>
        </w:rPr>
        <w:t>Table of Contents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authorized.</w:t>
      </w:r>
    </w:p>
    <w:p>
      <w:pPr>
        <w:pStyle w:val="TextBody"/>
        <w:bidi w:val="0"/>
        <w:spacing w:before="0" w:after="0"/>
        <w:jc w:val="left"/>
        <w:rPr/>
      </w:pPr>
      <w:r>
        <w:rPr/>
      </w:r>
    </w:p>
    <w:tbl>
      <w:tblPr>
        <w:tblW w:w="5457" w:type="dxa"/>
        <w:jc w:val="left"/>
        <w:tblInd w:w="0" w:type="dxa"/>
        <w:tblLayout w:type="fixed"/>
        <w:tblCellMar>
          <w:top w:w="28" w:type="dxa"/>
          <w:left w:w="28" w:type="dxa"/>
          <w:bottom w:w="28" w:type="dxa"/>
          <w:right w:w="28" w:type="dxa"/>
        </w:tblCellMar>
      </w:tblPr>
      <w:tblGrid>
        <w:gridCol w:w="417"/>
        <w:gridCol w:w="368"/>
        <w:gridCol w:w="370"/>
        <w:gridCol w:w="109"/>
        <w:gridCol w:w="109"/>
        <w:gridCol w:w="109"/>
        <w:gridCol w:w="1163"/>
        <w:gridCol w:w="1163"/>
        <w:gridCol w:w="1649"/>
      </w:tblGrid>
      <w:tr>
        <w:trPr/>
        <w:tc>
          <w:tcPr>
            <w:tcW w:w="41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OP LP</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8,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Donald C. Wood</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Donald C. Wood,</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 and Trustee</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 Executive Officer)</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75" w:type="dxa"/>
            <w:gridSpan w:val="3"/>
            <w:tcBorders/>
            <w:vAlign w:val="center"/>
          </w:tcPr>
          <w:p>
            <w:pPr>
              <w:pStyle w:val="TableContents"/>
              <w:bidi w:val="0"/>
              <w:spacing w:before="0" w:after="283"/>
              <w:jc w:val="left"/>
              <w:rPr>
                <w:sz w:val="4"/>
                <w:szCs w:val="4"/>
              </w:rPr>
            </w:pPr>
            <w:r>
              <w:rPr>
                <w:sz w:val="4"/>
                <w:szCs w:val="4"/>
              </w:rPr>
            </w:r>
          </w:p>
        </w:tc>
      </w:tr>
      <w:tr>
        <w:trPr/>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75" w:type="dxa"/>
            <w:gridSpan w:val="3"/>
            <w:tcBorders/>
            <w:vAlign w:val="center"/>
          </w:tcPr>
          <w:p>
            <w:pPr>
              <w:pStyle w:val="TableContents"/>
              <w:bidi w:val="0"/>
              <w:spacing w:before="0" w:after="283"/>
              <w:jc w:val="left"/>
              <w:rPr>
                <w:sz w:val="4"/>
                <w:szCs w:val="4"/>
              </w:rPr>
            </w:pPr>
            <w:r>
              <w:rPr>
                <w:sz w:val="4"/>
                <w:szCs w:val="4"/>
              </w:rPr>
            </w:r>
          </w:p>
        </w:tc>
      </w:tr>
      <w:tr>
        <w:trPr/>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75" w:type="dxa"/>
            <w:gridSpan w:val="3"/>
            <w:tcBorders/>
            <w:vAlign w:val="center"/>
          </w:tcPr>
          <w:p>
            <w:pPr>
              <w:pStyle w:val="TableContents"/>
              <w:bidi w:val="0"/>
              <w:spacing w:before="0" w:after="283"/>
              <w:jc w:val="left"/>
              <w:rPr>
                <w:sz w:val="4"/>
                <w:szCs w:val="4"/>
              </w:rPr>
            </w:pPr>
            <w:r>
              <w:rPr>
                <w:sz w:val="4"/>
                <w:szCs w:val="4"/>
              </w:rPr>
            </w:r>
          </w:p>
        </w:tc>
      </w:tr>
      <w:tr>
        <w:trPr/>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75" w:type="dxa"/>
            <w:gridSpan w:val="3"/>
            <w:tcBorders/>
            <w:vAlign w:val="center"/>
          </w:tcPr>
          <w:p>
            <w:pPr>
              <w:pStyle w:val="TableContents"/>
              <w:bidi w:val="0"/>
              <w:spacing w:before="0" w:after="283"/>
              <w:jc w:val="left"/>
              <w:rPr>
                <w:sz w:val="4"/>
                <w:szCs w:val="4"/>
              </w:rPr>
            </w:pPr>
            <w:r>
              <w:rPr>
                <w:sz w:val="4"/>
                <w:szCs w:val="4"/>
              </w:rPr>
            </w:r>
          </w:p>
        </w:tc>
      </w:tr>
      <w:tr>
        <w:trPr/>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7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5457" w:type="dxa"/>
        <w:jc w:val="center"/>
        <w:tblInd w:w="0" w:type="dxa"/>
        <w:tblLayout w:type="fixed"/>
        <w:tblCellMar>
          <w:top w:w="28" w:type="dxa"/>
          <w:left w:w="28" w:type="dxa"/>
          <w:bottom w:w="28" w:type="dxa"/>
          <w:right w:w="28" w:type="dxa"/>
        </w:tblCellMar>
      </w:tblPr>
      <w:tblGrid>
        <w:gridCol w:w="417"/>
        <w:gridCol w:w="368"/>
        <w:gridCol w:w="370"/>
        <w:gridCol w:w="109"/>
        <w:gridCol w:w="109"/>
        <w:gridCol w:w="109"/>
        <w:gridCol w:w="1163"/>
        <w:gridCol w:w="1163"/>
        <w:gridCol w:w="1649"/>
      </w:tblGrid>
      <w:tr>
        <w:trPr/>
        <w:tc>
          <w:tcPr>
            <w:tcW w:w="41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OP LP</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8,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Daniel Guglielmone</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Daniel Guglielmone,</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Executive Vice President</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Financial Officer and Treasurer</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 Financial and Accounting Officer)</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75" w:type="dxa"/>
            <w:gridSpan w:val="3"/>
            <w:tcBorders/>
            <w:vAlign w:val="center"/>
          </w:tcPr>
          <w:p>
            <w:pPr>
              <w:pStyle w:val="TableContents"/>
              <w:bidi w:val="0"/>
              <w:spacing w:before="0" w:after="283"/>
              <w:jc w:val="left"/>
              <w:rPr>
                <w:sz w:val="4"/>
                <w:szCs w:val="4"/>
              </w:rPr>
            </w:pPr>
            <w:r>
              <w:rPr>
                <w:sz w:val="4"/>
                <w:szCs w:val="4"/>
              </w:rPr>
            </w:r>
          </w:p>
        </w:tc>
      </w:tr>
      <w:tr>
        <w:trPr/>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75" w:type="dxa"/>
            <w:gridSpan w:val="3"/>
            <w:tcBorders/>
            <w:vAlign w:val="center"/>
          </w:tcPr>
          <w:p>
            <w:pPr>
              <w:pStyle w:val="TableContents"/>
              <w:bidi w:val="0"/>
              <w:spacing w:before="0" w:after="283"/>
              <w:jc w:val="left"/>
              <w:rPr>
                <w:sz w:val="4"/>
                <w:szCs w:val="4"/>
              </w:rPr>
            </w:pPr>
            <w:r>
              <w:rPr>
                <w:sz w:val="4"/>
                <w:szCs w:val="4"/>
              </w:rPr>
            </w:r>
          </w:p>
        </w:tc>
      </w:tr>
      <w:tr>
        <w:trPr/>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75" w:type="dxa"/>
            <w:gridSpan w:val="3"/>
            <w:tcBorders/>
            <w:vAlign w:val="center"/>
          </w:tcPr>
          <w:p>
            <w:pPr>
              <w:pStyle w:val="TableContents"/>
              <w:bidi w:val="0"/>
              <w:spacing w:before="0" w:after="283"/>
              <w:jc w:val="left"/>
              <w:rPr>
                <w:sz w:val="4"/>
                <w:szCs w:val="4"/>
              </w:rPr>
            </w:pPr>
            <w:r>
              <w:rPr>
                <w:sz w:val="4"/>
                <w:szCs w:val="4"/>
              </w:rPr>
            </w:r>
          </w:p>
        </w:tc>
      </w:tr>
      <w:tr>
        <w:trPr/>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75" w:type="dxa"/>
            <w:gridSpan w:val="3"/>
            <w:tcBorders/>
            <w:vAlign w:val="center"/>
          </w:tcPr>
          <w:p>
            <w:pPr>
              <w:pStyle w:val="TableContents"/>
              <w:bidi w:val="0"/>
              <w:spacing w:before="0" w:after="283"/>
              <w:jc w:val="left"/>
              <w:rPr>
                <w:sz w:val="4"/>
                <w:szCs w:val="4"/>
              </w:rPr>
            </w:pPr>
            <w:r>
              <w:rPr>
                <w:sz w:val="4"/>
                <w:szCs w:val="4"/>
              </w:rPr>
            </w:r>
          </w:p>
        </w:tc>
      </w:tr>
      <w:tr>
        <w:trPr/>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7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80" w:after="283"/>
        <w:jc w:val="left"/>
        <w:rPr/>
      </w:pPr>
      <w:r>
        <w:rPr>
          <w:rFonts w:ascii="Times New Roman;sans-serif" w:hAnsi="Times New Roman;sans-serif"/>
          <w:b w:val="false"/>
          <w:color w:val="000000"/>
          <w:sz w:val="20"/>
        </w:rPr>
        <w:t xml:space="preserve">I, </w:t>
      </w:r>
      <w:r>
        <w:rPr>
          <w:rFonts w:ascii="Times New Roman;sans-serif" w:hAnsi="Times New Roman;sans-serif"/>
          <w:b w:val="false"/>
          <w:i/>
          <w:color w:val="000000"/>
          <w:sz w:val="20"/>
        </w:rPr>
        <w:t>Donald C. Wood</w:t>
      </w:r>
      <w:r>
        <w:rPr>
          <w:rFonts w:ascii="Times New Roman;sans-serif" w:hAnsi="Times New Roman;sans-serif"/>
          <w:b w:val="false"/>
          <w:color w:val="000000"/>
          <w:sz w:val="20"/>
        </w:rPr>
        <w:t xml:space="preserve">, certify that: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quarterly report on Form 10-Q of Federal Realty Investment Trust;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4662" w:type="dxa"/>
        <w:jc w:val="left"/>
        <w:tblInd w:w="0" w:type="dxa"/>
        <w:tblLayout w:type="fixed"/>
        <w:tblCellMar>
          <w:top w:w="28" w:type="dxa"/>
          <w:left w:w="28" w:type="dxa"/>
          <w:bottom w:w="28" w:type="dxa"/>
          <w:right w:w="28" w:type="dxa"/>
        </w:tblCellMar>
      </w:tblPr>
      <w:tblGrid>
        <w:gridCol w:w="417"/>
        <w:gridCol w:w="368"/>
        <w:gridCol w:w="370"/>
        <w:gridCol w:w="109"/>
        <w:gridCol w:w="109"/>
        <w:gridCol w:w="109"/>
        <w:gridCol w:w="930"/>
        <w:gridCol w:w="930"/>
        <w:gridCol w:w="1320"/>
      </w:tblGrid>
      <w:tr>
        <w:trPr/>
        <w:tc>
          <w:tcPr>
            <w:tcW w:w="41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8,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Donald C. Wood</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Donald C. Wood,</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 and Trustee</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80" w:after="283"/>
        <w:jc w:val="left"/>
        <w:rPr/>
      </w:pPr>
      <w:r>
        <w:rPr>
          <w:rFonts w:ascii="Times New Roman;sans-serif" w:hAnsi="Times New Roman;sans-serif"/>
          <w:b w:val="false"/>
          <w:color w:val="000000"/>
          <w:sz w:val="20"/>
        </w:rPr>
        <w:t xml:space="preserve">I, </w:t>
      </w:r>
      <w:r>
        <w:rPr>
          <w:rFonts w:ascii="Times New Roman;sans-serif" w:hAnsi="Times New Roman;sans-serif"/>
          <w:b w:val="false"/>
          <w:i/>
          <w:color w:val="000000"/>
          <w:sz w:val="20"/>
        </w:rPr>
        <w:t>Daniel Guglielmone</w:t>
      </w:r>
      <w:r>
        <w:rPr>
          <w:rFonts w:ascii="Times New Roman;sans-serif" w:hAnsi="Times New Roman;sans-serif"/>
          <w:b w:val="false"/>
          <w:color w:val="000000"/>
          <w:sz w:val="20"/>
        </w:rPr>
        <w:t>, certify that:</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quarterly report on Form 10-Q of Federal Realty Investment Trust;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5411" w:type="dxa"/>
        <w:jc w:val="left"/>
        <w:tblInd w:w="0" w:type="dxa"/>
        <w:tblLayout w:type="fixed"/>
        <w:tblCellMar>
          <w:top w:w="28" w:type="dxa"/>
          <w:left w:w="28" w:type="dxa"/>
          <w:bottom w:w="28" w:type="dxa"/>
          <w:right w:w="28" w:type="dxa"/>
        </w:tblCellMar>
      </w:tblPr>
      <w:tblGrid>
        <w:gridCol w:w="417"/>
        <w:gridCol w:w="368"/>
        <w:gridCol w:w="370"/>
        <w:gridCol w:w="109"/>
        <w:gridCol w:w="109"/>
        <w:gridCol w:w="109"/>
        <w:gridCol w:w="1150"/>
        <w:gridCol w:w="1150"/>
        <w:gridCol w:w="1629"/>
      </w:tblGrid>
      <w:tr>
        <w:trPr/>
        <w:tc>
          <w:tcPr>
            <w:tcW w:w="41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8,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Daniel Guglielmone</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Daniel Guglielmone</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Executive Vice President - </w:t>
              <w:br/>
              <w:t>Chief Financial Officer and Treasurer</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 Financial and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31.3</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80" w:after="283"/>
        <w:jc w:val="left"/>
        <w:rPr/>
      </w:pPr>
      <w:r>
        <w:rPr>
          <w:rFonts w:ascii="Times New Roman;sans-serif" w:hAnsi="Times New Roman;sans-serif"/>
          <w:b w:val="false"/>
          <w:color w:val="000000"/>
          <w:sz w:val="20"/>
        </w:rPr>
        <w:t xml:space="preserve">I, </w:t>
      </w:r>
      <w:r>
        <w:rPr>
          <w:rFonts w:ascii="Times New Roman;sans-serif" w:hAnsi="Times New Roman;sans-serif"/>
          <w:b w:val="false"/>
          <w:i/>
          <w:color w:val="000000"/>
          <w:sz w:val="20"/>
        </w:rPr>
        <w:t>Donald C. Wood</w:t>
      </w:r>
      <w:r>
        <w:rPr>
          <w:rFonts w:ascii="Times New Roman;sans-serif" w:hAnsi="Times New Roman;sans-serif"/>
          <w:b w:val="false"/>
          <w:color w:val="000000"/>
          <w:sz w:val="20"/>
        </w:rPr>
        <w:t xml:space="preserve">, certify that: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quarterly report on Form 10-Q of Federal Realty OP LP;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90" w:after="283"/>
        <w:ind w:left="0" w:right="0" w:hanging="450"/>
        <w:jc w:val="left"/>
        <w:rPr/>
      </w:pPr>
      <w:r>
        <w:rPr/>
      </w:r>
    </w:p>
    <w:tbl>
      <w:tblPr>
        <w:tblW w:w="4661" w:type="dxa"/>
        <w:jc w:val="left"/>
        <w:tblInd w:w="0" w:type="dxa"/>
        <w:tblLayout w:type="fixed"/>
        <w:tblCellMar>
          <w:top w:w="28" w:type="dxa"/>
          <w:left w:w="28" w:type="dxa"/>
          <w:bottom w:w="28" w:type="dxa"/>
          <w:right w:w="28" w:type="dxa"/>
        </w:tblCellMar>
      </w:tblPr>
      <w:tblGrid>
        <w:gridCol w:w="417"/>
        <w:gridCol w:w="368"/>
        <w:gridCol w:w="370"/>
        <w:gridCol w:w="109"/>
        <w:gridCol w:w="109"/>
        <w:gridCol w:w="109"/>
        <w:gridCol w:w="930"/>
        <w:gridCol w:w="930"/>
        <w:gridCol w:w="1319"/>
      </w:tblGrid>
      <w:tr>
        <w:trPr/>
        <w:tc>
          <w:tcPr>
            <w:tcW w:w="41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8,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Donald C. Wood</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Donald C. Wood,</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 and Trustee</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31.4</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80" w:after="283"/>
        <w:jc w:val="left"/>
        <w:rPr/>
      </w:pPr>
      <w:r>
        <w:rPr>
          <w:rFonts w:ascii="Times New Roman;sans-serif" w:hAnsi="Times New Roman;sans-serif"/>
          <w:b w:val="false"/>
          <w:color w:val="000000"/>
          <w:sz w:val="20"/>
        </w:rPr>
        <w:t xml:space="preserve">I, </w:t>
      </w:r>
      <w:r>
        <w:rPr>
          <w:rFonts w:ascii="Times New Roman;sans-serif" w:hAnsi="Times New Roman;sans-serif"/>
          <w:b w:val="false"/>
          <w:i/>
          <w:color w:val="000000"/>
          <w:sz w:val="20"/>
        </w:rPr>
        <w:t>Daniel Guglielmone</w:t>
      </w:r>
      <w:r>
        <w:rPr>
          <w:rFonts w:ascii="Times New Roman;sans-serif" w:hAnsi="Times New Roman;sans-serif"/>
          <w:b w:val="false"/>
          <w:color w:val="000000"/>
          <w:sz w:val="20"/>
        </w:rPr>
        <w:t>, certify that:</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quarterly report on Form 10-Q of Federal Realty OP LP;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9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90" w:after="283"/>
        <w:ind w:left="0" w:right="0" w:hanging="450"/>
        <w:jc w:val="left"/>
        <w:rPr/>
      </w:pPr>
      <w:r>
        <w:rPr/>
      </w:r>
    </w:p>
    <w:tbl>
      <w:tblPr>
        <w:tblW w:w="5411" w:type="dxa"/>
        <w:jc w:val="left"/>
        <w:tblInd w:w="0" w:type="dxa"/>
        <w:tblLayout w:type="fixed"/>
        <w:tblCellMar>
          <w:top w:w="28" w:type="dxa"/>
          <w:left w:w="28" w:type="dxa"/>
          <w:bottom w:w="28" w:type="dxa"/>
          <w:right w:w="28" w:type="dxa"/>
        </w:tblCellMar>
      </w:tblPr>
      <w:tblGrid>
        <w:gridCol w:w="418"/>
        <w:gridCol w:w="368"/>
        <w:gridCol w:w="369"/>
        <w:gridCol w:w="109"/>
        <w:gridCol w:w="109"/>
        <w:gridCol w:w="109"/>
        <w:gridCol w:w="1150"/>
        <w:gridCol w:w="1150"/>
        <w:gridCol w:w="1629"/>
      </w:tblGrid>
      <w:tr>
        <w:trPr/>
        <w:tc>
          <w:tcPr>
            <w:tcW w:w="41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8,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Daniel Guglielmone</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Daniel Guglielmone,</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Executive Vice President - </w:t>
              <w:br/>
              <w:t>Chief Financial Officer and Treasurer</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 Financial and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 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undersigned, Donald C. Wood, the President and Chief Executive Officer of Federal Realty Investment Trust (the “Company”), has executed this certification in connection with the filing with the Securities and Exchange Commission of the Company’s Quarterly Report on Form 10-Q for the period ended March 31, 2025 (the “Report”). The undersigned hereby certifies, to the best of his knowledge, that:</w:t>
      </w:r>
    </w:p>
    <w:p>
      <w:pPr>
        <w:pStyle w:val="TextBody"/>
        <w:bidi w:val="0"/>
        <w:spacing w:lineRule="auto" w:line="288" w:before="120" w:after="283"/>
        <w:ind w:left="0" w:right="0" w:hanging="99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99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4662" w:type="dxa"/>
        <w:jc w:val="left"/>
        <w:tblInd w:w="0" w:type="dxa"/>
        <w:tblLayout w:type="fixed"/>
        <w:tblCellMar>
          <w:top w:w="28" w:type="dxa"/>
          <w:left w:w="28" w:type="dxa"/>
          <w:bottom w:w="28" w:type="dxa"/>
          <w:right w:w="28" w:type="dxa"/>
        </w:tblCellMar>
      </w:tblPr>
      <w:tblGrid>
        <w:gridCol w:w="417"/>
        <w:gridCol w:w="368"/>
        <w:gridCol w:w="370"/>
        <w:gridCol w:w="109"/>
        <w:gridCol w:w="109"/>
        <w:gridCol w:w="109"/>
        <w:gridCol w:w="930"/>
        <w:gridCol w:w="930"/>
        <w:gridCol w:w="1320"/>
      </w:tblGrid>
      <w:tr>
        <w:trPr/>
        <w:tc>
          <w:tcPr>
            <w:tcW w:w="41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8,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Donald C. Wood</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Donald C. Wood,</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 and Trustee</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 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undersigned, Daniel Guglielmone, the Executive Vice President and Chief Financial Officer and Treasurer of Federal Realty Investment Trust (the “Company”), has executed this certification in connection with the filing with the Securities and Exchange Commission of the Company’s Quarterly Report on Form 10-Q for the period ended March 31, 2025 (the “Report”). The undersigned hereby certifies, to the best of his knowledge, that:</w:t>
      </w:r>
    </w:p>
    <w:p>
      <w:pPr>
        <w:pStyle w:val="TextBody"/>
        <w:bidi w:val="0"/>
        <w:spacing w:lineRule="auto" w:line="288" w:before="120" w:after="283"/>
        <w:ind w:left="0" w:right="0" w:hanging="99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99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5411" w:type="dxa"/>
        <w:jc w:val="left"/>
        <w:tblInd w:w="0" w:type="dxa"/>
        <w:tblLayout w:type="fixed"/>
        <w:tblCellMar>
          <w:top w:w="28" w:type="dxa"/>
          <w:left w:w="28" w:type="dxa"/>
          <w:bottom w:w="28" w:type="dxa"/>
          <w:right w:w="28" w:type="dxa"/>
        </w:tblCellMar>
      </w:tblPr>
      <w:tblGrid>
        <w:gridCol w:w="418"/>
        <w:gridCol w:w="368"/>
        <w:gridCol w:w="369"/>
        <w:gridCol w:w="109"/>
        <w:gridCol w:w="109"/>
        <w:gridCol w:w="109"/>
        <w:gridCol w:w="1150"/>
        <w:gridCol w:w="1150"/>
        <w:gridCol w:w="1629"/>
      </w:tblGrid>
      <w:tr>
        <w:trPr/>
        <w:tc>
          <w:tcPr>
            <w:tcW w:w="41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8,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Daniel Guglielmone</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Daniel Guglielmone</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Executive Vice President - </w:t>
              <w:br/>
              <w:t>Chief Financial Officer and Treasurer</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 Financial and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32.3</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 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undersigned, Donald C. Wood, the President and Chief Executive Officer of Federal Realty OP LP (the “Company”), has executed this certification in connection with the filing with the Securities and Exchange Commission of the Company’s Quarterly Report on Form 10-Q for the period ended March 31, 2025 (the “Report”). The undersigned hereby certifies, to the best of his knowledge, that:</w:t>
      </w:r>
    </w:p>
    <w:p>
      <w:pPr>
        <w:pStyle w:val="TextBody"/>
        <w:bidi w:val="0"/>
        <w:spacing w:lineRule="auto" w:line="288" w:before="120" w:after="283"/>
        <w:ind w:left="0" w:right="0" w:hanging="99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99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120" w:after="283"/>
        <w:ind w:left="0" w:right="0" w:hanging="630"/>
        <w:jc w:val="left"/>
        <w:rPr/>
      </w:pPr>
      <w:r>
        <w:rPr/>
      </w:r>
    </w:p>
    <w:tbl>
      <w:tblPr>
        <w:tblW w:w="5546" w:type="dxa"/>
        <w:jc w:val="left"/>
        <w:tblInd w:w="0" w:type="dxa"/>
        <w:tblLayout w:type="fixed"/>
        <w:tblCellMar>
          <w:top w:w="28" w:type="dxa"/>
          <w:left w:w="28" w:type="dxa"/>
          <w:bottom w:w="28" w:type="dxa"/>
          <w:right w:w="28" w:type="dxa"/>
        </w:tblCellMar>
      </w:tblPr>
      <w:tblGrid>
        <w:gridCol w:w="417"/>
        <w:gridCol w:w="368"/>
        <w:gridCol w:w="370"/>
        <w:gridCol w:w="109"/>
        <w:gridCol w:w="109"/>
        <w:gridCol w:w="109"/>
        <w:gridCol w:w="1189"/>
        <w:gridCol w:w="1189"/>
        <w:gridCol w:w="1686"/>
      </w:tblGrid>
      <w:tr>
        <w:trPr/>
        <w:tc>
          <w:tcPr>
            <w:tcW w:w="41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8,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Donald C. Wood</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Donald C. Wood,</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President, Chief Executive Officer and Trustee</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32.4</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 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undersigned, Daniel Guglielmone, the Executive Vice President and Chief Financial Officer and Treasurer of Federal Realty OP LP (the “Company”), has executed this certification in connection with the filing with the Securities and Exchange Commission of the Company’s Quarterly Report on Form 10-Q for the period ended March 31, 2025 (the “Report”). The undersigned hereby certifies, to the best of his knowledge, that:</w:t>
      </w:r>
    </w:p>
    <w:p>
      <w:pPr>
        <w:pStyle w:val="TextBody"/>
        <w:bidi w:val="0"/>
        <w:spacing w:lineRule="auto" w:line="288" w:before="120" w:after="283"/>
        <w:ind w:left="0" w:right="0" w:hanging="99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99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120" w:after="283"/>
        <w:ind w:left="0" w:right="0" w:hanging="630"/>
        <w:jc w:val="left"/>
        <w:rPr/>
      </w:pPr>
      <w:r>
        <w:rPr/>
      </w:r>
    </w:p>
    <w:tbl>
      <w:tblPr>
        <w:tblW w:w="5411" w:type="dxa"/>
        <w:jc w:val="left"/>
        <w:tblInd w:w="0" w:type="dxa"/>
        <w:tblLayout w:type="fixed"/>
        <w:tblCellMar>
          <w:top w:w="28" w:type="dxa"/>
          <w:left w:w="28" w:type="dxa"/>
          <w:bottom w:w="28" w:type="dxa"/>
          <w:right w:w="28" w:type="dxa"/>
        </w:tblCellMar>
      </w:tblPr>
      <w:tblGrid>
        <w:gridCol w:w="418"/>
        <w:gridCol w:w="368"/>
        <w:gridCol w:w="369"/>
        <w:gridCol w:w="109"/>
        <w:gridCol w:w="109"/>
        <w:gridCol w:w="109"/>
        <w:gridCol w:w="1150"/>
        <w:gridCol w:w="1150"/>
        <w:gridCol w:w="1629"/>
      </w:tblGrid>
      <w:tr>
        <w:trPr/>
        <w:tc>
          <w:tcPr>
            <w:tcW w:w="41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8,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Daniel Guglielmone</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Daniel Guglielmone,</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Executive Vice President - </w:t>
              <w:br/>
              <w:t>Chief Financial Officer and Treasurer</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 Financial and Accounting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0034903/000003490325000016/frt-20241231.htm" TargetMode="External"/><Relationship Id="rId3" Type="http://schemas.openxmlformats.org/officeDocument/2006/relationships/hyperlink" Target="https://www.sec.gov/ix?doc=/Archives/edgar/data/0000034903/000003490325000016/frt-20241231.htm" TargetMode="External"/><Relationship Id="rId4" Type="http://schemas.openxmlformats.org/officeDocument/2006/relationships/hyperlink" Target="https://www.sec.gov/Archives/edgar/data/34903/000119312525060219/d910432dex10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20562</Words>
  <Characters>114784</Characters>
  <CharactersWithSpaces>134281</CharactersWithSpaces>
  <Paragraphs>2661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