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99"/>
        <w:spacing w:after="0"/>
        <w:tabs>
          <w:tab w:leader="none" w:pos="1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Form 10-Q</w:t>
      </w:r>
    </w:p>
    <w:p>
      <w:pPr>
        <w:spacing w:after="0" w:line="335"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QUARTERLY REPORT UNDER SECTION 13 OR 15(d)</w:t>
      </w:r>
    </w:p>
    <w:p>
      <w:pPr>
        <w:jc w:val="center"/>
        <w:ind w:right="3399"/>
        <w:spacing w:after="0" w:line="237" w:lineRule="auto"/>
        <w:rPr>
          <w:sz w:val="20"/>
          <w:szCs w:val="20"/>
          <w:color w:val="auto"/>
        </w:rPr>
      </w:pPr>
      <w:r>
        <w:rPr>
          <w:rFonts w:ascii="Courier New" w:cs="Courier New" w:eastAsia="Courier New" w:hAnsi="Courier New"/>
          <w:sz w:val="15"/>
          <w:szCs w:val="15"/>
          <w:color w:val="auto"/>
        </w:rPr>
        <w:t>OF THE SECURITIES EXCHANGE ACT OF 1934</w:t>
      </w:r>
    </w:p>
    <w:p>
      <w:pPr>
        <w:spacing w:after="0" w:line="335" w:lineRule="exact"/>
        <w:rPr>
          <w:sz w:val="24"/>
          <w:szCs w:val="24"/>
          <w:color w:val="auto"/>
        </w:rPr>
      </w:pPr>
    </w:p>
    <w:p>
      <w:pPr>
        <w:ind w:left="1580"/>
        <w:spacing w:after="0"/>
        <w:tabs>
          <w:tab w:leader="none" w:pos="3660" w:val="left"/>
        </w:tabs>
        <w:rPr>
          <w:sz w:val="20"/>
          <w:szCs w:val="20"/>
          <w:color w:val="auto"/>
        </w:rPr>
      </w:pPr>
      <w:r>
        <w:rPr>
          <w:rFonts w:ascii="Courier New" w:cs="Courier New" w:eastAsia="Courier New" w:hAnsi="Courier New"/>
          <w:sz w:val="15"/>
          <w:szCs w:val="15"/>
          <w:color w:val="auto"/>
        </w:rPr>
        <w:t>For the Quarter Ended:</w:t>
      </w:r>
      <w:r>
        <w:rPr>
          <w:sz w:val="20"/>
          <w:szCs w:val="20"/>
          <w:color w:val="auto"/>
        </w:rPr>
        <w:tab/>
      </w:r>
      <w:r>
        <w:rPr>
          <w:rFonts w:ascii="Courier New" w:cs="Courier New" w:eastAsia="Courier New" w:hAnsi="Courier New"/>
          <w:sz w:val="14"/>
          <w:szCs w:val="14"/>
          <w:color w:val="auto"/>
        </w:rPr>
        <w:t>September 30, 1995</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ind w:left="2280"/>
        <w:spacing w:after="0" w:line="238" w:lineRule="auto"/>
        <w:rPr>
          <w:sz w:val="20"/>
          <w:szCs w:val="20"/>
          <w:color w:val="auto"/>
        </w:rPr>
      </w:pPr>
      <w:r>
        <w:rPr>
          <w:rFonts w:ascii="Courier New" w:cs="Courier New" w:eastAsia="Courier New" w:hAnsi="Courier New"/>
          <w:sz w:val="15"/>
          <w:szCs w:val="15"/>
          <w:color w:val="auto"/>
        </w:rPr>
        <w:t>Commission File No. 1-7533</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p>
      <w:pPr>
        <w:ind w:left="1060"/>
        <w:spacing w:after="0"/>
        <w:tabs>
          <w:tab w:leader="none" w:pos="4880" w:val="left"/>
        </w:tabs>
        <w:rPr>
          <w:sz w:val="20"/>
          <w:szCs w:val="20"/>
          <w:color w:val="auto"/>
        </w:rPr>
      </w:pPr>
      <w:r>
        <w:rPr>
          <w:rFonts w:ascii="Courier New" w:cs="Courier New" w:eastAsia="Courier New" w:hAnsi="Courier New"/>
          <w:sz w:val="15"/>
          <w:szCs w:val="15"/>
          <w:color w:val="auto"/>
        </w:rPr>
        <w:t>District of Columbia</w:t>
      </w:r>
      <w:r>
        <w:rPr>
          <w:sz w:val="20"/>
          <w:szCs w:val="20"/>
          <w:color w:val="auto"/>
        </w:rPr>
        <w:tab/>
      </w:r>
      <w:r>
        <w:rPr>
          <w:rFonts w:ascii="Courier New" w:cs="Courier New" w:eastAsia="Courier New" w:hAnsi="Courier New"/>
          <w:sz w:val="14"/>
          <w:szCs w:val="14"/>
          <w:color w:val="auto"/>
        </w:rPr>
        <w:t>52-0782497</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4"/>
          <w:szCs w:val="24"/>
          <w:color w:val="auto"/>
        </w:rPr>
      </w:pPr>
    </w:p>
    <w:p>
      <w:pPr>
        <w:ind w:left="980" w:right="3939"/>
        <w:spacing w:after="0" w:line="234" w:lineRule="auto"/>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335" w:lineRule="exact"/>
        <w:rPr>
          <w:sz w:val="24"/>
          <w:szCs w:val="24"/>
          <w:color w:val="auto"/>
        </w:rPr>
      </w:pPr>
    </w:p>
    <w:p>
      <w:pPr>
        <w:ind w:left="980"/>
        <w:spacing w:after="0"/>
        <w:tabs>
          <w:tab w:leader="none" w:pos="5320" w:val="left"/>
        </w:tabs>
        <w:rPr>
          <w:sz w:val="20"/>
          <w:szCs w:val="20"/>
          <w:color w:val="auto"/>
        </w:rPr>
      </w:pPr>
      <w:r>
        <w:rPr>
          <w:rFonts w:ascii="Courier New" w:cs="Courier New" w:eastAsia="Courier New" w:hAnsi="Courier New"/>
          <w:sz w:val="15"/>
          <w:szCs w:val="15"/>
          <w:color w:val="auto"/>
        </w:rPr>
        <w:t>4800 Hampden Lane, Suite 500, Bethesda, Maryland</w:t>
      </w:r>
      <w:r>
        <w:rPr>
          <w:sz w:val="20"/>
          <w:szCs w:val="20"/>
          <w:color w:val="auto"/>
        </w:rPr>
        <w:tab/>
      </w:r>
      <w:r>
        <w:rPr>
          <w:rFonts w:ascii="Courier New" w:cs="Courier New" w:eastAsia="Courier New" w:hAnsi="Courier New"/>
          <w:sz w:val="14"/>
          <w:szCs w:val="14"/>
          <w:color w:val="auto"/>
        </w:rPr>
        <w:t>20814</w:t>
      </w:r>
    </w:p>
    <w:p>
      <w:pPr>
        <w:ind w:left="98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tabs>
          <w:tab w:leader="none" w:pos="550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335" w:lineRule="exact"/>
        <w:rPr>
          <w:sz w:val="24"/>
          <w:szCs w:val="24"/>
          <w:color w:val="auto"/>
        </w:rPr>
      </w:pPr>
    </w:p>
    <w:p>
      <w:pPr>
        <w:ind w:left="3340" w:hanging="532"/>
        <w:spacing w:after="0"/>
        <w:tabs>
          <w:tab w:leader="none" w:pos="3340"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652-3360</w:t>
      </w:r>
    </w:p>
    <w:p>
      <w:pPr>
        <w:spacing w:after="0" w:line="4"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1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(Registrant's telephone number, including area code)</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561" w:right="1440" w:bottom="1440" w:gutter="0" w:footer="0" w:header="0"/>
        </w:sectPr>
      </w:pPr>
    </w:p>
    <w:p>
      <w:pPr>
        <w:spacing w:after="0" w:line="174"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X</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No_____.</w:t>
      </w:r>
    </w:p>
    <w:p>
      <w:pPr>
        <w:spacing w:after="0" w:line="346" w:lineRule="exact"/>
        <w:rPr>
          <w:sz w:val="24"/>
          <w:szCs w:val="24"/>
          <w:color w:val="auto"/>
        </w:rPr>
      </w:pPr>
    </w:p>
    <w:p>
      <w:pPr>
        <w:sectPr>
          <w:pgSz w:w="11900" w:h="16838" w:orient="portrait"/>
          <w:cols w:equalWidth="0" w:num="4">
            <w:col w:w="700" w:space="100"/>
            <w:col w:w="440" w:space="0"/>
            <w:col w:w="140" w:space="720"/>
            <w:col w:w="8139"/>
          </w:cols>
          <w:pgMar w:left="220" w:top="561" w:right="1440" w:bottom="1440" w:gutter="0" w:footer="0" w:header="0"/>
          <w:type w:val="continuous"/>
        </w:sectPr>
      </w:pPr>
    </w:p>
    <w:p>
      <w:pPr>
        <w:ind w:right="3399" w:firstLine="43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pacing w:after="0" w:line="335" w:lineRule="exact"/>
        <w:rPr>
          <w:sz w:val="24"/>
          <w:szCs w:val="24"/>
          <w:color w:val="auto"/>
        </w:rPr>
      </w:pPr>
    </w:p>
    <w:p>
      <w:pPr>
        <w:ind w:left="1320"/>
        <w:spacing w:after="0"/>
        <w:tabs>
          <w:tab w:leader="none" w:pos="3580" w:val="left"/>
        </w:tabs>
        <w:rPr>
          <w:sz w:val="20"/>
          <w:szCs w:val="20"/>
          <w:color w:val="auto"/>
        </w:rPr>
      </w:pPr>
      <w:r>
        <w:rPr>
          <w:rFonts w:ascii="Courier New" w:cs="Courier New" w:eastAsia="Courier New" w:hAnsi="Courier New"/>
          <w:sz w:val="15"/>
          <w:szCs w:val="15"/>
          <w:color w:val="auto"/>
        </w:rPr>
        <w:t>Class</w:t>
      </w:r>
      <w:r>
        <w:rPr>
          <w:sz w:val="20"/>
          <w:szCs w:val="20"/>
          <w:color w:val="auto"/>
        </w:rPr>
        <w:tab/>
      </w:r>
      <w:r>
        <w:rPr>
          <w:rFonts w:ascii="Courier New" w:cs="Courier New" w:eastAsia="Courier New" w:hAnsi="Courier New"/>
          <w:sz w:val="15"/>
          <w:szCs w:val="15"/>
          <w:color w:val="auto"/>
        </w:rPr>
        <w:t>Outstanding at November 2, 1995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4"/>
          <w:szCs w:val="24"/>
          <w:color w:val="auto"/>
        </w:rPr>
      </w:pPr>
    </w:p>
    <w:tbl>
      <w:tblPr>
        <w:tblLayout w:type="fixed"/>
        <w:tblInd w:w="10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Shares of Beneficial Interest</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32,147,763</w:t>
            </w:r>
          </w:p>
        </w:tc>
      </w:tr>
    </w:tbl>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This report, including exhibits, contains 33 pages.</w:t>
      </w:r>
    </w:p>
    <w:p>
      <w:pPr>
        <w:sectPr>
          <w:pgSz w:w="11900" w:h="16838" w:orient="portrait"/>
          <w:cols w:equalWidth="0" w:num="1">
            <w:col w:w="10239"/>
          </w:cols>
          <w:pgMar w:left="220" w:top="561" w:right="1440" w:bottom="1440" w:gutter="0" w:footer="0" w:header="0"/>
          <w:type w:val="continuous"/>
        </w:sectPr>
      </w:pPr>
    </w:p>
    <w:bookmarkStart w:id="1" w:name="page2"/>
    <w:bookmarkEnd w:id="1"/>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September 30, 1995</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I N D E 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4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PAGE NO.</w:t>
            </w:r>
          </w:p>
        </w:tc>
      </w:tr>
      <w:tr>
        <w:trPr>
          <w:trHeight w:val="336"/>
        </w:trPr>
        <w:tc>
          <w:tcPr>
            <w:tcW w:w="8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Accountants'</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Report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w:t>
            </w:r>
          </w:p>
        </w:tc>
      </w:tr>
      <w:tr>
        <w:trPr>
          <w:trHeight w:val="336"/>
        </w:trPr>
        <w:tc>
          <w:tcPr>
            <w:tcW w:w="8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Consolidated</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74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4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September 30, 1995 (unaudited) and</w:t>
            </w:r>
          </w:p>
        </w:tc>
        <w:tc>
          <w:tcPr>
            <w:tcW w:w="7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1994 (audited)</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8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Consolidated</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w w:val="98"/>
              </w:rPr>
              <w:t>Statements of Operations (unaudited)</w:t>
            </w:r>
          </w:p>
        </w:tc>
        <w:tc>
          <w:tcPr>
            <w:tcW w:w="74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4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Nine months ended September 30, 1995 and 1994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8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Consolidated</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w w:val="98"/>
              </w:rPr>
              <w:t>Statements of Operations (unaudited)</w:t>
            </w:r>
          </w:p>
        </w:tc>
        <w:tc>
          <w:tcPr>
            <w:tcW w:w="74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1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Three months</w:t>
            </w:r>
          </w:p>
        </w:tc>
        <w:tc>
          <w:tcPr>
            <w:tcW w:w="32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ended September 30, 1995 and 1994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w:t>
            </w:r>
          </w:p>
        </w:tc>
      </w:tr>
      <w:tr>
        <w:trPr>
          <w:trHeight w:val="505"/>
        </w:trPr>
        <w:tc>
          <w:tcPr>
            <w:tcW w:w="8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Consolidated</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74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4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of Shareholders' Equity (unaudited)</w:t>
            </w:r>
          </w:p>
        </w:tc>
        <w:tc>
          <w:tcPr>
            <w:tcW w:w="74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4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Nine months ended September 30, 1995 and 1994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336"/>
        </w:trPr>
        <w:tc>
          <w:tcPr>
            <w:tcW w:w="8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Consolidated</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w w:val="98"/>
              </w:rPr>
              <w:t>Statements of Cash Flows (unaudited)</w:t>
            </w:r>
          </w:p>
        </w:tc>
        <w:tc>
          <w:tcPr>
            <w:tcW w:w="74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4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Nine months ended September 30, 1995 and 1994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r>
      <w:tr>
        <w:trPr>
          <w:trHeight w:val="336"/>
        </w:trPr>
        <w:tc>
          <w:tcPr>
            <w:tcW w:w="800" w:type="dxa"/>
            <w:vAlign w:val="bottom"/>
          </w:tcPr>
          <w:p>
            <w:pPr>
              <w:spacing w:after="0"/>
              <w:rPr>
                <w:sz w:val="24"/>
                <w:szCs w:val="24"/>
                <w:color w:val="auto"/>
              </w:rPr>
            </w:pPr>
          </w:p>
        </w:tc>
        <w:tc>
          <w:tcPr>
            <w:tcW w:w="4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Notes to Financial Statements</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10-15</w:t>
            </w:r>
          </w:p>
        </w:tc>
      </w:tr>
      <w:tr>
        <w:trPr>
          <w:trHeight w:val="336"/>
        </w:trPr>
        <w:tc>
          <w:tcPr>
            <w:tcW w:w="800" w:type="dxa"/>
            <w:vAlign w:val="bottom"/>
          </w:tcPr>
          <w:p>
            <w:pPr>
              <w:spacing w:after="0"/>
              <w:rPr>
                <w:sz w:val="24"/>
                <w:szCs w:val="24"/>
                <w:color w:val="auto"/>
              </w:rPr>
            </w:pP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w w:val="99"/>
              </w:rPr>
              <w:t>Management's</w:t>
            </w:r>
          </w:p>
        </w:tc>
        <w:tc>
          <w:tcPr>
            <w:tcW w:w="3240" w:type="dxa"/>
            <w:vAlign w:val="bottom"/>
          </w:tcPr>
          <w:p>
            <w:pPr>
              <w:ind w:left="40"/>
              <w:spacing w:after="0"/>
              <w:rPr>
                <w:sz w:val="20"/>
                <w:szCs w:val="20"/>
                <w:color w:val="auto"/>
              </w:rPr>
            </w:pPr>
            <w:r>
              <w:rPr>
                <w:rFonts w:ascii="Courier New" w:cs="Courier New" w:eastAsia="Courier New" w:hAnsi="Courier New"/>
                <w:sz w:val="15"/>
                <w:szCs w:val="15"/>
                <w:color w:val="auto"/>
              </w:rPr>
              <w:t>Discussion and Analysis of</w:t>
            </w:r>
          </w:p>
        </w:tc>
        <w:tc>
          <w:tcPr>
            <w:tcW w:w="74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44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Financial Condition and Results of Operations</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16-22</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44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w:t>
            </w:r>
          </w:p>
        </w:tc>
      </w:tr>
      <w:tr>
        <w:trPr>
          <w:trHeight w:val="505"/>
        </w:trPr>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40" w:type="dxa"/>
            <w:vAlign w:val="bottom"/>
          </w:tcPr>
          <w:p>
            <w:pPr>
              <w:ind w:left="1440"/>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S.E.C. FORM 10-Q</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September 30, 1995</w:t>
      </w:r>
    </w:p>
    <w:p>
      <w:pPr>
        <w:spacing w:after="0" w:line="200" w:lineRule="exact"/>
        <w:rPr>
          <w:sz w:val="20"/>
          <w:szCs w:val="20"/>
          <w:color w:val="auto"/>
        </w:rPr>
      </w:pPr>
    </w:p>
    <w:p>
      <w:pPr>
        <w:spacing w:after="0" w:line="30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3" w:lineRule="exact"/>
        <w:rPr>
          <w:sz w:val="20"/>
          <w:szCs w:val="20"/>
          <w:color w:val="auto"/>
        </w:rPr>
      </w:pPr>
    </w:p>
    <w:p>
      <w:pPr>
        <w:ind w:left="880" w:right="3399" w:firstLine="437"/>
        <w:spacing w:after="0" w:line="236" w:lineRule="auto"/>
        <w:rPr>
          <w:sz w:val="20"/>
          <w:szCs w:val="20"/>
          <w:color w:val="auto"/>
        </w:rPr>
      </w:pPr>
      <w:r>
        <w:rPr>
          <w:rFonts w:ascii="Courier New" w:cs="Courier New" w:eastAsia="Courier New" w:hAnsi="Courier New"/>
          <w:sz w:val="15"/>
          <w:szCs w:val="15"/>
          <w:color w:val="auto"/>
        </w:rPr>
        <w:t>The following financial information is submitted in response to the requirements of Form 10-Q and does not purport to be financial statements prepared in accordance with generally accepted accounting principles since they do not include all disclosures which might be associated with such statements. In the opinion of management, such information includes all adjustments, consisting only of normal recurring accruals, necessary to a fair statement of the results for the interim periods presented.</w:t>
      </w:r>
    </w:p>
    <w:p>
      <w:pPr>
        <w:spacing w:after="0" w:line="345" w:lineRule="exact"/>
        <w:rPr>
          <w:sz w:val="20"/>
          <w:szCs w:val="20"/>
          <w:color w:val="auto"/>
        </w:rPr>
      </w:pPr>
    </w:p>
    <w:p>
      <w:pPr>
        <w:ind w:left="880" w:right="3319" w:firstLine="437"/>
        <w:spacing w:after="0" w:line="255" w:lineRule="auto"/>
        <w:rPr>
          <w:sz w:val="20"/>
          <w:szCs w:val="20"/>
          <w:color w:val="auto"/>
        </w:rPr>
      </w:pPr>
      <w:r>
        <w:rPr>
          <w:rFonts w:ascii="Courier New" w:cs="Courier New" w:eastAsia="Courier New" w:hAnsi="Courier New"/>
          <w:sz w:val="14"/>
          <w:szCs w:val="14"/>
          <w:color w:val="auto"/>
        </w:rPr>
        <w:t>The balance sheet as of December 31, 1994 was audited by Grant Thornton LLP, independent public accountants, who expressed an unqualified opinion on it in their report dated February 10, 1995. All other financial information presented is unaudited but has been reviewed as of September 30, 1995 and for each of the nine month periods ended September 30, 1995 and 1994 by Grant Thornton LLP whose report thereon appears on Page 4. All adjustments and disclosures proposed by them have been reflected in the data presented.</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Accountants' Review Report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 and Shareholders</w:t>
      </w:r>
    </w:p>
    <w:p>
      <w:pPr>
        <w:spacing w:after="0" w:line="237" w:lineRule="auto"/>
        <w:rPr>
          <w:sz w:val="20"/>
          <w:szCs w:val="20"/>
          <w:color w:val="auto"/>
        </w:rPr>
      </w:pPr>
      <w:r>
        <w:rPr>
          <w:rFonts w:ascii="Courier New" w:cs="Courier New" w:eastAsia="Courier New" w:hAnsi="Courier New"/>
          <w:sz w:val="15"/>
          <w:szCs w:val="15"/>
          <w:color w:val="auto"/>
        </w:rPr>
        <w:t>Federal Realty Investment Trust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have reviewed the accompanying consolidated balance sheet of Federal Realty Investment Trust as of September 30, 1995 and the related consolidated statements of operations, shareholders' equity and cash flows for the nine month periods ended September 30, 1995 and 1994 and the consolidated statements of operations for the three-month periods ended September 30, 1995 and 1994. These financial statements are the responsibility of the Trust's management.</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conducted our review in accordance with standards established by the American Institute of Certified Public Accountants. A review of interim financial information consists principally of applying analytical review procedures to financial data and making inquiries of persons responsible for financial and accounting matters. It is substantially less in scope than an audit conducted in accordance with generally accepted auditing standards, the objective of which is the expression of an opinion regarding the financial statements taken as a whole. Accordingly, we do not express such an opinion.</w:t>
      </w:r>
    </w:p>
    <w:p>
      <w:pPr>
        <w:spacing w:after="0" w:line="177"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Based on our review, we are not aware of any material modifications that should be made to the accompanying financial statements for them to be in conformity with generally accepted accounting principles.</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previously audited, in accordance with generally accepted auditing standards, the consolidated balance sheet as of December 31, 1994 and the related consolidated statements of operations, shareholders' equity and cash flows for the year then ended (not presented herein); and in our report dated February 10, 1995, we expressed an unqualified opinion on those consolidated financial statements. In our opinion, the information set forth in the accompanying condensed consolidated balance sheet as of December 31, 1994 is stated fairly, in all material respects, in relation to the consolidated balance sheet from which it has been derived.</w:t>
      </w:r>
    </w:p>
    <w:p>
      <w:pPr>
        <w:spacing w:after="0" w:line="17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Grant Thornton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237" w:lineRule="auto"/>
        <w:rPr>
          <w:sz w:val="20"/>
          <w:szCs w:val="20"/>
          <w:color w:val="auto"/>
        </w:rPr>
      </w:pPr>
      <w:r>
        <w:rPr>
          <w:rFonts w:ascii="Courier New" w:cs="Courier New" w:eastAsia="Courier New" w:hAnsi="Courier New"/>
          <w:sz w:val="15"/>
          <w:szCs w:val="15"/>
          <w:color w:val="auto"/>
        </w:rPr>
        <w:t>November 7, 1995</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SHEETS</w:t>
      </w:r>
    </w:p>
    <w:p>
      <w:pPr>
        <w:spacing w:after="0" w:line="237" w:lineRule="auto"/>
        <w:rPr>
          <w:sz w:val="20"/>
          <w:szCs w:val="20"/>
          <w:color w:val="auto"/>
        </w:rPr>
      </w:pPr>
      <w:r>
        <w:rPr>
          <w:rFonts w:ascii="Courier New" w:cs="Courier New" w:eastAsia="Courier New" w:hAnsi="Courier New"/>
          <w:sz w:val="15"/>
          <w:szCs w:val="15"/>
          <w:color w:val="auto"/>
        </w:rPr>
        <w:t>(see accountants' review report)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14"/>
                <w:szCs w:val="14"/>
                <w:color w:val="auto"/>
              </w:rPr>
            </w:pP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September 30,</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1995</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(unaudited)</w:t>
            </w:r>
          </w:p>
        </w:tc>
        <w:tc>
          <w:tcPr>
            <w:tcW w:w="1320" w:type="dxa"/>
            <w:vAlign w:val="bottom"/>
          </w:tcPr>
          <w:p>
            <w:pPr>
              <w:spacing w:after="0"/>
              <w:rPr>
                <w:sz w:val="14"/>
                <w:szCs w:val="14"/>
                <w:color w:val="auto"/>
              </w:rPr>
            </w:pPr>
          </w:p>
        </w:tc>
      </w:tr>
      <w:tr>
        <w:trPr>
          <w:trHeight w:val="168"/>
        </w:trPr>
        <w:tc>
          <w:tcPr>
            <w:tcW w:w="448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ASSETS</w:t>
            </w:r>
          </w:p>
        </w:tc>
        <w:tc>
          <w:tcPr>
            <w:tcW w:w="28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Investments</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at cost</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$962,473</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$852,722</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(182,737)</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(160,636)</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779,736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692,086</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 notes receivable</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13,181</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13,178</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792,917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705,264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3,431</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3,995</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3,744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receivable - officers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1,023</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845</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13,317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16,023</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assets,</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principally</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taxes, insurance, and lease</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commissions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24,635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19,158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Debt issue costs (net of accumulated</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$3,736,000 and $3,206,000,</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respectively)</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3,640</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2,931</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$842,707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$751,804</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 under capital leases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$132,114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$132,924</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Mortgages payable</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90,797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102,781</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Notes payable</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45,799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61,883</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Accrued expenses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15,814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10,675</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5,393</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6,566</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payable</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13,166</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12,486</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Security deposits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2,999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2,687</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rents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914</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1,017</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Senior notes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125,000</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Convertible subordinated debentures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75,289</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75,289</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Investors' interest in consolidated assets</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2,274</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5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shares of beneficial interest, no</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par</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or stated value, unlimited authorization,</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issued 32,174,790 and 31,669,434 shares,</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respectively</w:t>
            </w: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507,815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496,958</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Accumulated dividends in excess of Trust</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(165,010)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(144,553)</w:t>
            </w: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Allowance for unrealized loss on</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marketable securities</w:t>
            </w: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342,805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352,352</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Less 61,328 and 60,200 common shares,</w:t>
            </w: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44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respectively, in treasury - at</w:t>
            </w:r>
          </w:p>
        </w:tc>
        <w:tc>
          <w:tcPr>
            <w:tcW w:w="15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44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and subscriptions receivable</w:t>
            </w:r>
          </w:p>
        </w:tc>
        <w:tc>
          <w:tcPr>
            <w:tcW w:w="1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(8,570)</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(9,130)</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334,235</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343,222</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480" w:type="dxa"/>
            <w:vAlign w:val="bottom"/>
          </w:tcPr>
          <w:p>
            <w:pPr>
              <w:spacing w:after="0"/>
              <w:rPr>
                <w:sz w:val="14"/>
                <w:szCs w:val="14"/>
                <w:color w:val="auto"/>
              </w:rPr>
            </w:pPr>
          </w:p>
        </w:tc>
        <w:tc>
          <w:tcPr>
            <w:tcW w:w="15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$842,707</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$751,804</w:t>
            </w:r>
          </w:p>
        </w:tc>
      </w:tr>
      <w:tr>
        <w:trPr>
          <w:trHeight w:val="168"/>
        </w:trPr>
        <w:tc>
          <w:tcPr>
            <w:tcW w:w="4480" w:type="dxa"/>
            <w:vAlign w:val="bottom"/>
          </w:tcPr>
          <w:p>
            <w:pPr>
              <w:spacing w:after="0"/>
              <w:rPr>
                <w:sz w:val="14"/>
                <w:szCs w:val="14"/>
                <w:color w:val="auto"/>
              </w:rPr>
            </w:pPr>
          </w:p>
        </w:tc>
        <w:tc>
          <w:tcPr>
            <w:tcW w:w="15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t>
            </w:r>
          </w:p>
        </w:tc>
        <w:tc>
          <w:tcPr>
            <w:tcW w:w="1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37" w:lineRule="auto"/>
        <w:rPr>
          <w:sz w:val="20"/>
          <w:szCs w:val="20"/>
          <w:color w:val="auto"/>
        </w:rPr>
      </w:pPr>
      <w:r>
        <w:rPr>
          <w:rFonts w:ascii="Courier New" w:cs="Courier New" w:eastAsia="Courier New" w:hAnsi="Courier New"/>
          <w:sz w:val="15"/>
          <w:szCs w:val="15"/>
          <w:color w:val="auto"/>
        </w:rPr>
        <w:t>(see accountants' review report)</w:t>
      </w:r>
    </w:p>
    <w:p>
      <w:pPr>
        <w:ind w:left="2380"/>
        <w:spacing w:after="0" w:line="238"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Nine Months ended September 30,</w:t>
      </w:r>
    </w:p>
    <w:tbl>
      <w:tblPr>
        <w:tblLayout w:type="fixed"/>
        <w:tblInd w:w="0" w:type="dxa"/>
        <w:tblCellMar>
          <w:top w:w="0" w:type="dxa"/>
          <w:left w:w="0" w:type="dxa"/>
          <w:bottom w:w="0" w:type="dxa"/>
          <w:right w:w="0" w:type="dxa"/>
        </w:tblCellMar>
      </w:tblPr>
      <w:tr>
        <w:trPr>
          <w:trHeight w:val="168"/>
        </w:trPr>
        <w:tc>
          <w:tcPr>
            <w:tcW w:w="430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4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 thousands, except per share data)</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Rental income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$104,557</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$94,168</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3,046</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5,283</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4,068</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112,889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101,282</w:t>
            </w:r>
          </w:p>
        </w:tc>
      </w:tr>
      <w:tr>
        <w:trPr>
          <w:trHeight w:val="673"/>
        </w:trPr>
        <w:tc>
          <w:tcPr>
            <w:tcW w:w="43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Rental</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25,059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27,183</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10,704</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8,874</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28,814</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23,533</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Administrative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4,483</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4,448</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charges</w:t>
            </w:r>
          </w:p>
        </w:tc>
        <w:tc>
          <w:tcPr>
            <w:tcW w:w="1140" w:type="dxa"/>
            <w:vAlign w:val="bottom"/>
          </w:tcPr>
          <w:p>
            <w:pPr>
              <w:spacing w:after="0"/>
              <w:rPr>
                <w:sz w:val="14"/>
                <w:szCs w:val="14"/>
                <w:color w:val="auto"/>
              </w:rPr>
            </w:pP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25,815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21,736</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94,875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86,532</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investors' share</w:t>
            </w:r>
          </w:p>
        </w:tc>
        <w:tc>
          <w:tcPr>
            <w:tcW w:w="1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operations and loss on sale of real estate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18,014</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14,750</w:t>
            </w: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Investors' share of operations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275</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(495)</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Income before loss on sale of real estate</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18,289</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14,255</w:t>
            </w:r>
          </w:p>
        </w:tc>
      </w:tr>
      <w:tr>
        <w:trPr>
          <w:trHeight w:val="673"/>
        </w:trPr>
        <w:tc>
          <w:tcPr>
            <w:tcW w:w="4300" w:type="dxa"/>
            <w:vAlign w:val="bottom"/>
          </w:tcPr>
          <w:p>
            <w:pPr>
              <w:ind w:left="280"/>
              <w:spacing w:after="0"/>
              <w:rPr>
                <w:sz w:val="20"/>
                <w:szCs w:val="20"/>
                <w:color w:val="auto"/>
              </w:rPr>
            </w:pPr>
            <w:r>
              <w:rPr>
                <w:rFonts w:ascii="Courier New" w:cs="Courier New" w:eastAsia="Courier New" w:hAnsi="Courier New"/>
                <w:sz w:val="15"/>
                <w:szCs w:val="15"/>
                <w:color w:val="auto"/>
              </w:rPr>
              <w:t>Loss on sale of real estate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(545)</w:t>
            </w: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$17,744</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$14,255</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31,744</w:t>
            </w:r>
          </w:p>
        </w:tc>
        <w:tc>
          <w:tcPr>
            <w:tcW w:w="13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30,368</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loss on sale of real estate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$0.58</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$0.47</w:t>
            </w:r>
          </w:p>
        </w:tc>
      </w:tr>
      <w:tr>
        <w:trPr>
          <w:trHeight w:val="336"/>
        </w:trPr>
        <w:tc>
          <w:tcPr>
            <w:tcW w:w="4300" w:type="dxa"/>
            <w:vAlign w:val="bottom"/>
          </w:tcPr>
          <w:p>
            <w:pPr>
              <w:ind w:left="180"/>
              <w:spacing w:after="0"/>
              <w:rPr>
                <w:sz w:val="20"/>
                <w:szCs w:val="20"/>
                <w:color w:val="auto"/>
              </w:rPr>
            </w:pPr>
            <w:r>
              <w:rPr>
                <w:rFonts w:ascii="Courier New" w:cs="Courier New" w:eastAsia="Courier New" w:hAnsi="Courier New"/>
                <w:sz w:val="15"/>
                <w:szCs w:val="15"/>
                <w:color w:val="auto"/>
              </w:rPr>
              <w:t>Loss on sale of real estate</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(0.02)</w:t>
            </w:r>
          </w:p>
        </w:tc>
        <w:tc>
          <w:tcPr>
            <w:tcW w:w="1300" w:type="dxa"/>
            <w:vAlign w:val="bottom"/>
          </w:tcPr>
          <w:p>
            <w:pPr>
              <w:spacing w:after="0"/>
              <w:rPr>
                <w:sz w:val="24"/>
                <w:szCs w:val="24"/>
                <w:color w:val="auto"/>
              </w:rPr>
            </w:pP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$0.56</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430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37" w:lineRule="auto"/>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5780" w:type="dxa"/>
            <w:vAlign w:val="bottom"/>
          </w:tcPr>
          <w:p>
            <w:pPr>
              <w:ind w:left="2380"/>
              <w:spacing w:after="0" w:line="169" w:lineRule="exact"/>
              <w:rPr>
                <w:sz w:val="20"/>
                <w:szCs w:val="20"/>
                <w:color w:val="auto"/>
              </w:rPr>
            </w:pPr>
            <w:r>
              <w:rPr>
                <w:rFonts w:ascii="Courier New" w:cs="Courier New" w:eastAsia="Courier New" w:hAnsi="Courier New"/>
                <w:sz w:val="15"/>
                <w:szCs w:val="15"/>
                <w:color w:val="auto"/>
              </w:rPr>
              <w:t>(unaudited)</w:t>
            </w:r>
          </w:p>
        </w:tc>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5780" w:type="dxa"/>
            <w:vAlign w:val="bottom"/>
          </w:tcPr>
          <w:p>
            <w:pPr>
              <w:spacing w:after="0"/>
              <w:rPr>
                <w:sz w:val="24"/>
                <w:szCs w:val="24"/>
                <w:color w:val="auto"/>
              </w:rPr>
            </w:pPr>
          </w:p>
        </w:tc>
        <w:tc>
          <w:tcPr>
            <w:tcW w:w="46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Three months ended September 30,</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w:t>
            </w:r>
          </w:p>
        </w:tc>
      </w:tr>
      <w:tr>
        <w:trPr>
          <w:trHeight w:val="168"/>
        </w:trPr>
        <w:tc>
          <w:tcPr>
            <w:tcW w:w="5780" w:type="dxa"/>
            <w:vAlign w:val="bottom"/>
          </w:tcPr>
          <w:p>
            <w:pPr>
              <w:spacing w:after="0"/>
              <w:rPr>
                <w:sz w:val="14"/>
                <w:szCs w:val="14"/>
                <w:color w:val="auto"/>
              </w:rPr>
            </w:pP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Rental income</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$35,910</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$32,238</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1,156</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1,009</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income</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1,907</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1,549</w:t>
            </w:r>
          </w:p>
        </w:tc>
      </w:tr>
      <w:tr>
        <w:trPr>
          <w:trHeight w:val="168"/>
        </w:trPr>
        <w:tc>
          <w:tcPr>
            <w:tcW w:w="5780" w:type="dxa"/>
            <w:vAlign w:val="bottom"/>
          </w:tcPr>
          <w:p>
            <w:pPr>
              <w:spacing w:after="0"/>
              <w:rPr>
                <w:sz w:val="14"/>
                <w:szCs w:val="14"/>
                <w:color w:val="auto"/>
              </w:rPr>
            </w:pPr>
          </w:p>
        </w:tc>
        <w:tc>
          <w:tcPr>
            <w:tcW w:w="3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38,973</w:t>
            </w:r>
          </w:p>
        </w:tc>
        <w:tc>
          <w:tcPr>
            <w:tcW w:w="1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34,796</w:t>
            </w:r>
          </w:p>
        </w:tc>
      </w:tr>
      <w:tr>
        <w:trPr>
          <w:trHeight w:val="505"/>
        </w:trPr>
        <w:tc>
          <w:tcPr>
            <w:tcW w:w="57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Rental</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8,840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9,247</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Real estate taxes</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3,719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3,254</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10,098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7,718</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Administrative</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1,666</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1,264</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Other charges</w:t>
            </w:r>
          </w:p>
        </w:tc>
        <w:tc>
          <w:tcPr>
            <w:tcW w:w="3200" w:type="dxa"/>
            <w:vAlign w:val="bottom"/>
          </w:tcPr>
          <w:p>
            <w:pPr>
              <w:spacing w:after="0"/>
              <w:rPr>
                <w:sz w:val="14"/>
                <w:szCs w:val="14"/>
                <w:color w:val="auto"/>
              </w:rPr>
            </w:pP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8,827</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7,570</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33,150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29,811</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investors' share</w:t>
            </w:r>
          </w:p>
        </w:tc>
        <w:tc>
          <w:tcPr>
            <w:tcW w:w="32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operations and loss on sale of real estate</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5,823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4,985</w:t>
            </w:r>
          </w:p>
        </w:tc>
      </w:tr>
      <w:tr>
        <w:trPr>
          <w:trHeight w:val="336"/>
        </w:trPr>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Investors' share of operations</w:t>
            </w:r>
          </w:p>
        </w:tc>
        <w:tc>
          <w:tcPr>
            <w:tcW w:w="3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Income before loss on sale of real estate</w:t>
            </w:r>
          </w:p>
        </w:tc>
        <w:tc>
          <w:tcPr>
            <w:tcW w:w="3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5,928</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4,966</w:t>
            </w:r>
          </w:p>
        </w:tc>
      </w:tr>
      <w:tr>
        <w:trPr>
          <w:trHeight w:val="673"/>
        </w:trPr>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Loss on sale of real estate</w:t>
            </w:r>
          </w:p>
        </w:tc>
        <w:tc>
          <w:tcPr>
            <w:tcW w:w="32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(10)</w:t>
            </w:r>
          </w:p>
        </w:tc>
        <w:tc>
          <w:tcPr>
            <w:tcW w:w="14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$5,918</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$4,966</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3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31,850</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$31,563</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before loss on sale of real estate</w:t>
            </w: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$0.19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Loss on sale of real estate</w:t>
            </w:r>
          </w:p>
        </w:tc>
        <w:tc>
          <w:tcPr>
            <w:tcW w:w="32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(0.00)</w:t>
            </w:r>
          </w:p>
        </w:tc>
        <w:tc>
          <w:tcPr>
            <w:tcW w:w="14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80" w:type="dxa"/>
            <w:vAlign w:val="bottom"/>
          </w:tcPr>
          <w:p>
            <w:pPr>
              <w:spacing w:after="0"/>
              <w:rPr>
                <w:sz w:val="14"/>
                <w:szCs w:val="14"/>
                <w:color w:val="auto"/>
              </w:rPr>
            </w:pPr>
          </w:p>
        </w:tc>
        <w:tc>
          <w:tcPr>
            <w:tcW w:w="32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$0.19</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5780" w:type="dxa"/>
            <w:vAlign w:val="bottom"/>
          </w:tcPr>
          <w:p>
            <w:pPr>
              <w:spacing w:after="0"/>
              <w:rPr>
                <w:sz w:val="14"/>
                <w:szCs w:val="14"/>
                <w:color w:val="auto"/>
              </w:rPr>
            </w:pPr>
          </w:p>
        </w:tc>
        <w:tc>
          <w:tcPr>
            <w:tcW w:w="320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420"/>
          </w:cols>
          <w:pgMar w:left="220" w:top="617" w:right="125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SHAREHOLDERS' EQUITY</w:t>
      </w:r>
    </w:p>
    <w:p>
      <w:pPr>
        <w:spacing w:after="0" w:line="237" w:lineRule="auto"/>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534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(unaudited)</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5340" w:type="dxa"/>
            <w:vAlign w:val="bottom"/>
          </w:tcPr>
          <w:p>
            <w:pPr>
              <w:spacing w:after="0"/>
              <w:rPr>
                <w:sz w:val="24"/>
                <w:szCs w:val="24"/>
                <w:color w:val="auto"/>
              </w:rPr>
            </w:pPr>
          </w:p>
        </w:tc>
        <w:tc>
          <w:tcPr>
            <w:tcW w:w="4240" w:type="dxa"/>
            <w:vAlign w:val="bottom"/>
            <w:gridSpan w:val="3"/>
          </w:tcPr>
          <w:p>
            <w:pPr>
              <w:ind w:left="880"/>
              <w:spacing w:after="0"/>
              <w:rPr>
                <w:sz w:val="20"/>
                <w:szCs w:val="20"/>
                <w:color w:val="auto"/>
              </w:rPr>
            </w:pPr>
            <w:r>
              <w:rPr>
                <w:rFonts w:ascii="Courier New" w:cs="Courier New" w:eastAsia="Courier New" w:hAnsi="Courier New"/>
                <w:sz w:val="15"/>
                <w:szCs w:val="15"/>
                <w:color w:val="auto"/>
              </w:rPr>
              <w:t>Nine months ended September 30,</w:t>
            </w:r>
          </w:p>
        </w:tc>
        <w:tc>
          <w:tcPr>
            <w:tcW w:w="102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16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280" w:type="dxa"/>
            <w:vAlign w:val="bottom"/>
          </w:tcPr>
          <w:p>
            <w:pPr>
              <w:spacing w:after="0"/>
              <w:rPr>
                <w:sz w:val="14"/>
                <w:szCs w:val="14"/>
                <w:color w:val="auto"/>
              </w:rPr>
            </w:pPr>
          </w:p>
        </w:tc>
        <w:tc>
          <w:tcPr>
            <w:tcW w:w="13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1994</w:t>
            </w:r>
          </w:p>
        </w:tc>
        <w:tc>
          <w:tcPr>
            <w:tcW w:w="102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1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amounts)</w:t>
            </w:r>
          </w:p>
        </w:tc>
        <w:tc>
          <w:tcPr>
            <w:tcW w:w="16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w:t>
            </w: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5340" w:type="dxa"/>
            <w:vAlign w:val="bottom"/>
          </w:tcPr>
          <w:p>
            <w:pPr>
              <w:ind w:left="100"/>
              <w:spacing w:after="0"/>
              <w:rPr>
                <w:sz w:val="20"/>
                <w:szCs w:val="20"/>
                <w:color w:val="auto"/>
              </w:rPr>
            </w:pPr>
            <w:r>
              <w:rPr>
                <w:rFonts w:ascii="Courier New" w:cs="Courier New" w:eastAsia="Courier New" w:hAnsi="Courier New"/>
                <w:sz w:val="15"/>
                <w:szCs w:val="15"/>
                <w:color w:val="auto"/>
              </w:rPr>
              <w:t>Balance, beginning of period</w:t>
            </w:r>
          </w:p>
        </w:tc>
        <w:tc>
          <w:tcPr>
            <w:tcW w:w="16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31,669,434</w:t>
            </w:r>
          </w:p>
        </w:tc>
        <w:tc>
          <w:tcPr>
            <w:tcW w:w="12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$496,958</w:t>
            </w:r>
          </w:p>
        </w:tc>
        <w:tc>
          <w:tcPr>
            <w:tcW w:w="13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28,077,999</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$408,005</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19,244</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359</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45,740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1,009</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issued under dividend reinvestment</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plan</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148,585</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3,157</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113,143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2,873</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Conversion of 5 1/4% subordinated</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debentures, net</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purchased under share</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plan</w:t>
            </w:r>
          </w:p>
        </w:tc>
        <w:tc>
          <w:tcPr>
            <w:tcW w:w="16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40,000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Shares issued to purchase</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shopping center</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337,527</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7,341</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proceeds of public offering and</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private placement</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3,340,000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82,963</w:t>
            </w:r>
          </w:p>
        </w:tc>
      </w:tr>
      <w:tr>
        <w:trPr>
          <w:trHeight w:val="168"/>
        </w:trPr>
        <w:tc>
          <w:tcPr>
            <w:tcW w:w="534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end of period</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32,174,790</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$507,815</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31,618,611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$495,914</w:t>
            </w:r>
          </w:p>
        </w:tc>
      </w:tr>
      <w:tr>
        <w:trPr>
          <w:trHeight w:val="168"/>
        </w:trPr>
        <w:tc>
          <w:tcPr>
            <w:tcW w:w="5340" w:type="dxa"/>
            <w:vAlign w:val="bottom"/>
          </w:tcPr>
          <w:p>
            <w:pPr>
              <w:spacing w:after="0"/>
              <w:rPr>
                <w:sz w:val="14"/>
                <w:szCs w:val="14"/>
                <w:color w:val="auto"/>
              </w:rPr>
            </w:pP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spacing w:after="0"/>
              <w:rPr>
                <w:sz w:val="20"/>
                <w:szCs w:val="20"/>
                <w:color w:val="auto"/>
              </w:rPr>
            </w:pPr>
            <w:r>
              <w:rPr>
                <w:rFonts w:ascii="Courier New" w:cs="Courier New" w:eastAsia="Courier New" w:hAnsi="Courier New"/>
                <w:sz w:val="15"/>
                <w:szCs w:val="15"/>
                <w:color w:val="auto"/>
              </w:rPr>
              <w:t>Common Shares of Beneficial Interest in Treasury - at</w:t>
            </w: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3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and Subscriptions Receivable</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beginning of period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(539,188)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($9,130)</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(496,499)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($7,759)</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Decrease in subscriptions receivable</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34,250</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568</w:t>
            </w:r>
          </w:p>
        </w:tc>
        <w:tc>
          <w:tcPr>
            <w:tcW w:w="13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27,875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422</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decrease (increase) in stock</w:t>
            </w: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option loans</w:t>
            </w:r>
          </w:p>
        </w:tc>
        <w:tc>
          <w:tcPr>
            <w:tcW w:w="16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5,682</w:t>
            </w: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(30,768)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(796)</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treasury shares</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1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Subscription of shares under share purchase plan</w:t>
            </w:r>
          </w:p>
        </w:tc>
        <w:tc>
          <w:tcPr>
            <w:tcW w:w="16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5340" w:type="dxa"/>
            <w:vAlign w:val="bottom"/>
          </w:tcPr>
          <w:p>
            <w:pPr>
              <w:spacing w:after="0"/>
              <w:rPr>
                <w:sz w:val="14"/>
                <w:szCs w:val="14"/>
                <w:color w:val="auto"/>
              </w:rPr>
            </w:pP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end of period</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(500,384)</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($8,570)</w:t>
            </w:r>
          </w:p>
        </w:tc>
        <w:tc>
          <w:tcPr>
            <w:tcW w:w="13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(539,392)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($9,133)</w:t>
            </w:r>
          </w:p>
        </w:tc>
      </w:tr>
      <w:tr>
        <w:trPr>
          <w:trHeight w:val="168"/>
        </w:trPr>
        <w:tc>
          <w:tcPr>
            <w:tcW w:w="5340" w:type="dxa"/>
            <w:vAlign w:val="bottom"/>
          </w:tcPr>
          <w:p>
            <w:pPr>
              <w:spacing w:after="0"/>
              <w:rPr>
                <w:sz w:val="14"/>
                <w:szCs w:val="14"/>
                <w:color w:val="auto"/>
              </w:rPr>
            </w:pPr>
          </w:p>
        </w:tc>
        <w:tc>
          <w:tcPr>
            <w:tcW w:w="162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Allowance for Unrealized Loss on Marketable Securities</w:t>
            </w: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beginning of period</w:t>
            </w: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(loss ) recovery</w:t>
            </w:r>
          </w:p>
        </w:tc>
        <w:tc>
          <w:tcPr>
            <w:tcW w:w="162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5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end of period</w:t>
            </w:r>
          </w:p>
        </w:tc>
        <w:tc>
          <w:tcPr>
            <w:tcW w:w="162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w:t>
            </w:r>
          </w:p>
        </w:tc>
      </w:tr>
      <w:tr>
        <w:trPr>
          <w:trHeight w:val="168"/>
        </w:trPr>
        <w:tc>
          <w:tcPr>
            <w:tcW w:w="5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Accumulated Dividends in Excess of Trust Net Income</w:t>
            </w:r>
          </w:p>
        </w:tc>
        <w:tc>
          <w:tcPr>
            <w:tcW w:w="1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beginning of period</w:t>
            </w: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($144,553)</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($116,823)</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620" w:type="dxa"/>
            <w:vAlign w:val="bottom"/>
          </w:tcPr>
          <w:p>
            <w:pPr>
              <w:spacing w:after="0"/>
              <w:rPr>
                <w:sz w:val="14"/>
                <w:szCs w:val="14"/>
                <w:color w:val="auto"/>
              </w:rPr>
            </w:pPr>
          </w:p>
        </w:tc>
        <w:tc>
          <w:tcPr>
            <w:tcW w:w="12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17,744</w:t>
            </w:r>
          </w:p>
        </w:tc>
        <w:tc>
          <w:tcPr>
            <w:tcW w:w="134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14,255</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Dividends declared to shareholders</w:t>
            </w: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(38,201)</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(35,710)</w:t>
            </w:r>
          </w:p>
        </w:tc>
      </w:tr>
      <w:tr>
        <w:trPr>
          <w:trHeight w:val="168"/>
        </w:trPr>
        <w:tc>
          <w:tcPr>
            <w:tcW w:w="5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end of period</w:t>
            </w: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($165,010)</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($138,278)</w:t>
            </w:r>
          </w:p>
        </w:tc>
      </w:tr>
      <w:tr>
        <w:trPr>
          <w:trHeight w:val="168"/>
        </w:trPr>
        <w:tc>
          <w:tcPr>
            <w:tcW w:w="5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600"/>
          </w:cols>
          <w:pgMar w:left="220" w:top="617" w:right="1079"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37" w:lineRule="auto"/>
        <w:rPr>
          <w:sz w:val="20"/>
          <w:szCs w:val="20"/>
          <w:color w:val="auto"/>
        </w:rPr>
      </w:pPr>
      <w:r>
        <w:rPr>
          <w:rFonts w:ascii="Courier New" w:cs="Courier New" w:eastAsia="Courier New" w:hAnsi="Courier New"/>
          <w:sz w:val="15"/>
          <w:szCs w:val="15"/>
          <w:color w:val="auto"/>
        </w:rPr>
        <w:t>(see accountants' review report)</w:t>
      </w:r>
    </w:p>
    <w:tbl>
      <w:tblPr>
        <w:tblLayout w:type="fixed"/>
        <w:tblInd w:w="0" w:type="dxa"/>
        <w:tblCellMar>
          <w:top w:w="0" w:type="dxa"/>
          <w:left w:w="0" w:type="dxa"/>
          <w:bottom w:w="0" w:type="dxa"/>
          <w:right w:w="0" w:type="dxa"/>
        </w:tblCellMar>
      </w:tblPr>
      <w:tr>
        <w:trPr>
          <w:trHeight w:val="169"/>
        </w:trPr>
        <w:tc>
          <w:tcPr>
            <w:tcW w:w="2200" w:type="dxa"/>
            <w:vAlign w:val="bottom"/>
            <w:gridSpan w:val="2"/>
          </w:tcPr>
          <w:p>
            <w:pPr>
              <w:ind w:left="540"/>
              <w:spacing w:after="0" w:line="169" w:lineRule="exact"/>
              <w:rPr>
                <w:sz w:val="20"/>
                <w:szCs w:val="20"/>
                <w:color w:val="auto"/>
              </w:rPr>
            </w:pPr>
            <w:r>
              <w:rPr>
                <w:rFonts w:ascii="Courier New" w:cs="Courier New" w:eastAsia="Courier New" w:hAnsi="Courier New"/>
                <w:sz w:val="15"/>
                <w:szCs w:val="15"/>
                <w:color w:val="auto"/>
              </w:rPr>
              <w:t>(unaudited)</w:t>
            </w:r>
          </w:p>
        </w:tc>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41"/>
        </w:trPr>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Nine months ended September 30,</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thousands)</w:t>
            </w:r>
          </w:p>
        </w:tc>
        <w:tc>
          <w:tcPr>
            <w:tcW w:w="3500" w:type="dxa"/>
            <w:vAlign w:val="bottom"/>
          </w:tcPr>
          <w:p>
            <w:pPr>
              <w:spacing w:after="0"/>
              <w:rPr>
                <w:sz w:val="14"/>
                <w:szCs w:val="14"/>
                <w:color w:val="auto"/>
              </w:rPr>
            </w:pPr>
          </w:p>
        </w:tc>
        <w:tc>
          <w:tcPr>
            <w:tcW w:w="15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w w:val="95"/>
              </w:rPr>
              <w:t>Net income</w:t>
            </w:r>
          </w:p>
        </w:tc>
        <w:tc>
          <w:tcPr>
            <w:tcW w:w="11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$17,744</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$14,255</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w w:val="95"/>
              </w:rPr>
              <w:t>provided by operations</w:t>
            </w:r>
          </w:p>
        </w:tc>
        <w:tc>
          <w:tcPr>
            <w:tcW w:w="3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25,815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21,736</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Rent abatements in lieu of leasehold improvements,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net of tenant improvements retired</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(394)</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Imputed interest and amortization of debt cost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Amortization of deferred compensation and</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forgiveness of officers' notes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460</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Payment of trustees' fees in shares of beneficial interest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Unrealized gain on marketable securities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w:t>
            </w: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Write off of mortgage note receivable and accrued interest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5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Loss on sale of real estate</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545</w:t>
            </w: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10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Decrease</w:t>
            </w:r>
          </w:p>
        </w:tc>
        <w:tc>
          <w:tcPr>
            <w:tcW w:w="46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in accounts receivable</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Increase in prepaid expenses and other</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assets before depreciation and amortization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(5,576)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(4,668)</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operating accounts payable,</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security deposits and prepaid rent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812</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(1,963)</w:t>
            </w:r>
          </w:p>
        </w:tc>
      </w:tr>
      <w:tr>
        <w:trPr>
          <w:trHeight w:val="168"/>
        </w:trPr>
        <w:tc>
          <w:tcPr>
            <w:tcW w:w="570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6"/>
              </w:rPr>
              <w:t>Increase (decrease) in accrued expenses,  net of  the premium</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440"/>
              <w:spacing w:after="0" w:line="168" w:lineRule="exact"/>
              <w:rPr>
                <w:sz w:val="20"/>
                <w:szCs w:val="20"/>
                <w:color w:val="auto"/>
              </w:rPr>
            </w:pPr>
            <w:r>
              <w:rPr>
                <w:rFonts w:ascii="Courier New" w:cs="Courier New" w:eastAsia="Courier New" w:hAnsi="Courier New"/>
                <w:sz w:val="15"/>
                <w:szCs w:val="15"/>
                <w:color w:val="auto"/>
              </w:rPr>
              <w:t>put on the 5 1/4% convertible subordinated  debentures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5,369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47,349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30,563</w:t>
            </w:r>
          </w:p>
        </w:tc>
      </w:tr>
      <w:tr>
        <w:trPr>
          <w:trHeight w:val="33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INVESTING ACTIVITIES</w:t>
            </w:r>
          </w:p>
        </w:tc>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Acquisition of real estate</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(67,851)</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(33,840)</w:t>
            </w:r>
          </w:p>
        </w:tc>
      </w:tr>
      <w:tr>
        <w:trPr>
          <w:trHeight w:val="168"/>
        </w:trPr>
        <w:tc>
          <w:tcPr>
            <w:tcW w:w="2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(26,026)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(27,504)</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real estate</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1,782</w:t>
            </w: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Net increase in notes receivable</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2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Net (increase) decrease</w:t>
            </w:r>
          </w:p>
        </w:tc>
        <w:tc>
          <w:tcPr>
            <w:tcW w:w="3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temporary investments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(92,369)</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(61,282)</w:t>
            </w:r>
          </w:p>
        </w:tc>
      </w:tr>
      <w:tr>
        <w:trPr>
          <w:trHeight w:val="33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FINANCING ACTIVITIES</w:t>
            </w:r>
          </w:p>
        </w:tc>
        <w:tc>
          <w:tcPr>
            <w:tcW w:w="3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Regular payments on mortgages, capital leases, and</w:t>
            </w:r>
          </w:p>
        </w:tc>
        <w:tc>
          <w:tcPr>
            <w:tcW w:w="15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2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notes payable</w:t>
            </w:r>
          </w:p>
        </w:tc>
        <w:tc>
          <w:tcPr>
            <w:tcW w:w="350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1,665</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(1,543)</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Balloon payments of mortgages and notes payable</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(23,601)</w:t>
            </w:r>
          </w:p>
        </w:tc>
        <w:tc>
          <w:tcPr>
            <w:tcW w:w="1180" w:type="dxa"/>
            <w:vAlign w:val="bottom"/>
          </w:tcPr>
          <w:p>
            <w:pPr>
              <w:spacing w:after="0"/>
              <w:rPr>
                <w:sz w:val="14"/>
                <w:szCs w:val="14"/>
                <w:color w:val="auto"/>
              </w:rPr>
            </w:pP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Proceeds of mortgage financings, net of costs</w:t>
            </w:r>
          </w:p>
        </w:tc>
        <w:tc>
          <w:tcPr>
            <w:tcW w:w="15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22,500</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Net change in lines of credit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(18,825)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3,587</w:t>
            </w: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Issuance</w:t>
            </w: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senior notes, net of costs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123,761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Redemption of  5 1/4% convertible subordinated</w:t>
            </w:r>
          </w:p>
        </w:tc>
        <w:tc>
          <w:tcPr>
            <w:tcW w:w="15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70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rPr>
              <w:t>debentures including premium put</w:t>
            </w: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(47,790)</w:t>
            </w:r>
          </w:p>
        </w:tc>
      </w:tr>
      <w:tr>
        <w:trPr>
          <w:trHeight w:val="168"/>
        </w:trPr>
        <w:tc>
          <w:tcPr>
            <w:tcW w:w="2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Dividends paid</w:t>
            </w: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(35,463)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(32,185)</w:t>
            </w:r>
          </w:p>
        </w:tc>
      </w:tr>
      <w:tr>
        <w:trPr>
          <w:trHeight w:val="168"/>
        </w:trPr>
        <w:tc>
          <w:tcPr>
            <w:tcW w:w="570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Issuance of shares of beneficial interest</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83,934</w:t>
            </w: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w:t>
            </w:r>
          </w:p>
        </w:tc>
        <w:tc>
          <w:tcPr>
            <w:tcW w:w="4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 minority interest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(1,087)</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cash</w:t>
            </w: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provided by</w:t>
            </w:r>
          </w:p>
        </w:tc>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44,456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28,398</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Decrease in cash</w:t>
            </w:r>
          </w:p>
        </w:tc>
        <w:tc>
          <w:tcPr>
            <w:tcW w:w="3500" w:type="dxa"/>
            <w:vAlign w:val="bottom"/>
          </w:tcPr>
          <w:p>
            <w:pPr>
              <w:spacing w:after="0"/>
              <w:rPr>
                <w:sz w:val="24"/>
                <w:szCs w:val="24"/>
                <w:color w:val="auto"/>
              </w:rPr>
            </w:pP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(564)</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(2,321)</w:t>
            </w:r>
          </w:p>
        </w:tc>
      </w:tr>
      <w:tr>
        <w:trPr>
          <w:trHeight w:val="336"/>
        </w:trPr>
        <w:tc>
          <w:tcPr>
            <w:tcW w:w="5700" w:type="dxa"/>
            <w:vAlign w:val="bottom"/>
            <w:gridSpan w:val="3"/>
          </w:tcPr>
          <w:p>
            <w:pPr>
              <w:spacing w:after="0"/>
              <w:rPr>
                <w:sz w:val="20"/>
                <w:szCs w:val="20"/>
                <w:color w:val="auto"/>
              </w:rPr>
            </w:pPr>
            <w:r>
              <w:rPr>
                <w:rFonts w:ascii="Courier New" w:cs="Courier New" w:eastAsia="Courier New" w:hAnsi="Courier New"/>
                <w:sz w:val="15"/>
                <w:szCs w:val="15"/>
                <w:color w:val="auto"/>
              </w:rPr>
              <w:t>Cash at beginning of period</w:t>
            </w:r>
          </w:p>
        </w:tc>
        <w:tc>
          <w:tcPr>
            <w:tcW w:w="15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3,995</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9,635</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Cash at end of period</w:t>
            </w:r>
          </w:p>
        </w:tc>
        <w:tc>
          <w:tcPr>
            <w:tcW w:w="3500" w:type="dxa"/>
            <w:vAlign w:val="bottom"/>
          </w:tcPr>
          <w:p>
            <w:pPr>
              <w:spacing w:after="0"/>
              <w:rPr>
                <w:sz w:val="14"/>
                <w:szCs w:val="14"/>
                <w:color w:val="auto"/>
              </w:rPr>
            </w:pPr>
          </w:p>
        </w:tc>
        <w:tc>
          <w:tcPr>
            <w:tcW w:w="15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$7,314</w:t>
            </w:r>
          </w:p>
        </w:tc>
      </w:tr>
      <w:tr>
        <w:trPr>
          <w:trHeight w:val="168"/>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September 30, 1995</w:t>
      </w:r>
    </w:p>
    <w:p>
      <w:pPr>
        <w:jc w:val="center"/>
        <w:ind w:right="3399"/>
        <w:spacing w:after="0" w:line="237" w:lineRule="auto"/>
        <w:rPr>
          <w:sz w:val="20"/>
          <w:szCs w:val="20"/>
          <w:color w:val="auto"/>
        </w:rPr>
      </w:pPr>
      <w:r>
        <w:rPr>
          <w:rFonts w:ascii="Courier New" w:cs="Courier New" w:eastAsia="Courier New" w:hAnsi="Courier New"/>
          <w:sz w:val="15"/>
          <w:szCs w:val="15"/>
          <w:color w:val="auto"/>
        </w:rPr>
        <w:t>(see accountants' review report)</w:t>
      </w:r>
    </w:p>
    <w:p>
      <w:pPr>
        <w:jc w:val="center"/>
        <w:ind w:right="3319"/>
        <w:spacing w:after="0" w:line="238" w:lineRule="auto"/>
        <w:rPr>
          <w:sz w:val="20"/>
          <w:szCs w:val="20"/>
          <w:color w:val="auto"/>
        </w:rPr>
      </w:pPr>
      <w:r>
        <w:rPr>
          <w:rFonts w:ascii="Courier New" w:cs="Courier New" w:eastAsia="Courier New" w:hAnsi="Courier New"/>
          <w:sz w:val="15"/>
          <w:szCs w:val="15"/>
          <w:color w:val="auto"/>
        </w:rPr>
        <w:t>(unaudited)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A - ACCOUNTING POLICIES AND OTHER DATA</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Reference should be made to the notes to financial statements included in the Annual Report to shareholders for the year ended December 31, 1994 which contain the Trust's accounting policies and other data.</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Certain previously reported amounts for 1994 have been reclassified to assure comparability of all periods presented. See Note 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B - DIVIDENDS PAYABLE</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On September 12, 1995 the Trustees declared a cash dividend of $.41 per share, payable October 13, 1995 to shareholders of record September 25, 1995.</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C - REAL ESTATE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period January 1, 1995 through September 30, 1995 the Trust purchased thirteen commercial buildings for cash ("main street retail properties") as follows: (1) a 6,800 square foot building in Greenwich, Connecticut for $2.0 million on February 16, 1995; (2) a 125,000 square foot group of seven buildings in West Hartford, Connecticut for $15.3 million on April 5, 1995; (3) a 35,500 square foot building in Greenwich, Connecticut on April 12, 1995 for $12.9 million; (4) a 10,000 square foot building in Westport, Connecticut for $5.7 million on June 15, 1995; (5) an 11,000 square foot building in Westfield, New Jersey for $2.2 million on August 16, 1995; (6) a 12,000 square foot building in Brookline, Massachusetts for $3.7 million on September 7, 1995 and (7) a 7,000 square foot building in Evanston, Illinois for $1.0 million on September 12, 1995. In connection with certain of these purchases, brokerage commissions of $548,000 were incurred to a company that is fifty percent owned by a brother of the Trust's president. These commissions were paid pursuant to a brokerage contract on terms comparable to terms contained in contracts which the Trust has with brokers providing similar services in other geographic areas.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addition the Trust has purchased two shopping centers and two properties abutting existing shopping centers. On April 27, 1995 the Trust purchased the 302,000 square foot Finley Square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17" w:right="1440" w:bottom="1440" w:gutter="0" w:footer="0" w:header="0"/>
        </w:sectPr>
      </w:pPr>
    </w:p>
    <w:bookmarkStart w:id="10" w:name="page11"/>
    <w:bookmarkEnd w:id="10"/>
    <w:p>
      <w:pPr>
        <w:ind w:right="3239"/>
        <w:spacing w:after="0" w:line="255" w:lineRule="auto"/>
        <w:rPr>
          <w:sz w:val="20"/>
          <w:szCs w:val="20"/>
          <w:color w:val="auto"/>
        </w:rPr>
      </w:pPr>
      <w:r>
        <w:rPr>
          <w:rFonts w:ascii="Courier New" w:cs="Courier New" w:eastAsia="Courier New" w:hAnsi="Courier New"/>
          <w:sz w:val="14"/>
          <w:szCs w:val="14"/>
          <w:color w:val="auto"/>
        </w:rPr>
        <w:t>Shopping Center in Downers Grove, Illinois for cash of $18.8 million. On September 22, 1995 the Trust acquired the 284,000 square foot Bristol Shopping Center in Bristol, Connecticut for $19.6 million, which was paid by assuming a mortgage of $11.3 million, by issuing 337,527 shares of common stock, valued at $7.3 million, and by cash for the balance. A commission of $142,500 was paid to the company which is 50% owned by a brother of the Trust's president in connection with the purchase of this shopping center. On June 12, 1995 the Trust purchased a 12,400 square foot building contiguous to its Bethesda Row property for $2.0 million in cash. On September 1, 1995 the Trust purchased a building abutting Flourtown Shopping Center for $3.1 million in cash.</w:t>
      </w:r>
    </w:p>
    <w:p>
      <w:pPr>
        <w:spacing w:after="0" w:line="16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On August 1, 1995 the Trust sold the 111,000 square foot North City Shopping Center in New Castle, Pennsylvania for $1.8 million, resulting in a loss of $545,000.</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D - Senior Notes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On January 19, 1995 the Trust issued $100.0 million of 8 7/8% Notes, due January 15, 2000. The notes, which were issued at a price of 99.815%, pay interest semiannually on January 15 and July 15 and are not redeemable prior to maturity. After deducting the underwriting discount and other costs, the Trust netted approximately $98.9 million.</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In order to protect itself against the risk that the general level of interest rates for such securities would rise before the senior notes were priced, in December 1994, the Trust entered into two interest rate hedge agreements on a total principal amount of $75.0 million. The cost of the agreements, which terminated on January 20, 1995, was $21,000, which is being amortized into interest expense over the life of the notes.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January 1995 the Trust executed a five year interest rate swap on $25.0 million, whereby the Trust swapped fixed interest payment obligations of 8.136% for a floating rate interest payment of three month LIBOR. The floating rate during the first quarter of 1995 was 6.1875%. In May 1995 the swap was terminated and the Trust sold the swap for $1.5 million, which is being amortized as a deduction to interest expense over the remaining term.</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April 21, 1995 the Trust issued $25.0 million of senior notes. The notes, which are due April 21, 2002 and bear interest at 8%, payable semiannually, were issued at a price of 99.683%. The proceeds of $24.9 million were used to repay amounts which had been borrowed on the revolving credit facilities during April 1995 to fund acquisitions and property renovations.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NOTE E - MORTGAGES PAYABLE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1995 the Trust repaid the $22.5 million mortgage on Northeast Plaza in Atlanta, Georgia with proceeds from the senior note offering. On September 22, 1995 in connection with the purchase of the Bristol Shopping Center, the Trust assumed a $11.3 million mortgage. The mortgage, which bears interest at 9.65%, is payable in monthly installments of $106,446 with a balloon payment of $10.7 million due in August 1998.</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F - NOTES PAYABLE</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Trust has $130.0 million of unsecured medium term revolving credit facilities with four banks. The facilities, which bear interest at LIBOR plus 85 to 100 basis points, require fees and have covenants requiring a minimum shareholders' equity and a maximum ratio of debt to net worth. The maximum drawn under these facilities during the first nine months of 1995 was $66.8 million. The weighted average interest rate on borrowings for the nine months ended September 30, 1995 was 7.0%. At September 30, 1995 there was $35.9 million drawn under these facilities.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January 1995 the Trust paid a $1.1 million note that had been issued in connection with the purchase of Queen Anne Plaza in December 1994. In connection with the buyout of a tenant at Queen Anne Plaza in January 1995, the Trust issued a noninterest bearing note payable of $2.2 million, due in annual installments of $200,000 for 11 years. Using an interest rate of 8 7/8%, the note has been recorded at its discounted value of $1.7 million.</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On September 12, 1995 in connection with a lease transaction at Barracks Road Shopping Center the Trust issued a $2.5 million non-interest bearing note which is due November 13,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G - SHAREHOLDERS' EQUITY</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During the first nine months of 1995, 19,244 shares were issued at prices ranging from $15.00 per share to $20.875 per share as the result of the exercise of stock options. The Trust accepted notes from certain of its employees of $36,000 in connection with the issuance of certain of these shares.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September 1995 the terms of loans issued to officers and employees of the Trust in connection with the exercise of stock options were modified. These loans, which previously had a five year term, may now have a term extending to the employee's or officer's retirement date. Consequently these loans are now being classified as a component of stockholder's equity rather than as an asset. The 1994 balances of notes receivable-officers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and subscriptions receivable have been reclassified to allow comparability.</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February 15, 1995, 719,000 stock options at $20.75 per share were granted to employees of the Trust. On May 10, 1995, the eight trustees of the Trust other than the president were each awarded options to purchase 2,500 shares at $22 per share.</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As stated in Note C, 337,527 shares valued at $7.3 million were issued in September 1995 as partial consideration for the purchase of Bristol Shopping Center.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H - INTEREST EXPENSE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incurred interest expense totaling $29.5 million during the first nine months of 1995 and $23.7 million during the first nine months of 1994, of which $672,000 and $190,000, respectively, were capitalized. Interest paid was $23.8 million in the first nine months of 1995 and $31.3 million in the first nine months of 1994.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I - COMMITMENTS AND CONTINGENCIES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State of New Jersey Division of Taxation has assessed the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$364,000 in taxes, penalty and interest for the years 1985 through 1990,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State has disallowed the dividends paid deduction in computing New Jersey</w:t>
      </w:r>
    </w:p>
    <w:p>
      <w:pPr>
        <w:spacing w:after="0"/>
        <w:tabs>
          <w:tab w:leader="none" w:pos="1480" w:val="left"/>
        </w:tabs>
        <w:rPr>
          <w:sz w:val="20"/>
          <w:szCs w:val="20"/>
          <w:color w:val="auto"/>
        </w:rPr>
      </w:pPr>
      <w:r>
        <w:rPr>
          <w:rFonts w:ascii="Courier New" w:cs="Courier New" w:eastAsia="Courier New" w:hAnsi="Courier New"/>
          <w:sz w:val="15"/>
          <w:szCs w:val="15"/>
          <w:color w:val="auto"/>
        </w:rPr>
        <w:t>taxable income.</w:t>
      </w:r>
      <w:r>
        <w:rPr>
          <w:sz w:val="20"/>
          <w:szCs w:val="20"/>
          <w:color w:val="auto"/>
        </w:rPr>
        <w:tab/>
      </w:r>
      <w:r>
        <w:rPr>
          <w:rFonts w:ascii="Courier New" w:cs="Courier New" w:eastAsia="Courier New" w:hAnsi="Courier New"/>
          <w:sz w:val="14"/>
          <w:szCs w:val="14"/>
          <w:color w:val="auto"/>
        </w:rPr>
        <w:t>The Trust has protested this assessment since the Trust</w:t>
      </w:r>
    </w:p>
    <w:p>
      <w:pPr>
        <w:spacing w:after="0"/>
        <w:tabs>
          <w:tab w:leader="none" w:pos="4180" w:val="left"/>
        </w:tabs>
        <w:rPr>
          <w:sz w:val="20"/>
          <w:szCs w:val="20"/>
          <w:color w:val="auto"/>
        </w:rPr>
      </w:pPr>
      <w:r>
        <w:rPr>
          <w:rFonts w:ascii="Courier New" w:cs="Courier New" w:eastAsia="Courier New" w:hAnsi="Courier New"/>
          <w:sz w:val="15"/>
          <w:szCs w:val="15"/>
          <w:color w:val="auto"/>
        </w:rPr>
        <w:t>believes that it is entitled to the deduction.</w:t>
      </w:r>
      <w:r>
        <w:rPr>
          <w:sz w:val="20"/>
          <w:szCs w:val="20"/>
          <w:color w:val="auto"/>
        </w:rPr>
        <w:tab/>
      </w:r>
      <w:r>
        <w:rPr>
          <w:rFonts w:ascii="Courier New" w:cs="Courier New" w:eastAsia="Courier New" w:hAnsi="Courier New"/>
          <w:sz w:val="14"/>
          <w:szCs w:val="14"/>
          <w:color w:val="auto"/>
        </w:rPr>
        <w:t>In a case involving another real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investment trust, the New Jersey tax court ruled that the dividends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deduction was allowable and this decision was upheld by the Appellate Court.</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North Carolina Department of the Environment, Health and Natural Resources ("DEHNR") issued a Notice of Violation ("NOV") against a former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65"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ind w:right="3239"/>
        <w:spacing w:after="0" w:line="255" w:lineRule="auto"/>
        <w:rPr>
          <w:sz w:val="20"/>
          <w:szCs w:val="20"/>
          <w:color w:val="auto"/>
        </w:rPr>
      </w:pPr>
      <w:r>
        <w:rPr>
          <w:rFonts w:ascii="Courier New" w:cs="Courier New" w:eastAsia="Courier New" w:hAnsi="Courier New"/>
          <w:sz w:val="14"/>
          <w:szCs w:val="14"/>
          <w:color w:val="auto"/>
        </w:rPr>
        <w:t>the Trust is unable to determine what the range of remediation costs might be.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to estimate the range of remediation costs, if any.</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On September 22, 1995 the Trust purchased the Bristol Shopping Center in Bristol, Connecticut. Pursuant to an agreement executed at closing,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 such remedial measures and has indemnified the Trust in connection with the identified contamination.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Trust reserved $2.25 million at closing in 1993 for environmental</w:t>
      </w:r>
    </w:p>
    <w:p>
      <w:pPr>
        <w:spacing w:after="0" w:line="237" w:lineRule="auto"/>
        <w:rPr>
          <w:sz w:val="20"/>
          <w:szCs w:val="20"/>
          <w:color w:val="auto"/>
        </w:rPr>
      </w:pPr>
      <w:r>
        <w:rPr>
          <w:rFonts w:ascii="Courier New" w:cs="Courier New" w:eastAsia="Courier New" w:hAnsi="Courier New"/>
          <w:sz w:val="15"/>
          <w:szCs w:val="15"/>
          <w:color w:val="auto"/>
        </w:rPr>
        <w:t>issues principally associated with Gaithersburg Square Shopping Center.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an indemnity agreement entered into with the seller at closing,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agreed to take certain actions with respect to identified chlorinated</w:t>
      </w:r>
    </w:p>
    <w:p>
      <w:pPr>
        <w:spacing w:after="0"/>
        <w:tabs>
          <w:tab w:leader="none" w:pos="2080" w:val="left"/>
        </w:tabs>
        <w:rPr>
          <w:sz w:val="20"/>
          <w:szCs w:val="20"/>
          <w:color w:val="auto"/>
        </w:rPr>
      </w:pPr>
      <w:r>
        <w:rPr>
          <w:rFonts w:ascii="Courier New" w:cs="Courier New" w:eastAsia="Courier New" w:hAnsi="Courier New"/>
          <w:sz w:val="15"/>
          <w:szCs w:val="15"/>
          <w:color w:val="auto"/>
        </w:rPr>
        <w:t>solvent contamination.</w:t>
      </w:r>
      <w:r>
        <w:rPr>
          <w:sz w:val="20"/>
          <w:szCs w:val="20"/>
          <w:color w:val="auto"/>
        </w:rPr>
        <w:tab/>
      </w:r>
      <w:r>
        <w:rPr>
          <w:rFonts w:ascii="Courier New" w:cs="Courier New" w:eastAsia="Courier New" w:hAnsi="Courier New"/>
          <w:sz w:val="14"/>
          <w:szCs w:val="14"/>
          <w:color w:val="auto"/>
        </w:rPr>
        <w:t>The seller indemnified the Trust for certain third party</w:t>
      </w:r>
    </w:p>
    <w:p>
      <w:pPr>
        <w:spacing w:after="0" w:line="238" w:lineRule="auto"/>
        <w:rPr>
          <w:sz w:val="20"/>
          <w:szCs w:val="20"/>
          <w:color w:val="auto"/>
        </w:rPr>
      </w:pPr>
      <w:r>
        <w:rPr>
          <w:rFonts w:ascii="Courier New" w:cs="Courier New" w:eastAsia="Courier New" w:hAnsi="Courier New"/>
          <w:sz w:val="15"/>
          <w:szCs w:val="15"/>
          <w:color w:val="auto"/>
        </w:rPr>
        <w:t>claims and government requirements related to contamination at adjacent</w:t>
      </w:r>
    </w:p>
    <w:p>
      <w:pPr>
        <w:spacing w:after="0" w:line="237" w:lineRule="auto"/>
        <w:tabs>
          <w:tab w:leader="none" w:pos="1120" w:val="left"/>
        </w:tabs>
        <w:rPr>
          <w:sz w:val="20"/>
          <w:szCs w:val="20"/>
          <w:color w:val="auto"/>
        </w:rPr>
      </w:pPr>
      <w:r>
        <w:rPr>
          <w:rFonts w:ascii="Courier New" w:cs="Courier New" w:eastAsia="Courier New" w:hAnsi="Courier New"/>
          <w:sz w:val="15"/>
          <w:szCs w:val="15"/>
          <w:color w:val="auto"/>
        </w:rPr>
        <w:t>properties.</w:t>
        <w:tab/>
        <w:t>During the third quarter of 1995 the reserve was reduced by</w:t>
      </w:r>
    </w:p>
    <w:p>
      <w:pPr>
        <w:spacing w:after="0" w:line="238" w:lineRule="auto"/>
        <w:rPr>
          <w:sz w:val="20"/>
          <w:szCs w:val="20"/>
          <w:color w:val="auto"/>
        </w:rPr>
      </w:pPr>
      <w:r>
        <w:rPr>
          <w:rFonts w:ascii="Courier New" w:cs="Courier New" w:eastAsia="Courier New" w:hAnsi="Courier New"/>
          <w:sz w:val="15"/>
          <w:szCs w:val="15"/>
          <w:color w:val="auto"/>
        </w:rPr>
        <w:t>$269,000 with a corresponding decrease in the basis of land at one shopping</w:t>
      </w:r>
    </w:p>
    <w:p>
      <w:pPr>
        <w:spacing w:after="0" w:line="237" w:lineRule="auto"/>
        <w:rPr>
          <w:sz w:val="20"/>
          <w:szCs w:val="20"/>
          <w:color w:val="auto"/>
        </w:rPr>
      </w:pPr>
      <w:r>
        <w:rPr>
          <w:rFonts w:ascii="Courier New" w:cs="Courier New" w:eastAsia="Courier New" w:hAnsi="Courier New"/>
          <w:sz w:val="15"/>
          <w:szCs w:val="15"/>
          <w:color w:val="auto"/>
        </w:rPr>
        <w:t>center since the environmental issue there was resolved.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September 30, 1995 in connection with certain redevelopment projects and tenant work, the Trust is contractually obligated on contracts of approximately $3.3 million. At September 30, 1995 the Trust is also contractually obligated under leases with tenants to provide approximately $10.6 million for improvements.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NOTE K - COMPONENTS OF RENTAL INCOME</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rental income for the nine months ended September 30 are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11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1995</w:t>
            </w:r>
          </w:p>
        </w:tc>
        <w:tc>
          <w:tcPr>
            <w:tcW w:w="2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2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w w:val="98"/>
              </w:rPr>
              <w:t>(in thousands)</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Retail Properties</w:t>
            </w:r>
          </w:p>
        </w:tc>
        <w:tc>
          <w:tcPr>
            <w:tcW w:w="11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68"/>
        </w:trPr>
        <w:tc>
          <w:tcPr>
            <w:tcW w:w="2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Minimum rents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$81,644</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$72,043</w:t>
            </w:r>
          </w:p>
        </w:tc>
      </w:tr>
      <w:tr>
        <w:trPr>
          <w:trHeight w:val="168"/>
        </w:trPr>
        <w:tc>
          <w:tcPr>
            <w:tcW w:w="2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 reimbursements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17,813</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17,025</w:t>
            </w:r>
          </w:p>
        </w:tc>
      </w:tr>
      <w:tr>
        <w:trPr>
          <w:trHeight w:val="168"/>
        </w:trPr>
        <w:tc>
          <w:tcPr>
            <w:tcW w:w="2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Percentage rents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3,262</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3,328</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Apartments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1,838</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1,772</w:t>
            </w:r>
          </w:p>
        </w:tc>
      </w:tr>
      <w:tr>
        <w:trPr>
          <w:trHeight w:val="168"/>
        </w:trPr>
        <w:tc>
          <w:tcPr>
            <w:tcW w:w="23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$104,557</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$94,168</w:t>
            </w:r>
          </w:p>
        </w:tc>
      </w:tr>
      <w:tr>
        <w:trPr>
          <w:trHeight w:val="168"/>
        </w:trPr>
        <w:tc>
          <w:tcPr>
            <w:tcW w:w="23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20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5" w:name="page16"/>
    <w:bookmarkEnd w:id="15"/>
    <w:p>
      <w:pPr>
        <w:ind w:left="2100"/>
        <w:spacing w:after="0"/>
        <w:rPr>
          <w:sz w:val="20"/>
          <w:szCs w:val="20"/>
          <w:color w:val="auto"/>
        </w:rPr>
      </w:pPr>
      <w:r>
        <w:rPr>
          <w:rFonts w:ascii="Courier New" w:cs="Courier New" w:eastAsia="Courier New" w:hAnsi="Courier New"/>
          <w:sz w:val="15"/>
          <w:szCs w:val="15"/>
          <w:color w:val="auto"/>
        </w:rPr>
        <w:t>FEDERAL REALTY INVESTMENT TRUST</w:t>
      </w:r>
    </w:p>
    <w:p>
      <w:pPr>
        <w:ind w:left="3080"/>
        <w:spacing w:after="0" w:line="237" w:lineRule="auto"/>
        <w:rPr>
          <w:sz w:val="20"/>
          <w:szCs w:val="20"/>
          <w:color w:val="auto"/>
        </w:rPr>
      </w:pPr>
      <w:r>
        <w:rPr>
          <w:rFonts w:ascii="Courier New" w:cs="Courier New" w:eastAsia="Courier New" w:hAnsi="Courier New"/>
          <w:sz w:val="15"/>
          <w:szCs w:val="15"/>
          <w:color w:val="auto"/>
        </w:rPr>
        <w:t>FORM 10-Q</w:t>
      </w:r>
    </w:p>
    <w:p>
      <w:pPr>
        <w:ind w:left="2640"/>
        <w:spacing w:after="0" w:line="238" w:lineRule="auto"/>
        <w:rPr>
          <w:sz w:val="20"/>
          <w:szCs w:val="20"/>
          <w:color w:val="auto"/>
        </w:rPr>
      </w:pPr>
      <w:r>
        <w:rPr>
          <w:rFonts w:ascii="Courier New" w:cs="Courier New" w:eastAsia="Courier New" w:hAnsi="Courier New"/>
          <w:sz w:val="15"/>
          <w:szCs w:val="15"/>
          <w:color w:val="auto"/>
        </w:rPr>
        <w:t>SEPTEMBER 30, 1995</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long term borrowing through debt offerings and mortgages, medium and short term borrowing under revolving credit facilities,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Net cash provided by operating activities increased from $30.6 million for the nine months ended September 30, 1994 to $47.3 million for the nine months ended September 30, 1995. The major sources of the increase were an increase of $3.5 million in net income in 1995 over 1994, an increase of $4.1 million in depreciation and amortization in 1995 over 1994, and a $10.1 million increase in cash provided by changes in operating assets and liabilities in 1995 over 1994. Dividends paid for the period in 1994 were $32.2 million versus 1995's $35.5 million.</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1995 net cash provided by operating activities of $47.3 million is comprised primarily of $17.8 million of net income increased by $25.8 million of depreciation and amortization and $3.3 million of cash provided by changes in operating assets and liabilities. In 1994 net cash provided by operating activities of $30.6 million was comprised primarily of $14.3 million of net income increased by $21.7 million of depreciation and amortization which was offset by $6.8 million use of cash for operating assets and liabilities.</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During the first nine months of 1995 the Trust purchased $42.9 million of street retail properties, i.e. retail buildings in densely developed urban and suburban areas. The Trust also purchased two shopping centers, the 302,000 square foot Finley Square Shopping Center in Downers Grove, Illinois for $18.8 million in April 1995 and the 250,000 square foot Bristol Shopping Center in Bristol, Connecticut for $19.6 million in September 1995. In addition, in June 1995 the Trust purchased a newly constructed 12,400 square foot building, contiguous to its Bethesda Row property for $2.0 million in cash and in September 1995 the Trust purchased a building abutting its Flourtown Shopping Center for $3.1 million. During the first nine months of 1995 the Trust spent $26.0 million on improvements to its properties and</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sectPr>
      </w:pPr>
    </w:p>
    <w:bookmarkStart w:id="16" w:name="page17"/>
    <w:bookmarkEnd w:id="16"/>
    <w:p>
      <w:pPr>
        <w:ind w:right="3239"/>
        <w:spacing w:after="0" w:line="255" w:lineRule="auto"/>
        <w:rPr>
          <w:sz w:val="20"/>
          <w:szCs w:val="20"/>
          <w:color w:val="auto"/>
        </w:rPr>
      </w:pPr>
      <w:r>
        <w:rPr>
          <w:rFonts w:ascii="Courier New" w:cs="Courier New" w:eastAsia="Courier New" w:hAnsi="Courier New"/>
          <w:sz w:val="14"/>
          <w:szCs w:val="14"/>
          <w:color w:val="auto"/>
        </w:rPr>
        <w:t>tenant work; these improvements included: (1) $2.8 million on Congressional Plaza which redevelopment is in the final phases; (2) $1.7 million to buy out a below market lease at Queen Anne Plaza; (3) $4.1 million on Gaithersburg Square which is currently being expanded, redeveloped and retenanted; and (4) $2.8 million on the renovation of Brick Plaza. These acquisitons and renovations were funded primarily by cash, the assumption of a $11.3 million mortgage on Bristol Shopping Center and the issuance of 337,527 shares of common stock valued at $7.3 million in connection with the purchase of Bristol.</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 January 19, 1995 the Trust issued $100.0 million of 8 7/8% Notes, due January 15, 2000, netting proceeds of approximately $98.9 million. The proceeds from this issuance were used to repay a $22.5 million mortgage, to repay $66.8 million which was outstanding on its revolving credit facilities and to partially fund the first quarter property acquisitions and improvements.</w:t>
      </w:r>
    </w:p>
    <w:p>
      <w:pPr>
        <w:spacing w:after="0" w:line="16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April 21, 1995 the Trust issued $25 million of senior notes due 2002, netting approximately $24.9 million, the proceeds of which were used to repay amounts which had been borrowed on the revolving credit facilities during April to fund acquisitions and property renovations.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Trust has available $130.0 million of unsecured medium-term revolving credit facilities with four banks. The facilities, which require fees and have covenants requiring a minimum shareholders' equity and a maximum ratio of debt to net worth, are used to fund acquisitions and other cash requirements until conditions are favorable for issuing equity or long-term debt. At September 30, 1995 there was $35.9 million drawn under these facilities. The maximum amount borrowed under these facilities during the first nine months of 1995 was $66.8 million. Amounts advanced under these facilities bear interest at LIBOR plus 85</w:t>
      </w:r>
    </w:p>
    <w:p>
      <w:pPr>
        <w:spacing w:after="0" w:line="3" w:lineRule="exact"/>
        <w:rPr>
          <w:sz w:val="20"/>
          <w:szCs w:val="20"/>
          <w:color w:val="auto"/>
        </w:rPr>
      </w:pPr>
    </w:p>
    <w:p>
      <w:pPr>
        <w:ind w:right="3139" w:firstLine="10"/>
        <w:spacing w:after="0" w:line="234" w:lineRule="auto"/>
        <w:tabs>
          <w:tab w:leader="none" w:pos="175"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- 100 basis points; the weighted average interest rate on borrowings during the first nine months of 1995 was 7.0%.</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Trust is committed under leases for approximately $10.6 million in building improvement and tenant work. In addition the Trust has budgeted approximately $24 million for the remainder of 1995 and early 1996 for improvements to its properties, including the completion of renovations of Congressional Plaza, Brick Plaza and Gaithersburg Square. Furthermore, the Trust is actively seeking to acquire shopping centers in its core major metropolitan markets and to acquire retail buildings in densely developed urban and suburban areas. The Trust is also continuing to study site acquisitions in its core markets to permit the Trust to develop shopping centers. These expenditures will be funded with the revolving credit facilities pending their permanent financing with either equity or debt.</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7" w:name="page18"/>
    <w:bookmarkEnd w:id="17"/>
    <w:p>
      <w:pPr>
        <w:ind w:right="4019" w:firstLine="437"/>
        <w:spacing w:after="0" w:line="261" w:lineRule="auto"/>
        <w:rPr>
          <w:sz w:val="20"/>
          <w:szCs w:val="20"/>
          <w:color w:val="auto"/>
        </w:rPr>
      </w:pPr>
      <w:r>
        <w:rPr>
          <w:rFonts w:ascii="Courier New" w:cs="Courier New" w:eastAsia="Courier New" w:hAnsi="Courier New"/>
          <w:sz w:val="14"/>
          <w:szCs w:val="14"/>
          <w:color w:val="auto"/>
        </w:rPr>
        <w:t>On August 1, 1995 the Trust sold North City Plaza in New Castle, Pennsylvania for $1.8 million, resulting in a loss on sale of $545,000.</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Trust believes that the amounts available under its revolving credit facilities provide it with the liquidity needed for its short-term renovation and acquisition plans. The Trust believes that the unencumbered value of its properties and its access to the capital markets, as demonstrated by its past success in raising capital, give it the ability to raise the capital, both debt and equity, needed to fund its long-term capital and debt repayment needs.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State of New Jersey Division of Taxation has assessed the Trust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$364,000 in taxes, penalty and interest for the years 1985 through 1990, since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State has disallowed the dividends paid deduction in computing New Jersey</w:t>
      </w:r>
    </w:p>
    <w:p>
      <w:pPr>
        <w:spacing w:after="0"/>
        <w:tabs>
          <w:tab w:leader="none" w:pos="1480" w:val="left"/>
        </w:tabs>
        <w:rPr>
          <w:sz w:val="20"/>
          <w:szCs w:val="20"/>
          <w:color w:val="auto"/>
        </w:rPr>
      </w:pPr>
      <w:r>
        <w:rPr>
          <w:rFonts w:ascii="Courier New" w:cs="Courier New" w:eastAsia="Courier New" w:hAnsi="Courier New"/>
          <w:sz w:val="15"/>
          <w:szCs w:val="15"/>
          <w:color w:val="auto"/>
        </w:rPr>
        <w:t>taxable income.</w:t>
      </w:r>
      <w:r>
        <w:rPr>
          <w:sz w:val="20"/>
          <w:szCs w:val="20"/>
          <w:color w:val="auto"/>
        </w:rPr>
        <w:tab/>
      </w:r>
      <w:r>
        <w:rPr>
          <w:rFonts w:ascii="Courier New" w:cs="Courier New" w:eastAsia="Courier New" w:hAnsi="Courier New"/>
          <w:sz w:val="14"/>
          <w:szCs w:val="14"/>
          <w:color w:val="auto"/>
        </w:rPr>
        <w:t>The Trust has protested this assessment since the Trust</w:t>
      </w:r>
    </w:p>
    <w:p>
      <w:pPr>
        <w:spacing w:after="0"/>
        <w:tabs>
          <w:tab w:leader="none" w:pos="4180" w:val="left"/>
        </w:tabs>
        <w:rPr>
          <w:sz w:val="20"/>
          <w:szCs w:val="20"/>
          <w:color w:val="auto"/>
        </w:rPr>
      </w:pPr>
      <w:r>
        <w:rPr>
          <w:rFonts w:ascii="Courier New" w:cs="Courier New" w:eastAsia="Courier New" w:hAnsi="Courier New"/>
          <w:sz w:val="15"/>
          <w:szCs w:val="15"/>
          <w:color w:val="auto"/>
        </w:rPr>
        <w:t>believes that it is entitled to the deduction.</w:t>
      </w:r>
      <w:r>
        <w:rPr>
          <w:sz w:val="20"/>
          <w:szCs w:val="20"/>
          <w:color w:val="auto"/>
        </w:rPr>
        <w:tab/>
      </w:r>
      <w:r>
        <w:rPr>
          <w:rFonts w:ascii="Courier New" w:cs="Courier New" w:eastAsia="Courier New" w:hAnsi="Courier New"/>
          <w:sz w:val="14"/>
          <w:szCs w:val="14"/>
          <w:color w:val="auto"/>
        </w:rPr>
        <w:t>In a case involving another real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estate investment trust, the New Jersey tax court ruled that the dividends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deduction was allowable and this decision was upheld by the Appellate Court.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North Carolina Department of the Environment, Health and Natural Resources ("DEHNR") issued a Notice of Violation ("NOV") against a drycleaner tenant at Eastgate Shopping Center in Chapel Hill, North Carolina concerning a spill at the shopping center. As owner of the shopping center, the Trust was named in and received a copy of the NOV. Estimates to remediate the spill range from $300,000 to $500,000. The Trust has entered into an agreement with two previous owners of the shopping center to share the costs to assess and remediate. In 1993 the Trust recorded a liability of $120,000 as its estimated share of the clean up costs.</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1992 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had also previously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to estimate the range of remediation costs, if any.</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18" w:name="page19"/>
    <w:bookmarkEnd w:id="18"/>
    <w:p>
      <w:pPr>
        <w:ind w:right="3319" w:firstLine="437"/>
        <w:spacing w:after="0" w:line="255" w:lineRule="auto"/>
        <w:rPr>
          <w:sz w:val="20"/>
          <w:szCs w:val="20"/>
          <w:color w:val="auto"/>
        </w:rPr>
      </w:pPr>
      <w:r>
        <w:rPr>
          <w:rFonts w:ascii="Courier New" w:cs="Courier New" w:eastAsia="Courier New" w:hAnsi="Courier New"/>
          <w:sz w:val="14"/>
          <w:szCs w:val="14"/>
          <w:color w:val="auto"/>
        </w:rPr>
        <w:t>On September 22, 1995 the Trust purchased the Bristol Shopping Center in Bristol, Connecticut. Pursuant to an agreement executed at closing, the Trust agreed to perform all remedial measures necessary to obtain a final letter of compliance from the Connecticut Commissioner of Environmental Protection with respect to certain identified soil and ground water contamination associated with a former dry cleaning operation. The seller established an escrow account at closing of $187,500 to cover such remedial measures and has indemnified the Trust in connection with the identified contamination.</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Trust reserved $2.25 million at closing in 1993 for environmental</w:t>
      </w:r>
    </w:p>
    <w:p>
      <w:pPr>
        <w:spacing w:after="0" w:line="237" w:lineRule="auto"/>
        <w:rPr>
          <w:sz w:val="20"/>
          <w:szCs w:val="20"/>
          <w:color w:val="auto"/>
        </w:rPr>
      </w:pPr>
      <w:r>
        <w:rPr>
          <w:rFonts w:ascii="Courier New" w:cs="Courier New" w:eastAsia="Courier New" w:hAnsi="Courier New"/>
          <w:sz w:val="15"/>
          <w:szCs w:val="15"/>
          <w:color w:val="auto"/>
        </w:rPr>
        <w:t>issues principally associated with Gaithersburg Square Shopping Center.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Pursuant to an indemnity agreement entered into with the seller at closing,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 agreed to take certain actions with respect to identified chlorinated</w:t>
      </w:r>
    </w:p>
    <w:p>
      <w:pPr>
        <w:spacing w:after="0"/>
        <w:tabs>
          <w:tab w:leader="none" w:pos="2080" w:val="left"/>
        </w:tabs>
        <w:rPr>
          <w:sz w:val="20"/>
          <w:szCs w:val="20"/>
          <w:color w:val="auto"/>
        </w:rPr>
      </w:pPr>
      <w:r>
        <w:rPr>
          <w:rFonts w:ascii="Courier New" w:cs="Courier New" w:eastAsia="Courier New" w:hAnsi="Courier New"/>
          <w:sz w:val="15"/>
          <w:szCs w:val="15"/>
          <w:color w:val="auto"/>
        </w:rPr>
        <w:t>solvent contamination.</w:t>
      </w:r>
      <w:r>
        <w:rPr>
          <w:sz w:val="20"/>
          <w:szCs w:val="20"/>
          <w:color w:val="auto"/>
        </w:rPr>
        <w:tab/>
      </w:r>
      <w:r>
        <w:rPr>
          <w:rFonts w:ascii="Courier New" w:cs="Courier New" w:eastAsia="Courier New" w:hAnsi="Courier New"/>
          <w:sz w:val="14"/>
          <w:szCs w:val="14"/>
          <w:color w:val="auto"/>
        </w:rPr>
        <w:t>The seller indemnified the Trust against certain third</w:t>
      </w:r>
    </w:p>
    <w:p>
      <w:pPr>
        <w:spacing w:after="0" w:line="238" w:lineRule="auto"/>
        <w:rPr>
          <w:sz w:val="20"/>
          <w:szCs w:val="20"/>
          <w:color w:val="auto"/>
        </w:rPr>
      </w:pPr>
      <w:r>
        <w:rPr>
          <w:rFonts w:ascii="Courier New" w:cs="Courier New" w:eastAsia="Courier New" w:hAnsi="Courier New"/>
          <w:sz w:val="15"/>
          <w:szCs w:val="15"/>
          <w:color w:val="auto"/>
        </w:rPr>
        <w:t>party claims and government requirements related to contamination at adjacent</w:t>
      </w:r>
    </w:p>
    <w:p>
      <w:pPr>
        <w:spacing w:after="0" w:line="237" w:lineRule="auto"/>
        <w:tabs>
          <w:tab w:leader="none" w:pos="1120" w:val="left"/>
        </w:tabs>
        <w:rPr>
          <w:sz w:val="20"/>
          <w:szCs w:val="20"/>
          <w:color w:val="auto"/>
        </w:rPr>
      </w:pPr>
      <w:r>
        <w:rPr>
          <w:rFonts w:ascii="Courier New" w:cs="Courier New" w:eastAsia="Courier New" w:hAnsi="Courier New"/>
          <w:sz w:val="15"/>
          <w:szCs w:val="15"/>
          <w:color w:val="auto"/>
        </w:rPr>
        <w:t>properties.</w:t>
        <w:tab/>
        <w:t>During the third quarter of 1995 the reserve was reduced by</w:t>
      </w:r>
    </w:p>
    <w:p>
      <w:pPr>
        <w:spacing w:after="0" w:line="238" w:lineRule="auto"/>
        <w:rPr>
          <w:sz w:val="20"/>
          <w:szCs w:val="20"/>
          <w:color w:val="auto"/>
        </w:rPr>
      </w:pPr>
      <w:r>
        <w:rPr>
          <w:rFonts w:ascii="Courier New" w:cs="Courier New" w:eastAsia="Courier New" w:hAnsi="Courier New"/>
          <w:sz w:val="15"/>
          <w:szCs w:val="15"/>
          <w:color w:val="auto"/>
        </w:rPr>
        <w:t>$269,000 with a corresponding reduction in the basis of land at one shopping</w:t>
      </w:r>
    </w:p>
    <w:p>
      <w:pPr>
        <w:spacing w:after="0" w:line="237" w:lineRule="auto"/>
        <w:rPr>
          <w:sz w:val="20"/>
          <w:szCs w:val="20"/>
          <w:color w:val="auto"/>
        </w:rPr>
      </w:pPr>
      <w:r>
        <w:rPr>
          <w:rFonts w:ascii="Courier New" w:cs="Courier New" w:eastAsia="Courier New" w:hAnsi="Courier New"/>
          <w:sz w:val="15"/>
          <w:szCs w:val="15"/>
          <w:color w:val="auto"/>
        </w:rPr>
        <w:t>center since the environmental issue there was resolved.</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the provisions of the respective partnership agreements, in the event of the exercise of put options by the other partners, the Trust would be required to purchase the 99% limited partnership interest at Loehmann's Plaza at its then fair market value and a 22.5% interest at Congressional Plaza at its then fair market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NINE MONTHS ENDED SEPTEMBER 30, 1995 AND 1994</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Funds from operations was defined as income before depreciation and amortization and extraordinary items less gains on sale of real estate. The National Association of Real Estate Investment Trusts ("NAREIT") has recently issued a white paper, which has amended the definition as follows: income before depreciation and amortization of real estate assets and before extraordinary items and significant non-recurring events less gains on sale of real estate. The Trust is complying with this new definition and has consequently restated funds from operations for prior periods. Funds from operations does not replace net income as a measure of performance or net cash provided by operating activities as a measure of liquidity. Rather, funds from operations has been adopted to provide a</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consistent measure of operating performance in the industry.</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reconciliation of net income to funds from operations for the nine months ended September 30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420" w:type="dxa"/>
            <w:vAlign w:val="bottom"/>
          </w:tcPr>
          <w:p>
            <w:pPr>
              <w:spacing w:after="0"/>
              <w:rPr>
                <w:sz w:val="14"/>
                <w:szCs w:val="14"/>
                <w:color w:val="auto"/>
              </w:rPr>
            </w:pPr>
          </w:p>
        </w:tc>
        <w:tc>
          <w:tcPr>
            <w:tcW w:w="15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 thousands)</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$17,744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$14,255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Plus:  depreciation and amortization</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of real estate assets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22,853</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19,335</w:t>
            </w: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amortization of initial direct</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costs of leases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1,832</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1,798</w:t>
            </w:r>
          </w:p>
        </w:tc>
      </w:tr>
      <w:tr>
        <w:trPr>
          <w:trHeight w:val="168"/>
        </w:trPr>
        <w:tc>
          <w:tcPr>
            <w:tcW w:w="34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loss on sale and nonrecurring</w:t>
            </w: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4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items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758</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Funds from operations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$42,974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$36,146</w:t>
            </w:r>
          </w:p>
        </w:tc>
      </w:tr>
      <w:tr>
        <w:trPr>
          <w:trHeight w:val="168"/>
        </w:trPr>
        <w:tc>
          <w:tcPr>
            <w:tcW w:w="34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Funds from operations increased 19% to $43.0 million in the first nine months of 1995 from $36.1 million in the first nine months of 1994.</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11% from $94.2 million in the first nine months of 1994 to $104.6 million in the first nine months of 1995. If rental income is adjusted to remove the effect of properties purchased in 1994 and 1995, it increased 4%. Forty-four percent of the increase is from Congressional Plaza, which was renovated and retenanted in 1994. Ellisburg Circle, whose redevelopment was completed in 1994, contributed an additional 17% of the increase.</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Minimum rent increased 13% from $73.8 million in the first nine months of 1994 to $83.5 million in the first nine months of 1995. If properties purchased in 1994 and 1995 are excluded, minimum rent increased $4.6 million or 6.4%. A major component of this increase is contributions from recently renovated centers and from the retenanting of some anchor spaces. Cost recoveries, if adjusted to remove the effect of 1995 and 1994 acquisitions, are down slightly, primarily due to the decrease in snow removal expense and thus the related recovery in 1995 as compared to 1994.</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Other income which includes items which tend to fluctuate from period to period, such as utility reimbursements, telephone income, merchant association dues, lease termination fees, late fees and temporary tenant income, has increased from $4.1 million in 1994 to $5.3 million in 1995 due principally to a commission on telephone services, to lease termination fees and to an unexpected recovery from a bankrupt tenant.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0" w:name="page21"/>
    <w:bookmarkEnd w:id="20"/>
    <w:p>
      <w:pPr>
        <w:ind w:right="3319" w:firstLine="437"/>
        <w:spacing w:after="0" w:line="236" w:lineRule="auto"/>
        <w:rPr>
          <w:sz w:val="20"/>
          <w:szCs w:val="20"/>
          <w:color w:val="auto"/>
        </w:rPr>
      </w:pPr>
      <w:r>
        <w:rPr>
          <w:rFonts w:ascii="Courier New" w:cs="Courier New" w:eastAsia="Courier New" w:hAnsi="Courier New"/>
          <w:sz w:val="15"/>
          <w:szCs w:val="15"/>
          <w:color w:val="auto"/>
        </w:rPr>
        <w:t>Rental expenses have decreased from $27.2 million in the first nine months of 1994 to $25.1 million in the first nine months of 1995, despite the acquisition of new properties in 1994 and 1995. The major decrease is in snow removal expense, but there was also a significant decrease in bad debt expense. Real estate tax expense has increased because of the new properties and because of increased assessments at several centers.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Interest expense has increased from $23.5 million during the first nine months of 1994 to $28.8 million during the comparable period of 1995. Interest expense on the $125 million of senior notes issued January and April 1995 exceeds the interest saved due to the redemption in April 1994 of $39.8 million of the convertible subordinated debentures due 2002. The ratio of earnings to fixed charges was 1.58x for the nine months ended September 30, 1995 and 1.57x for the comparable period in 1994. The ratio of funds from operations to fixed charges was 2.39x and 2.44x for the nine months ended September 30, 1995 and 1994, respectively.</w:t>
      </w:r>
    </w:p>
    <w:p>
      <w:pPr>
        <w:spacing w:after="0" w:line="178"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During the third quarter of 1994 the Trust wrote off a mortgage note receivable and accrued interest on the note, totalling $758,000. The note had been issued in 1982 in connection with the sale by the Trust of a shopping center.</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Depreciation and amortization expense has increased because of the recent acquisitions and because of depreciation on tenant work and recent property improvements.</w:t>
      </w:r>
    </w:p>
    <w:p>
      <w:pPr>
        <w:spacing w:after="0" w:line="174"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On August 1, 1995 the Trust sold North City Plaza for $1.8 million resulting in a loss on sale of $545,000.</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a result of the foregoing items, primarily the increases in minimum rent and other income and the decreases in rental expense, net income rose from $14.3 million in the first nine months of 1994 to $17.7 million in the first nine months of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 - THREE MONTHS ENDED SEPTEMBER 30, 1995 AND 1994</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Funds from operations for the quarter ended September 30, 1995 increased 10% to $14.4 million as compared to $13.1 million in the third quarter of 1994.</w:t>
      </w:r>
    </w:p>
    <w:p>
      <w:pPr>
        <w:spacing w:after="0" w:line="160"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Rental income, which consists of minimum rent, percentage rent and cost recoveries, increased 11% from $32.2 million in the third quarter of 1994 to $35.9 million in the third quarter of 1995. If rental income is adjusted to remove the effect of properties purchased in 1994 and 1995, it increased 3.8%. Fifty-three percent of this increase is from Congressional Plaza, which was renovated and retenanted in 1994. Ellisburg Circle, whose redevelopment was completed in 1994, contributed an additional</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24"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23% of the increase.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Minimum rent increased 11% from $25.5 million in the third quarter of 1994 to</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$28.4 million in the third quarter of 1995. If properties purchased in 1994 and 1995 are excluded, minimum rent increased 4.3%. A major component of this increase is contributions from recently renovated centers and from the retenanting of some spaces. Cost recoveries in the third quarter of 1995 have increased over the third quarter 1994 recoveries due to the 1994 and 1995 property acquisitions.</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Other income has increased from $1.5 million in the third quarter of 1994 to $1.9 million in the third quarter of 1995. The largest components of the increase were lease termination fees and bad debt recovery from a bankrupt tenant.</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Rental expenses have decreased, despite the acquisition of new properties, from the third quarter of 1994 to the third quarter of 1995 due to decreases in bad debt, property payroll and shopping center maintenance costs. Real estate tax expense has increased because of the new acquisitions and because of increased assessments at several centers.</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Interest expense has increased from $7.7 million in the third quarter of 1994 to $10.1 million during the comparable period of 1995, due to interest on the $125 million of senior notes issued in 1995.</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General and administrative expenses are up $402,000 in the third quarter of 1995 as compared to the same quarter of 1994, primarily because of costs related to the Trust's unsuccessful efforts to transact a business combination.</w:t>
      </w:r>
    </w:p>
    <w:p>
      <w:pPr>
        <w:spacing w:after="0" w:line="161"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Depreciation and amortization expense has increased from the third quarter of 1994 to the third quarter of 1995 because of the recent acquisitions and because of depreciation on tenant work and recent property improvements.</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August 1, 1995 the Trust sold North City Shopping Center for a loss of $545,000. Of this loss, $535,000 was recorded during the second quarter of 1995.</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Net income for the third quarter of 1995 was $5.9 million, compared to 1994's $5.0 million, as a result of the foregoing items.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ind w:left="360" w:hanging="350"/>
        <w:spacing w:after="0" w:line="237"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ind w:left="620"/>
        <w:spacing w:after="0" w:line="238" w:lineRule="auto"/>
        <w:rPr>
          <w:sz w:val="20"/>
          <w:szCs w:val="20"/>
          <w:color w:val="auto"/>
        </w:rPr>
      </w:pPr>
      <w:r>
        <w:rPr>
          <w:rFonts w:ascii="Courier New" w:cs="Courier New" w:eastAsia="Courier New" w:hAnsi="Courier New"/>
          <w:sz w:val="15"/>
          <w:szCs w:val="15"/>
          <w:color w:val="auto"/>
        </w:rPr>
        <w:t>(10)(a) Non-Exclusive Brokerage Agreement between</w:t>
      </w:r>
    </w:p>
    <w:p>
      <w:pPr>
        <w:spacing w:after="0" w:line="237" w:lineRule="auto"/>
        <w:rPr>
          <w:sz w:val="20"/>
          <w:szCs w:val="20"/>
          <w:color w:val="auto"/>
        </w:rPr>
      </w:pPr>
      <w:r>
        <w:rPr>
          <w:rFonts w:ascii="Courier New" w:cs="Courier New" w:eastAsia="Courier New" w:hAnsi="Courier New"/>
          <w:sz w:val="15"/>
          <w:szCs w:val="15"/>
          <w:color w:val="auto"/>
        </w:rPr>
        <w:t>Federal Realty Investment Trust and Westport Advisors</w:t>
      </w:r>
    </w:p>
    <w:p>
      <w:pPr>
        <w:spacing w:after="0" w:line="238" w:lineRule="auto"/>
        <w:tabs>
          <w:tab w:leader="none" w:pos="1120" w:val="left"/>
        </w:tabs>
        <w:rPr>
          <w:sz w:val="20"/>
          <w:szCs w:val="20"/>
          <w:color w:val="auto"/>
        </w:rPr>
      </w:pPr>
      <w:r>
        <w:rPr>
          <w:rFonts w:ascii="Courier New" w:cs="Courier New" w:eastAsia="Courier New" w:hAnsi="Courier New"/>
          <w:sz w:val="15"/>
          <w:szCs w:val="15"/>
          <w:color w:val="auto"/>
        </w:rPr>
        <w:t>Corporation</w:t>
        <w:tab/>
        <w:t>and Jack Alan Guttman dated August 20, 1995..P 24-28</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(10)(b) Exclusive Brokerage Agreement between Street</w:t>
      </w:r>
    </w:p>
    <w:p>
      <w:pPr>
        <w:spacing w:after="0" w:line="237" w:lineRule="auto"/>
        <w:rPr>
          <w:sz w:val="20"/>
          <w:szCs w:val="20"/>
          <w:color w:val="auto"/>
        </w:rPr>
      </w:pPr>
      <w:r>
        <w:rPr>
          <w:rFonts w:ascii="Courier New" w:cs="Courier New" w:eastAsia="Courier New" w:hAnsi="Courier New"/>
          <w:sz w:val="15"/>
          <w:szCs w:val="15"/>
          <w:color w:val="auto"/>
        </w:rPr>
        <w:t>Retail, Inc. and Westport Advisors Corporation and</w:t>
      </w:r>
    </w:p>
    <w:p>
      <w:pPr>
        <w:spacing w:after="0" w:line="238" w:lineRule="auto"/>
        <w:rPr>
          <w:sz w:val="20"/>
          <w:szCs w:val="20"/>
          <w:color w:val="auto"/>
        </w:rPr>
      </w:pPr>
      <w:r>
        <w:rPr>
          <w:rFonts w:ascii="Courier New" w:cs="Courier New" w:eastAsia="Courier New" w:hAnsi="Courier New"/>
          <w:sz w:val="15"/>
          <w:szCs w:val="15"/>
          <w:color w:val="auto"/>
        </w:rPr>
        <w:t>Jack Alan Guttman dated August 20, 1995...................P 28-33</w:t>
      </w:r>
    </w:p>
    <w:p>
      <w:pPr>
        <w:spacing w:after="0" w:line="173" w:lineRule="exact"/>
        <w:rPr>
          <w:sz w:val="20"/>
          <w:szCs w:val="20"/>
          <w:color w:val="auto"/>
        </w:rPr>
      </w:pPr>
    </w:p>
    <w:p>
      <w:pPr>
        <w:ind w:right="4979" w:firstLine="612"/>
        <w:spacing w:after="0" w:line="234" w:lineRule="auto"/>
        <w:rPr>
          <w:sz w:val="20"/>
          <w:szCs w:val="20"/>
          <w:color w:val="auto"/>
        </w:rPr>
      </w:pPr>
      <w:r>
        <w:rPr>
          <w:rFonts w:ascii="Courier New" w:cs="Courier New" w:eastAsia="Courier New" w:hAnsi="Courier New"/>
          <w:sz w:val="15"/>
          <w:szCs w:val="15"/>
          <w:color w:val="auto"/>
        </w:rPr>
        <w:t>(27) Financial Data Schedule....................Edgar filing only</w:t>
      </w:r>
    </w:p>
    <w:p>
      <w:pPr>
        <w:spacing w:after="0" w:line="167" w:lineRule="exact"/>
        <w:rPr>
          <w:sz w:val="20"/>
          <w:szCs w:val="20"/>
          <w:color w:val="auto"/>
        </w:rPr>
      </w:pPr>
    </w:p>
    <w:p>
      <w:pPr>
        <w:ind w:left="360" w:hanging="350"/>
        <w:spacing w:after="0"/>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5"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A Form 8-K, filed with the Commission on August 16, 1995, was filed in response to Item 7.(c).</w:t>
      </w:r>
    </w:p>
    <w:p>
      <w:pPr>
        <w:spacing w:after="0" w:line="5"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A Form 8-K, filed with the Commission on September 22, 1995 was filed in response to Item 5.</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ind w:left="560"/>
              <w:spacing w:after="0"/>
              <w:rPr>
                <w:sz w:val="20"/>
                <w:szCs w:val="20"/>
                <w:color w:val="auto"/>
              </w:rPr>
            </w:pPr>
            <w:r>
              <w:rPr>
                <w:rFonts w:ascii="Courier New" w:cs="Courier New" w:eastAsia="Courier New" w:hAnsi="Courier New"/>
                <w:sz w:val="15"/>
                <w:szCs w:val="15"/>
                <w:color w:val="auto"/>
              </w:rPr>
              <w:t>FEDERAL</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w w:val="96"/>
              </w:rPr>
              <w:t>REALTY INVESTMENT TRUST</w:t>
            </w:r>
          </w:p>
        </w:tc>
      </w:tr>
      <w:tr>
        <w:trPr>
          <w:trHeight w:val="168"/>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(Registrant)</w:t>
            </w:r>
          </w:p>
        </w:tc>
      </w:tr>
      <w:tr>
        <w:trPr>
          <w:trHeight w:val="673"/>
        </w:trPr>
        <w:tc>
          <w:tcPr>
            <w:tcW w:w="5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November 13, 1995</w:t>
            </w:r>
          </w:p>
        </w:tc>
        <w:tc>
          <w:tcPr>
            <w:tcW w:w="1220" w:type="dxa"/>
            <w:vAlign w:val="bottom"/>
          </w:tcPr>
          <w:p>
            <w:pPr>
              <w:ind w:left="660"/>
              <w:spacing w:after="0"/>
              <w:rPr>
                <w:sz w:val="20"/>
                <w:szCs w:val="20"/>
                <w:color w:val="auto"/>
              </w:rPr>
            </w:pPr>
            <w:r>
              <w:rPr>
                <w:rFonts w:ascii="Courier New" w:cs="Courier New" w:eastAsia="Courier New" w:hAnsi="Courier New"/>
                <w:sz w:val="15"/>
                <w:szCs w:val="15"/>
                <w:color w:val="auto"/>
                <w:w w:val="99"/>
              </w:rPr>
              <w:t>Steven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J. Guttman</w:t>
            </w:r>
          </w:p>
        </w:tc>
      </w:tr>
      <w:tr>
        <w:trPr>
          <w:trHeight w:val="168"/>
        </w:trPr>
        <w:tc>
          <w:tcPr>
            <w:tcW w:w="54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Steven</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 Guttman, President</w:t>
            </w:r>
          </w:p>
        </w:tc>
      </w:tr>
      <w:tr>
        <w:trPr>
          <w:trHeight w:val="168"/>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(Chief</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Executive Officer)</w:t>
            </w:r>
          </w:p>
        </w:tc>
      </w:tr>
      <w:tr>
        <w:trPr>
          <w:trHeight w:val="505"/>
        </w:trPr>
        <w:tc>
          <w:tcPr>
            <w:tcW w:w="5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40" w:type="dxa"/>
            <w:vAlign w:val="bottom"/>
          </w:tcPr>
          <w:p>
            <w:pPr>
              <w:ind w:left="80"/>
              <w:spacing w:after="0"/>
              <w:rPr>
                <w:sz w:val="20"/>
                <w:szCs w:val="20"/>
                <w:color w:val="auto"/>
              </w:rPr>
            </w:pPr>
            <w:r>
              <w:rPr>
                <w:rFonts w:ascii="Courier New" w:cs="Courier New" w:eastAsia="Courier New" w:hAnsi="Courier New"/>
                <w:sz w:val="15"/>
                <w:szCs w:val="15"/>
                <w:color w:val="auto"/>
              </w:rPr>
              <w:t>November 13, 1995</w:t>
            </w:r>
          </w:p>
        </w:tc>
        <w:tc>
          <w:tcPr>
            <w:tcW w:w="1220" w:type="dxa"/>
            <w:vAlign w:val="bottom"/>
          </w:tcPr>
          <w:p>
            <w:pPr>
              <w:ind w:left="660"/>
              <w:spacing w:after="0"/>
              <w:rPr>
                <w:sz w:val="20"/>
                <w:szCs w:val="20"/>
                <w:color w:val="auto"/>
              </w:rPr>
            </w:pPr>
            <w:r>
              <w:rPr>
                <w:rFonts w:ascii="Courier New" w:cs="Courier New" w:eastAsia="Courier New" w:hAnsi="Courier New"/>
                <w:sz w:val="15"/>
                <w:szCs w:val="15"/>
                <w:color w:val="auto"/>
                <w:w w:val="99"/>
              </w:rPr>
              <w:t>Cecily</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A. Ward</w:t>
            </w:r>
          </w:p>
        </w:tc>
      </w:tr>
      <w:tr>
        <w:trPr>
          <w:trHeight w:val="168"/>
        </w:trPr>
        <w:tc>
          <w:tcPr>
            <w:tcW w:w="540" w:type="dxa"/>
            <w:vAlign w:val="bottom"/>
          </w:tcPr>
          <w:p>
            <w:pPr>
              <w:spacing w:after="0"/>
              <w:rPr>
                <w:sz w:val="14"/>
                <w:szCs w:val="14"/>
                <w:color w:val="auto"/>
              </w:rPr>
            </w:pP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w w:val="99"/>
              </w:rPr>
              <w:t>Cecily</w:t>
            </w:r>
          </w:p>
        </w:tc>
        <w:tc>
          <w:tcPr>
            <w:tcW w:w="2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 Ward</w:t>
            </w:r>
          </w:p>
        </w:tc>
      </w:tr>
      <w:tr>
        <w:trPr>
          <w:trHeight w:val="168"/>
        </w:trPr>
        <w:tc>
          <w:tcPr>
            <w:tcW w:w="5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8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w w:val="96"/>
              </w:rPr>
              <w:t>(Principal Accounting Officer)</w:t>
            </w:r>
          </w:p>
        </w:tc>
      </w:tr>
      <w:tr>
        <w:trPr>
          <w:trHeight w:val="336"/>
        </w:trPr>
        <w:tc>
          <w:tcPr>
            <w:tcW w:w="5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20" w:type="dxa"/>
            <w:vAlign w:val="bottom"/>
          </w:tcPr>
          <w:p>
            <w:pPr>
              <w:ind w:left="660"/>
              <w:spacing w:after="0"/>
              <w:rPr>
                <w:sz w:val="20"/>
                <w:szCs w:val="20"/>
                <w:color w:val="auto"/>
              </w:rPr>
            </w:pPr>
            <w:r>
              <w:rPr>
                <w:rFonts w:ascii="Courier New" w:cs="Courier New" w:eastAsia="Courier New" w:hAnsi="Courier New"/>
                <w:sz w:val="15"/>
                <w:szCs w:val="15"/>
                <w:color w:val="auto"/>
              </w:rPr>
              <w:t>23</w:t>
            </w:r>
          </w:p>
        </w:tc>
        <w:tc>
          <w:tcPr>
            <w:tcW w:w="20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3" w:name="page24"/>
    <w:bookmarkEnd w:id="23"/>
    <w:p>
      <w:pPr>
        <w:jc w:val="right"/>
        <w:ind w:right="3239"/>
        <w:spacing w:after="0"/>
        <w:rPr>
          <w:sz w:val="20"/>
          <w:szCs w:val="20"/>
          <w:color w:val="auto"/>
        </w:rPr>
      </w:pPr>
      <w:r>
        <w:rPr>
          <w:rFonts w:ascii="Courier New" w:cs="Courier New" w:eastAsia="Courier New" w:hAnsi="Courier New"/>
          <w:sz w:val="15"/>
          <w:szCs w:val="15"/>
          <w:color w:val="auto"/>
        </w:rPr>
        <w:t>Exhibit 10(a)</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NON-EXCLUSIVE BROKERAGE AGREEMENT</w:t>
      </w:r>
    </w:p>
    <w:p>
      <w:pPr>
        <w:ind w:left="202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is made and entered into on this 20th day of August, 1995 by and</w:t>
      </w:r>
    </w:p>
    <w:p>
      <w:pPr>
        <w:spacing w:after="0" w:line="3" w:lineRule="exact"/>
        <w:rPr>
          <w:sz w:val="20"/>
          <w:szCs w:val="20"/>
          <w:color w:val="auto"/>
        </w:rPr>
      </w:pPr>
    </w:p>
    <w:p>
      <w:pPr>
        <w:ind w:left="4200"/>
        <w:spacing w:after="0"/>
        <w:tabs>
          <w:tab w:leader="none" w:pos="5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between Federal Realty Investment Trust, an unincorporated business trust organized under the laws of the District of Columbia ("Client") and Westport Advisors Corporation and Jack Alan Guttman (collectively, "Broker").</w:t>
      </w:r>
    </w:p>
    <w:p>
      <w:pPr>
        <w:spacing w:after="0" w:line="16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 consideration of the mutual covenants set forth in this Agreement, the parties agree as follows:</w:t>
      </w:r>
    </w:p>
    <w:p>
      <w:pPr>
        <w:spacing w:after="0" w:line="173" w:lineRule="exact"/>
        <w:rPr>
          <w:sz w:val="20"/>
          <w:szCs w:val="20"/>
          <w:color w:val="auto"/>
        </w:rPr>
      </w:pPr>
    </w:p>
    <w:p>
      <w:pPr>
        <w:ind w:right="3319" w:firstLine="10"/>
        <w:spacing w:after="0" w:line="236" w:lineRule="auto"/>
        <w:tabs>
          <w:tab w:leader="none" w:pos="43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replaces the Exclusive Brokerage Agreement by and between Client and Broker dated February 6, 1995 ("Prior Agreement") in its entirety. As of August 21, 1995, the Prior Agreement is terminated and its terms and provisions, including Section 5, but excluding Section 6, thereof, are null and void.</w:t>
      </w:r>
    </w:p>
    <w:p>
      <w:pPr>
        <w:spacing w:after="0" w:line="173" w:lineRule="exact"/>
        <w:rPr>
          <w:rFonts w:ascii="Courier New" w:cs="Courier New" w:eastAsia="Courier New" w:hAnsi="Courier New"/>
          <w:sz w:val="15"/>
          <w:szCs w:val="15"/>
          <w:color w:val="auto"/>
        </w:rPr>
      </w:pPr>
    </w:p>
    <w:p>
      <w:pPr>
        <w:ind w:right="3239" w:firstLine="10"/>
        <w:spacing w:after="0" w:line="254" w:lineRule="auto"/>
        <w:tabs>
          <w:tab w:leader="none" w:pos="4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hereby appoints Broker as its non-exclusive real estate broker for the purchase of strip shopping centers in New York, Connecticut and Massachusetts. Broker shall perform the duties of a real estate broker; specifically, Broker shall conduct searches for properties which fit the criteria established by Client and assist Client with all aspects of the due diligence process in order to enable Client to evaluate the desirability and feasibility of acquiring such properties or any interest therein; such assistance shall include collecting and providing Client with market information such as demographics, information on competing centers, comparable rentals and sales and assistance in the appraisal and underwriting of the properties.</w:t>
      </w:r>
    </w:p>
    <w:p>
      <w:pPr>
        <w:spacing w:after="0" w:line="3" w:lineRule="exact"/>
        <w:rPr>
          <w:rFonts w:ascii="Courier New" w:cs="Courier New" w:eastAsia="Courier New" w:hAnsi="Courier New"/>
          <w:sz w:val="14"/>
          <w:szCs w:val="14"/>
          <w:color w:val="auto"/>
        </w:rPr>
      </w:pPr>
    </w:p>
    <w:p>
      <w:pPr>
        <w:ind w:right="3239"/>
        <w:spacing w:after="0" w:line="256"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Client shall have a right of first refusal, which refusal must be in writing, on all strip shopping center properties identified or located by Broker before Broker can identify, offer or show such properties to any other potential purchaser. Client must respond within a three (3) week or twenty-one (21) days.</w:t>
      </w:r>
    </w:p>
    <w:p>
      <w:pPr>
        <w:spacing w:after="0" w:line="157"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represents and warrants that:</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will act in accordance with the highest professional standards and in compliance with all applicable laws, regulations, codes, ordinances and orders;</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obligations, commitments, or impediments of any kind that will limit or prevent the Broker's performance of its services and obligations pursuant to this Agreement;</w:t>
      </w:r>
    </w:p>
    <w:p>
      <w:pPr>
        <w:spacing w:after="0" w:line="173" w:lineRule="exact"/>
        <w:rPr>
          <w:rFonts w:ascii="Courier New" w:cs="Courier New" w:eastAsia="Courier New" w:hAnsi="Courier New"/>
          <w:sz w:val="15"/>
          <w:szCs w:val="15"/>
          <w:color w:val="auto"/>
        </w:rPr>
      </w:pPr>
    </w:p>
    <w:p>
      <w:pPr>
        <w:ind w:left="880" w:right="4199" w:hanging="433"/>
        <w:spacing w:after="0" w:line="234"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Broker is duly licensed as a real estate broker in each jurisdiction where such licensure is required;</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will perform its services in a professional manner and in the most expeditious and economical manner consistent with the interest of Client.</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is an independent contractor and not an employee of Client.</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solely represents Client in any transaction pursuant to this Agreement and must disclose Broker's sole representation of Client to all third parties contacted in connection with this Agreement.</w:t>
      </w:r>
    </w:p>
    <w:p>
      <w:pPr>
        <w:spacing w:after="0" w:line="173" w:lineRule="exact"/>
        <w:rPr>
          <w:rFonts w:ascii="Courier New" w:cs="Courier New" w:eastAsia="Courier New" w:hAnsi="Courier New"/>
          <w:sz w:val="15"/>
          <w:szCs w:val="15"/>
          <w:color w:val="auto"/>
        </w:rPr>
      </w:pPr>
    </w:p>
    <w:p>
      <w:pPr>
        <w:ind w:left="880" w:right="3499" w:hanging="433"/>
        <w:spacing w:after="0" w:line="236"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shall NOT disclose to any prospective seller or anyone else information obtained within the confidentiality and trust of the fiduciary relationship with Client, nor disclose to the prospective seller or anyone else information similarly obtained from Client without the consent of Client.</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shall NOT receive any fees, commissions or other remuneration other than the Commission (as hereinafter defined) from any seller, broker or any other source in connection with any property purchased by Client pursuant to this Agreement</w:t>
      </w:r>
    </w:p>
    <w:p>
      <w:pPr>
        <w:spacing w:after="0" w:line="175" w:lineRule="exact"/>
        <w:rPr>
          <w:rFonts w:ascii="Courier New" w:cs="Courier New" w:eastAsia="Courier New" w:hAnsi="Courier New"/>
          <w:sz w:val="15"/>
          <w:szCs w:val="15"/>
          <w:color w:val="auto"/>
        </w:rPr>
      </w:pPr>
    </w:p>
    <w:p>
      <w:pPr>
        <w:ind w:right="3239" w:firstLine="10"/>
        <w:spacing w:after="0" w:line="256" w:lineRule="auto"/>
        <w:tabs>
          <w:tab w:leader="none" w:pos="43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Broker's authority is limited to performing the services in accordance with the terms of this Agreement. Broker does not have any authority to enter into or execute any agreement for or on behalf of Client. No written proposals, offers or other information concerning Client shall be distributed without Client's prior written consent, which may be withheld in Client's sole and</w:t>
      </w:r>
    </w:p>
    <w:p>
      <w:pPr>
        <w:sectPr>
          <w:pgSz w:w="11900" w:h="16838" w:orient="portrait"/>
          <w:cols w:equalWidth="0" w:num="1">
            <w:col w:w="10239"/>
          </w:cols>
          <w:pgMar w:left="220" w:top="303"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Non-Exclusive Advisory Agreement</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absolute discretion. Client shall have the right to specify Broker's degree of involvement, if any, with respect to any negotiation of any contract of sale ("Contract of Sale"). Broker acknowledges that entering into a Contract of Sale involves negotiation of complex provisions and issues, including business, tax and operational issues and liabilities relating to a property, and that Client, therefore, expressly reserves the right to reject any and all proposals for a Contract of Sale and to approve any and all terms and conditions of any proposed Contract of Sale as Client sees fit, in Client's sole and absolute discretion.</w:t>
      </w:r>
    </w:p>
    <w:p>
      <w:pPr>
        <w:spacing w:after="0" w:line="166" w:lineRule="exact"/>
        <w:rPr>
          <w:sz w:val="20"/>
          <w:szCs w:val="20"/>
          <w:color w:val="auto"/>
        </w:rPr>
      </w:pPr>
    </w:p>
    <w:p>
      <w:pPr>
        <w:ind w:right="3319" w:firstLine="10"/>
        <w:spacing w:after="0" w:line="235" w:lineRule="auto"/>
        <w:tabs>
          <w:tab w:leader="none" w:pos="43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this Agreement ("Term") shall commence on August 21, 1995 and end at midnight on August 21, 1996, unless sooner terminated in accordance with the provisions of this Agreement.</w:t>
      </w:r>
    </w:p>
    <w:p>
      <w:pPr>
        <w:spacing w:after="0" w:line="173" w:lineRule="exact"/>
        <w:rPr>
          <w:rFonts w:ascii="Courier New" w:cs="Courier New" w:eastAsia="Courier New" w:hAnsi="Courier New"/>
          <w:sz w:val="15"/>
          <w:szCs w:val="15"/>
          <w:color w:val="auto"/>
        </w:rPr>
      </w:pPr>
    </w:p>
    <w:p>
      <w:pPr>
        <w:ind w:right="3499" w:firstLine="10"/>
        <w:spacing w:after="0" w:line="255" w:lineRule="auto"/>
        <w:tabs>
          <w:tab w:leader="none" w:pos="43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shall pay Broker a commission (the "Commission") equal to .75% (three-quarters of one-percent) of the aggregate gross sales price of the properties acquired subject to this Agreement (hereinafter, the "Property"). Notwithstanding the foregoing, in no event shall Broker receive more than two hundred twenty-five thousand dollars ($225,000.00) total commission in connection with any single real estate transaction. In no event shall Broker ever receive any fees, commissions, or other remuneration from any seller, broker or other person or entity in connection with properties purchased by Client pursuant to this Agreement. Notwithstanding anything to the contrary contained in this Agreement, the following shall be conditions precedent to Client's obligation to pay the Commission:</w:t>
      </w:r>
    </w:p>
    <w:p>
      <w:pPr>
        <w:spacing w:after="0" w:line="164"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Client and seller of a Contract of Sale for one or more Properties acceptable in form and substance to Client, in Client's sole and absolute discretion; and</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closing of the sale, including Client's payment of all monies due at closing, and transfer of title, or other evidence of ownership, to Client.</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Failure of either of these conditions shall preclude any claim for a Commission by Broker.</w:t>
      </w:r>
    </w:p>
    <w:p>
      <w:pPr>
        <w:spacing w:after="0" w:line="173"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Except following the occurrence of an Event of Default as described in Section 10, it is further understood that the Commission shall be paid to Broker if,</w:t>
      </w:r>
    </w:p>
    <w:p>
      <w:pPr>
        <w:spacing w:after="0" w:line="1" w:lineRule="exact"/>
        <w:rPr>
          <w:sz w:val="20"/>
          <w:szCs w:val="20"/>
          <w:color w:val="auto"/>
        </w:rPr>
      </w:pPr>
    </w:p>
    <w:p>
      <w:pPr>
        <w:ind w:right="3239" w:firstLine="10"/>
        <w:spacing w:after="0" w:line="237" w:lineRule="auto"/>
        <w:tabs>
          <w:tab w:leader="none" w:pos="3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One Hundred Eighty (180) days after the expiration or termination of the Term, Client enters into a Contract of Sale for one or more Properties presented by Broker during the Term and named in a written list delivered to Client by Broker within fifteen (15) days following the expiration of the Term or the termination of this Agreement, (ii) such purchase is ultimately consummated, and (iii) the two conditions precedent to Client's obligation to pay the Commission, as set forth above, have been met. Broker's Commission shall be the sole compensation paid to Broker and Broker shall not be entitled to reimbursement for any expenses or any other sums Broker incurs related to or involving the performance of the services. The Commission shall be paid to Broker at closing and Client hereby authorizes the attorney or title company conducting the closing to disburse the Commission to Broker at such closing. The Commission shall be payable if the transfer or sale is structured as a cash sale, like-kind exchange, partial sale, joint venture, newly formed partnership or transfer of stock.</w:t>
      </w:r>
    </w:p>
    <w:p>
      <w:pPr>
        <w:spacing w:after="0" w:line="174" w:lineRule="exact"/>
        <w:rPr>
          <w:sz w:val="20"/>
          <w:szCs w:val="20"/>
          <w:color w:val="auto"/>
        </w:rPr>
      </w:pPr>
    </w:p>
    <w:p>
      <w:pPr>
        <w:ind w:right="3239" w:firstLine="10"/>
        <w:spacing w:after="0" w:line="237" w:lineRule="auto"/>
        <w:tabs>
          <w:tab w:leader="none" w:pos="43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Client be responsible to pay any persons or entities, other than Broker, any commissions or other remunerations of any kind in connection with this Agreement or by virtue of their association with Broker. Further, Client shall not be obligated to see to the application of the Commission, if any, due under this Agreement or the payment of any other remuneration for the benefit of any persons or entities other than Broker, and no other persons or entity shall be a third party beneficiary of this Agreement. Broker shall be solely responsible for the direct payment of any commissions or other remuneration of any kind due to other persons or entities claiming entitlement to a share of the Commission or any other remuneration under this Agreement or by virtue of their association with Broker. Broker hereby agrees to indemnify and hold Client harmless from and against any and all claims, demands, obligations, liabilities, losses and damages (including, without limitation, attorney's fees of counsel selected by Client) arising directly or indirectly out of or in connection with any claim for commissions or other remuneration of any kind for any person or entity claiming by, through or under Broker or</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Non-Exclusive Advisory Agreement</w:t>
      </w:r>
    </w:p>
    <w:p>
      <w:pPr>
        <w:spacing w:after="0" w:line="237" w:lineRule="auto"/>
        <w:rPr>
          <w:sz w:val="20"/>
          <w:szCs w:val="20"/>
          <w:color w:val="auto"/>
        </w:rPr>
      </w:pPr>
      <w:r>
        <w:rPr>
          <w:rFonts w:ascii="Courier New" w:cs="Courier New" w:eastAsia="Courier New" w:hAnsi="Courier New"/>
          <w:sz w:val="15"/>
          <w:szCs w:val="15"/>
          <w:color w:val="auto"/>
        </w:rPr>
        <w:t>Page 3</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relating in any way to this Agreement, or Broker's actions or failure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 act pursuant to this Agreement; it being understood and agreed that Client's liability hereunder shall be limited to the payment to Broker of the Commission, if any, owed under the Agreement. In the event any claims, demands, obligations, liabilities, losses and/or damages arise in connection with any claim for commissions, fees or other remuneration, Client may, in its sole and absolute discretion, withhold Commissions otherwise payable to Broker pending final resolution and may offset against such Commissions any such claims, demands obligations, liabilities, losses and or damages. This provision shall survive any termination of this Agreement.</w:t>
      </w:r>
    </w:p>
    <w:p>
      <w:pPr>
        <w:spacing w:after="0" w:line="178" w:lineRule="exact"/>
        <w:rPr>
          <w:sz w:val="20"/>
          <w:szCs w:val="20"/>
          <w:color w:val="auto"/>
        </w:rPr>
      </w:pPr>
    </w:p>
    <w:p>
      <w:pPr>
        <w:ind w:right="3319" w:firstLine="10"/>
        <w:spacing w:after="0" w:line="235"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shall obtain, pay for and keep in force at all times during the performance of work pursuant to this Agreement, the following insurance coverages placed with insurance companies having an A.M. Best rating of A VI or better: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General Liability Insurance, with a limit of not less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one million dollars ($1,000,000) per occurrence, or Commercial General Liability</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Insurance with limits of not less than one million dollars ($1,000,000) per occurrence and two million dollars ($2,000,000) aggregate. Client shall be added as an additional insured. The policy shall provide such additional insured with a thirty (30) day notice of cancellation, non-renewal or material change. Any certificates of insurance furnished in accordance with this Agreement shall specify who has been added as an additional insured and shall state that the policy has been amended to provide the thirty (30) day advance notice.</w:t>
      </w:r>
    </w:p>
    <w:p>
      <w:pPr>
        <w:spacing w:after="0" w:line="177"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Professional Liability Insurance with a limit of not less than one million dollars ($1,000,000).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Contractor may meet the limits of liability indicated by means of the use of an umbrella liability policy. Any general liability policy must be written on an occurrence basis. Owner shall be furnished with certificates evidencing that all such insurance specified herein is in force prior to commencement of services provided pursuant to this Agreement.</w:t>
      </w:r>
    </w:p>
    <w:p>
      <w:pPr>
        <w:spacing w:after="0" w:line="174" w:lineRule="exact"/>
        <w:rPr>
          <w:sz w:val="20"/>
          <w:szCs w:val="20"/>
          <w:color w:val="auto"/>
        </w:rPr>
      </w:pPr>
    </w:p>
    <w:p>
      <w:pPr>
        <w:ind w:right="3319" w:firstLine="10"/>
        <w:spacing w:after="0" w:line="236"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either party upon thirty (30) days' written notice. In the event of termination by either party, Broker shall be entitled to receive only that Commission which it has earned pursuant to and in accordance with Section 6 of this Agreement and Client shall have no further obligations or liabilities hereunder.</w:t>
      </w:r>
    </w:p>
    <w:p>
      <w:pPr>
        <w:spacing w:after="0" w:line="173" w:lineRule="exact"/>
        <w:rPr>
          <w:rFonts w:ascii="Courier New" w:cs="Courier New" w:eastAsia="Courier New" w:hAnsi="Courier New"/>
          <w:sz w:val="15"/>
          <w:szCs w:val="15"/>
          <w:color w:val="auto"/>
        </w:rPr>
      </w:pPr>
    </w:p>
    <w:p>
      <w:pPr>
        <w:ind w:right="3239" w:firstLine="10"/>
        <w:spacing w:after="0" w:line="237"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failure or refusal to perform or observe any obligation, covenant, or condition of this Agreement shall constitute an Event of Default. Should an Event of Default occur, Client may, at its option, terminate this Agreement without affecting any other remedy which it may have at law or in equity. Such termination shall be effective immediately upon Broker's receipt of written notice from Client. In such event, Broker shall be entitled to receive only that Commission which it has already earned pursuant to and in accordance with Section 6 of this Agreement, less any and all damages, losses, claims, costs and expenses incurred or suffered by Client as a result of Broker's failure or refusal to perform and Client shall have no further obligations or liabilities hereunder. Broker will not be entitled to receive any Commissions on properties that are purchased by Client, unless the purchase agreement is fully executed before the date of occurrence of an Event of Default and the conditions precedent to the Client's obligation to pay a Commission set forth in Section 6 have been met.</w:t>
      </w:r>
    </w:p>
    <w:p>
      <w:pPr>
        <w:spacing w:after="0" w:line="174" w:lineRule="exact"/>
        <w:rPr>
          <w:rFonts w:ascii="Courier New" w:cs="Courier New" w:eastAsia="Courier New" w:hAnsi="Courier New"/>
          <w:sz w:val="15"/>
          <w:szCs w:val="15"/>
          <w:color w:val="auto"/>
        </w:rPr>
      </w:pPr>
    </w:p>
    <w:p>
      <w:pPr>
        <w:ind w:right="3239" w:firstLine="10"/>
        <w:spacing w:after="0" w:line="255" w:lineRule="auto"/>
        <w:tabs>
          <w:tab w:leader="none" w:pos="437"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 "Federal Realty Investment Trust", refers to the Trustees, as trustees, but not individually or personally, under a Third Amended and Restated Declaration of Trust on file in the office of the Recorder of Deeds of the District of Columbia, which Declaration provides that neither the shareholders nor the Trustees, nor any officer, employee, representative or agent of Federal Realty Investment Trust shall be personally liable for the satisfaction of obligations of any nature whatsoever of Federal Realty Investment Trust. Accordingly, and in addition to the other limitations on liability set forth herein, Broker hereby agrees to look solely to Federal Realty Investment Trust's trust property for the satisfaction of any claim arising from this Agreement and shall not seek to impose personal liability on any shareholder, Trustee, officer, employee, representative or agent of Federal Realty Investment Trust. A similar limitation on liability shall be inserted in each document executed by Federal Realty Investment Trust (if any) pursuant to this Agreement.</w:t>
      </w:r>
    </w:p>
    <w:p>
      <w:pPr>
        <w:sectPr>
          <w:pgSz w:w="11900" w:h="16838" w:orient="portrait"/>
          <w:cols w:equalWidth="0" w:num="1">
            <w:col w:w="10239"/>
          </w:cols>
          <w:pgMar w:left="220" w:top="6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Non-Exclusive Advisory Agreement</w:t>
      </w:r>
    </w:p>
    <w:p>
      <w:pPr>
        <w:spacing w:after="0" w:line="237" w:lineRule="auto"/>
        <w:rPr>
          <w:sz w:val="20"/>
          <w:szCs w:val="20"/>
          <w:color w:val="auto"/>
        </w:rPr>
      </w:pPr>
      <w:r>
        <w:rPr>
          <w:rFonts w:ascii="Courier New" w:cs="Courier New" w:eastAsia="Courier New" w:hAnsi="Courier New"/>
          <w:sz w:val="15"/>
          <w:szCs w:val="15"/>
          <w:color w:val="auto"/>
        </w:rPr>
        <w:t>Page 4</w:t>
      </w:r>
    </w:p>
    <w:p>
      <w:pPr>
        <w:spacing w:after="0" w:line="342" w:lineRule="exact"/>
        <w:rPr>
          <w:sz w:val="20"/>
          <w:szCs w:val="20"/>
          <w:color w:val="auto"/>
        </w:rPr>
      </w:pPr>
    </w:p>
    <w:p>
      <w:pPr>
        <w:ind w:right="3239" w:firstLine="10"/>
        <w:spacing w:after="0" w:line="237" w:lineRule="auto"/>
        <w:tabs>
          <w:tab w:leader="none" w:pos="43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demand, request, approval consent or notice ("Notice") shall or may be given by one party to the other, Notice shall be addressed to the parties at their respective addresses as set forth below and delivered by (i) hand, (ii) facsimile, (iii) a nationally recognized overnight express courier, or (iv) registered or certified mail return receipt requested. The date of actual receipt shall be deemed the date of service of Notice. In the event an addressee refuses to accept delivery, however, then Notice shall be deemed to have been served on either (i) the date hand delivery is refused, (ii) the next business day in the case of delivery by overnight courier, or (iii) three (3) business days after mailing the notice in the case of registered or certified mail. Either party may, at any time, change its Notice address by giving the other party Notice, in accordance with the above, stating the change and setting forth the new address.</w:t>
      </w:r>
    </w:p>
    <w:p>
      <w:pPr>
        <w:spacing w:after="0" w:line="167"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Client:</w:t>
        <w:tab/>
        <w:t>Robert S. Wennett</w:t>
      </w:r>
    </w:p>
    <w:p>
      <w:pPr>
        <w:ind w:left="1320"/>
        <w:spacing w:after="0" w:line="237" w:lineRule="auto"/>
        <w:rPr>
          <w:sz w:val="20"/>
          <w:szCs w:val="20"/>
          <w:color w:val="auto"/>
        </w:rPr>
      </w:pPr>
      <w:r>
        <w:rPr>
          <w:rFonts w:ascii="Courier New" w:cs="Courier New" w:eastAsia="Courier New" w:hAnsi="Courier New"/>
          <w:sz w:val="15"/>
          <w:szCs w:val="15"/>
          <w:color w:val="auto"/>
        </w:rPr>
        <w:t>Senior Vice President, Acquisitions</w:t>
      </w:r>
    </w:p>
    <w:p>
      <w:pPr>
        <w:ind w:left="1320"/>
        <w:spacing w:after="0" w:line="238" w:lineRule="auto"/>
        <w:rPr>
          <w:sz w:val="20"/>
          <w:szCs w:val="20"/>
          <w:color w:val="auto"/>
        </w:rPr>
      </w:pPr>
      <w:r>
        <w:rPr>
          <w:rFonts w:ascii="Courier New" w:cs="Courier New" w:eastAsia="Courier New" w:hAnsi="Courier New"/>
          <w:sz w:val="15"/>
          <w:szCs w:val="15"/>
          <w:color w:val="auto"/>
        </w:rPr>
        <w:t>Federal Realty Investment Trust</w:t>
      </w:r>
    </w:p>
    <w:p>
      <w:pPr>
        <w:ind w:left="1320"/>
        <w:spacing w:after="0" w:line="237" w:lineRule="auto"/>
        <w:rPr>
          <w:sz w:val="20"/>
          <w:szCs w:val="20"/>
          <w:color w:val="auto"/>
        </w:rPr>
      </w:pPr>
      <w:r>
        <w:rPr>
          <w:rFonts w:ascii="Courier New" w:cs="Courier New" w:eastAsia="Courier New" w:hAnsi="Courier New"/>
          <w:sz w:val="15"/>
          <w:szCs w:val="15"/>
          <w:color w:val="auto"/>
        </w:rPr>
        <w:t>4800 Hampden Lane, Suite 500</w:t>
      </w:r>
    </w:p>
    <w:p>
      <w:pPr>
        <w:ind w:left="1320"/>
        <w:spacing w:after="0" w:line="238" w:lineRule="auto"/>
        <w:rPr>
          <w:sz w:val="20"/>
          <w:szCs w:val="20"/>
          <w:color w:val="auto"/>
        </w:rPr>
      </w:pPr>
      <w:r>
        <w:rPr>
          <w:rFonts w:ascii="Courier New" w:cs="Courier New" w:eastAsia="Courier New" w:hAnsi="Courier New"/>
          <w:sz w:val="15"/>
          <w:szCs w:val="15"/>
          <w:color w:val="auto"/>
        </w:rPr>
        <w:t>Bethesda, Maryland 20814</w:t>
      </w:r>
    </w:p>
    <w:p>
      <w:pPr>
        <w:spacing w:after="0" w:line="167" w:lineRule="exact"/>
        <w:rPr>
          <w:sz w:val="20"/>
          <w:szCs w:val="20"/>
          <w:color w:val="auto"/>
        </w:rPr>
      </w:pPr>
    </w:p>
    <w:p>
      <w:pPr>
        <w:ind w:left="440"/>
        <w:spacing w:after="0"/>
        <w:tabs>
          <w:tab w:leader="none" w:pos="1300" w:val="left"/>
        </w:tabs>
        <w:rPr>
          <w:sz w:val="20"/>
          <w:szCs w:val="20"/>
          <w:color w:val="auto"/>
        </w:rPr>
      </w:pPr>
      <w:r>
        <w:rPr>
          <w:rFonts w:ascii="Courier New" w:cs="Courier New" w:eastAsia="Courier New" w:hAnsi="Courier New"/>
          <w:sz w:val="15"/>
          <w:szCs w:val="15"/>
          <w:color w:val="auto"/>
        </w:rPr>
        <w:t>Broker:</w:t>
        <w:tab/>
        <w:t>Westport Advisors Corporation</w:t>
      </w:r>
    </w:p>
    <w:p>
      <w:pPr>
        <w:ind w:left="1320"/>
        <w:spacing w:after="0" w:line="237" w:lineRule="auto"/>
        <w:rPr>
          <w:sz w:val="20"/>
          <w:szCs w:val="20"/>
          <w:color w:val="auto"/>
        </w:rPr>
      </w:pPr>
      <w:r>
        <w:rPr>
          <w:rFonts w:ascii="Courier New" w:cs="Courier New" w:eastAsia="Courier New" w:hAnsi="Courier New"/>
          <w:sz w:val="15"/>
          <w:szCs w:val="15"/>
          <w:color w:val="auto"/>
        </w:rPr>
        <w:t>25 Sylvan Road South, Building F</w:t>
      </w:r>
    </w:p>
    <w:p>
      <w:pPr>
        <w:ind w:left="1320"/>
        <w:spacing w:after="0" w:line="238" w:lineRule="auto"/>
        <w:rPr>
          <w:sz w:val="20"/>
          <w:szCs w:val="20"/>
          <w:color w:val="auto"/>
        </w:rPr>
      </w:pPr>
      <w:r>
        <w:rPr>
          <w:rFonts w:ascii="Courier New" w:cs="Courier New" w:eastAsia="Courier New" w:hAnsi="Courier New"/>
          <w:sz w:val="15"/>
          <w:szCs w:val="15"/>
          <w:color w:val="auto"/>
        </w:rPr>
        <w:t>Westport, Connecticut 06880</w:t>
      </w:r>
    </w:p>
    <w:p>
      <w:pPr>
        <w:spacing w:after="0" w:line="335" w:lineRule="exact"/>
        <w:rPr>
          <w:sz w:val="20"/>
          <w:szCs w:val="20"/>
          <w:color w:val="auto"/>
        </w:rPr>
      </w:pPr>
    </w:p>
    <w:p>
      <w:pPr>
        <w:ind w:left="1320"/>
        <w:spacing w:after="0"/>
        <w:tabs>
          <w:tab w:leader="none" w:pos="1920" w:val="left"/>
        </w:tabs>
        <w:rPr>
          <w:sz w:val="20"/>
          <w:szCs w:val="20"/>
          <w:color w:val="auto"/>
        </w:rPr>
      </w:pPr>
      <w:r>
        <w:rPr>
          <w:rFonts w:ascii="Courier New" w:cs="Courier New" w:eastAsia="Courier New" w:hAnsi="Courier New"/>
          <w:sz w:val="15"/>
          <w:szCs w:val="15"/>
          <w:color w:val="auto"/>
        </w:rPr>
        <w:t>Attn:</w:t>
      </w:r>
      <w:r>
        <w:rPr>
          <w:sz w:val="20"/>
          <w:szCs w:val="20"/>
          <w:color w:val="auto"/>
        </w:rPr>
        <w:tab/>
      </w:r>
      <w:r>
        <w:rPr>
          <w:rFonts w:ascii="Courier New" w:cs="Courier New" w:eastAsia="Courier New" w:hAnsi="Courier New"/>
          <w:sz w:val="14"/>
          <w:szCs w:val="14"/>
          <w:color w:val="auto"/>
        </w:rPr>
        <w:t>Jack Alan Guttman</w:t>
      </w:r>
    </w:p>
    <w:p>
      <w:pPr>
        <w:spacing w:after="0" w:line="341" w:lineRule="exact"/>
        <w:rPr>
          <w:sz w:val="20"/>
          <w:szCs w:val="20"/>
          <w:color w:val="auto"/>
        </w:rPr>
      </w:pPr>
    </w:p>
    <w:p>
      <w:pPr>
        <w:ind w:right="3239" w:firstLine="10"/>
        <w:spacing w:after="0" w:line="236"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contains the entire agreement between Client and Broker, it supersedes any prior agreements or understandings and no oral statements or prior written matter not specifically incorporated in this Agreement shall be of any force and effect. No variation, modification, or changes of this Agreement shall be binding on either party to the Agreement unless set forth in a document executed by these parties or a duly authorized agent, officer, or representative hereof.</w:t>
      </w:r>
    </w:p>
    <w:p>
      <w:pPr>
        <w:spacing w:after="0" w:line="175" w:lineRule="exact"/>
        <w:rPr>
          <w:rFonts w:ascii="Courier New" w:cs="Courier New" w:eastAsia="Courier New" w:hAnsi="Courier New"/>
          <w:sz w:val="15"/>
          <w:szCs w:val="15"/>
          <w:color w:val="auto"/>
        </w:rPr>
      </w:pPr>
    </w:p>
    <w:p>
      <w:pPr>
        <w:ind w:right="339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Client nor Broker shall file or record any instrument or document relative to this Agreement in any public records except as may be required by the federal securities laws.</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The amount or rate of real estate commissions is not fixed by law. They are set by each Broker individually and may be negotiable between the Client and the Broker.</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subject to Section 46a-64 of the Connecticut</w:t>
      </w:r>
    </w:p>
    <w:p>
      <w:pPr>
        <w:spacing w:after="0" w:line="4" w:lineRule="exact"/>
        <w:rPr>
          <w:rFonts w:ascii="Courier New" w:cs="Courier New" w:eastAsia="Courier New" w:hAnsi="Courier New"/>
          <w:sz w:val="15"/>
          <w:szCs w:val="15"/>
          <w:color w:val="auto"/>
        </w:rPr>
      </w:pPr>
    </w:p>
    <w:p>
      <w:pPr>
        <w:ind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Statutes, as amended, and governed by and construed in accordance with the laws of the State of Connecticut.</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heirs, transferees, successors, and assigns of the parties hereof shall be duly bound by the provisions hereof, provided Broker may not assign or otherwise transfer its right or obligation hereunder.</w:t>
      </w:r>
    </w:p>
    <w:p>
      <w:pPr>
        <w:spacing w:after="0" w:line="173" w:lineRule="exact"/>
        <w:rPr>
          <w:rFonts w:ascii="Courier New" w:cs="Courier New" w:eastAsia="Courier New" w:hAnsi="Courier New"/>
          <w:sz w:val="15"/>
          <w:szCs w:val="15"/>
          <w:color w:val="auto"/>
        </w:rPr>
      </w:pPr>
    </w:p>
    <w:p>
      <w:pPr>
        <w:ind w:right="3239" w:firstLine="10"/>
        <w:spacing w:after="0" w:line="234"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Agreement shall be governed by and construed in accordance with the laws of the State of Maryland.</w:t>
      </w:r>
    </w:p>
    <w:p>
      <w:pPr>
        <w:spacing w:after="0" w:line="173" w:lineRule="exact"/>
        <w:rPr>
          <w:rFonts w:ascii="Courier New" w:cs="Courier New" w:eastAsia="Courier New" w:hAnsi="Courier New"/>
          <w:sz w:val="15"/>
          <w:szCs w:val="15"/>
          <w:color w:val="auto"/>
        </w:rPr>
      </w:pPr>
    </w:p>
    <w:p>
      <w:pPr>
        <w:ind w:right="3679" w:firstLine="10"/>
        <w:spacing w:after="0" w:line="235"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counterparts, each of which shall be deemed to be an original and shall together constitute one and the same instrument.</w:t>
      </w:r>
    </w:p>
    <w:p>
      <w:pPr>
        <w:sectPr>
          <w:pgSz w:w="11900" w:h="16838" w:orient="portrait"/>
          <w:cols w:equalWidth="0" w:num="1">
            <w:col w:w="10239"/>
          </w:cols>
          <w:pgMar w:left="220" w:top="6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Non-Exclusive Advisory Agreement</w:t>
      </w:r>
    </w:p>
    <w:p>
      <w:pPr>
        <w:spacing w:after="0" w:line="237" w:lineRule="auto"/>
        <w:rPr>
          <w:sz w:val="20"/>
          <w:szCs w:val="20"/>
          <w:color w:val="auto"/>
        </w:rPr>
      </w:pPr>
      <w:r>
        <w:rPr>
          <w:rFonts w:ascii="Courier New" w:cs="Courier New" w:eastAsia="Courier New" w:hAnsi="Courier New"/>
          <w:sz w:val="15"/>
          <w:szCs w:val="15"/>
          <w:color w:val="auto"/>
        </w:rPr>
        <w:t>Page 5</w:t>
      </w:r>
    </w:p>
    <w:p>
      <w:pPr>
        <w:spacing w:after="0" w:line="342"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duly executed this Agreement as of the day and year first above stated.</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CLIENT:</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FEDERAL REALTY INVESTMENT TRUST</w:t>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 /s/ Hal A. Vasvari</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Hal A. Vasvari</w:t>
      </w:r>
    </w:p>
    <w:p>
      <w:pPr>
        <w:ind w:left="1840"/>
        <w:spacing w:after="0" w:line="237" w:lineRule="auto"/>
        <w:rPr>
          <w:sz w:val="20"/>
          <w:szCs w:val="20"/>
          <w:color w:val="auto"/>
        </w:rPr>
      </w:pPr>
      <w:r>
        <w:rPr>
          <w:rFonts w:ascii="Courier New" w:cs="Courier New" w:eastAsia="Courier New" w:hAnsi="Courier New"/>
          <w:sz w:val="15"/>
          <w:szCs w:val="15"/>
          <w:color w:val="auto"/>
        </w:rPr>
        <w:t>Chief Operating Officer</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BROKER:</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WESTPORT ADVISORS CORPORATION</w:t>
      </w:r>
    </w:p>
    <w:p>
      <w:pPr>
        <w:spacing w:after="0" w:line="200" w:lineRule="exact"/>
        <w:rPr>
          <w:sz w:val="20"/>
          <w:szCs w:val="20"/>
          <w:color w:val="auto"/>
        </w:rPr>
      </w:pPr>
    </w:p>
    <w:p>
      <w:pPr>
        <w:spacing w:after="0" w:line="30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By: /s/ Jack Alan Guttman</w:t>
      </w:r>
    </w:p>
    <w:p>
      <w:pPr>
        <w:ind w:left="1840"/>
        <w:spacing w:after="0" w:line="237" w:lineRule="auto"/>
        <w:rPr>
          <w:sz w:val="20"/>
          <w:szCs w:val="20"/>
          <w:color w:val="auto"/>
        </w:rPr>
      </w:pPr>
      <w:r>
        <w:rPr>
          <w:rFonts w:ascii="Courier New" w:cs="Courier New" w:eastAsia="Courier New" w:hAnsi="Courier New"/>
          <w:sz w:val="15"/>
          <w:szCs w:val="15"/>
          <w:color w:val="auto"/>
        </w:rPr>
        <w:t>----------------------</w:t>
      </w:r>
    </w:p>
    <w:p>
      <w:pPr>
        <w:ind w:left="1840"/>
        <w:spacing w:after="0" w:line="238" w:lineRule="auto"/>
        <w:rPr>
          <w:sz w:val="20"/>
          <w:szCs w:val="20"/>
          <w:color w:val="auto"/>
        </w:rPr>
      </w:pPr>
      <w:r>
        <w:rPr>
          <w:rFonts w:ascii="Courier New" w:cs="Courier New" w:eastAsia="Courier New" w:hAnsi="Courier New"/>
          <w:sz w:val="15"/>
          <w:szCs w:val="15"/>
          <w:color w:val="auto"/>
        </w:rPr>
        <w:t>Jack Alan Guttman</w:t>
      </w:r>
    </w:p>
    <w:p>
      <w:pPr>
        <w:ind w:left="184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JACK ALAN GUTTMAN</w:t>
      </w:r>
    </w:p>
    <w:p>
      <w:pPr>
        <w:spacing w:after="0" w:line="335"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/s/Jack Alan Guttman</w:t>
      </w:r>
    </w:p>
    <w:p>
      <w:pPr>
        <w:ind w:left="158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617" w:right="1440" w:bottom="1440" w:gutter="0" w:footer="0" w:header="0"/>
        </w:sectPr>
      </w:pPr>
    </w:p>
    <w:bookmarkStart w:id="28" w:name="page29"/>
    <w:bookmarkEnd w:id="28"/>
    <w:p>
      <w:pPr>
        <w:jc w:val="right"/>
        <w:ind w:right="3239"/>
        <w:spacing w:after="0"/>
        <w:rPr>
          <w:sz w:val="20"/>
          <w:szCs w:val="20"/>
          <w:color w:val="auto"/>
        </w:rPr>
      </w:pPr>
      <w:r>
        <w:rPr>
          <w:rFonts w:ascii="Courier New" w:cs="Courier New" w:eastAsia="Courier New" w:hAnsi="Courier New"/>
          <w:sz w:val="15"/>
          <w:szCs w:val="15"/>
          <w:color w:val="auto"/>
        </w:rPr>
        <w:t>Exhibit 10(b)</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EXCLUSIVE BROKERAGE AGREEMENT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This Agreement is made and entered into on this 20th day of August, 1995 by and between Street Retail, Inc., a Maryland corporation ("Client"), and Westport Advisors Corporation and Jack Alan Guttman (collectively, "Broker").</w:t>
      </w:r>
    </w:p>
    <w:p>
      <w:pPr>
        <w:spacing w:after="0" w:line="161"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 consideration of the mutual covenants set forth in this Agreement, the parties agree as follows:</w:t>
      </w:r>
    </w:p>
    <w:p>
      <w:pPr>
        <w:spacing w:after="0" w:line="173" w:lineRule="exact"/>
        <w:rPr>
          <w:sz w:val="20"/>
          <w:szCs w:val="20"/>
          <w:color w:val="auto"/>
        </w:rPr>
      </w:pPr>
    </w:p>
    <w:p>
      <w:pPr>
        <w:ind w:right="3319" w:firstLine="10"/>
        <w:spacing w:after="0" w:line="236" w:lineRule="auto"/>
        <w:tabs>
          <w:tab w:leader="none" w:pos="43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replaces the Exclusive Brokerage Agreement by and between Client and Broker dated February 6, 1995 ("Prior Agreement") in its entirety. As of August 21, 1995, the Prior Agreement is terminated and its terms and provisions, including Section 5, but excluding Section 6, thereof, are null and void.</w:t>
      </w:r>
    </w:p>
    <w:p>
      <w:pPr>
        <w:spacing w:after="0" w:line="173" w:lineRule="exact"/>
        <w:rPr>
          <w:rFonts w:ascii="Courier New" w:cs="Courier New" w:eastAsia="Courier New" w:hAnsi="Courier New"/>
          <w:sz w:val="15"/>
          <w:szCs w:val="15"/>
          <w:color w:val="auto"/>
        </w:rPr>
      </w:pPr>
    </w:p>
    <w:p>
      <w:pPr>
        <w:ind w:right="3239" w:firstLine="10"/>
        <w:spacing w:after="0" w:line="237" w:lineRule="auto"/>
        <w:tabs>
          <w:tab w:leader="none" w:pos="43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hereby appoints Broker as its exclusive real estate broker for the purchase of urban retail buildings (i.e. not traditional "strip" shopping centers or shopping malls) located in Connecticut and Westchester County, New York (the "Metro Area"). As its exclusive real estate broker for the purchase of urban retail buildings in the Metro Area, Broker shall not identify, locate, or assist with the purchase or sale of any urban retail buildings with any other person, client or entity other than Client. Broker shall perform the duties of a real estate broker; specifically, Broker shall conduct searches for properties which fit the criteria established by Client and assist Client with all aspects of the due diligence process in order to enable Client to evaluate the desirability and feasibility of acquiring such properties or any interest therein; such assistance shall include collecting and providing Client with market information such as demographics, information on competing properties, comparable rentals and sales and assistance in the appraisal and underwriting of the properties.</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represents and warrants that:</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will act in accordance with the highest professional standards of the industry and in compliance with all applicable laws, regulations, codes, ordinances and orders.</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obligations, commitments, or impediments of any kind that will limit or prevent the Broker's performance of its services and obligations pursuant to this Agreement.</w:t>
      </w:r>
    </w:p>
    <w:p>
      <w:pPr>
        <w:spacing w:after="0" w:line="173"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Broker is duly licensed as a real estate broker in the States of Connecticut and New York.</w:t>
      </w:r>
    </w:p>
    <w:p>
      <w:pPr>
        <w:spacing w:after="0" w:line="173"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will perform its services in a professional manner and in the most expeditious and economical manner consistent with the interest of Client.</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is an independent contractor and not an employee of Client.</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solely represents Client in any transaction pursuant to this Agreement and must disclose Broker's sole representation of Client to all third parties contacted in connection with this Agreement.</w:t>
      </w:r>
    </w:p>
    <w:p>
      <w:pPr>
        <w:spacing w:after="0" w:line="173" w:lineRule="exact"/>
        <w:rPr>
          <w:rFonts w:ascii="Courier New" w:cs="Courier New" w:eastAsia="Courier New" w:hAnsi="Courier New"/>
          <w:sz w:val="15"/>
          <w:szCs w:val="15"/>
          <w:color w:val="auto"/>
        </w:rPr>
      </w:pPr>
    </w:p>
    <w:p>
      <w:pPr>
        <w:ind w:left="880" w:right="3499" w:hanging="433"/>
        <w:spacing w:after="0" w:line="236" w:lineRule="auto"/>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shall NOT disclose to any prospective seller or anyone else information obtained within the confidentiality and trust of the fiduciary relationship with Client, nor disclose to the prospective seller or anyone else information similarly obtained from Client without the consent of Client.</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shall NOT receive any fees, commissions or other remuneration other than the Commission (as hereinafter defined) from any seller, broker or any other source in connection with any property purchased by Client pursuant to this Agreement</w:t>
      </w:r>
    </w:p>
    <w:p>
      <w:pPr>
        <w:spacing w:after="0" w:line="175" w:lineRule="exact"/>
        <w:rPr>
          <w:rFonts w:ascii="Courier New" w:cs="Courier New" w:eastAsia="Courier New" w:hAnsi="Courier New"/>
          <w:sz w:val="15"/>
          <w:szCs w:val="15"/>
          <w:color w:val="auto"/>
        </w:rPr>
      </w:pPr>
    </w:p>
    <w:p>
      <w:pPr>
        <w:ind w:right="3239" w:firstLine="10"/>
        <w:spacing w:after="0" w:line="236" w:lineRule="auto"/>
        <w:tabs>
          <w:tab w:leader="none" w:pos="43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authority is limited to performing the services in accordance with the terms of this Agreement. Broker does not have any authority to enter into or execute any agreement for or on behalf of Client. No written proposals, offers or other information concerning Client shall be distributed without Client's prior written consent, which may be withheld in Client's sole and absolute discretion. Client shall have the right to specify Broker's degree of involvement, if</w:t>
      </w:r>
    </w:p>
    <w:p>
      <w:pPr>
        <w:sectPr>
          <w:pgSz w:w="11900" w:h="16838" w:orient="portrait"/>
          <w:cols w:equalWidth="0" w:num="1">
            <w:col w:w="10239"/>
          </w:cols>
          <w:pgMar w:left="220" w:top="303"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Exclusive Brokerage Agreement</w:t>
      </w:r>
    </w:p>
    <w:p>
      <w:pPr>
        <w:spacing w:after="0" w:line="237" w:lineRule="auto"/>
        <w:rPr>
          <w:sz w:val="20"/>
          <w:szCs w:val="20"/>
          <w:color w:val="auto"/>
        </w:rPr>
      </w:pPr>
      <w:r>
        <w:rPr>
          <w:rFonts w:ascii="Courier New" w:cs="Courier New" w:eastAsia="Courier New" w:hAnsi="Courier New"/>
          <w:sz w:val="15"/>
          <w:szCs w:val="15"/>
          <w:color w:val="auto"/>
        </w:rPr>
        <w:t>Page 2</w:t>
      </w:r>
    </w:p>
    <w:p>
      <w:pPr>
        <w:spacing w:after="0" w:line="34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any, with respect to any negotiation of any contract of sale ("Contract of Sale"). Broker acknowledges that entering into a Contract of Sale involves negotiation of complex provisions and issues, including business, tax and operational issues and liabilities relating to a property, and that Client, therefore, expressly reserves the right to reject any and all proposals for a Contract of Sale and to approve any and all terms and conditions of any proposed Contract of Sale as Client sees fit, in Client's sole and absolute discretion.</w:t>
      </w:r>
    </w:p>
    <w:p>
      <w:pPr>
        <w:spacing w:after="0" w:line="166" w:lineRule="exact"/>
        <w:rPr>
          <w:sz w:val="20"/>
          <w:szCs w:val="20"/>
          <w:color w:val="auto"/>
        </w:rPr>
      </w:pPr>
    </w:p>
    <w:p>
      <w:pPr>
        <w:ind w:right="3319" w:firstLine="10"/>
        <w:spacing w:after="0" w:line="235" w:lineRule="auto"/>
        <w:tabs>
          <w:tab w:leader="none" w:pos="43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of this Agreement ("Term") shall commence on August 21, 1995 and end at midnight on August 21, 1996, unless sooner terminated in accordance with the provisions of this Agreement.</w:t>
      </w:r>
    </w:p>
    <w:p>
      <w:pPr>
        <w:spacing w:after="0" w:line="173" w:lineRule="exact"/>
        <w:rPr>
          <w:rFonts w:ascii="Courier New" w:cs="Courier New" w:eastAsia="Courier New" w:hAnsi="Courier New"/>
          <w:sz w:val="15"/>
          <w:szCs w:val="15"/>
          <w:color w:val="auto"/>
        </w:rPr>
      </w:pPr>
    </w:p>
    <w:p>
      <w:pPr>
        <w:ind w:right="3239" w:firstLine="10"/>
        <w:spacing w:after="0" w:line="255" w:lineRule="auto"/>
        <w:tabs>
          <w:tab w:leader="none" w:pos="43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Client shall pay Broker a commission (the "Commission") equal to .75% (three-quarters of one-percent) of the first twenty million dollars ($20,000,000) of the aggregate gross sales price of the properties acquired subject to this Agreement (i.e. each urban retail building, or buildings located in the Metro Area) (hereinafter, the "Properties") and 1% (one percent) of the aggregate gross sales price of the Properties acquired subject to this Agreement thereafter. Notwithstanding the foregoing, in no event shall Broker receive more than two hundred twenty-five thousand dollars ($225,000.00) total commission in connection with any single real estate transaction, regardless of the number of individual properties contained in any such transaction. Notwithstanding anything to the contrary contained in this Agreement, the following shall be conditions precedent to Client's obligation to pay the Commission:</w:t>
      </w:r>
    </w:p>
    <w:p>
      <w:pPr>
        <w:spacing w:after="0" w:line="164"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Client and seller of a Contract of Sale for one or more Properties acceptable in form and substance to Client, in Client's sole and absolute discretion; and</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actual closing of the sale, including Client's payment of all monies due at closing, and transfer of title, or other evidence of ownership, to Client.</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Failure of either of these conditions shall preclude any claim for a Commission by Broker. In no event shall Broker ever receive any fees, commissions, or other remuneration from any seller, broker or other person or entity in connection with properties purchased by Client pursuant to this Agreement.</w:t>
      </w:r>
    </w:p>
    <w:p>
      <w:pPr>
        <w:spacing w:after="0" w:line="164"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With respect to the properties listed in Addendum A, in the event that (i) the conditions precedent to Client's obligation to pay Broker a Commission, as set forth above, are met prior to December 31, 1995, (ii) the individual/entities listed on Addendum A ("Addendum A Broker") execute a brokerage agreement with Client in a form satisfactory to Client, in Client's sole and absolute discretion, prior to the execution of a purchase contract relating to the subject property, (iii) the Addendum A Broker is duly licensed as a real estate broker in the State of Connecticut, and (iv) Broker is not receiving any portion of the fees being paid to any Addendum A Broker, Client shall pay brokerage fees not to exceed the amounts referenced in Addendum A ("Addendum A Fees") in addition to the Commission to be paid to Broker in accordance with this Agreement, but, in no event, shall Client ever pay more than 1.5% total commissions on the aggregate gross sale price for each such transaction. In no event, however, will Client be responsible for the payment of any other fees or expenses in connection with the purchase of any of the properties listed on Addendum A.</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With respect to the properties included on Addendum A after December 31, 1995 and any other properties purchased pursuant to this Agreement, in the event that there is a real estate broker cooperating with Broker in connection with this Agreement ("Cooperating Broker"), Client may, in its sole discretion, agree to pay up to 0.5% of the aggregate gross sales price ("Cooperation Fee") to the cooperating real estate broker provided that (i) the conditions precedent to Client's obligation to pay Broker, as set forth above, have been met, (ii) the Cooperating Broker executes a brokerage agreement in a form satisfactory to Client, in its sole and absolute discretion, prior to the execution by Client of a contract to purchase the property in connection with which the Cooperation Fee may be paid, (iii) the Cooperating Broker is duly licensed as a real estate broker in the jurisdiction in which the property is located, (iv) the Cooperating Broker is not receiving any other fees, commissions or other remuneration in connection with the transaction for which Cooperating Broker otherwise could be eligible to receive a Cooperation Fee, and (iv) Broker is not receiving any portion of the Cooperation Fee. In no event, however, shall Client pay more than 1% total commissions with respect to</w:t>
      </w:r>
    </w:p>
    <w:p>
      <w:pPr>
        <w:sectPr>
          <w:pgSz w:w="11900" w:h="16838" w:orient="portrait"/>
          <w:cols w:equalWidth="0" w:num="1">
            <w:col w:w="10239"/>
          </w:cols>
          <w:pgMar w:left="220" w:top="617"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Exclusive Brokerage Agreement</w:t>
      </w:r>
    </w:p>
    <w:p>
      <w:pPr>
        <w:spacing w:after="0" w:line="237" w:lineRule="auto"/>
        <w:rPr>
          <w:sz w:val="20"/>
          <w:szCs w:val="20"/>
          <w:color w:val="auto"/>
        </w:rPr>
      </w:pPr>
      <w:r>
        <w:rPr>
          <w:rFonts w:ascii="Courier New" w:cs="Courier New" w:eastAsia="Courier New" w:hAnsi="Courier New"/>
          <w:sz w:val="15"/>
          <w:szCs w:val="15"/>
          <w:color w:val="auto"/>
        </w:rPr>
        <w:t>Page 3</w:t>
      </w:r>
    </w:p>
    <w:p>
      <w:pPr>
        <w:spacing w:after="0" w:line="342"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properties where Broker is earning a .75% commission or 1.25% total commissions with respect to properties where Broker is earning a 1% commission as described in Section 4, above.</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Except following the occurrence of an Event of Default as described in Section 10, it is further understood that the Commission shall be paid to Broker if, (i) within One Hundred Eighty (180) days after the expiration or termination of the Term, Client enters into a Contract of Sale for one or more Properties presented by Broker during the Term and named in a written list delivered to Client by Broker within fifteen (15) days following the expiration of the Term or the termination of this Agreement, (ii) such purchase is ultimately consummated, and</w:t>
      </w:r>
    </w:p>
    <w:p>
      <w:pPr>
        <w:spacing w:after="0" w:line="2" w:lineRule="exact"/>
        <w:rPr>
          <w:sz w:val="20"/>
          <w:szCs w:val="20"/>
          <w:color w:val="auto"/>
        </w:rPr>
      </w:pPr>
    </w:p>
    <w:p>
      <w:pPr>
        <w:ind w:right="3239" w:firstLine="10"/>
        <w:spacing w:after="0" w:line="236" w:lineRule="auto"/>
        <w:tabs>
          <w:tab w:leader="none" w:pos="52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two conditions precedent to Client's obligation to pay the Commission, as set forth above, have been met. Broker's Commission shall be the sole compensation paid to Broker and Broker shall not be entitled to reimbursement for any expenses or any other sums Broker incurs related to or involving the performance of the services. The Commission shall be paid to Broker at closing and Client hereby authorizes the attorney or title company conducting the closing to disburse the Commission to Broker at such closing. The Commission shall be payable if the transfer or sale is structured as a cash sale, like-kind exchange, partial sale, joint venture, newly formed partnership or transfer of stock.</w:t>
      </w:r>
    </w:p>
    <w:p>
      <w:pPr>
        <w:spacing w:after="0" w:line="179" w:lineRule="exact"/>
        <w:rPr>
          <w:sz w:val="20"/>
          <w:szCs w:val="20"/>
          <w:color w:val="auto"/>
        </w:rPr>
      </w:pPr>
    </w:p>
    <w:p>
      <w:pPr>
        <w:ind w:right="3239" w:firstLine="10"/>
        <w:spacing w:after="0" w:line="254" w:lineRule="auto"/>
        <w:tabs>
          <w:tab w:leader="none" w:pos="43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 event shall Client be responsible to pay any persons or entities, other than Broker, any commissions or other remunerations of any kind in connection with this Agreement or by virtue of their association with Broker except that, pursuant to Section 6, above, Client may, in its sole and absolute discretion, pay Cooperation Fees to Cooperating Brokers and Addendum A Fees to Addendum A Brokers. Further, Client shall not be obligated to see to the application of the Commission, if any, due under this Agreement or the payment of any other remuneration for the benefit of any persons or entities other than Broker, and, in its sole and absolute discretion, Cooperating Brokers and Addendum A Brokers, and no other persons or entity shall be a third party beneficiary of this Agreement. Broker shall be solely responsible for the direct payment of any commissions or other remuneration of any kind, except payment of Cooperation Fees and Addendum A fees, if any, due to other persons or entities claiming entitlement to a share of the Commission or any other remuneration under this Agreement or by virtue of their association with Broker. Broker hereby agrees to indemnify and hold Client harmless from and against any and all claims, demands, obligations, liabilities, losses and damages (including, without limitation, attorney's fees of counsel selected by Client) arising directly or indirectly out of or in connection with any claim for commissions or other remuneration of any kind for any person or entity claiming by, through or under Broker or relating in any way to this Agreement, or Broker's actions or failure to act pursuant to this Agreement; it being understood and agreed that Client's liability hereunder shall be limited to the payment to Broker of the Commission, if any, owed under the Agreement. In the event any claims, demands, obligations, liabilities, losses and/or damages arise in connection with any claim for commissions, fees or other remuneration, Client may, in its sole and absolute discretion, withhold Commissions otherwise payable to Broker pending final resolution and may offset against such Commissions any such claims, demands obligations, liabilities, losses and or damages. This provision shall survive any termination of this Agreement.</w:t>
      </w:r>
    </w:p>
    <w:p>
      <w:pPr>
        <w:spacing w:after="0" w:line="346" w:lineRule="exact"/>
        <w:rPr>
          <w:rFonts w:ascii="Courier New" w:cs="Courier New" w:eastAsia="Courier New" w:hAnsi="Courier New"/>
          <w:sz w:val="14"/>
          <w:szCs w:val="14"/>
          <w:color w:val="auto"/>
        </w:rPr>
      </w:pPr>
    </w:p>
    <w:p>
      <w:pPr>
        <w:ind w:right="3319" w:firstLine="1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 shall obtain, pay for and keep in force at all times during the performance of work pursuant to this Agreement, the following insurance coverages placed with insurance companies having an A.M. Best rating of A VI or better:</w:t>
      </w:r>
    </w:p>
    <w:p>
      <w:pPr>
        <w:spacing w:after="0" w:line="175"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Comprehensive General Liability Insurance, with limit of not less than one million dollars ($1,000,000) per occurrence, or Commercial General Liability</w:t>
      </w:r>
    </w:p>
    <w:p>
      <w:pPr>
        <w:ind w:left="3940"/>
        <w:spacing w:after="0" w:line="231"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Insurance with limits of not less than one million dollars ($1,000,000) per occurrence and two million dollars ($2,000,000) aggregate. Client shall be added as an additional insured. The policy shall provide such additional insured with a thirty (30) day notice of cancellation, non-renewal or material change. Any certificates of insurance furnished in accordance with this Agreement shall specify who has been added as an additional insured and shall state that the policy has been amended to provide the thirty (30) day advance notice.</w:t>
      </w:r>
    </w:p>
    <w:p>
      <w:pPr>
        <w:spacing w:after="0" w:line="177"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Professional Liability Insurance with a limit of not less than one million dollars ($1,000,000).</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Contractor may meet the limits of liability indicated by means of the use of an umbrella liability policy. Any general liability policy must be written on an occurrence basis. Owner shall be</w:t>
      </w:r>
    </w:p>
    <w:p>
      <w:pPr>
        <w:sectPr>
          <w:pgSz w:w="11900" w:h="16838" w:orient="portrait"/>
          <w:cols w:equalWidth="0" w:num="1">
            <w:col w:w="10239"/>
          </w:cols>
          <w:pgMar w:left="220" w:top="617"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Exclusive Brokerage Agreement</w:t>
      </w:r>
    </w:p>
    <w:p>
      <w:pPr>
        <w:spacing w:after="0" w:line="237" w:lineRule="auto"/>
        <w:rPr>
          <w:sz w:val="20"/>
          <w:szCs w:val="20"/>
          <w:color w:val="auto"/>
        </w:rPr>
      </w:pPr>
      <w:r>
        <w:rPr>
          <w:rFonts w:ascii="Courier New" w:cs="Courier New" w:eastAsia="Courier New" w:hAnsi="Courier New"/>
          <w:sz w:val="15"/>
          <w:szCs w:val="15"/>
          <w:color w:val="auto"/>
        </w:rPr>
        <w:t>Page 4</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furnished with certificates evidencing that all such insurance specified herein is in force prior to commencement of services provided pursuant to this Agreement.</w:t>
      </w:r>
    </w:p>
    <w:p>
      <w:pPr>
        <w:spacing w:after="0" w:line="174" w:lineRule="exact"/>
        <w:rPr>
          <w:sz w:val="20"/>
          <w:szCs w:val="20"/>
          <w:color w:val="auto"/>
        </w:rPr>
      </w:pPr>
    </w:p>
    <w:p>
      <w:pPr>
        <w:ind w:right="3319" w:firstLine="10"/>
        <w:spacing w:after="0" w:line="236" w:lineRule="auto"/>
        <w:tabs>
          <w:tab w:leader="none" w:pos="4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either party upon thirty (30) days' written notice. In the event of termination by either party, Broker shall be entitled to receive only that Commission which it has earned pursuant to and in accordance with Section 6 of this Agreement and Client shall have no further obligations or liabilities hereunder.</w:t>
      </w:r>
    </w:p>
    <w:p>
      <w:pPr>
        <w:spacing w:after="0" w:line="173" w:lineRule="exact"/>
        <w:rPr>
          <w:rFonts w:ascii="Courier New" w:cs="Courier New" w:eastAsia="Courier New" w:hAnsi="Courier New"/>
          <w:sz w:val="15"/>
          <w:szCs w:val="15"/>
          <w:color w:val="auto"/>
        </w:rPr>
      </w:pPr>
    </w:p>
    <w:p>
      <w:pPr>
        <w:ind w:right="3239" w:firstLine="10"/>
        <w:spacing w:after="0" w:line="237" w:lineRule="auto"/>
        <w:tabs>
          <w:tab w:leader="none" w:pos="4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failure or refusal to perform or observe any obligation, covenant, or condition of this Agreement shall constitute an Event of Default. Should an Event of Default occur, Client may, at its option, terminate this Agreement without affecting any other remedy which it may have at law or in equity. Such termination shall be effective immediately upon Broker's receipt of written notice from Client. In such event, Broker shall be entitled to receive only that Commission which it has already earned pursuant to and in accordance with Section 6 of this Agreement, less any and all damages, losses, claims, costs and expenses incurred or suffered by Client as a result of Broker's failure or refusal to perform and Client shall have no further obligations or liabilities hereunder. Broker will not be entitled to receive any Commissions on properties that are purchased by Client, unless the purchase agreement is fully executed before the date of occurrence of an Event of Default and the conditions precedent to the Client's obligation to pay a Commission set forth in Section 6 have been met.</w:t>
      </w:r>
    </w:p>
    <w:p>
      <w:pPr>
        <w:spacing w:after="0" w:line="174" w:lineRule="exact"/>
        <w:rPr>
          <w:sz w:val="20"/>
          <w:szCs w:val="20"/>
          <w:color w:val="auto"/>
        </w:rPr>
      </w:pPr>
    </w:p>
    <w:p>
      <w:pPr>
        <w:ind w:right="3319" w:firstLine="185"/>
        <w:spacing w:after="0" w:line="235" w:lineRule="auto"/>
        <w:tabs>
          <w:tab w:leader="none" w:pos="8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Client, its directors, employees, officers, agents and shareholders shall not be personally liable under this Agreement and Broker hereby agrees to look solely to Client's property, real, personal or otherwise, tangible or intangible, for payment of any claim hereunder.</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 similar limitation on liability shall be inserted in each document executed by Street Retail, Inc. (if any) pursuant to this Agreement.</w:t>
      </w:r>
    </w:p>
    <w:p>
      <w:pPr>
        <w:spacing w:after="0" w:line="173" w:lineRule="exact"/>
        <w:rPr>
          <w:sz w:val="20"/>
          <w:szCs w:val="20"/>
          <w:color w:val="auto"/>
        </w:rPr>
      </w:pPr>
    </w:p>
    <w:p>
      <w:pPr>
        <w:ind w:right="3239" w:firstLine="10"/>
        <w:spacing w:after="0" w:line="237" w:lineRule="auto"/>
        <w:tabs>
          <w:tab w:leader="none" w:pos="4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demand, request, approval consent or notice ("Notice") shall or may be given by one party to the other, Notice shall be addressed to the parties at their respective addresses as set forth below and delivered by (i) hand, (ii) facsimile, (iii) a nationally recognized overnight express courier, or (iv) registered or certified mail return receipt requested. The date of actual receipt shall be deemed the date of service of Notice. In the event an addressee refuses to accept delivery, however, then Notice shall be deemed to have been served on either (i) the date hand delivery is refused, (ii) the next business day in the case of delivery by overnight courier, or (iii) three (3) business days after mailing the notice in the case of registered or certified mail. Either party may, at any time, change its Notice address by giving the other party Notice, in accordance with the above, stating the change and setting forth the new address.</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Client: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Ron D. Kaplan</w:t>
      </w:r>
    </w:p>
    <w:p>
      <w:pPr>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238" w:lineRule="auto"/>
        <w:rPr>
          <w:sz w:val="20"/>
          <w:szCs w:val="20"/>
          <w:color w:val="auto"/>
        </w:rPr>
      </w:pPr>
      <w:r>
        <w:rPr>
          <w:rFonts w:ascii="Courier New" w:cs="Courier New" w:eastAsia="Courier New" w:hAnsi="Courier New"/>
          <w:sz w:val="15"/>
          <w:szCs w:val="15"/>
          <w:color w:val="auto"/>
        </w:rPr>
        <w:t>Street Retail,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4800 Hampden Lane, Suite 500</w:t>
      </w:r>
    </w:p>
    <w:p>
      <w:pPr>
        <w:spacing w:after="0" w:line="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5"/>
          <w:szCs w:val="15"/>
          <w:color w:val="auto"/>
        </w:rPr>
        <w:t>Bethesda, Maryland</w:t>
      </w:r>
      <w:r>
        <w:rPr>
          <w:sz w:val="20"/>
          <w:szCs w:val="20"/>
          <w:color w:val="auto"/>
        </w:rPr>
        <w:tab/>
      </w:r>
      <w:r>
        <w:rPr>
          <w:rFonts w:ascii="Courier New" w:cs="Courier New" w:eastAsia="Courier New" w:hAnsi="Courier New"/>
          <w:sz w:val="14"/>
          <w:szCs w:val="14"/>
          <w:color w:val="auto"/>
        </w:rPr>
        <w:t>20814</w:t>
      </w:r>
    </w:p>
    <w:p>
      <w:pPr>
        <w:spacing w:after="0" w:line="166" w:lineRule="exact"/>
        <w:rPr>
          <w:sz w:val="20"/>
          <w:szCs w:val="20"/>
          <w:color w:val="auto"/>
        </w:rPr>
      </w:pPr>
    </w:p>
    <w:p>
      <w:pPr>
        <w:sectPr>
          <w:pgSz w:w="11900" w:h="16838" w:orient="portrait"/>
          <w:cols w:equalWidth="0" w:num="2">
            <w:col w:w="1060" w:space="700"/>
            <w:col w:w="8479"/>
          </w:cols>
          <w:pgMar w:left="220" w:top="617"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Street Retail, Inc.</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4"/>
          <w:szCs w:val="14"/>
          <w:color w:val="auto"/>
        </w:rPr>
        <w:t>4800 Hampden Lane, Suite 500</w:t>
      </w:r>
    </w:p>
    <w:p>
      <w:pPr>
        <w:spacing w:after="0" w:line="3" w:lineRule="exact"/>
        <w:rPr>
          <w:sz w:val="20"/>
          <w:szCs w:val="20"/>
          <w:color w:val="auto"/>
        </w:rPr>
      </w:pPr>
    </w:p>
    <w:p>
      <w:pPr>
        <w:ind w:left="1760"/>
        <w:spacing w:after="0"/>
        <w:tabs>
          <w:tab w:leader="none" w:pos="3480" w:val="left"/>
        </w:tabs>
        <w:rPr>
          <w:sz w:val="20"/>
          <w:szCs w:val="20"/>
          <w:color w:val="auto"/>
        </w:rPr>
      </w:pPr>
      <w:r>
        <w:rPr>
          <w:rFonts w:ascii="Courier New" w:cs="Courier New" w:eastAsia="Courier New" w:hAnsi="Courier New"/>
          <w:sz w:val="15"/>
          <w:szCs w:val="15"/>
          <w:color w:val="auto"/>
        </w:rPr>
        <w:t>Bethesda, Maryland</w:t>
      </w:r>
      <w:r>
        <w:rPr>
          <w:sz w:val="20"/>
          <w:szCs w:val="20"/>
          <w:color w:val="auto"/>
        </w:rPr>
        <w:tab/>
      </w:r>
      <w:r>
        <w:rPr>
          <w:rFonts w:ascii="Courier New" w:cs="Courier New" w:eastAsia="Courier New" w:hAnsi="Courier New"/>
          <w:sz w:val="14"/>
          <w:szCs w:val="14"/>
          <w:color w:val="auto"/>
        </w:rPr>
        <w:t>20814</w:t>
      </w:r>
    </w:p>
    <w:p>
      <w:pPr>
        <w:ind w:left="1760"/>
        <w:spacing w:after="0" w:line="237" w:lineRule="auto"/>
        <w:tabs>
          <w:tab w:leader="none" w:pos="2360" w:val="left"/>
        </w:tabs>
        <w:rPr>
          <w:sz w:val="20"/>
          <w:szCs w:val="20"/>
          <w:color w:val="auto"/>
        </w:rPr>
      </w:pPr>
      <w:r>
        <w:rPr>
          <w:rFonts w:ascii="Courier New" w:cs="Courier New" w:eastAsia="Courier New" w:hAnsi="Courier New"/>
          <w:sz w:val="15"/>
          <w:szCs w:val="15"/>
          <w:color w:val="auto"/>
        </w:rPr>
        <w:t>Attn:</w:t>
        <w:tab/>
        <w:t>Secretary</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Broker:</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Westport Advisors Corporation</w:t>
      </w:r>
    </w:p>
    <w:p>
      <w:pPr>
        <w:spacing w:after="0" w:line="237" w:lineRule="auto"/>
        <w:rPr>
          <w:sz w:val="20"/>
          <w:szCs w:val="20"/>
          <w:color w:val="auto"/>
        </w:rPr>
      </w:pPr>
      <w:r>
        <w:rPr>
          <w:rFonts w:ascii="Courier New" w:cs="Courier New" w:eastAsia="Courier New" w:hAnsi="Courier New"/>
          <w:sz w:val="15"/>
          <w:szCs w:val="15"/>
          <w:color w:val="auto"/>
        </w:rPr>
        <w:t>25 Sylvan Road South, Building F</w:t>
      </w:r>
    </w:p>
    <w:p>
      <w:pPr>
        <w:spacing w:after="0"/>
        <w:tabs>
          <w:tab w:leader="none" w:pos="2000" w:val="left"/>
        </w:tabs>
        <w:rPr>
          <w:sz w:val="20"/>
          <w:szCs w:val="20"/>
          <w:color w:val="auto"/>
        </w:rPr>
      </w:pPr>
      <w:r>
        <w:rPr>
          <w:rFonts w:ascii="Courier New" w:cs="Courier New" w:eastAsia="Courier New" w:hAnsi="Courier New"/>
          <w:sz w:val="15"/>
          <w:szCs w:val="15"/>
          <w:color w:val="auto"/>
        </w:rPr>
        <w:t>Westport, Connecticut</w:t>
      </w:r>
      <w:r>
        <w:rPr>
          <w:sz w:val="20"/>
          <w:szCs w:val="20"/>
          <w:color w:val="auto"/>
        </w:rPr>
        <w:tab/>
      </w:r>
      <w:r>
        <w:rPr>
          <w:rFonts w:ascii="Courier New" w:cs="Courier New" w:eastAsia="Courier New" w:hAnsi="Courier New"/>
          <w:sz w:val="14"/>
          <w:szCs w:val="14"/>
          <w:color w:val="auto"/>
        </w:rPr>
        <w:t>06880</w:t>
      </w:r>
    </w:p>
    <w:p>
      <w:pPr>
        <w:spacing w:after="0" w:line="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Attn:</w:t>
        <w:tab/>
        <w:t>Jack Alan Guttman, President</w:t>
      </w:r>
    </w:p>
    <w:p>
      <w:pPr>
        <w:spacing w:after="0" w:line="178" w:lineRule="exact"/>
        <w:rPr>
          <w:sz w:val="20"/>
          <w:szCs w:val="20"/>
          <w:color w:val="auto"/>
        </w:rPr>
      </w:pPr>
    </w:p>
    <w:p>
      <w:pPr>
        <w:sectPr>
          <w:pgSz w:w="11900" w:h="16838" w:orient="portrait"/>
          <w:cols w:equalWidth="0" w:num="2">
            <w:col w:w="1060" w:space="700"/>
            <w:col w:w="8479"/>
          </w:cols>
          <w:pgMar w:left="220" w:top="617" w:right="1440" w:bottom="1440" w:gutter="0" w:footer="0" w:header="0"/>
          <w:type w:val="continuous"/>
        </w:sectPr>
      </w:pPr>
    </w:p>
    <w:p>
      <w:pPr>
        <w:jc w:val="both"/>
        <w:ind w:right="3579" w:firstLine="10"/>
        <w:spacing w:after="0" w:line="258" w:lineRule="auto"/>
        <w:tabs>
          <w:tab w:leader="none" w:pos="43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contains the entire agreement between Client and Broker, supersedes any prior agreements or understandings, and no oral statements or prior written matter not specifically incorporated in this Agreement</w:t>
      </w:r>
    </w:p>
    <w:p>
      <w:pPr>
        <w:sectPr>
          <w:pgSz w:w="11900" w:h="16838" w:orient="portrait"/>
          <w:cols w:equalWidth="0" w:num="1">
            <w:col w:w="10239"/>
          </w:cols>
          <w:pgMar w:left="220" w:top="617" w:right="1440" w:bottom="1440" w:gutter="0" w:footer="0" w:header="0"/>
          <w:type w:val="continuous"/>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Exclusive Brokerage Agreement</w:t>
      </w:r>
    </w:p>
    <w:p>
      <w:pPr>
        <w:spacing w:after="0" w:line="237" w:lineRule="auto"/>
        <w:rPr>
          <w:sz w:val="20"/>
          <w:szCs w:val="20"/>
          <w:color w:val="auto"/>
        </w:rPr>
      </w:pPr>
      <w:r>
        <w:rPr>
          <w:rFonts w:ascii="Courier New" w:cs="Courier New" w:eastAsia="Courier New" w:hAnsi="Courier New"/>
          <w:sz w:val="15"/>
          <w:szCs w:val="15"/>
          <w:color w:val="auto"/>
        </w:rPr>
        <w:t>Page 5</w:t>
      </w:r>
    </w:p>
    <w:p>
      <w:pPr>
        <w:spacing w:after="0" w:line="342"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unless set forth in a document executed by these parties or a duly authorized agent, officer, or representative hereof</w:t>
      </w:r>
    </w:p>
    <w:p>
      <w:pPr>
        <w:spacing w:after="0" w:line="173" w:lineRule="exact"/>
        <w:rPr>
          <w:sz w:val="20"/>
          <w:szCs w:val="20"/>
          <w:color w:val="auto"/>
        </w:rPr>
      </w:pPr>
    </w:p>
    <w:p>
      <w:pPr>
        <w:ind w:right="3399" w:firstLine="10"/>
        <w:spacing w:after="0" w:line="235" w:lineRule="auto"/>
        <w:tabs>
          <w:tab w:leader="none" w:pos="4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Client nor Broker shall file or record any instrument or document relative to this Agreement in any public records except as may be required by the federal securities laws.</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The amount or rate of real estate commissions is not fixed by law. They are set by each Broker individually and may be negotiable between the Client and the Broker.</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subject to Section 46a-64 of the Connecticut</w:t>
      </w:r>
    </w:p>
    <w:p>
      <w:pPr>
        <w:spacing w:after="0" w:line="4" w:lineRule="exact"/>
        <w:rPr>
          <w:rFonts w:ascii="Courier New" w:cs="Courier New" w:eastAsia="Courier New" w:hAnsi="Courier New"/>
          <w:sz w:val="15"/>
          <w:szCs w:val="15"/>
          <w:color w:val="auto"/>
        </w:rPr>
      </w:pPr>
    </w:p>
    <w:p>
      <w:pPr>
        <w:ind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General Statutes, as amended, and governed by and construed in accordance with the laws of the State of Connecticut.</w:t>
      </w:r>
    </w:p>
    <w:p>
      <w:pPr>
        <w:spacing w:after="0" w:line="173" w:lineRule="exact"/>
        <w:rPr>
          <w:rFonts w:ascii="Courier New" w:cs="Courier New" w:eastAsia="Courier New" w:hAnsi="Courier New"/>
          <w:sz w:val="15"/>
          <w:szCs w:val="15"/>
          <w:color w:val="auto"/>
        </w:rPr>
      </w:pPr>
    </w:p>
    <w:p>
      <w:pPr>
        <w:ind w:right="3239" w:firstLine="10"/>
        <w:spacing w:after="0" w:line="235" w:lineRule="auto"/>
        <w:tabs>
          <w:tab w:leader="none" w:pos="4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heirs, transferees, successors, and assigns of the parties hereof shall be duly bound by the provisions hereof, provided Broker may not assign or otherwise transfer its right or obligation hereunder.</w:t>
      </w:r>
    </w:p>
    <w:p>
      <w:pPr>
        <w:spacing w:after="0" w:line="173" w:lineRule="exact"/>
        <w:rPr>
          <w:rFonts w:ascii="Courier New" w:cs="Courier New" w:eastAsia="Courier New" w:hAnsi="Courier New"/>
          <w:sz w:val="15"/>
          <w:szCs w:val="15"/>
          <w:color w:val="auto"/>
        </w:rPr>
      </w:pPr>
    </w:p>
    <w:p>
      <w:pPr>
        <w:ind w:right="3239" w:firstLine="10"/>
        <w:spacing w:after="0" w:line="234" w:lineRule="auto"/>
        <w:tabs>
          <w:tab w:leader="none" w:pos="4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the Agreement shall be governed by and construed in accordance with the laws of the State of Maryland.</w:t>
      </w:r>
    </w:p>
    <w:p>
      <w:pPr>
        <w:spacing w:after="0" w:line="173" w:lineRule="exact"/>
        <w:rPr>
          <w:rFonts w:ascii="Courier New" w:cs="Courier New" w:eastAsia="Courier New" w:hAnsi="Courier New"/>
          <w:sz w:val="15"/>
          <w:szCs w:val="15"/>
          <w:color w:val="auto"/>
        </w:rPr>
      </w:pPr>
    </w:p>
    <w:p>
      <w:pPr>
        <w:ind w:right="3679" w:firstLine="10"/>
        <w:spacing w:after="0" w:line="235" w:lineRule="auto"/>
        <w:tabs>
          <w:tab w:leader="none" w:pos="43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executed in counterparts, each of which shall be deemed to be an original and shall together constitute one and the same instrument.</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IN WITNESS WHEREOF, the parties have duly executed this Agreement as of the day and year first above stated.</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CLIENT:</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STREET RETAIL, INC.</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By: /s/ Ron D. Kaplan</w:t>
      </w:r>
    </w:p>
    <w:p>
      <w:pPr>
        <w:ind w:left="1140"/>
        <w:spacing w:after="0" w:line="237" w:lineRule="auto"/>
        <w:rPr>
          <w:sz w:val="20"/>
          <w:szCs w:val="20"/>
          <w:color w:val="auto"/>
        </w:rPr>
      </w:pPr>
      <w:r>
        <w:rPr>
          <w:rFonts w:ascii="Courier New" w:cs="Courier New" w:eastAsia="Courier New" w:hAnsi="Courier New"/>
          <w:sz w:val="15"/>
          <w:szCs w:val="15"/>
          <w:color w:val="auto"/>
        </w:rPr>
        <w:t>________________________________</w:t>
      </w:r>
    </w:p>
    <w:p>
      <w:pPr>
        <w:ind w:left="1140"/>
        <w:spacing w:after="0" w:line="238" w:lineRule="auto"/>
        <w:rPr>
          <w:sz w:val="20"/>
          <w:szCs w:val="20"/>
          <w:color w:val="auto"/>
        </w:rPr>
      </w:pPr>
      <w:r>
        <w:rPr>
          <w:rFonts w:ascii="Courier New" w:cs="Courier New" w:eastAsia="Courier New" w:hAnsi="Courier New"/>
          <w:sz w:val="15"/>
          <w:szCs w:val="15"/>
          <w:color w:val="auto"/>
        </w:rPr>
        <w:t>Ron D. Kaplan</w:t>
      </w:r>
    </w:p>
    <w:p>
      <w:pPr>
        <w:ind w:left="1140"/>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BROKER:</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WESTPORT ADVISORS CORPORATION</w:t>
      </w:r>
    </w:p>
    <w:p>
      <w:pPr>
        <w:spacing w:after="0" w:line="33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By: /s/ Jack Alan Guttman</w:t>
      </w:r>
    </w:p>
    <w:p>
      <w:pPr>
        <w:ind w:left="1140"/>
        <w:spacing w:after="0" w:line="237" w:lineRule="auto"/>
        <w:rPr>
          <w:sz w:val="20"/>
          <w:szCs w:val="20"/>
          <w:color w:val="auto"/>
        </w:rPr>
      </w:pPr>
      <w:r>
        <w:rPr>
          <w:rFonts w:ascii="Courier New" w:cs="Courier New" w:eastAsia="Courier New" w:hAnsi="Courier New"/>
          <w:sz w:val="15"/>
          <w:szCs w:val="15"/>
          <w:color w:val="auto"/>
        </w:rPr>
        <w:t>_______________________________</w:t>
      </w:r>
    </w:p>
    <w:p>
      <w:pPr>
        <w:ind w:left="1140"/>
        <w:spacing w:after="0" w:line="238" w:lineRule="auto"/>
        <w:rPr>
          <w:sz w:val="20"/>
          <w:szCs w:val="20"/>
          <w:color w:val="auto"/>
        </w:rPr>
      </w:pPr>
      <w:r>
        <w:rPr>
          <w:rFonts w:ascii="Courier New" w:cs="Courier New" w:eastAsia="Courier New" w:hAnsi="Courier New"/>
          <w:sz w:val="15"/>
          <w:szCs w:val="15"/>
          <w:color w:val="auto"/>
        </w:rPr>
        <w:t>Jack Alan Guttman</w:t>
      </w:r>
    </w:p>
    <w:p>
      <w:pPr>
        <w:ind w:left="1140"/>
        <w:spacing w:after="0" w:line="237" w:lineRule="auto"/>
        <w:rPr>
          <w:sz w:val="20"/>
          <w:szCs w:val="20"/>
          <w:color w:val="auto"/>
        </w:rPr>
      </w:pPr>
      <w:r>
        <w:rPr>
          <w:rFonts w:ascii="Courier New" w:cs="Courier New" w:eastAsia="Courier New" w:hAnsi="Courier New"/>
          <w:sz w:val="15"/>
          <w:szCs w:val="15"/>
          <w:color w:val="auto"/>
        </w:rPr>
        <w:t>President</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JACK ALAN GUTTMAN</w:t>
      </w:r>
    </w:p>
    <w:p>
      <w:pPr>
        <w:spacing w:after="0" w:line="16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 Jack Alan Guttman</w:t>
      </w:r>
    </w:p>
    <w:p>
      <w:pPr>
        <w:ind w:left="880"/>
        <w:spacing w:after="0" w:line="237" w:lineRule="auto"/>
        <w:rPr>
          <w:sz w:val="20"/>
          <w:szCs w:val="20"/>
          <w:color w:val="auto"/>
        </w:rPr>
      </w:pPr>
      <w:r>
        <w:rPr>
          <w:rFonts w:ascii="Courier New" w:cs="Courier New" w:eastAsia="Courier New" w:hAnsi="Courier New"/>
          <w:sz w:val="15"/>
          <w:szCs w:val="15"/>
          <w:color w:val="auto"/>
        </w:rPr>
        <w:t>__________________________________</w:t>
      </w:r>
    </w:p>
    <w:p>
      <w:pPr>
        <w:sectPr>
          <w:pgSz w:w="11900" w:h="16838" w:orient="portrait"/>
          <w:cols w:equalWidth="0" w:num="1">
            <w:col w:w="10239"/>
          </w:cols>
          <w:pgMar w:left="220" w:top="617" w:right="1440" w:bottom="1440" w:gutter="0" w:footer="0" w:header="0"/>
        </w:sectPr>
      </w:pPr>
    </w:p>
    <w:bookmarkStart w:id="33" w:name="page34"/>
    <w:bookmarkEnd w:id="33"/>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479"/>
        <w:spacing w:after="0" w:line="236"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Balance Sheet of Federal Realty Investment Trust as of September 30,, 1995 and the related consolidated statement of operations for the nine months ended September 30, 1995 and is qualified in its entirety by reference to such financial statements.</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ind w:left="2280"/>
        <w:spacing w:after="0" w:line="237" w:lineRule="auto"/>
        <w:rPr>
          <w:sz w:val="20"/>
          <w:szCs w:val="20"/>
          <w:color w:val="auto"/>
        </w:rPr>
      </w:pPr>
      <w:r>
        <w:rPr>
          <w:rFonts w:ascii="Courier New" w:cs="Courier New" w:eastAsia="Courier New" w:hAnsi="Courier New"/>
          <w:sz w:val="15"/>
          <w:szCs w:val="15"/>
          <w:color w:val="auto"/>
        </w:rPr>
        <w:t>DEC-31-1995</w:t>
      </w:r>
    </w:p>
    <w:p>
      <w:pPr>
        <w:ind w:left="2720"/>
        <w:spacing w:after="0" w:line="238" w:lineRule="auto"/>
        <w:rPr>
          <w:sz w:val="20"/>
          <w:szCs w:val="20"/>
          <w:color w:val="auto"/>
        </w:rPr>
      </w:pPr>
      <w:r>
        <w:rPr>
          <w:rFonts w:ascii="Courier New" w:cs="Courier New" w:eastAsia="Courier New" w:hAnsi="Courier New"/>
          <w:sz w:val="15"/>
          <w:szCs w:val="15"/>
          <w:color w:val="auto"/>
        </w:rPr>
        <w:t>SEP-30-1995</w:t>
      </w:r>
    </w:p>
    <w:p>
      <w:pPr>
        <w:ind w:left="3680"/>
        <w:spacing w:after="0" w:line="237" w:lineRule="auto"/>
        <w:rPr>
          <w:sz w:val="20"/>
          <w:szCs w:val="20"/>
          <w:color w:val="auto"/>
        </w:rPr>
      </w:pPr>
      <w:r>
        <w:rPr>
          <w:rFonts w:ascii="Courier New" w:cs="Courier New" w:eastAsia="Courier New" w:hAnsi="Courier New"/>
          <w:sz w:val="15"/>
          <w:szCs w:val="15"/>
          <w:color w:val="auto"/>
        </w:rPr>
        <w:t>$3,431</w:t>
      </w:r>
    </w:p>
    <w:p>
      <w:pPr>
        <w:ind w:left="3240"/>
        <w:spacing w:after="0" w:line="238" w:lineRule="auto"/>
        <w:rPr>
          <w:sz w:val="20"/>
          <w:szCs w:val="20"/>
          <w:color w:val="auto"/>
        </w:rPr>
      </w:pPr>
      <w:r>
        <w:rPr>
          <w:rFonts w:ascii="Courier New" w:cs="Courier New" w:eastAsia="Courier New" w:hAnsi="Courier New"/>
          <w:sz w:val="15"/>
          <w:szCs w:val="15"/>
          <w:color w:val="auto"/>
        </w:rPr>
        <w:t>3,744</w:t>
      </w:r>
    </w:p>
    <w:p>
      <w:pPr>
        <w:ind w:left="3080"/>
        <w:spacing w:after="0" w:line="237" w:lineRule="auto"/>
        <w:rPr>
          <w:sz w:val="20"/>
          <w:szCs w:val="20"/>
          <w:color w:val="auto"/>
        </w:rPr>
      </w:pPr>
      <w:r>
        <w:rPr>
          <w:rFonts w:ascii="Courier New" w:cs="Courier New" w:eastAsia="Courier New" w:hAnsi="Courier New"/>
          <w:sz w:val="15"/>
          <w:szCs w:val="15"/>
          <w:color w:val="auto"/>
        </w:rPr>
        <w:t>14,340</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600"/>
        <w:spacing w:after="0" w:line="238" w:lineRule="auto"/>
        <w:rPr>
          <w:sz w:val="20"/>
          <w:szCs w:val="20"/>
          <w:color w:val="auto"/>
        </w:rPr>
      </w:pPr>
      <w:r>
        <w:rPr>
          <w:rFonts w:ascii="Courier New" w:cs="Courier New" w:eastAsia="Courier New" w:hAnsi="Courier New"/>
          <w:sz w:val="15"/>
          <w:szCs w:val="15"/>
          <w:color w:val="auto"/>
        </w:rPr>
        <w:t>962,473</w:t>
      </w:r>
    </w:p>
    <w:p>
      <w:pPr>
        <w:jc w:val="center"/>
        <w:ind w:right="3839"/>
        <w:spacing w:after="0" w:line="237" w:lineRule="auto"/>
        <w:rPr>
          <w:sz w:val="20"/>
          <w:szCs w:val="20"/>
          <w:color w:val="auto"/>
        </w:rPr>
      </w:pPr>
      <w:r>
        <w:rPr>
          <w:rFonts w:ascii="Courier New" w:cs="Courier New" w:eastAsia="Courier New" w:hAnsi="Courier New"/>
          <w:sz w:val="15"/>
          <w:szCs w:val="15"/>
          <w:color w:val="auto"/>
        </w:rPr>
        <w:t>(182,737)</w:t>
      </w:r>
    </w:p>
    <w:p>
      <w:pPr>
        <w:jc w:val="center"/>
        <w:ind w:right="3839"/>
        <w:spacing w:after="0" w:line="238" w:lineRule="auto"/>
        <w:rPr>
          <w:sz w:val="20"/>
          <w:szCs w:val="20"/>
          <w:color w:val="auto"/>
        </w:rPr>
      </w:pPr>
      <w:r>
        <w:rPr>
          <w:rFonts w:ascii="Courier New" w:cs="Courier New" w:eastAsia="Courier New" w:hAnsi="Courier New"/>
          <w:sz w:val="15"/>
          <w:szCs w:val="15"/>
          <w:color w:val="auto"/>
        </w:rPr>
        <w:t>842,707</w:t>
      </w:r>
    </w:p>
    <w:p>
      <w:pPr>
        <w:ind w:left="2800"/>
        <w:spacing w:after="0" w:line="237" w:lineRule="auto"/>
        <w:rPr>
          <w:sz w:val="20"/>
          <w:szCs w:val="20"/>
          <w:color w:val="auto"/>
        </w:rPr>
      </w:pPr>
      <w:r>
        <w:rPr>
          <w:rFonts w:ascii="Courier New" w:cs="Courier New" w:eastAsia="Courier New" w:hAnsi="Courier New"/>
          <w:sz w:val="15"/>
          <w:szCs w:val="15"/>
          <w:color w:val="auto"/>
        </w:rPr>
        <w:t>0</w:t>
      </w:r>
    </w:p>
    <w:p>
      <w:pPr>
        <w:ind w:left="3500"/>
        <w:spacing w:after="0" w:line="238" w:lineRule="auto"/>
        <w:rPr>
          <w:sz w:val="20"/>
          <w:szCs w:val="20"/>
          <w:color w:val="auto"/>
        </w:rPr>
      </w:pPr>
      <w:r>
        <w:rPr>
          <w:rFonts w:ascii="Courier New" w:cs="Courier New" w:eastAsia="Courier New" w:hAnsi="Courier New"/>
          <w:sz w:val="15"/>
          <w:szCs w:val="15"/>
          <w:color w:val="auto"/>
        </w:rPr>
        <w:t>468,999</w:t>
      </w:r>
    </w:p>
    <w:p>
      <w:pPr>
        <w:ind w:left="3420"/>
        <w:spacing w:after="0" w:line="237" w:lineRule="auto"/>
        <w:rPr>
          <w:sz w:val="20"/>
          <w:szCs w:val="20"/>
          <w:color w:val="auto"/>
        </w:rPr>
      </w:pPr>
      <w:r>
        <w:rPr>
          <w:rFonts w:ascii="Courier New" w:cs="Courier New" w:eastAsia="Courier New" w:hAnsi="Courier New"/>
          <w:sz w:val="15"/>
          <w:szCs w:val="15"/>
          <w:color w:val="auto"/>
        </w:rPr>
        <w:t>507,815</w:t>
      </w:r>
    </w:p>
    <w:p>
      <w:pPr>
        <w:ind w:left="28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7" w:lineRule="auto"/>
        <w:rPr>
          <w:sz w:val="20"/>
          <w:szCs w:val="20"/>
          <w:color w:val="auto"/>
        </w:rPr>
      </w:pPr>
      <w:r>
        <w:rPr>
          <w:rFonts w:ascii="Courier New" w:cs="Courier New" w:eastAsia="Courier New" w:hAnsi="Courier New"/>
          <w:sz w:val="15"/>
          <w:szCs w:val="15"/>
          <w:color w:val="auto"/>
        </w:rPr>
        <w:t>(173,580)</w:t>
      </w:r>
    </w:p>
    <w:p>
      <w:pPr>
        <w:ind w:left="1680"/>
        <w:spacing w:after="0" w:line="238" w:lineRule="auto"/>
        <w:rPr>
          <w:sz w:val="20"/>
          <w:szCs w:val="20"/>
          <w:color w:val="auto"/>
        </w:rPr>
      </w:pPr>
      <w:r>
        <w:rPr>
          <w:rFonts w:ascii="Courier New" w:cs="Courier New" w:eastAsia="Courier New" w:hAnsi="Courier New"/>
          <w:sz w:val="15"/>
          <w:szCs w:val="15"/>
          <w:color w:val="auto"/>
        </w:rPr>
        <w:t>842,707</w:t>
      </w:r>
    </w:p>
    <w:p>
      <w:pPr>
        <w:ind w:left="4040"/>
        <w:spacing w:after="0" w:line="237" w:lineRule="auto"/>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109,840</w:t>
      </w:r>
    </w:p>
    <w:p>
      <w:pPr>
        <w:ind w:left="4200"/>
        <w:spacing w:after="0" w:line="237" w:lineRule="auto"/>
        <w:rPr>
          <w:sz w:val="20"/>
          <w:szCs w:val="20"/>
          <w:color w:val="auto"/>
        </w:rPr>
      </w:pPr>
      <w:r>
        <w:rPr>
          <w:rFonts w:ascii="Courier New" w:cs="Courier New" w:eastAsia="Courier New" w:hAnsi="Courier New"/>
          <w:sz w:val="15"/>
          <w:szCs w:val="15"/>
          <w:color w:val="auto"/>
        </w:rPr>
        <w:t>0</w:t>
      </w:r>
    </w:p>
    <w:p>
      <w:pPr>
        <w:ind w:left="3080"/>
        <w:spacing w:after="0" w:line="238" w:lineRule="auto"/>
        <w:rPr>
          <w:sz w:val="20"/>
          <w:szCs w:val="20"/>
          <w:color w:val="auto"/>
        </w:rPr>
      </w:pPr>
      <w:r>
        <w:rPr>
          <w:rFonts w:ascii="Courier New" w:cs="Courier New" w:eastAsia="Courier New" w:hAnsi="Courier New"/>
          <w:sz w:val="15"/>
          <w:szCs w:val="15"/>
          <w:color w:val="auto"/>
        </w:rPr>
        <w:t>35,763</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640"/>
        <w:spacing w:after="0" w:line="238" w:lineRule="auto"/>
        <w:rPr>
          <w:sz w:val="20"/>
          <w:szCs w:val="20"/>
          <w:color w:val="auto"/>
        </w:rPr>
      </w:pPr>
      <w:r>
        <w:rPr>
          <w:rFonts w:ascii="Courier New" w:cs="Courier New" w:eastAsia="Courier New" w:hAnsi="Courier New"/>
          <w:sz w:val="15"/>
          <w:szCs w:val="15"/>
          <w:color w:val="auto"/>
        </w:rPr>
        <w:t>28,814</w:t>
      </w:r>
    </w:p>
    <w:p>
      <w:pPr>
        <w:ind w:left="2900"/>
        <w:spacing w:after="0" w:line="237" w:lineRule="auto"/>
        <w:rPr>
          <w:sz w:val="20"/>
          <w:szCs w:val="20"/>
          <w:color w:val="auto"/>
        </w:rPr>
      </w:pPr>
      <w:r>
        <w:rPr>
          <w:rFonts w:ascii="Courier New" w:cs="Courier New" w:eastAsia="Courier New" w:hAnsi="Courier New"/>
          <w:sz w:val="15"/>
          <w:szCs w:val="15"/>
          <w:color w:val="auto"/>
        </w:rPr>
        <w:t>17,744</w:t>
      </w:r>
    </w:p>
    <w:p>
      <w:pPr>
        <w:ind w:left="3600"/>
        <w:spacing w:after="0" w:line="238" w:lineRule="auto"/>
        <w:rPr>
          <w:sz w:val="20"/>
          <w:szCs w:val="20"/>
          <w:color w:val="auto"/>
        </w:rPr>
      </w:pPr>
      <w:r>
        <w:rPr>
          <w:rFonts w:ascii="Courier New" w:cs="Courier New" w:eastAsia="Courier New" w:hAnsi="Courier New"/>
          <w:sz w:val="15"/>
          <w:szCs w:val="15"/>
          <w:color w:val="auto"/>
        </w:rPr>
        <w:t>0</w:t>
      </w:r>
    </w:p>
    <w:p>
      <w:pPr>
        <w:ind w:left="2980"/>
        <w:spacing w:after="0" w:line="237" w:lineRule="auto"/>
        <w:rPr>
          <w:sz w:val="20"/>
          <w:szCs w:val="20"/>
          <w:color w:val="auto"/>
        </w:rPr>
      </w:pPr>
      <w:r>
        <w:rPr>
          <w:rFonts w:ascii="Courier New" w:cs="Courier New" w:eastAsia="Courier New" w:hAnsi="Courier New"/>
          <w:sz w:val="15"/>
          <w:szCs w:val="15"/>
          <w:color w:val="auto"/>
        </w:rPr>
        <w:t>0</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17,744</w:t>
      </w:r>
    </w:p>
    <w:p>
      <w:pPr>
        <w:ind w:left="3340"/>
        <w:spacing w:after="0" w:line="237" w:lineRule="auto"/>
        <w:rPr>
          <w:sz w:val="20"/>
          <w:szCs w:val="20"/>
          <w:color w:val="auto"/>
        </w:rPr>
      </w:pPr>
      <w:r>
        <w:rPr>
          <w:rFonts w:ascii="Courier New" w:cs="Courier New" w:eastAsia="Courier New" w:hAnsi="Courier New"/>
          <w:sz w:val="15"/>
          <w:szCs w:val="15"/>
          <w:color w:val="auto"/>
        </w:rPr>
        <w:t>.56</w:t>
      </w:r>
    </w:p>
    <w:p>
      <w:pPr>
        <w:ind w:left="3500"/>
        <w:spacing w:after="0" w:line="238" w:lineRule="auto"/>
        <w:rPr>
          <w:sz w:val="20"/>
          <w:szCs w:val="20"/>
          <w:color w:val="auto"/>
        </w:rPr>
      </w:pPr>
      <w:r>
        <w:rPr>
          <w:rFonts w:ascii="Courier New" w:cs="Courier New" w:eastAsia="Courier New" w:hAnsi="Courier New"/>
          <w:sz w:val="15"/>
          <w:szCs w:val="15"/>
          <w:color w:val="auto"/>
        </w:rPr>
        <w:t>0</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Current assets and current liabilities are not listed since Federal Realty does not prepare a classified balance sheet.</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2)"/>
      <w:numFmt w:val="decimal"/>
      <w:start w:val="30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upperLetter"/>
      <w:start w:val="1"/>
    </w:lvl>
  </w:abstractNum>
  <w:abstractNum w:abstractNumId="3">
    <w:nsid w:val="140E0F76"/>
    <w:multiLevelType w:val="hybridMultilevel"/>
    <w:lvl w:ilvl="0">
      <w:lvlJc w:val="left"/>
      <w:lvlText w:val="%1."/>
      <w:numFmt w:val="upperLetter"/>
      <w:start w:val="2"/>
    </w:lvl>
  </w:abstractNum>
  <w:abstractNum w:abstractNumId="4">
    <w:nsid w:val="3352255A"/>
    <w:multiLevelType w:val="hybridMultilevel"/>
    <w:lvl w:ilvl="0">
      <w:lvlJc w:val="left"/>
      <w:lvlText w:val="%1."/>
      <w:numFmt w:val="decimal"/>
      <w:start w:val="1"/>
    </w:lvl>
    <w:lvl w:ilvl="1">
      <w:lvlJc w:val="left"/>
      <w:lvlText w:val="%2)"/>
      <w:numFmt w:val="lowerLetter"/>
      <w:start w:val="1"/>
    </w:lvl>
  </w:abstractNum>
  <w:abstractNum w:abstractNumId="5">
    <w:nsid w:val="109CF92E"/>
    <w:multiLevelType w:val="hybridMultilevel"/>
    <w:lvl w:ilvl="0">
      <w:lvlJc w:val="left"/>
      <w:lvlText w:val="%1."/>
      <w:numFmt w:val="decimal"/>
      <w:start w:val="5"/>
    </w:lvl>
    <w:lvl w:ilvl="1">
      <w:lvlJc w:val="left"/>
      <w:lvlText w:val="%2)"/>
      <w:numFmt w:val="lowerLetter"/>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decimal"/>
      <w:start w:val="7"/>
    </w:lvl>
  </w:abstractNum>
  <w:abstractNum w:abstractNumId="8">
    <w:nsid w:val="1BEFD79F"/>
    <w:multiLevelType w:val="hybridMultilevel"/>
    <w:lvl w:ilvl="0">
      <w:lvlJc w:val="left"/>
      <w:lvlText w:val="%1."/>
      <w:numFmt w:val="decimal"/>
      <w:start w:val="8"/>
    </w:lvl>
  </w:abstractNum>
  <w:abstractNum w:abstractNumId="9">
    <w:nsid w:val="41A7C4C9"/>
    <w:multiLevelType w:val="hybridMultilevel"/>
    <w:lvl w:ilvl="0">
      <w:lvlJc w:val="left"/>
      <w:lvlText w:val="%1."/>
      <w:numFmt w:val="decimal"/>
      <w:start w:val="9"/>
    </w:lvl>
  </w:abstractNum>
  <w:abstractNum w:abstractNumId="10">
    <w:nsid w:val="6B68079A"/>
    <w:multiLevelType w:val="hybridMultilevel"/>
    <w:lvl w:ilvl="0">
      <w:lvlJc w:val="left"/>
      <w:lvlText w:val="%1."/>
      <w:numFmt w:val="decimal"/>
      <w:start w:val="12"/>
    </w:lvl>
  </w:abstractNum>
  <w:abstractNum w:abstractNumId="11">
    <w:nsid w:val="4E6AFB66"/>
    <w:multiLevelType w:val="hybridMultilevel"/>
    <w:lvl w:ilvl="0">
      <w:lvlJc w:val="left"/>
      <w:lvlText w:val="%1."/>
      <w:numFmt w:val="decimal"/>
      <w:start w:val="13"/>
    </w:lvl>
  </w:abstractNum>
  <w:abstractNum w:abstractNumId="12">
    <w:nsid w:val="25E45D32"/>
    <w:multiLevelType w:val="hybridMultilevel"/>
    <w:lvl w:ilvl="0">
      <w:lvlJc w:val="left"/>
      <w:lvlText w:val="%1."/>
      <w:numFmt w:val="decimal"/>
      <w:start w:val="1"/>
    </w:lvl>
    <w:lvl w:ilvl="1">
      <w:lvlJc w:val="left"/>
      <w:lvlText w:val="%2)"/>
      <w:numFmt w:val="lowerLetter"/>
      <w:start w:val="1"/>
    </w:lvl>
  </w:abstractNum>
  <w:abstractNum w:abstractNumId="13">
    <w:nsid w:val="519B500D"/>
    <w:multiLevelType w:val="hybridMultilevel"/>
    <w:lvl w:ilvl="0">
      <w:lvlJc w:val="left"/>
      <w:lvlText w:val="%1."/>
      <w:numFmt w:val="decimal"/>
      <w:start w:val="5"/>
    </w:lvl>
    <w:lvl w:ilvl="1">
      <w:lvlJc w:val="left"/>
      <w:lvlText w:val="%2)"/>
      <w:numFmt w:val="lowerLetter"/>
      <w:start w:val="1"/>
    </w:lvl>
  </w:abstractNum>
  <w:abstractNum w:abstractNumId="14">
    <w:nsid w:val="431BD7B7"/>
    <w:multiLevelType w:val="hybridMultilevel"/>
    <w:lvl w:ilvl="0">
      <w:lvlJc w:val="left"/>
      <w:lvlText w:val="(%1)"/>
      <w:numFmt w:val="lowerRoman"/>
      <w:start w:val="3"/>
    </w:lvl>
  </w:abstractNum>
  <w:abstractNum w:abstractNumId="15">
    <w:nsid w:val="3F2DBA31"/>
    <w:multiLevelType w:val="hybridMultilevel"/>
    <w:lvl w:ilvl="0">
      <w:lvlJc w:val="left"/>
      <w:lvlText w:val="%1."/>
      <w:numFmt w:val="decimal"/>
      <w:start w:val="7"/>
    </w:lvl>
  </w:abstractNum>
  <w:abstractNum w:abstractNumId="16">
    <w:nsid w:val="7C83E458"/>
    <w:multiLevelType w:val="hybridMultilevel"/>
    <w:lvl w:ilvl="0">
      <w:lvlJc w:val="left"/>
      <w:lvlText w:val="%1."/>
      <w:numFmt w:val="decimal"/>
      <w:start w:val="9"/>
    </w:lvl>
  </w:abstractNum>
  <w:abstractNum w:abstractNumId="17">
    <w:nsid w:val="257130A3"/>
    <w:multiLevelType w:val="hybridMultilevel"/>
    <w:lvl w:ilvl="0">
      <w:lvlJc w:val="left"/>
      <w:lvlText w:val="%1."/>
      <w:numFmt w:val="decimal"/>
      <w:start w:val="11"/>
    </w:lvl>
  </w:abstractNum>
  <w:abstractNum w:abstractNumId="18">
    <w:nsid w:val="62BBD95A"/>
    <w:multiLevelType w:val="hybridMultilevel"/>
    <w:lvl w:ilvl="0">
      <w:lvlJc w:val="left"/>
      <w:lvlText w:val="%1."/>
      <w:numFmt w:val="decimal"/>
      <w:start w:val="12"/>
    </w:lvl>
  </w:abstractNum>
  <w:abstractNum w:abstractNumId="19">
    <w:nsid w:val="436C6125"/>
    <w:multiLevelType w:val="hybridMultilevel"/>
    <w:lvl w:ilvl="0">
      <w:lvlJc w:val="left"/>
      <w:lvlText w:val="%1."/>
      <w:numFmt w:val="decimal"/>
      <w:start w:val="13"/>
    </w:lvl>
  </w:abstractNum>
  <w:abstractNum w:abstractNumId="20">
    <w:nsid w:val="628C895D"/>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2019-12-13T00:57:46Z</dcterms:created>
  <dcterms:modified xsi:type="dcterms:W3CDTF">2019-12-13T00:57:46Z</dcterms:modified>
</cp:coreProperties>
</file>