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7,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Mark Rakip</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Kevin Woody</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Re: Federal Realty Investment Trust (the “Company”)</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Form 10-K for Fiscal Year Ended December 31, 2008</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Filed February 26, 2009</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File No. 1-07533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This letter responds to your letter dated April 6, 2009, providing comments relating to the Company’s Form 10-K for the fiscal year ended December 31, 2008. In order to facilitate the Staff’s review of this letter, we have restated each of your numbered comments below and have included the Company’s response underneath each comment.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2008</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1:</w:t>
      </w:r>
    </w:p>
    <w:p>
      <w:pPr>
        <w:spacing w:after="0" w:line="90" w:lineRule="exact"/>
        <w:rPr>
          <w:sz w:val="24"/>
          <w:szCs w:val="24"/>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We note general counsel’s affirmation regarding the company’s awareness of its obligations under the Securities Act of 1933 and the Exchange Act of 1934 and the representations which followed. Please provide to us the same representations from the company, signed by an appropriate officer of the company.</w:t>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The requested representations are included at the end of this letter.</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Contractual Commitments, Page 51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2:</w:t>
      </w:r>
    </w:p>
    <w:p>
      <w:pPr>
        <w:spacing w:after="0" w:line="90" w:lineRule="exact"/>
        <w:rPr>
          <w:sz w:val="24"/>
          <w:szCs w:val="24"/>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We have reviewed your response to comment number six. We continue to believe that interest payments related to your fixed rate debt is a contractual obligation of the company that should be included within the table of contractual obligations. In future filings, please revise your table to appropriately include these amounts.</w:t>
      </w:r>
    </w:p>
    <w:p>
      <w:pPr>
        <w:sectPr>
          <w:pgSz w:w="11900" w:h="16838" w:orient="portrait"/>
          <w:cols w:equalWidth="0" w:num="1">
            <w:col w:w="11380"/>
          </w:cols>
          <w:pgMar w:left="240" w:top="23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future filings, the Company will include interest payments related to fixed rate debt within the table of contractual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and Item 15(a)(1) and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Cash Flows, page F-8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3:</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We note your response to prior comment seven. In future filings, please expand the disclosures within your </w:t>
      </w:r>
      <w:r>
        <w:rPr>
          <w:rFonts w:ascii="Arial" w:cs="Arial" w:eastAsia="Arial" w:hAnsi="Arial"/>
          <w:sz w:val="18"/>
          <w:szCs w:val="18"/>
          <w:b w:val="1"/>
          <w:bCs w:val="1"/>
          <w:i w:val="1"/>
          <w:iCs w:val="1"/>
          <w:color w:val="auto"/>
        </w:rPr>
        <w:t>Summary of Significant Accounting Policies</w:t>
      </w:r>
      <w:r>
        <w:rPr>
          <w:rFonts w:ascii="Arial" w:cs="Arial" w:eastAsia="Arial" w:hAnsi="Arial"/>
          <w:sz w:val="18"/>
          <w:szCs w:val="18"/>
          <w:b w:val="1"/>
          <w:bCs w:val="1"/>
          <w:color w:val="auto"/>
        </w:rPr>
        <w:t xml:space="preserve"> to include a separate accounting policy noting the classification of leasing costs in your consolidated statements of cash flows and specifically identify the nature and types of leasing costs included in investing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 xml:space="preserve">In future filings, the Company will expand its disclosures within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to include a discussion of the classification of leasing costs as an investment activity in the consolidated statements of cash flows and identify the nature and types of costs classified as leasing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(301) 998-8166.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5" w:lineRule="exact"/>
        <w:rPr>
          <w:sz w:val="20"/>
          <w:szCs w:val="20"/>
          <w:color w:val="auto"/>
        </w:rPr>
      </w:pPr>
    </w:p>
    <w:p>
      <w:pPr>
        <w:ind w:left="360" w:right="7200" w:hanging="352"/>
        <w:spacing w:after="0" w:line="26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Eric M. Green, Pillsbury Winthrop Shaw Pittman LLP Kirk Rogers, Grant Thornton</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2019-12-10T00:01:57Z</dcterms:created>
  <dcterms:modified xsi:type="dcterms:W3CDTF">2019-12-10T00:01:57Z</dcterms:modified>
</cp:coreProperties>
</file>