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As filed with the Securities and Exchange Commission on June 27, 2001</w:t>
      </w:r>
    </w:p>
    <w:p>
      <w:pPr>
        <w:spacing w:after="0" w:line="175" w:lineRule="exact"/>
        <w:rPr>
          <w:sz w:val="24"/>
          <w:szCs w:val="24"/>
          <w:color w:val="auto"/>
        </w:rPr>
      </w:pPr>
    </w:p>
    <w:p>
      <w:pPr>
        <w:ind w:left="4340"/>
        <w:spacing w:after="0"/>
        <w:rPr>
          <w:sz w:val="20"/>
          <w:szCs w:val="20"/>
          <w:color w:val="auto"/>
        </w:rPr>
      </w:pPr>
      <w:r>
        <w:rPr>
          <w:rFonts w:ascii="Courier New" w:cs="Courier New" w:eastAsia="Courier New" w:hAnsi="Courier New"/>
          <w:sz w:val="14"/>
          <w:szCs w:val="14"/>
          <w:color w:val="auto"/>
        </w:rPr>
        <w:t>Registration No. 333-_________</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ind w:left="2440"/>
        <w:spacing w:after="0"/>
        <w:tabs>
          <w:tab w:leader="none" w:pos="3980" w:val="left"/>
        </w:tabs>
        <w:rPr>
          <w:sz w:val="20"/>
          <w:szCs w:val="20"/>
          <w:color w:val="auto"/>
        </w:rPr>
      </w:pPr>
      <w:r>
        <w:rPr>
          <w:rFonts w:ascii="Courier New" w:cs="Courier New" w:eastAsia="Courier New" w:hAnsi="Courier New"/>
          <w:sz w:val="14"/>
          <w:szCs w:val="14"/>
          <w:color w:val="auto"/>
        </w:rPr>
        <w:t>Washington, D.C.</w:t>
        <w:tab/>
        <w:t>20549</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__________________</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FORM S-8</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UNDER</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THE SECURITIES ACT OF 1933</w:t>
      </w:r>
    </w:p>
    <w:p>
      <w:pPr>
        <w:spacing w:after="0" w:line="175"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5" w:lineRule="exact"/>
        <w:rPr>
          <w:sz w:val="24"/>
          <w:szCs w:val="24"/>
          <w:color w:val="auto"/>
        </w:rPr>
      </w:pPr>
    </w:p>
    <w:p>
      <w:pPr>
        <w:ind w:left="880"/>
        <w:spacing w:after="0"/>
        <w:tabs>
          <w:tab w:leader="none" w:pos="4840" w:val="left"/>
        </w:tabs>
        <w:rPr>
          <w:sz w:val="20"/>
          <w:szCs w:val="20"/>
          <w:color w:val="auto"/>
        </w:rPr>
      </w:pPr>
      <w:r>
        <w:rPr>
          <w:rFonts w:ascii="Courier New" w:cs="Courier New" w:eastAsia="Courier New" w:hAnsi="Courier New"/>
          <w:sz w:val="14"/>
          <w:szCs w:val="14"/>
          <w:color w:val="auto"/>
        </w:rPr>
        <w:t>Maryland</w:t>
      </w:r>
      <w:r>
        <w:rPr>
          <w:sz w:val="20"/>
          <w:szCs w:val="20"/>
          <w:color w:val="auto"/>
        </w:rPr>
        <w:tab/>
      </w:r>
      <w:r>
        <w:rPr>
          <w:rFonts w:ascii="Courier New" w:cs="Courier New" w:eastAsia="Courier New" w:hAnsi="Courier New"/>
          <w:sz w:val="14"/>
          <w:szCs w:val="14"/>
          <w:color w:val="auto"/>
        </w:rPr>
        <w:t>52-0782497</w:t>
      </w:r>
    </w:p>
    <w:p>
      <w:pPr>
        <w:spacing w:after="0" w:line="8" w:lineRule="exact"/>
        <w:rPr>
          <w:sz w:val="24"/>
          <w:szCs w:val="24"/>
          <w:color w:val="auto"/>
        </w:rPr>
      </w:pPr>
    </w:p>
    <w:p>
      <w:pPr>
        <w:spacing w:after="0"/>
        <w:tabs>
          <w:tab w:leader="none" w:pos="3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8" w:lineRule="exact"/>
        <w:rPr>
          <w:sz w:val="24"/>
          <w:szCs w:val="24"/>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(State or other jurisdiction</w:t>
      </w:r>
      <w:r>
        <w:rPr>
          <w:sz w:val="20"/>
          <w:szCs w:val="20"/>
          <w:color w:val="auto"/>
        </w:rPr>
        <w:tab/>
      </w:r>
      <w:r>
        <w:rPr>
          <w:rFonts w:ascii="Courier New" w:cs="Courier New" w:eastAsia="Courier New" w:hAnsi="Courier New"/>
          <w:sz w:val="14"/>
          <w:szCs w:val="14"/>
          <w:color w:val="auto"/>
        </w:rPr>
        <w:t>(I.R.S. employer of identification no.)</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342"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4"/>
          <w:szCs w:val="24"/>
          <w:color w:val="auto"/>
        </w:rPr>
      </w:pPr>
    </w:p>
    <w:p>
      <w:pPr>
        <w:ind w:left="2360"/>
        <w:spacing w:after="0"/>
        <w:tabs>
          <w:tab w:leader="none" w:pos="4160" w:val="left"/>
        </w:tabs>
        <w:rPr>
          <w:sz w:val="20"/>
          <w:szCs w:val="20"/>
          <w:color w:val="auto"/>
        </w:rPr>
      </w:pPr>
      <w:r>
        <w:rPr>
          <w:rFonts w:ascii="Courier New" w:cs="Courier New" w:eastAsia="Courier New" w:hAnsi="Courier New"/>
          <w:sz w:val="14"/>
          <w:szCs w:val="14"/>
          <w:color w:val="auto"/>
        </w:rPr>
        <w:t>Rockville, Maryland</w:t>
        <w:tab/>
        <w:t>20852</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75"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SAVINGS AND RETIREMENT 401(k) PLAN</w:t>
      </w:r>
    </w:p>
    <w:p>
      <w:pPr>
        <w:spacing w:after="0" w:line="8"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(Full title of the plan)</w:t>
      </w:r>
    </w:p>
    <w:p>
      <w:pPr>
        <w:spacing w:after="0" w:line="175"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Nancy J. Herman</w:t>
      </w:r>
    </w:p>
    <w:p>
      <w:pPr>
        <w:spacing w:after="0" w:line="8"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Senior Vice President, General Counsel and Secretary</w:t>
      </w:r>
    </w:p>
    <w:p>
      <w:pPr>
        <w:spacing w:after="0" w:line="8"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4"/>
          <w:szCs w:val="24"/>
          <w:color w:val="auto"/>
        </w:rPr>
      </w:pPr>
    </w:p>
    <w:p>
      <w:pPr>
        <w:ind w:left="2260"/>
        <w:spacing w:after="0"/>
        <w:tabs>
          <w:tab w:leader="none" w:pos="4060" w:val="left"/>
        </w:tabs>
        <w:rPr>
          <w:sz w:val="20"/>
          <w:szCs w:val="20"/>
          <w:color w:val="auto"/>
        </w:rPr>
      </w:pPr>
      <w:r>
        <w:rPr>
          <w:rFonts w:ascii="Courier New" w:cs="Courier New" w:eastAsia="Courier New" w:hAnsi="Courier New"/>
          <w:sz w:val="14"/>
          <w:szCs w:val="14"/>
          <w:color w:val="auto"/>
        </w:rPr>
        <w:t>Rockville, Maryland</w:t>
        <w:tab/>
        <w:t>20852</w:t>
      </w:r>
    </w:p>
    <w:p>
      <w:pPr>
        <w:spacing w:after="0" w:line="8" w:lineRule="exact"/>
        <w:rPr>
          <w:sz w:val="24"/>
          <w:szCs w:val="24"/>
          <w:color w:val="auto"/>
        </w:rPr>
      </w:pPr>
    </w:p>
    <w:p>
      <w:pPr>
        <w:ind w:left="3300" w:hanging="514"/>
        <w:spacing w:after="0"/>
        <w:tabs>
          <w:tab w:leader="none" w:pos="3300"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998-8100</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address and telephone number, including area code, of agent for service)</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Copy to:</w:t>
      </w:r>
    </w:p>
    <w:p>
      <w:pPr>
        <w:spacing w:after="0" w:line="8"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Alan L. Dye, Esq.</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Hogan &amp; Hartson L.L.P.</w:t>
      </w:r>
    </w:p>
    <w:p>
      <w:pPr>
        <w:spacing w:after="0" w:line="8" w:lineRule="exact"/>
        <w:rPr>
          <w:sz w:val="24"/>
          <w:szCs w:val="24"/>
          <w:color w:val="auto"/>
        </w:rPr>
      </w:pPr>
    </w:p>
    <w:p>
      <w:pPr>
        <w:jc w:val="center"/>
        <w:ind w:right="4680"/>
        <w:spacing w:after="0"/>
        <w:rPr>
          <w:sz w:val="20"/>
          <w:szCs w:val="20"/>
          <w:color w:val="auto"/>
        </w:rPr>
      </w:pPr>
      <w:r>
        <w:rPr>
          <w:rFonts w:ascii="Courier New" w:cs="Courier New" w:eastAsia="Courier New" w:hAnsi="Courier New"/>
          <w:sz w:val="14"/>
          <w:szCs w:val="14"/>
          <w:color w:val="auto"/>
        </w:rPr>
        <w:t>555 Thirteenth Street, N.W.</w:t>
      </w:r>
    </w:p>
    <w:p>
      <w:pPr>
        <w:spacing w:after="0" w:line="8" w:lineRule="exact"/>
        <w:rPr>
          <w:sz w:val="24"/>
          <w:szCs w:val="24"/>
          <w:color w:val="auto"/>
        </w:rPr>
      </w:pPr>
    </w:p>
    <w:p>
      <w:pPr>
        <w:jc w:val="center"/>
        <w:ind w:right="4760"/>
        <w:spacing w:after="0"/>
        <w:rPr>
          <w:sz w:val="20"/>
          <w:szCs w:val="20"/>
          <w:color w:val="auto"/>
        </w:rPr>
      </w:pPr>
      <w:r>
        <w:rPr>
          <w:rFonts w:ascii="Courier New" w:cs="Courier New" w:eastAsia="Courier New" w:hAnsi="Courier New"/>
          <w:sz w:val="14"/>
          <w:szCs w:val="14"/>
          <w:color w:val="auto"/>
        </w:rPr>
        <w:t>Washington, D.C. 20004</w:t>
      </w:r>
    </w:p>
    <w:p>
      <w:pPr>
        <w:spacing w:after="0" w:line="8" w:lineRule="exact"/>
        <w:rPr>
          <w:sz w:val="24"/>
          <w:szCs w:val="24"/>
          <w:color w:val="auto"/>
        </w:rPr>
      </w:pPr>
    </w:p>
    <w:p>
      <w:pPr>
        <w:ind w:left="3400" w:hanging="527"/>
        <w:spacing w:after="0"/>
        <w:tabs>
          <w:tab w:leader="none" w:pos="34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637-5600</w:t>
      </w:r>
    </w:p>
    <w:p>
      <w:pPr>
        <w:spacing w:after="0" w:line="175" w:lineRule="exact"/>
        <w:rPr>
          <w:rFonts w:ascii="Courier New" w:cs="Courier New" w:eastAsia="Courier New" w:hAnsi="Courier New"/>
          <w:sz w:val="14"/>
          <w:szCs w:val="14"/>
          <w:color w:val="auto"/>
        </w:rPr>
      </w:pPr>
    </w:p>
    <w:p>
      <w:pPr>
        <w:ind w:left="2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REGISTRATION FEE</w:t>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5560"/>
        <w:spacing w:after="0"/>
        <w:tabs>
          <w:tab w:leader="none" w:pos="8140" w:val="left"/>
        </w:tabs>
        <w:rPr>
          <w:sz w:val="20"/>
          <w:szCs w:val="20"/>
          <w:color w:val="auto"/>
        </w:rPr>
      </w:pPr>
      <w:r>
        <w:rPr>
          <w:rFonts w:ascii="Courier New" w:cs="Courier New" w:eastAsia="Courier New" w:hAnsi="Courier New"/>
          <w:sz w:val="14"/>
          <w:szCs w:val="14"/>
          <w:color w:val="auto"/>
        </w:rPr>
        <w:t>Proposed</w:t>
      </w:r>
      <w:r>
        <w:rPr>
          <w:sz w:val="20"/>
          <w:szCs w:val="20"/>
          <w:color w:val="auto"/>
        </w:rPr>
        <w:tab/>
      </w:r>
      <w:r>
        <w:rPr>
          <w:rFonts w:ascii="Courier New" w:cs="Courier New" w:eastAsia="Courier New" w:hAnsi="Courier New"/>
          <w:sz w:val="14"/>
          <w:szCs w:val="14"/>
          <w:color w:val="auto"/>
        </w:rPr>
        <w:t>Proposed</w:t>
      </w:r>
    </w:p>
    <w:p>
      <w:pPr>
        <w:spacing w:after="0" w:line="8" w:lineRule="exact"/>
        <w:rPr>
          <w:sz w:val="24"/>
          <w:szCs w:val="24"/>
          <w:color w:val="auto"/>
        </w:rPr>
      </w:pPr>
    </w:p>
    <w:p>
      <w:pPr>
        <w:ind w:left="180"/>
        <w:spacing w:after="0"/>
        <w:tabs>
          <w:tab w:leader="none" w:pos="2940" w:val="left"/>
          <w:tab w:leader="none" w:pos="5200" w:val="left"/>
          <w:tab w:leader="none" w:pos="7800" w:val="left"/>
          <w:tab w:leader="none" w:pos="9980" w:val="left"/>
        </w:tabs>
        <w:rPr>
          <w:sz w:val="20"/>
          <w:szCs w:val="20"/>
          <w:color w:val="auto"/>
        </w:rPr>
      </w:pPr>
      <w:r>
        <w:rPr>
          <w:rFonts w:ascii="Courier New" w:cs="Courier New" w:eastAsia="Courier New" w:hAnsi="Courier New"/>
          <w:sz w:val="14"/>
          <w:szCs w:val="14"/>
          <w:color w:val="auto"/>
        </w:rPr>
        <w:t>Title of securities</w:t>
      </w:r>
      <w:r>
        <w:rPr>
          <w:sz w:val="20"/>
          <w:szCs w:val="20"/>
          <w:color w:val="auto"/>
        </w:rPr>
        <w:tab/>
      </w:r>
      <w:r>
        <w:rPr>
          <w:rFonts w:ascii="Courier New" w:cs="Courier New" w:eastAsia="Courier New" w:hAnsi="Courier New"/>
          <w:sz w:val="14"/>
          <w:szCs w:val="14"/>
          <w:color w:val="auto"/>
        </w:rPr>
        <w:t>Amount to be</w:t>
      </w:r>
      <w:r>
        <w:rPr>
          <w:sz w:val="20"/>
          <w:szCs w:val="20"/>
          <w:color w:val="auto"/>
        </w:rPr>
        <w:tab/>
      </w:r>
      <w:r>
        <w:rPr>
          <w:rFonts w:ascii="Courier New" w:cs="Courier New" w:eastAsia="Courier New" w:hAnsi="Courier New"/>
          <w:sz w:val="14"/>
          <w:szCs w:val="14"/>
          <w:color w:val="auto"/>
        </w:rPr>
        <w:t>maximum offering</w:t>
      </w:r>
      <w:r>
        <w:rPr>
          <w:sz w:val="20"/>
          <w:szCs w:val="20"/>
          <w:color w:val="auto"/>
        </w:rPr>
        <w:tab/>
      </w:r>
      <w:r>
        <w:rPr>
          <w:rFonts w:ascii="Courier New" w:cs="Courier New" w:eastAsia="Courier New" w:hAnsi="Courier New"/>
          <w:sz w:val="14"/>
          <w:szCs w:val="14"/>
          <w:color w:val="auto"/>
        </w:rPr>
        <w:t>maximum aggregate</w:t>
      </w:r>
      <w:r>
        <w:rPr>
          <w:sz w:val="20"/>
          <w:szCs w:val="20"/>
          <w:color w:val="auto"/>
        </w:rPr>
        <w:tab/>
      </w:r>
      <w:r>
        <w:rPr>
          <w:rFonts w:ascii="Courier New" w:cs="Courier New" w:eastAsia="Courier New" w:hAnsi="Courier New"/>
          <w:sz w:val="14"/>
          <w:szCs w:val="14"/>
          <w:color w:val="auto"/>
        </w:rPr>
        <w:t>Amount of</w:t>
      </w:r>
    </w:p>
    <w:p>
      <w:pPr>
        <w:spacing w:after="0" w:line="8" w:lineRule="exact"/>
        <w:rPr>
          <w:sz w:val="24"/>
          <w:szCs w:val="24"/>
          <w:color w:val="auto"/>
        </w:rPr>
      </w:pPr>
    </w:p>
    <w:p>
      <w:pPr>
        <w:ind w:left="260"/>
        <w:spacing w:after="0"/>
        <w:tabs>
          <w:tab w:leader="none" w:pos="3020" w:val="left"/>
          <w:tab w:leader="none" w:pos="5100" w:val="left"/>
          <w:tab w:leader="none" w:pos="7800" w:val="left"/>
          <w:tab w:leader="none" w:pos="9800" w:val="left"/>
        </w:tabs>
        <w:rPr>
          <w:sz w:val="20"/>
          <w:szCs w:val="20"/>
          <w:color w:val="auto"/>
        </w:rPr>
      </w:pPr>
      <w:r>
        <w:rPr>
          <w:rFonts w:ascii="Courier New" w:cs="Courier New" w:eastAsia="Courier New" w:hAnsi="Courier New"/>
          <w:sz w:val="14"/>
          <w:szCs w:val="14"/>
          <w:color w:val="auto"/>
        </w:rPr>
        <w:t>to be registered</w:t>
      </w:r>
      <w:r>
        <w:rPr>
          <w:sz w:val="20"/>
          <w:szCs w:val="20"/>
          <w:color w:val="auto"/>
        </w:rPr>
        <w:tab/>
      </w:r>
      <w:r>
        <w:rPr>
          <w:rFonts w:ascii="Courier New" w:cs="Courier New" w:eastAsia="Courier New" w:hAnsi="Courier New"/>
          <w:sz w:val="14"/>
          <w:szCs w:val="14"/>
          <w:color w:val="auto"/>
        </w:rPr>
        <w:t>registered</w:t>
      </w:r>
      <w:r>
        <w:rPr>
          <w:sz w:val="20"/>
          <w:szCs w:val="20"/>
          <w:color w:val="auto"/>
        </w:rPr>
        <w:tab/>
      </w:r>
      <w:r>
        <w:rPr>
          <w:rFonts w:ascii="Courier New" w:cs="Courier New" w:eastAsia="Courier New" w:hAnsi="Courier New"/>
          <w:sz w:val="14"/>
          <w:szCs w:val="14"/>
          <w:color w:val="auto"/>
        </w:rPr>
        <w:t>price per share (1)</w:t>
      </w:r>
      <w:r>
        <w:rPr>
          <w:sz w:val="20"/>
          <w:szCs w:val="20"/>
          <w:color w:val="auto"/>
        </w:rPr>
        <w:tab/>
      </w:r>
      <w:r>
        <w:rPr>
          <w:rFonts w:ascii="Courier New" w:cs="Courier New" w:eastAsia="Courier New" w:hAnsi="Courier New"/>
          <w:sz w:val="14"/>
          <w:szCs w:val="14"/>
          <w:color w:val="auto"/>
        </w:rPr>
        <w:t>offering price (1)</w:t>
      </w:r>
      <w:r>
        <w:rPr>
          <w:sz w:val="20"/>
          <w:szCs w:val="20"/>
          <w:color w:val="auto"/>
        </w:rPr>
        <w:tab/>
      </w:r>
      <w:r>
        <w:rPr>
          <w:rFonts w:ascii="Courier New" w:cs="Courier New" w:eastAsia="Courier New" w:hAnsi="Courier New"/>
          <w:sz w:val="14"/>
          <w:szCs w:val="14"/>
          <w:color w:val="auto"/>
        </w:rPr>
        <w:t>registration fee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100" w:type="dxa"/>
        <w:tblCellMar>
          <w:top w:w="0" w:type="dxa"/>
          <w:left w:w="0" w:type="dxa"/>
          <w:bottom w:w="0" w:type="dxa"/>
          <w:right w:w="0" w:type="dxa"/>
        </w:tblCellMar>
      </w:tblPr>
      <w:tr>
        <w:trPr>
          <w:trHeight w:val="162"/>
        </w:trPr>
        <w:tc>
          <w:tcPr>
            <w:tcW w:w="2340" w:type="dxa"/>
            <w:vAlign w:val="bottom"/>
          </w:tcPr>
          <w:p>
            <w:pPr>
              <w:ind w:left="160"/>
              <w:spacing w:after="0"/>
              <w:rPr>
                <w:sz w:val="20"/>
                <w:szCs w:val="20"/>
                <w:color w:val="auto"/>
              </w:rPr>
            </w:pPr>
            <w:r>
              <w:rPr>
                <w:rFonts w:ascii="Courier New" w:cs="Courier New" w:eastAsia="Courier New" w:hAnsi="Courier New"/>
                <w:sz w:val="14"/>
                <w:szCs w:val="14"/>
                <w:color w:val="auto"/>
              </w:rPr>
              <w:t>Common Shares of</w:t>
            </w:r>
          </w:p>
        </w:tc>
        <w:tc>
          <w:tcPr>
            <w:tcW w:w="2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40" w:type="dxa"/>
            <w:vAlign w:val="bottom"/>
          </w:tcPr>
          <w:p>
            <w:pPr>
              <w:spacing w:after="0"/>
              <w:rPr>
                <w:sz w:val="20"/>
                <w:szCs w:val="20"/>
                <w:color w:val="auto"/>
              </w:rPr>
            </w:pPr>
            <w:r>
              <w:rPr>
                <w:rFonts w:ascii="Courier New" w:cs="Courier New" w:eastAsia="Courier New" w:hAnsi="Courier New"/>
                <w:sz w:val="14"/>
                <w:szCs w:val="14"/>
                <w:color w:val="auto"/>
              </w:rPr>
              <w:t>Beneficial Interest,</w:t>
            </w:r>
          </w:p>
        </w:tc>
        <w:tc>
          <w:tcPr>
            <w:tcW w:w="2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40" w:type="dxa"/>
            <w:vAlign w:val="bottom"/>
          </w:tcPr>
          <w:p>
            <w:pPr>
              <w:spacing w:after="0"/>
              <w:rPr>
                <w:sz w:val="20"/>
                <w:szCs w:val="20"/>
                <w:color w:val="auto"/>
              </w:rPr>
            </w:pPr>
            <w:r>
              <w:rPr>
                <w:rFonts w:ascii="Courier New" w:cs="Courier New" w:eastAsia="Courier New" w:hAnsi="Courier New"/>
                <w:sz w:val="14"/>
                <w:szCs w:val="14"/>
                <w:color w:val="auto"/>
              </w:rPr>
              <w:t>par value $.10 (2)(3)</w:t>
            </w:r>
          </w:p>
        </w:tc>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25,000  shares</w:t>
            </w:r>
          </w:p>
        </w:tc>
        <w:tc>
          <w:tcPr>
            <w:tcW w:w="22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$20.81</w:t>
            </w:r>
          </w:p>
        </w:tc>
        <w:tc>
          <w:tcPr>
            <w:tcW w:w="24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$520,250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ind w:left="440" w:right="4580" w:hanging="431"/>
        <w:spacing w:after="0" w:line="252"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pursuant to Rule 457(c) and (h) solely for purposes of calculating the amount of the registration fee, based on the average of the high and low prices per share of Federal Realty Investment Trust Common Shares of Beneficial Interest, par value $.01 per share ("Common Shares"), on June 25, 2001, as reported on The New York Stock Exchange.</w:t>
      </w:r>
    </w:p>
    <w:p>
      <w:pPr>
        <w:spacing w:after="0" w:line="1" w:lineRule="exact"/>
        <w:rPr>
          <w:rFonts w:ascii="Courier New" w:cs="Courier New" w:eastAsia="Courier New" w:hAnsi="Courier New"/>
          <w:sz w:val="14"/>
          <w:szCs w:val="14"/>
          <w:color w:val="auto"/>
        </w:rPr>
      </w:pPr>
    </w:p>
    <w:p>
      <w:pPr>
        <w:ind w:left="440" w:right="4580" w:hanging="431"/>
        <w:spacing w:after="0" w:line="252"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rights ("Rights") issuable pursuant to the Amended and Restated Rights Agreement between the Registrant and American Stock Transfer &amp; Trust Company dated as of March 11, 1999. Rights are currently attached to and traded with the Common Shares (including the Common Shares registered hereunder). The value attributable to the Rights, if any, is reflected in the value of the Common Shares.</w:t>
      </w:r>
    </w:p>
    <w:p>
      <w:pPr>
        <w:spacing w:after="0" w:line="2" w:lineRule="exact"/>
        <w:rPr>
          <w:rFonts w:ascii="Courier New" w:cs="Courier New" w:eastAsia="Courier New" w:hAnsi="Courier New"/>
          <w:sz w:val="14"/>
          <w:szCs w:val="14"/>
          <w:color w:val="auto"/>
        </w:rPr>
      </w:pPr>
    </w:p>
    <w:p>
      <w:pPr>
        <w:ind w:left="440" w:right="4680" w:hanging="431"/>
        <w:spacing w:after="0" w:line="254"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416(c) under the Securities Act of 1933, as amended, this Registration Statement also covers an indeterminate amount of plan interests to be offered or sold pursuant to the employee benefit plan described herein. No registration fee is payable with respect to such interests, in accordance with Rule 457(h)(2).</w:t>
      </w:r>
    </w:p>
    <w:p>
      <w:pPr>
        <w:sectPr>
          <w:pgSz w:w="11900" w:h="16838" w:orient="portrait"/>
          <w:cols w:equalWidth="0" w:num="1">
            <w:col w:w="11540"/>
          </w:cols>
          <w:pgMar w:left="220" w:top="564" w:right="139" w:bottom="1440" w:gutter="0" w:footer="0" w:header="0"/>
        </w:sectPr>
      </w:pPr>
    </w:p>
    <w:bookmarkStart w:id="1" w:name="page2"/>
    <w:bookmarkEnd w:id="1"/>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REQUIRED IN THE SECTION 10(a) PROSPECTUS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Documents containing the information required to be provided in this Part I will be separately sent or given to employees participating in the Federal Realty Investment Trust Savings and Retirement 401(k) Plan (the "Plan"), as contemplated by Rule 428(b)(1) under the Securities Act of 1933, as amended (the "Securities Act"). In accordance with the instructions to Part I of Form S-8, such documents will not be filed with the Securities and Exchange Commission (the "Commission") either as part of this Registration Statement or as prospectuses or prospectus supplements pursuant to Rule 424 under the Securities Act.</w:t>
      </w:r>
    </w:p>
    <w:p>
      <w:pPr>
        <w:spacing w:after="0" w:line="33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REQUIRED IN THE REGISTRATION STATEMENT</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3.</w:t>
        <w:tab/>
        <w:t>Incorporation of Documents by Reference.</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Federal Realty Investment Trust (the "Registrant") hereby incorporates by reference into this Registration Statement the following documents:</w:t>
      </w:r>
    </w:p>
    <w:p>
      <w:pPr>
        <w:spacing w:after="0" w:line="160" w:lineRule="exact"/>
        <w:rPr>
          <w:sz w:val="20"/>
          <w:szCs w:val="20"/>
          <w:color w:val="auto"/>
        </w:rPr>
      </w:pPr>
    </w:p>
    <w:p>
      <w:pPr>
        <w:ind w:left="880" w:right="3899" w:hanging="437"/>
        <w:spacing w:after="0" w:line="258"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Plan's Annual Report on Form 11-K for the fiscal year ended December 31, 2000;</w:t>
      </w:r>
    </w:p>
    <w:p>
      <w:pPr>
        <w:spacing w:after="0" w:line="159" w:lineRule="exact"/>
        <w:rPr>
          <w:rFonts w:ascii="Courier New" w:cs="Courier New" w:eastAsia="Courier New" w:hAnsi="Courier New"/>
          <w:sz w:val="14"/>
          <w:szCs w:val="14"/>
          <w:color w:val="auto"/>
        </w:rPr>
      </w:pPr>
    </w:p>
    <w:p>
      <w:pPr>
        <w:ind w:left="880" w:right="3379" w:hanging="437"/>
        <w:spacing w:after="0" w:line="258"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Annual Report on Form 10-K for the fiscal year ended December 31, 2000, filed on March 15, 2001;</w:t>
      </w:r>
    </w:p>
    <w:p>
      <w:pPr>
        <w:spacing w:after="0" w:line="159" w:lineRule="exact"/>
        <w:rPr>
          <w:rFonts w:ascii="Courier New" w:cs="Courier New" w:eastAsia="Courier New" w:hAnsi="Courier New"/>
          <w:sz w:val="14"/>
          <w:szCs w:val="14"/>
          <w:color w:val="auto"/>
        </w:rPr>
      </w:pPr>
    </w:p>
    <w:p>
      <w:pPr>
        <w:ind w:left="880" w:right="3459" w:hanging="437"/>
        <w:spacing w:after="0" w:line="258"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Quarterly Report on Form 10-Q for the quarter ended March 31, 2001, filed on May 8, 2001;</w:t>
      </w:r>
    </w:p>
    <w:p>
      <w:pPr>
        <w:spacing w:after="0" w:line="159" w:lineRule="exact"/>
        <w:rPr>
          <w:rFonts w:ascii="Courier New" w:cs="Courier New" w:eastAsia="Courier New" w:hAnsi="Courier New"/>
          <w:sz w:val="14"/>
          <w:szCs w:val="14"/>
          <w:color w:val="auto"/>
        </w:rPr>
      </w:pPr>
    </w:p>
    <w:p>
      <w:pPr>
        <w:ind w:left="880" w:right="3279" w:hanging="437"/>
        <w:spacing w:after="0" w:line="258"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Current Reports on Form 8-K filed on May 9, 2001, and February 15, 2001;</w:t>
      </w:r>
    </w:p>
    <w:p>
      <w:pPr>
        <w:spacing w:after="0" w:line="159" w:lineRule="exact"/>
        <w:rPr>
          <w:rFonts w:ascii="Courier New" w:cs="Courier New" w:eastAsia="Courier New" w:hAnsi="Courier New"/>
          <w:sz w:val="14"/>
          <w:szCs w:val="14"/>
          <w:color w:val="auto"/>
        </w:rPr>
      </w:pPr>
    </w:p>
    <w:p>
      <w:pPr>
        <w:ind w:left="880" w:right="3539" w:hanging="437"/>
        <w:spacing w:after="0" w:line="258"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Common Shares, contained in the Registrant's Registration Statement on Form 8-A/A filed on April 24, 2001;</w:t>
      </w:r>
    </w:p>
    <w:p>
      <w:pPr>
        <w:spacing w:after="0" w:line="159" w:lineRule="exact"/>
        <w:rPr>
          <w:rFonts w:ascii="Courier New" w:cs="Courier New" w:eastAsia="Courier New" w:hAnsi="Courier New"/>
          <w:sz w:val="14"/>
          <w:szCs w:val="14"/>
          <w:color w:val="auto"/>
        </w:rPr>
      </w:pPr>
    </w:p>
    <w:p>
      <w:pPr>
        <w:ind w:left="880" w:right="3979" w:hanging="437"/>
        <w:spacing w:after="0" w:line="258"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Rights contained in the Registrant's Registration Statement on Form 8-A/A filed March 11, 1999; and</w:t>
      </w:r>
    </w:p>
    <w:p>
      <w:pPr>
        <w:spacing w:after="0" w:line="159" w:lineRule="exact"/>
        <w:rPr>
          <w:rFonts w:ascii="Courier New" w:cs="Courier New" w:eastAsia="Courier New" w:hAnsi="Courier New"/>
          <w:sz w:val="14"/>
          <w:szCs w:val="14"/>
          <w:color w:val="auto"/>
        </w:rPr>
      </w:pPr>
    </w:p>
    <w:p>
      <w:pPr>
        <w:ind w:left="880" w:right="3279" w:hanging="437"/>
        <w:spacing w:after="0" w:line="254"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documents subsequently filed by the Registrant pursuant to Section 13(a), 13(c), 14, or 15(d) of the Securities and Exchange Act of 1934, as amended (the "Exchange Act"), prior to the filing of a post-effective amendment which indicates that all securities offered have been sold or which deregisters all securities remaining unsold.</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Any statement contained in a document incorporated or deemed to be incorporated by reference shall be deemed to be modified or superseded to the extent that a statement contained in any other subsequently filed document which also is or is deemed to be incorporated by reference herein modifies or supersedes such prior statement. Any such statement so modified or superseded shall not be deemed to constitute a part of this Registration Statement, except as so modified or superseded.</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To the extent that any proxy statement is incorporated by reference herein, such incorporation shall not include any information contained in such proxy statement which is not, pursuant to the Commission's rules, deemed to be "filed" with the Commission or subject to the liabilities of Section 18 of the Exchange Act.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 w:name="page3"/>
    <w:bookmarkEnd w:id="2"/>
    <w:p>
      <w:pPr>
        <w:spacing w:after="0"/>
        <w:tabs>
          <w:tab w:leader="none" w:pos="860" w:val="left"/>
        </w:tabs>
        <w:rPr>
          <w:sz w:val="20"/>
          <w:szCs w:val="20"/>
          <w:color w:val="auto"/>
        </w:rPr>
      </w:pPr>
      <w:r>
        <w:rPr>
          <w:rFonts w:ascii="Courier New" w:cs="Courier New" w:eastAsia="Courier New" w:hAnsi="Courier New"/>
          <w:sz w:val="14"/>
          <w:szCs w:val="14"/>
          <w:color w:val="auto"/>
        </w:rPr>
        <w:t>Item 4.</w:t>
        <w:tab/>
        <w:t>Description of Securities.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5.</w:t>
        <w:tab/>
        <w:t>Interests of Named Experts and Counsel.</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6.</w:t>
        <w:tab/>
        <w:t>Indemnification of Directors and Officers.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to indemnify and advance expenses to any person who served a predecessor of the Registrant in any of the capacities described above and to any employee or agent of the Registrant or a predecessor of the Registrant.</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3" w:name="page4"/>
    <w:bookmarkEnd w:id="3"/>
    <w:p>
      <w:pPr>
        <w:ind w:right="3279"/>
        <w:spacing w:after="0" w:line="254" w:lineRule="auto"/>
        <w:rPr>
          <w:sz w:val="20"/>
          <w:szCs w:val="20"/>
          <w:color w:val="auto"/>
        </w:rPr>
      </w:pPr>
      <w:r>
        <w:rPr>
          <w:rFonts w:ascii="Courier New" w:cs="Courier New" w:eastAsia="Courier New" w:hAnsi="Courier New"/>
          <w:sz w:val="14"/>
          <w:szCs w:val="14"/>
          <w:color w:val="auto"/>
        </w:rPr>
        <w:t>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Title 8 of the Corporations and Associations Code of the State of Maryland, as amended, permits a Maryland real estate investment trust to indemnify and advance expenses to its trustees, officers, employees and agents, and permits a real estate investment trust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trustee or officer was material to the matter giving rise to the proceeding and (i) was committed in bad faith or (ii) was the result of active and deliberate dishonesty, (b) the trustee or officer actually received an improper personal benefit in money, property or services or (c) in the case of any criminal proceeding, the trustee or officer had reasonable cause to believe that the act or omission was unlawful. However, under Title 8, a Maryland real estate investment trust may not indemnify a trustee or officer in a suit by or in the right of the trust if such trustee or officer has been adjudged to be liable to the trust.</w:t>
      </w:r>
    </w:p>
    <w:p>
      <w:pPr>
        <w:spacing w:after="0" w:line="34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7.</w:t>
        <w:tab/>
        <w:t>Exemption from Registration Claimed.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6000" w:type="dxa"/>
            <w:vAlign w:val="bottom"/>
          </w:tcPr>
          <w:p>
            <w:pPr>
              <w:spacing w:after="0"/>
              <w:rPr>
                <w:sz w:val="20"/>
                <w:szCs w:val="20"/>
                <w:color w:val="auto"/>
              </w:rPr>
            </w:pPr>
            <w:r>
              <w:rPr>
                <w:rFonts w:ascii="Courier New" w:cs="Courier New" w:eastAsia="Courier New" w:hAnsi="Courier New"/>
                <w:sz w:val="14"/>
                <w:szCs w:val="14"/>
                <w:color w:val="auto"/>
              </w:rPr>
              <w:t>Exhibits.</w:t>
            </w:r>
          </w:p>
        </w:tc>
      </w:tr>
      <w:tr>
        <w:trPr>
          <w:trHeight w:val="334"/>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w w:val="98"/>
              </w:rPr>
              <w:t>Exhibit</w:t>
            </w:r>
          </w:p>
        </w:tc>
        <w:tc>
          <w:tcPr>
            <w:tcW w:w="6000" w:type="dxa"/>
            <w:vAlign w:val="bottom"/>
          </w:tcPr>
          <w:p>
            <w:pPr>
              <w:spacing w:after="0"/>
              <w:rPr>
                <w:sz w:val="24"/>
                <w:szCs w:val="24"/>
                <w:color w:val="auto"/>
              </w:rPr>
            </w:pPr>
          </w:p>
        </w:tc>
      </w:tr>
      <w:tr>
        <w:trPr>
          <w:trHeight w:val="167"/>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Number</w:t>
            </w:r>
          </w:p>
        </w:tc>
        <w:tc>
          <w:tcPr>
            <w:tcW w:w="6000" w:type="dxa"/>
            <w:vAlign w:val="bottom"/>
          </w:tcPr>
          <w:p>
            <w:pPr>
              <w:ind w:left="244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0" w:type="dxa"/>
            <w:vAlign w:val="bottom"/>
          </w:tcPr>
          <w:p>
            <w:pPr>
              <w:ind w:left="2440"/>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3.1</w:t>
            </w: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Articles of Amendment and Restatement of Declaration of Trust of</w:t>
            </w:r>
          </w:p>
        </w:tc>
      </w:tr>
      <w:tr>
        <w:trPr>
          <w:trHeight w:val="167"/>
        </w:trPr>
        <w:tc>
          <w:tcPr>
            <w:tcW w:w="960" w:type="dxa"/>
            <w:vAlign w:val="bottom"/>
          </w:tcPr>
          <w:p>
            <w:pPr>
              <w:spacing w:after="0"/>
              <w:rPr>
                <w:sz w:val="14"/>
                <w:szCs w:val="1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Registrant, dated May 20, 1999 (incorporated by reference to</w:t>
            </w:r>
          </w:p>
        </w:tc>
      </w:tr>
      <w:tr>
        <w:trPr>
          <w:trHeight w:val="167"/>
        </w:trPr>
        <w:tc>
          <w:tcPr>
            <w:tcW w:w="960" w:type="dxa"/>
            <w:vAlign w:val="bottom"/>
          </w:tcPr>
          <w:p>
            <w:pPr>
              <w:spacing w:after="0"/>
              <w:rPr>
                <w:sz w:val="14"/>
                <w:szCs w:val="1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Exhibit 3.1 to the Registrant's Current Report on Form 8-K, filed</w:t>
            </w:r>
          </w:p>
        </w:tc>
      </w:tr>
      <w:tr>
        <w:trPr>
          <w:trHeight w:val="167"/>
        </w:trPr>
        <w:tc>
          <w:tcPr>
            <w:tcW w:w="960" w:type="dxa"/>
            <w:vAlign w:val="bottom"/>
          </w:tcPr>
          <w:p>
            <w:pPr>
              <w:spacing w:after="0"/>
              <w:rPr>
                <w:sz w:val="14"/>
                <w:szCs w:val="1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on May 25, 1999).</w:t>
            </w:r>
          </w:p>
        </w:tc>
      </w:tr>
      <w:tr>
        <w:trPr>
          <w:trHeight w:val="334"/>
        </w:trPr>
        <w:tc>
          <w:tcPr>
            <w:tcW w:w="9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3.2</w:t>
            </w: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Declaration of Trust of Registrant, dated May 5, 1999</w:t>
            </w:r>
          </w:p>
        </w:tc>
      </w:tr>
      <w:tr>
        <w:trPr>
          <w:trHeight w:val="167"/>
        </w:trPr>
        <w:tc>
          <w:tcPr>
            <w:tcW w:w="960" w:type="dxa"/>
            <w:vAlign w:val="bottom"/>
          </w:tcPr>
          <w:p>
            <w:pPr>
              <w:spacing w:after="0"/>
              <w:rPr>
                <w:sz w:val="14"/>
                <w:szCs w:val="1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(incorporated by reference to Exhibit 3.2 to the Registrant's</w:t>
            </w:r>
          </w:p>
        </w:tc>
      </w:tr>
      <w:tr>
        <w:trPr>
          <w:trHeight w:val="167"/>
        </w:trPr>
        <w:tc>
          <w:tcPr>
            <w:tcW w:w="960" w:type="dxa"/>
            <w:vAlign w:val="bottom"/>
          </w:tcPr>
          <w:p>
            <w:pPr>
              <w:spacing w:after="0"/>
              <w:rPr>
                <w:sz w:val="14"/>
                <w:szCs w:val="1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Current Report on Form 8-K, filed on May 25, 1999).</w:t>
            </w:r>
          </w:p>
        </w:tc>
      </w:tr>
      <w:tr>
        <w:trPr>
          <w:trHeight w:val="334"/>
        </w:trPr>
        <w:tc>
          <w:tcPr>
            <w:tcW w:w="9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3.3</w:t>
            </w: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Bylaws of the Registrant, dated May 5, 1999 (incorporated by</w:t>
            </w:r>
          </w:p>
        </w:tc>
      </w:tr>
      <w:tr>
        <w:trPr>
          <w:trHeight w:val="167"/>
        </w:trPr>
        <w:tc>
          <w:tcPr>
            <w:tcW w:w="960" w:type="dxa"/>
            <w:vAlign w:val="bottom"/>
          </w:tcPr>
          <w:p>
            <w:pPr>
              <w:spacing w:after="0"/>
              <w:rPr>
                <w:sz w:val="14"/>
                <w:szCs w:val="1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reference to Exhibit 3.3 to the Registrant's Current Report on</w:t>
            </w:r>
          </w:p>
        </w:tc>
      </w:tr>
      <w:tr>
        <w:trPr>
          <w:trHeight w:val="167"/>
        </w:trPr>
        <w:tc>
          <w:tcPr>
            <w:tcW w:w="960" w:type="dxa"/>
            <w:vAlign w:val="bottom"/>
          </w:tcPr>
          <w:p>
            <w:pPr>
              <w:spacing w:after="0"/>
              <w:rPr>
                <w:sz w:val="14"/>
                <w:szCs w:val="1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Form 8-K, filed on May 25, 1999).</w:t>
            </w:r>
          </w:p>
        </w:tc>
      </w:tr>
      <w:tr>
        <w:trPr>
          <w:trHeight w:val="334"/>
        </w:trPr>
        <w:tc>
          <w:tcPr>
            <w:tcW w:w="9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3.4</w:t>
            </w: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Statement of Designation for Series A Cumulative Redeemable</w:t>
            </w:r>
          </w:p>
        </w:tc>
      </w:tr>
      <w:tr>
        <w:trPr>
          <w:trHeight w:val="167"/>
        </w:trPr>
        <w:tc>
          <w:tcPr>
            <w:tcW w:w="960" w:type="dxa"/>
            <w:vAlign w:val="bottom"/>
          </w:tcPr>
          <w:p>
            <w:pPr>
              <w:spacing w:after="0"/>
              <w:rPr>
                <w:sz w:val="14"/>
                <w:szCs w:val="1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Preferred Shares (incorporated by reference to Exhibit 4 to the</w:t>
            </w:r>
          </w:p>
        </w:tc>
      </w:tr>
      <w:tr>
        <w:trPr>
          <w:trHeight w:val="167"/>
        </w:trPr>
        <w:tc>
          <w:tcPr>
            <w:tcW w:w="960" w:type="dxa"/>
            <w:vAlign w:val="bottom"/>
          </w:tcPr>
          <w:p>
            <w:pPr>
              <w:spacing w:after="0"/>
              <w:rPr>
                <w:sz w:val="14"/>
                <w:szCs w:val="1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Registrant's Current Report on Form 8-K, filed on October 3,</w:t>
            </w:r>
          </w:p>
        </w:tc>
      </w:tr>
      <w:tr>
        <w:trPr>
          <w:trHeight w:val="167"/>
        </w:trPr>
        <w:tc>
          <w:tcPr>
            <w:tcW w:w="960" w:type="dxa"/>
            <w:vAlign w:val="bottom"/>
          </w:tcPr>
          <w:p>
            <w:pPr>
              <w:spacing w:after="0"/>
              <w:rPr>
                <w:sz w:val="14"/>
                <w:szCs w:val="1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1997).</w:t>
            </w:r>
          </w:p>
        </w:tc>
      </w:tr>
      <w:tr>
        <w:trPr>
          <w:trHeight w:val="334"/>
        </w:trPr>
        <w:tc>
          <w:tcPr>
            <w:tcW w:w="9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4.1</w:t>
            </w: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Amended and Restated Rights Agreement, dated March 11, 1999,</w:t>
            </w:r>
          </w:p>
        </w:tc>
      </w:tr>
      <w:tr>
        <w:trPr>
          <w:trHeight w:val="167"/>
        </w:trPr>
        <w:tc>
          <w:tcPr>
            <w:tcW w:w="960" w:type="dxa"/>
            <w:vAlign w:val="bottom"/>
          </w:tcPr>
          <w:p>
            <w:pPr>
              <w:spacing w:after="0"/>
              <w:rPr>
                <w:sz w:val="14"/>
                <w:szCs w:val="1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between the Registrant and American Stock Transfer &amp; Trust</w:t>
            </w:r>
          </w:p>
        </w:tc>
      </w:tr>
      <w:tr>
        <w:trPr>
          <w:trHeight w:val="167"/>
        </w:trPr>
        <w:tc>
          <w:tcPr>
            <w:tcW w:w="960" w:type="dxa"/>
            <w:vAlign w:val="bottom"/>
          </w:tcPr>
          <w:p>
            <w:pPr>
              <w:spacing w:after="0"/>
              <w:rPr>
                <w:sz w:val="14"/>
                <w:szCs w:val="1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Company (incorporated by reference to Exhibit No. 1 to the</w:t>
            </w:r>
          </w:p>
        </w:tc>
      </w:tr>
      <w:tr>
        <w:trPr>
          <w:trHeight w:val="167"/>
        </w:trPr>
        <w:tc>
          <w:tcPr>
            <w:tcW w:w="960" w:type="dxa"/>
            <w:vAlign w:val="bottom"/>
          </w:tcPr>
          <w:p>
            <w:pPr>
              <w:spacing w:after="0"/>
              <w:rPr>
                <w:sz w:val="14"/>
                <w:szCs w:val="1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Registrant's Form 8-A/A, filed on March 11, 1999).</w:t>
            </w:r>
          </w:p>
        </w:tc>
      </w:tr>
      <w:tr>
        <w:trPr>
          <w:trHeight w:val="334"/>
        </w:trPr>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Internal Revenue Service Determination Letter.</w:t>
            </w:r>
          </w:p>
        </w:tc>
      </w:tr>
      <w:tr>
        <w:trPr>
          <w:trHeight w:val="334"/>
        </w:trPr>
        <w:tc>
          <w:tcPr>
            <w:tcW w:w="9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*23.1</w:t>
            </w: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Consent of Arthur Andersen LLP, independent public accountants.</w:t>
            </w:r>
          </w:p>
        </w:tc>
      </w:tr>
      <w:tr>
        <w:trPr>
          <w:trHeight w:val="334"/>
        </w:trPr>
        <w:tc>
          <w:tcPr>
            <w:tcW w:w="9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*23.2</w:t>
            </w: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Consent of Grant Thornton LLP, independent public accountants.</w:t>
            </w:r>
          </w:p>
        </w:tc>
      </w:tr>
      <w:tr>
        <w:trPr>
          <w:trHeight w:val="334"/>
        </w:trPr>
        <w:tc>
          <w:tcPr>
            <w:tcW w:w="9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*24.1</w:t>
            </w:r>
          </w:p>
        </w:tc>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Power of Attorney (included on signature page).</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Filed herewith.</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9.</w:t>
        <w:tab/>
        <w:t>Undertakings.</w:t>
      </w:r>
    </w:p>
    <w:p>
      <w:pPr>
        <w:spacing w:after="0" w:line="175" w:lineRule="exact"/>
        <w:rPr>
          <w:sz w:val="20"/>
          <w:szCs w:val="20"/>
          <w:color w:val="auto"/>
        </w:rPr>
      </w:pPr>
    </w:p>
    <w:p>
      <w:pPr>
        <w:ind w:left="880" w:hanging="437"/>
        <w:spacing w:after="0"/>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5" w:lineRule="exact"/>
        <w:rPr>
          <w:rFonts w:ascii="Courier New" w:cs="Courier New" w:eastAsia="Courier New" w:hAnsi="Courier New"/>
          <w:sz w:val="14"/>
          <w:szCs w:val="14"/>
          <w:color w:val="auto"/>
        </w:rPr>
      </w:pPr>
    </w:p>
    <w:p>
      <w:pPr>
        <w:ind w:left="880" w:right="3719" w:hanging="3"/>
        <w:spacing w:after="0" w:line="258" w:lineRule="auto"/>
        <w:tabs>
          <w:tab w:leader="none" w:pos="1227"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1320" w:right="3539" w:hanging="9"/>
        <w:spacing w:after="0" w:line="258" w:lineRule="auto"/>
        <w:tabs>
          <w:tab w:leader="none" w:pos="1754" w:val="left"/>
        </w:tabs>
        <w:numPr>
          <w:ilvl w:val="2"/>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w:t>
      </w:r>
    </w:p>
    <w:p>
      <w:pPr>
        <w:spacing w:after="0" w:line="159" w:lineRule="exact"/>
        <w:rPr>
          <w:rFonts w:ascii="Courier New" w:cs="Courier New" w:eastAsia="Courier New" w:hAnsi="Courier New"/>
          <w:sz w:val="14"/>
          <w:szCs w:val="14"/>
          <w:color w:val="auto"/>
        </w:rPr>
      </w:pPr>
    </w:p>
    <w:p>
      <w:pPr>
        <w:ind w:left="1320" w:right="3279" w:hanging="9"/>
        <w:spacing w:after="0" w:line="254" w:lineRule="auto"/>
        <w:tabs>
          <w:tab w:leader="none" w:pos="1754" w:val="left"/>
        </w:tabs>
        <w:numPr>
          <w:ilvl w:val="2"/>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 w:name="page6"/>
    <w:bookmarkEnd w:id="5"/>
    <w:p>
      <w:pPr>
        <w:ind w:left="877" w:right="3279" w:hanging="9"/>
        <w:spacing w:after="0" w:line="254" w:lineRule="auto"/>
        <w:tabs>
          <w:tab w:leader="none" w:pos="148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3" w:lineRule="exact"/>
        <w:rPr>
          <w:sz w:val="20"/>
          <w:szCs w:val="20"/>
          <w:color w:val="auto"/>
        </w:rPr>
      </w:pPr>
    </w:p>
    <w:p>
      <w:pPr>
        <w:ind w:left="437" w:right="3279"/>
        <w:spacing w:after="0" w:line="253" w:lineRule="auto"/>
        <w:rPr>
          <w:sz w:val="20"/>
          <w:szCs w:val="20"/>
          <w:color w:val="auto"/>
        </w:rPr>
      </w:pPr>
      <w:r>
        <w:rPr>
          <w:rFonts w:ascii="Courier New" w:cs="Courier New" w:eastAsia="Courier New" w:hAnsi="Courier New"/>
          <w:sz w:val="14"/>
          <w:szCs w:val="14"/>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165" w:lineRule="exact"/>
        <w:rPr>
          <w:sz w:val="20"/>
          <w:szCs w:val="20"/>
          <w:color w:val="auto"/>
        </w:rPr>
      </w:pPr>
    </w:p>
    <w:p>
      <w:pPr>
        <w:ind w:left="437" w:right="3379" w:hanging="3"/>
        <w:spacing w:after="0" w:line="254" w:lineRule="auto"/>
        <w:tabs>
          <w:tab w:leader="none" w:pos="784"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2" w:lineRule="exact"/>
        <w:rPr>
          <w:rFonts w:ascii="Courier New" w:cs="Courier New" w:eastAsia="Courier New" w:hAnsi="Courier New"/>
          <w:sz w:val="14"/>
          <w:szCs w:val="14"/>
          <w:color w:val="auto"/>
        </w:rPr>
      </w:pPr>
    </w:p>
    <w:p>
      <w:pPr>
        <w:ind w:left="437" w:right="3279" w:hanging="3"/>
        <w:spacing w:after="0" w:line="255" w:lineRule="auto"/>
        <w:tabs>
          <w:tab w:leader="none" w:pos="784"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ind w:left="-443" w:right="3379" w:firstLine="443"/>
        <w:spacing w:after="0" w:line="253" w:lineRule="auto"/>
        <w:tabs>
          <w:tab w:leader="none" w:pos="42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left="-443" w:right="3279" w:firstLine="443"/>
        <w:spacing w:after="0" w:line="252" w:lineRule="auto"/>
        <w:tabs>
          <w:tab w:leader="none" w:pos="42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therefore is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3" w:lineRule="exact"/>
        <w:rPr>
          <w:sz w:val="20"/>
          <w:szCs w:val="20"/>
          <w:color w:val="auto"/>
        </w:rPr>
      </w:pPr>
    </w:p>
    <w:p>
      <w:pPr>
        <w:ind w:left="2957"/>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96"/>
          </w:cols>
          <w:pgMar w:left="663" w:top="620" w:right="1440" w:bottom="1440" w:gutter="0" w:footer="0" w:header="0"/>
        </w:sectPr>
      </w:pPr>
    </w:p>
    <w:bookmarkStart w:id="6" w:name="page7"/>
    <w:bookmarkEnd w:id="6"/>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539" w:firstLine="868"/>
        <w:spacing w:after="0" w:line="253" w:lineRule="auto"/>
        <w:rPr>
          <w:sz w:val="20"/>
          <w:szCs w:val="20"/>
          <w:color w:val="auto"/>
        </w:rPr>
      </w:pPr>
      <w:r>
        <w:rPr>
          <w:rFonts w:ascii="Courier New" w:cs="Courier New" w:eastAsia="Courier New" w:hAnsi="Courier New"/>
          <w:sz w:val="14"/>
          <w:szCs w:val="14"/>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Rockville, State of Maryland, on the 25/th/ day of June, 2001.</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 /s/ Steven J. Guttman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Steven J. Guttman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We, the undersigned trustees and officers of Federal Realty Investment Trust, a Maryland real estate investment trust, do hereby constitute and appoint Steven J. Guttman and Cecily A. Ward,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we hereby ratify and confirm all that said attorneys and agents, or either of them, shall do or cause to be done by virtue thereof.</w:t>
      </w:r>
    </w:p>
    <w:p>
      <w:pPr>
        <w:spacing w:after="0" w:line="173" w:lineRule="exact"/>
        <w:rPr>
          <w:sz w:val="20"/>
          <w:szCs w:val="20"/>
          <w:color w:val="auto"/>
        </w:rPr>
      </w:pPr>
    </w:p>
    <w:p>
      <w:pPr>
        <w:ind w:right="3379" w:firstLine="868"/>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this Registration Statement has been signed by the following persons in the capacities indicated below as of June 25, 2001.</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840" w:space="720"/>
            <w:col w:w="4679"/>
          </w:cols>
          <w:pgMar w:left="220" w:top="620"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/s/ Steven J. Guttman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Chief Executive Officer</w:t>
      </w:r>
    </w:p>
    <w:p>
      <w:pPr>
        <w:spacing w:after="0" w:line="8" w:lineRule="exact"/>
        <w:rPr>
          <w:sz w:val="20"/>
          <w:szCs w:val="20"/>
          <w:color w:val="auto"/>
        </w:rPr>
      </w:pPr>
    </w:p>
    <w:p>
      <w:pPr>
        <w:sectPr>
          <w:pgSz w:w="11900" w:h="16838" w:orient="portrait"/>
          <w:cols w:equalWidth="0" w:num="2">
            <w:col w:w="3020" w:space="720"/>
            <w:col w:w="64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Steven J. Guttman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and Trustee (Chief Executive Officer)</w:t>
      </w:r>
    </w:p>
    <w:p>
      <w:pPr>
        <w:spacing w:after="0" w:line="200" w:lineRule="exact"/>
        <w:rPr>
          <w:sz w:val="20"/>
          <w:szCs w:val="20"/>
          <w:color w:val="auto"/>
        </w:rPr>
      </w:pPr>
    </w:p>
    <w:p>
      <w:pPr>
        <w:sectPr>
          <w:pgSz w:w="11900" w:h="16838" w:orient="portrait"/>
          <w:cols w:equalWidth="0" w:num="2">
            <w:col w:w="3020" w:space="720"/>
            <w:col w:w="6499"/>
          </w:cols>
          <w:pgMar w:left="220" w:top="620" w:right="1440" w:bottom="1440" w:gutter="0" w:footer="0" w:header="0"/>
          <w:type w:val="continuous"/>
        </w:sectPr>
      </w:pPr>
    </w:p>
    <w:p>
      <w:pPr>
        <w:spacing w:after="0" w:line="14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 Cecily A. Ward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Cecily A. Ward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Chief Financial Officer and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Treasurer (Chief Financial and Accounting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w:t>
      </w:r>
    </w:p>
    <w:p>
      <w:pPr>
        <w:spacing w:after="0" w:line="200" w:lineRule="exact"/>
        <w:rPr>
          <w:sz w:val="20"/>
          <w:szCs w:val="20"/>
          <w:color w:val="auto"/>
        </w:rPr>
      </w:pPr>
    </w:p>
    <w:p>
      <w:pPr>
        <w:sectPr>
          <w:pgSz w:w="11900" w:h="16838" w:orient="portrait"/>
          <w:cols w:equalWidth="0" w:num="2">
            <w:col w:w="3400" w:space="340"/>
            <w:col w:w="6499"/>
          </w:cols>
          <w:pgMar w:left="220" w:top="620" w:right="1440" w:bottom="1440" w:gutter="0" w:footer="0" w:header="0"/>
          <w:type w:val="continuous"/>
        </w:sectPr>
      </w:pPr>
    </w:p>
    <w:p>
      <w:pPr>
        <w:spacing w:after="0" w:line="14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 Dennis L. Berman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8" w:lineRule="exact"/>
        <w:rPr>
          <w:sz w:val="20"/>
          <w:szCs w:val="20"/>
          <w:color w:val="auto"/>
        </w:rPr>
      </w:pPr>
    </w:p>
    <w:p>
      <w:pPr>
        <w:sectPr>
          <w:pgSz w:w="11900" w:h="16838" w:orient="portrait"/>
          <w:cols w:equalWidth="0" w:num="2">
            <w:col w:w="3020" w:space="720"/>
            <w:col w:w="6499"/>
          </w:cols>
          <w:pgMar w:left="220" w:top="620" w:right="1440" w:bottom="1440" w:gutter="0" w:footer="0" w:header="0"/>
          <w:type w:val="continuous"/>
        </w:sect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Dennis L. Berman</w:t>
      </w:r>
    </w:p>
    <w:p>
      <w:pPr>
        <w:spacing w:after="0" w:line="342" w:lineRule="exact"/>
        <w:rPr>
          <w:sz w:val="20"/>
          <w:szCs w:val="20"/>
          <w:color w:val="auto"/>
        </w:rPr>
      </w:pPr>
    </w:p>
    <w:p>
      <w:pPr>
        <w:spacing w:after="0"/>
        <w:tabs>
          <w:tab w:leader="none" w:pos="3720" w:val="left"/>
        </w:tabs>
        <w:rPr>
          <w:sz w:val="20"/>
          <w:szCs w:val="20"/>
          <w:color w:val="auto"/>
        </w:rPr>
      </w:pPr>
      <w:r>
        <w:rPr>
          <w:rFonts w:ascii="Courier New" w:cs="Courier New" w:eastAsia="Courier New" w:hAnsi="Courier New"/>
          <w:sz w:val="14"/>
          <w:szCs w:val="14"/>
          <w:color w:val="auto"/>
        </w:rPr>
        <w:t>_____________________________________</w:t>
      </w:r>
      <w:r>
        <w:rPr>
          <w:sz w:val="20"/>
          <w:szCs w:val="20"/>
          <w:color w:val="auto"/>
        </w:rPr>
        <w:tab/>
      </w:r>
      <w:r>
        <w:rPr>
          <w:rFonts w:ascii="Courier New" w:cs="Courier New" w:eastAsia="Courier New" w:hAnsi="Courier New"/>
          <w:sz w:val="14"/>
          <w:szCs w:val="14"/>
          <w:color w:val="auto"/>
        </w:rPr>
        <w:t>Trustee</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Kenneth D. Brody</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type w:val="continuous"/>
        </w:sectPr>
      </w:pPr>
    </w:p>
    <w:bookmarkStart w:id="7" w:name="page8"/>
    <w:bookmarkEnd w:id="7"/>
    <w:p>
      <w:pPr>
        <w:ind w:left="122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500" w:space="720"/>
            <w:col w:w="5019"/>
          </w:cols>
          <w:pgMar w:left="220" w:top="620" w:right="1440" w:bottom="1440" w:gutter="0" w:footer="0" w:header="0"/>
        </w:sectPr>
      </w:pPr>
    </w:p>
    <w:p>
      <w:pPr>
        <w:ind w:left="880"/>
        <w:spacing w:after="0"/>
        <w:rPr>
          <w:sz w:val="20"/>
          <w:szCs w:val="20"/>
          <w:color w:val="auto"/>
        </w:rPr>
      </w:pPr>
      <w:r>
        <w:rPr>
          <w:rFonts w:ascii="Courier New" w:cs="Courier New" w:eastAsia="Courier New" w:hAnsi="Courier New"/>
          <w:sz w:val="14"/>
          <w:szCs w:val="14"/>
          <w:color w:val="auto"/>
        </w:rPr>
        <w:t>/s/ Kristin Gamble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Trustee</w:t>
      </w:r>
    </w:p>
    <w:p>
      <w:pPr>
        <w:spacing w:after="0" w:line="8" w:lineRule="exact"/>
        <w:rPr>
          <w:sz w:val="20"/>
          <w:szCs w:val="20"/>
          <w:color w:val="auto"/>
        </w:rPr>
      </w:pPr>
    </w:p>
    <w:p>
      <w:pPr>
        <w:sectPr>
          <w:pgSz w:w="11900" w:h="16838" w:orient="portrait"/>
          <w:cols w:equalWidth="0" w:num="2">
            <w:col w:w="3020" w:space="720"/>
            <w:col w:w="6499"/>
          </w:cols>
          <w:pgMar w:left="220" w:top="620" w:right="1440" w:bottom="1440" w:gutter="0" w:footer="0" w:header="0"/>
          <w:type w:val="continuous"/>
        </w:sectPr>
      </w:pP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Kristin Gamble</w:t>
      </w:r>
    </w:p>
    <w:p>
      <w:pPr>
        <w:spacing w:after="0" w:line="342" w:lineRule="exact"/>
        <w:rPr>
          <w:sz w:val="20"/>
          <w:szCs w:val="20"/>
          <w:color w:val="auto"/>
        </w:rPr>
      </w:pPr>
    </w:p>
    <w:p>
      <w:pPr>
        <w:ind w:left="880"/>
        <w:spacing w:after="0"/>
        <w:tabs>
          <w:tab w:leader="none" w:pos="1300" w:val="left"/>
          <w:tab w:leader="none" w:pos="3720" w:val="left"/>
        </w:tabs>
        <w:rPr>
          <w:sz w:val="20"/>
          <w:szCs w:val="20"/>
          <w:color w:val="auto"/>
        </w:rPr>
      </w:pPr>
      <w:r>
        <w:rPr>
          <w:rFonts w:ascii="Courier New" w:cs="Courier New" w:eastAsia="Courier New" w:hAnsi="Courier New"/>
          <w:sz w:val="14"/>
          <w:szCs w:val="14"/>
          <w:color w:val="auto"/>
        </w:rPr>
        <w:t>/s/</w:t>
        <w:tab/>
        <w:t>Walter F. Loeb</w:t>
      </w:r>
      <w:r>
        <w:rPr>
          <w:sz w:val="20"/>
          <w:szCs w:val="20"/>
          <w:color w:val="auto"/>
        </w:rPr>
        <w:tab/>
      </w:r>
      <w:r>
        <w:rPr>
          <w:rFonts w:ascii="Courier New" w:cs="Courier New" w:eastAsia="Courier New" w:hAnsi="Courier New"/>
          <w:sz w:val="14"/>
          <w:szCs w:val="14"/>
          <w:color w:val="auto"/>
        </w:rPr>
        <w:t>Trustee</w:t>
      </w:r>
    </w:p>
    <w:p>
      <w:pPr>
        <w:spacing w:after="0" w:line="8"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Walter F. Loeb</w:t>
      </w:r>
    </w:p>
    <w:p>
      <w:pPr>
        <w:spacing w:after="0" w:line="342" w:lineRule="exact"/>
        <w:rPr>
          <w:sz w:val="20"/>
          <w:szCs w:val="20"/>
          <w:color w:val="auto"/>
        </w:rPr>
      </w:pPr>
    </w:p>
    <w:p>
      <w:pPr>
        <w:ind w:left="1140"/>
        <w:spacing w:after="0"/>
        <w:tabs>
          <w:tab w:leader="none" w:pos="3720" w:val="left"/>
        </w:tabs>
        <w:rPr>
          <w:sz w:val="20"/>
          <w:szCs w:val="20"/>
          <w:color w:val="auto"/>
        </w:rPr>
      </w:pPr>
      <w:r>
        <w:rPr>
          <w:rFonts w:ascii="Courier New" w:cs="Courier New" w:eastAsia="Courier New" w:hAnsi="Courier New"/>
          <w:sz w:val="14"/>
          <w:szCs w:val="14"/>
          <w:color w:val="auto"/>
        </w:rPr>
        <w:t>/s/ Mark S. Ordan</w:t>
      </w:r>
      <w:r>
        <w:rPr>
          <w:sz w:val="20"/>
          <w:szCs w:val="20"/>
          <w:color w:val="auto"/>
        </w:rPr>
        <w:tab/>
      </w:r>
      <w:r>
        <w:rPr>
          <w:rFonts w:ascii="Courier New" w:cs="Courier New" w:eastAsia="Courier New" w:hAnsi="Courier New"/>
          <w:sz w:val="14"/>
          <w:szCs w:val="14"/>
          <w:color w:val="auto"/>
        </w:rPr>
        <w:t>Trustee</w:t>
      </w:r>
    </w:p>
    <w:p>
      <w:pPr>
        <w:spacing w:after="0" w:line="8"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Mark S. Ordan</w:t>
      </w:r>
    </w:p>
    <w:p>
      <w:pPr>
        <w:spacing w:after="0" w:line="34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Pursuant to the requirements of the Securities Act, the trustee of the Federal Realty Investment Trust Savings and Retirement 401(k) Plan has duly caused this registration statement to be signed on its behalf by the undersigned, thereunto duly authorized, in the City of Rockville, State of Maryland, on June 26, 2001.</w:t>
      </w:r>
    </w:p>
    <w:p>
      <w:pPr>
        <w:spacing w:after="0" w:line="32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FEDERAL REALTY INVESTMENT TRUST SAVINGS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AND RETIREMENT 401(k) PLAN</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By: FEDERAL REALTY INVESTMENT TRUST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Plan Administrator</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By: /s/ Cecily A. Ward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Name: Cecily A. Ward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Title: Vice President, Chief Financial</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Officer and Treasurer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6080" w:type="dxa"/>
            <w:vAlign w:val="bottom"/>
          </w:tcPr>
          <w:p>
            <w:pPr>
              <w:ind w:left="2180"/>
              <w:spacing w:after="0"/>
              <w:rPr>
                <w:sz w:val="20"/>
                <w:szCs w:val="20"/>
                <w:color w:val="auto"/>
              </w:rPr>
            </w:pPr>
            <w:r>
              <w:rPr>
                <w:rFonts w:ascii="Courier New" w:cs="Courier New" w:eastAsia="Courier New" w:hAnsi="Courier New"/>
                <w:sz w:val="14"/>
                <w:szCs w:val="14"/>
                <w:color w:val="auto"/>
              </w:rPr>
              <w:t>EXHIBIT INDEX</w:t>
            </w:r>
          </w:p>
        </w:tc>
        <w:tc>
          <w:tcPr>
            <w:tcW w:w="960" w:type="dxa"/>
            <w:vAlign w:val="bottom"/>
          </w:tcPr>
          <w:p>
            <w:pPr>
              <w:spacing w:after="0"/>
              <w:rPr>
                <w:sz w:val="14"/>
                <w:szCs w:val="14"/>
                <w:color w:val="auto"/>
              </w:rPr>
            </w:pPr>
          </w:p>
        </w:tc>
      </w:tr>
      <w:tr>
        <w:trPr>
          <w:trHeight w:val="668"/>
        </w:trPr>
        <w:tc>
          <w:tcPr>
            <w:tcW w:w="7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6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6080" w:type="dxa"/>
            <w:vAlign w:val="bottom"/>
          </w:tcPr>
          <w:p>
            <w:pPr>
              <w:ind w:left="2180"/>
              <w:spacing w:after="0"/>
              <w:rPr>
                <w:sz w:val="20"/>
                <w:szCs w:val="20"/>
                <w:color w:val="auto"/>
              </w:rPr>
            </w:pPr>
            <w:r>
              <w:rPr>
                <w:rFonts w:ascii="Courier New" w:cs="Courier New" w:eastAsia="Courier New" w:hAnsi="Courier New"/>
                <w:sz w:val="14"/>
                <w:szCs w:val="14"/>
                <w:color w:val="auto"/>
              </w:rPr>
              <w:t>Description</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80" w:type="dxa"/>
            <w:vAlign w:val="bottom"/>
          </w:tcPr>
          <w:p>
            <w:pPr>
              <w:ind w:left="2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Articles of Amendment and Restatement of Declaration of Trust of</w:t>
            </w:r>
          </w:p>
        </w:tc>
        <w:tc>
          <w:tcPr>
            <w:tcW w:w="9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Registrant, dated May 20, 1999 (incorporated by reference to</w:t>
            </w:r>
          </w:p>
        </w:tc>
        <w:tc>
          <w:tcPr>
            <w:tcW w:w="9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Exhibit 3.1 to the Registrant's Current Report on Form 8-K, filed</w:t>
            </w:r>
          </w:p>
        </w:tc>
        <w:tc>
          <w:tcPr>
            <w:tcW w:w="9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on May 25, 1999).</w:t>
            </w:r>
          </w:p>
        </w:tc>
        <w:tc>
          <w:tcPr>
            <w:tcW w:w="960" w:type="dxa"/>
            <w:vAlign w:val="bottom"/>
          </w:tcPr>
          <w:p>
            <w:pPr>
              <w:spacing w:after="0"/>
              <w:rPr>
                <w:sz w:val="14"/>
                <w:szCs w:val="14"/>
                <w:color w:val="auto"/>
              </w:rPr>
            </w:pP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Declaration of Trust of Registrant, dated May 5, 1999</w:t>
            </w:r>
          </w:p>
        </w:tc>
        <w:tc>
          <w:tcPr>
            <w:tcW w:w="9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(incorporated by reference to Exhibit 3.2 to the Registrant's</w:t>
            </w:r>
          </w:p>
        </w:tc>
        <w:tc>
          <w:tcPr>
            <w:tcW w:w="9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Current Report on Form 8-K, filed on May 25, 1999).</w:t>
            </w:r>
          </w:p>
        </w:tc>
        <w:tc>
          <w:tcPr>
            <w:tcW w:w="960" w:type="dxa"/>
            <w:vAlign w:val="bottom"/>
          </w:tcPr>
          <w:p>
            <w:pPr>
              <w:spacing w:after="0"/>
              <w:rPr>
                <w:sz w:val="14"/>
                <w:szCs w:val="14"/>
                <w:color w:val="auto"/>
              </w:rPr>
            </w:pP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3.3</w:t>
            </w: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Bylaws of the Registrant, dated May 5, 1999 (incorporated by</w:t>
            </w:r>
          </w:p>
        </w:tc>
        <w:tc>
          <w:tcPr>
            <w:tcW w:w="9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reference to Exhibit 3.3 to the Registrant's Current Report on</w:t>
            </w:r>
          </w:p>
        </w:tc>
        <w:tc>
          <w:tcPr>
            <w:tcW w:w="9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Form 8-K, filed on May 25, 1999).</w:t>
            </w:r>
          </w:p>
        </w:tc>
        <w:tc>
          <w:tcPr>
            <w:tcW w:w="960" w:type="dxa"/>
            <w:vAlign w:val="bottom"/>
          </w:tcPr>
          <w:p>
            <w:pPr>
              <w:spacing w:after="0"/>
              <w:rPr>
                <w:sz w:val="14"/>
                <w:szCs w:val="14"/>
                <w:color w:val="auto"/>
              </w:rPr>
            </w:pP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Statement of Designation for Series A Cumulative Redeemable</w:t>
            </w:r>
          </w:p>
        </w:tc>
        <w:tc>
          <w:tcPr>
            <w:tcW w:w="9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Preferred Shares (incorporated by reference to Exhibit 4 to the</w:t>
            </w:r>
          </w:p>
        </w:tc>
        <w:tc>
          <w:tcPr>
            <w:tcW w:w="9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Registrant's Current Report on Form 8-K, filed on October 3,</w:t>
            </w:r>
          </w:p>
        </w:tc>
        <w:tc>
          <w:tcPr>
            <w:tcW w:w="9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spacing w:after="0"/>
              <w:rPr>
                <w:sz w:val="14"/>
                <w:szCs w:val="14"/>
                <w:color w:val="auto"/>
              </w:rPr>
            </w:pP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Amended and Restated Rights Agreement, dated March 11, 1999,</w:t>
            </w:r>
          </w:p>
        </w:tc>
        <w:tc>
          <w:tcPr>
            <w:tcW w:w="9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between the Registrant and American Stock Transfer &amp; Trust</w:t>
            </w:r>
          </w:p>
        </w:tc>
        <w:tc>
          <w:tcPr>
            <w:tcW w:w="9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Company (the "Rights Agreement") (incorporated by reference to</w:t>
            </w:r>
          </w:p>
        </w:tc>
        <w:tc>
          <w:tcPr>
            <w:tcW w:w="9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Exhibit No. 1 to the Registrant's Form 8-A/A, filed on March 11,</w:t>
            </w:r>
          </w:p>
        </w:tc>
        <w:tc>
          <w:tcPr>
            <w:tcW w:w="9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spacing w:after="0"/>
              <w:rPr>
                <w:sz w:val="14"/>
                <w:szCs w:val="14"/>
                <w:color w:val="auto"/>
              </w:rPr>
            </w:pP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Internal Revenue Service Determination Letter.</w:t>
            </w:r>
          </w:p>
        </w:tc>
        <w:tc>
          <w:tcPr>
            <w:tcW w:w="960" w:type="dxa"/>
            <w:vAlign w:val="bottom"/>
          </w:tcPr>
          <w:p>
            <w:pPr>
              <w:spacing w:after="0"/>
              <w:rPr>
                <w:sz w:val="24"/>
                <w:szCs w:val="24"/>
                <w:color w:val="auto"/>
              </w:rPr>
            </w:pP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Consent of Arthur Andersen LLP, independent public accountants.</w:t>
            </w:r>
          </w:p>
        </w:tc>
        <w:tc>
          <w:tcPr>
            <w:tcW w:w="960" w:type="dxa"/>
            <w:vAlign w:val="bottom"/>
          </w:tcPr>
          <w:p>
            <w:pPr>
              <w:spacing w:after="0"/>
              <w:rPr>
                <w:sz w:val="24"/>
                <w:szCs w:val="24"/>
                <w:color w:val="auto"/>
              </w:rPr>
            </w:pP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Consent of Grant Thornton LLP, independent public accountants.</w:t>
            </w:r>
          </w:p>
        </w:tc>
        <w:tc>
          <w:tcPr>
            <w:tcW w:w="960" w:type="dxa"/>
            <w:vAlign w:val="bottom"/>
          </w:tcPr>
          <w:p>
            <w:pPr>
              <w:spacing w:after="0"/>
              <w:rPr>
                <w:sz w:val="24"/>
                <w:szCs w:val="24"/>
                <w:color w:val="auto"/>
              </w:rPr>
            </w:pP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6080" w:type="dxa"/>
            <w:vAlign w:val="bottom"/>
          </w:tcPr>
          <w:p>
            <w:pPr>
              <w:spacing w:after="0"/>
              <w:rPr>
                <w:sz w:val="20"/>
                <w:szCs w:val="20"/>
                <w:color w:val="auto"/>
              </w:rPr>
            </w:pPr>
            <w:r>
              <w:rPr>
                <w:rFonts w:ascii="Courier New" w:cs="Courier New" w:eastAsia="Courier New" w:hAnsi="Courier New"/>
                <w:sz w:val="14"/>
                <w:szCs w:val="14"/>
                <w:color w:val="auto"/>
              </w:rPr>
              <w:t>Power of Attorney (included on signature page).</w:t>
            </w:r>
          </w:p>
        </w:tc>
        <w:tc>
          <w:tcPr>
            <w:tcW w:w="960" w:type="dxa"/>
            <w:vAlign w:val="bottom"/>
          </w:tcPr>
          <w:p>
            <w:pPr>
              <w:spacing w:after="0"/>
              <w:rPr>
                <w:sz w:val="24"/>
                <w:szCs w:val="2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 reference</w:t>
      </w:r>
    </w:p>
    <w:p>
      <w:pPr>
        <w:sectPr>
          <w:pgSz w:w="11900" w:h="16838" w:orient="portrait"/>
          <w:cols w:equalWidth="0" w:num="1">
            <w:col w:w="10239"/>
          </w:cols>
          <w:pgMar w:left="220" w:top="62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Exhibit 5.1</w:t>
      </w:r>
    </w:p>
    <w:p>
      <w:pPr>
        <w:sectPr>
          <w:pgSz w:w="11900" w:h="16838" w:orient="portrait"/>
          <w:cols w:equalWidth="0" w:num="1">
            <w:col w:w="10239"/>
          </w:cols>
          <w:pgMar w:left="220" w:top="475"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INTERNAL REVENUE SERVICE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DISTRICT DIRECTOR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HOPKINS PLAZA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BALTIMORE, MD 21201-0000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DEPARTMENT OF THE TREASURY</w:t>
      </w:r>
    </w:p>
    <w:p>
      <w:pPr>
        <w:spacing w:after="0" w:line="508" w:lineRule="exact"/>
        <w:rPr>
          <w:sz w:val="20"/>
          <w:szCs w:val="20"/>
          <w:color w:val="auto"/>
        </w:rPr>
      </w:pPr>
    </w:p>
    <w:p>
      <w:pPr>
        <w:sectPr>
          <w:pgSz w:w="11900" w:h="16838" w:orient="portrait"/>
          <w:cols w:equalWidth="0" w:num="2">
            <w:col w:w="3980" w:space="720"/>
            <w:col w:w="5539"/>
          </w:cols>
          <w:pgMar w:left="220" w:top="475" w:right="1440"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NOV 04 1994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4800 HAMPDEN LANE, #500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BETHESDA, MD 20814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Employer Identification Number: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52-0782497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 Folder Number: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521034444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to Contact: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JUDITH A. COOK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Contact Telephone Number: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(410) 962-0625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Name: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AMENDED AND RESTATED FEDERAL REALTY</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INVESTMENT TRUST SAVINGS &amp; RETIREM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Number: 001</w:t>
      </w:r>
    </w:p>
    <w:p>
      <w:pPr>
        <w:spacing w:after="0" w:line="175" w:lineRule="exact"/>
        <w:rPr>
          <w:sz w:val="20"/>
          <w:szCs w:val="20"/>
          <w:color w:val="auto"/>
        </w:rPr>
      </w:pPr>
    </w:p>
    <w:p>
      <w:pPr>
        <w:sectPr>
          <w:pgSz w:w="11900" w:h="16838" w:orient="portrait"/>
          <w:cols w:equalWidth="0" w:num="2">
            <w:col w:w="3020" w:space="720"/>
            <w:col w:w="6499"/>
          </w:cols>
          <w:pgMar w:left="22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Dear Applicant:</w:t>
      </w:r>
    </w:p>
    <w:p>
      <w:pPr>
        <w:sectPr>
          <w:pgSz w:w="11900" w:h="16838" w:orient="portrait"/>
          <w:cols w:equalWidth="0" w:num="1">
            <w:col w:w="10239"/>
          </w:cols>
          <w:pgMar w:left="220" w:top="475" w:right="1440" w:bottom="1440" w:gutter="0" w:footer="0" w:header="0"/>
          <w:type w:val="continuous"/>
        </w:sectPr>
      </w:pPr>
    </w:p>
    <w:p>
      <w:pPr>
        <w:spacing w:after="0" w:line="17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We have made a favorable determination on your plan, identified above, based on the information supplied. Please keep this letter in your permanent records.</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Continued qualification of the plan under its present form will depend on its effect in operation. (See section 1.401-1(b)(3) of the Income Tax Regulations.) We will review the status of the plan in operation periodically.</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The enclosed document explains the significance of this favorable determination letter, points out some features that may affect the qualified status of your employee retirement plan, and provides information on the reporting requirements for your plan. It also describes some events that automatically nullify it. It is very important that you read the publication.</w:t>
      </w:r>
    </w:p>
    <w:p>
      <w:pPr>
        <w:spacing w:after="0" w:line="162"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This letter relates only to the status of your plan under the Internal Revenue Code. It is not a determination regarding the effect of other federal or local statutes.</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This determination is subject to your adoption of the proposed amendments submitted in your letter dated October 27, 1994. The proposed amendments should be adopted on or before the date prescribed by the regulations under Code section 401(b).</w:t>
      </w:r>
    </w:p>
    <w:p>
      <w:pPr>
        <w:spacing w:after="0" w:line="163"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This determination letter is applicable for the amendment(s) adopted on June 27, 1994.</w:t>
      </w:r>
    </w:p>
    <w:p>
      <w:pPr>
        <w:spacing w:after="0" w:line="160"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This plan has been mandatorily disaggregated, permissively aggregated, or restructured to satisfy the nondiscrimination requirements.</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This plan satisfies the nondiscrimination in amount requirement of section 1.401(a)(4)-1(b)(2) of the regulations on the basis of a design-based safe harbor described in the regulations.</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This letter is issued under Rev. Proc. 93-39 and considers the amendments required by the Tax Reform Act of 1986 except as otherwise specified in this letter.</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plan satisfies the nondiscriminatory current availability require-</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Letter 835 (DO/CG)</w:t>
      </w:r>
    </w:p>
    <w:p>
      <w:pPr>
        <w:sectPr>
          <w:pgSz w:w="11900" w:h="16838" w:orient="portrait"/>
          <w:cols w:equalWidth="0" w:num="1">
            <w:col w:w="10239"/>
          </w:cols>
          <w:pgMar w:left="220" w:top="475" w:right="1440" w:bottom="1440" w:gutter="0" w:footer="0" w:header="0"/>
          <w:type w:val="continuous"/>
        </w:sectPr>
      </w:pPr>
    </w:p>
    <w:bookmarkStart w:id="10" w:name="page11"/>
    <w:bookmarkEnd w:id="10"/>
    <w:p>
      <w:pPr>
        <w:ind w:left="330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ments of section 1.401(a)(4)-4(b) of the regulations with respect to those benefits, rights, and features that are currently available to all employees in the plan's coverage group. For this purpose, the plan's coverage group consists of those employees treated as currently benefiting for purposes of demonstrating that the plan satisfies the minimum coverage requirements of section 410(b) of the Code.</w:t>
      </w:r>
    </w:p>
    <w:p>
      <w:pPr>
        <w:spacing w:after="0" w:line="165"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This plan qualifies for Extended Reliance described in the last paragraph of Publication 794 under the caption "Limitations of a Favorable Determination Letter".</w:t>
      </w:r>
    </w:p>
    <w:p>
      <w:pPr>
        <w:spacing w:after="0" w:line="162" w:lineRule="exact"/>
        <w:rPr>
          <w:sz w:val="20"/>
          <w:szCs w:val="20"/>
          <w:color w:val="auto"/>
        </w:rPr>
      </w:pPr>
    </w:p>
    <w:p>
      <w:pPr>
        <w:jc w:val="both"/>
        <w:ind w:right="3459" w:firstLine="434"/>
        <w:spacing w:after="0" w:line="258" w:lineRule="auto"/>
        <w:rPr>
          <w:sz w:val="20"/>
          <w:szCs w:val="20"/>
          <w:color w:val="auto"/>
        </w:rPr>
      </w:pPr>
      <w:r>
        <w:rPr>
          <w:rFonts w:ascii="Courier New" w:cs="Courier New" w:eastAsia="Courier New" w:hAnsi="Courier New"/>
          <w:sz w:val="14"/>
          <w:szCs w:val="14"/>
          <w:color w:val="auto"/>
        </w:rPr>
        <w:t>We have sent a copy of this letter to your representative as indicated in the power of attorney.</w:t>
      </w:r>
    </w:p>
    <w:p>
      <w:pPr>
        <w:spacing w:after="0" w:line="160"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If you have questions concerning this matter, please contact the person whose name and telephone number are shown above.</w:t>
      </w:r>
    </w:p>
    <w:p>
      <w:pPr>
        <w:spacing w:after="0" w:line="160"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Sincerely yours,</w:t>
      </w:r>
    </w:p>
    <w:p>
      <w:pPr>
        <w:spacing w:after="0" w:line="342"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 Paul M. Harrington</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District Director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Enclosures: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Publication 794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Reporting &amp; Disclosure Guide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 Employee Benefit Plans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Letter 835 (DO/CG)</w:t>
      </w:r>
    </w:p>
    <w:p>
      <w:pPr>
        <w:sectPr>
          <w:pgSz w:w="11900" w:h="16838" w:orient="portrait"/>
          <w:cols w:equalWidth="0" w:num="1">
            <w:col w:w="10239"/>
          </w:cols>
          <w:pgMar w:left="220" w:top="954" w:right="1440" w:bottom="1440" w:gutter="0" w:footer="0" w:header="0"/>
        </w:sectPr>
      </w:pPr>
    </w:p>
    <w:bookmarkStart w:id="11" w:name="page12"/>
    <w:bookmarkEnd w:id="11"/>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175"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[LOGO OF ARTHUR ANDERSEN]</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of our report dated February 13, 2001 included in Federal Realty Investment Trust's Form 10-K for the year ended December 31, 2000 as well as our report dated June 22, 2001 included in Federal Realty Investment Trust's Form 11-K for the year ended December 31, 2000 and to all references to our Firm included in this registration statement.</w:t>
      </w:r>
    </w:p>
    <w:p>
      <w:pPr>
        <w:spacing w:after="0" w:line="16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Arthur Andersen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Vienna, Virginia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27, 2001</w:t>
      </w:r>
    </w:p>
    <w:p>
      <w:pPr>
        <w:sectPr>
          <w:pgSz w:w="11900" w:h="16838" w:orient="portrait"/>
          <w:cols w:equalWidth="0" w:num="1">
            <w:col w:w="10239"/>
          </w:cols>
          <w:pgMar w:left="220" w:top="475" w:right="1440" w:bottom="1440" w:gutter="0" w:footer="0" w:header="0"/>
        </w:sectPr>
      </w:pPr>
    </w:p>
    <w:bookmarkStart w:id="12" w:name="page13"/>
    <w:bookmarkEnd w:id="12"/>
    <w:p>
      <w:pPr>
        <w:jc w:val="right"/>
        <w:ind w:right="3279"/>
        <w:spacing w:after="0"/>
        <w:rPr>
          <w:sz w:val="20"/>
          <w:szCs w:val="20"/>
          <w:color w:val="auto"/>
        </w:rPr>
      </w:pPr>
      <w:r>
        <w:rPr>
          <w:rFonts w:ascii="Courier New" w:cs="Courier New" w:eastAsia="Courier New" w:hAnsi="Courier New"/>
          <w:sz w:val="14"/>
          <w:szCs w:val="14"/>
          <w:color w:val="auto"/>
        </w:rPr>
        <w:t>Grant Thornton [LOGO]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Accountants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Consultants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US Member Firm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International</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We have issued our report dated February 8, 1999 accompanying the consolidated financial statements and schedules included in the Annual Report of Federal Realty Investment Trust on Form 10K for the year ended December 31, 1998. We hereby consent to the incorporation by reference of said report in the Registration Statement of Federal Realty Investment Trust on Form S-8 to be filed on or about June 27, 2001.</w:t>
      </w:r>
    </w:p>
    <w:p>
      <w:pPr>
        <w:spacing w:after="0" w:line="16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Grant Thornton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Vienna, VA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27, 2001</w:t>
      </w:r>
    </w:p>
    <w:sectPr>
      <w:pgSz w:w="11900" w:h="16838" w:orient="portrait"/>
      <w:cols w:equalWidth="0" w:num="1">
        <w:col w:w="10239"/>
      </w:cols>
      <w:pgMar w:left="2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decimal"/>
      <w:start w:val="301"/>
    </w:lvl>
  </w:abstractNum>
  <w:abstractNum w:abstractNumId="1">
    <w:nsid w:val="41B71EFB"/>
    <w:multiLevelType w:val="hybridMultilevel"/>
    <w:lvl w:ilvl="0">
      <w:lvlJc w:val="left"/>
      <w:lvlText w:val="(%1)"/>
      <w:numFmt w:val="decimal"/>
      <w:start w:val="202"/>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5BD062C2"/>
    <w:multiLevelType w:val="hybridMultilevel"/>
    <w:lvl w:ilvl="0">
      <w:lvlJc w:val="left"/>
      <w:lvlText w:val="(%1)"/>
      <w:numFmt w:val="lowerRoman"/>
      <w:start w:val="3"/>
    </w:lvl>
  </w:abstractNum>
  <w:abstractNum w:abstractNumId="6">
    <w:nsid w:val="12200854"/>
    <w:multiLevelType w:val="hybridMultilevel"/>
    <w:lvl w:ilvl="0">
      <w:lvlJc w:val="left"/>
      <w:lvlText w:val="%1"/>
      <w:numFmt w:val="lowerLetter"/>
      <w:start w:val="1"/>
    </w:lvl>
    <w:lvl w:ilvl="1">
      <w:lvlJc w:val="left"/>
      <w:lvlText w:val="(%2)"/>
      <w:numFmt w:val="decimal"/>
      <w:start w:val="2"/>
    </w:lvl>
  </w:abstractNum>
  <w:abstractNum w:abstractNumId="7">
    <w:nsid w:val="4DB127F8"/>
    <w:multiLevelType w:val="hybridMultilevel"/>
    <w:lvl w:ilvl="0">
      <w:lvlJc w:val="left"/>
      <w:lvlText w:val="(%1)"/>
      <w:numFmt w:val="lowerLetter"/>
      <w:start w:val="2"/>
    </w:lvl>
    <w:lvl w:ilvl="1">
      <w:lvlJc w:val="left"/>
      <w:lvlText w:val="%2"/>
      <w:numFmt w:val="decimal"/>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2019-12-11T17:51:45Z</dcterms:created>
  <dcterms:modified xsi:type="dcterms:W3CDTF">2019-12-11T17:51:45Z</dcterms:modified>
</cp:coreProperties>
</file>