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333-181236</w:t>
      </w:r>
    </w:p>
    <w:p>
      <w:pPr>
        <w:spacing w:after="0" w:line="9"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b w:val="1"/>
          <w:bCs w:val="1"/>
          <w:color w:val="DE1A1E"/>
        </w:rPr>
        <w:t>The information in this prospectus supplement and the accompanying prospectus is not complete and may be changed. A registration statement relating to these securities has been filed with the Securities and Exchange Commission and is effective. This prospectus supplement and the accompanying prospectus are not an offer to sell these securities and we are not soliciting offers to buy these securities in any jurisdiction where the offer or sale is not permitted.</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NOVEMBER 10, 2014</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MAY 8, 2012)</w:t>
      </w:r>
    </w:p>
    <w:p>
      <w:pPr>
        <w:spacing w:after="0" w:line="70" w:lineRule="exact"/>
        <w:rPr>
          <w:sz w:val="24"/>
          <w:szCs w:val="24"/>
          <w:color w:val="auto"/>
        </w:rPr>
      </w:pPr>
    </w:p>
    <w:p>
      <w:pPr>
        <w:ind w:left="5040"/>
        <w:spacing w:after="0"/>
        <w:rPr>
          <w:sz w:val="20"/>
          <w:szCs w:val="20"/>
          <w:color w:val="auto"/>
        </w:rPr>
      </w:pPr>
      <w:r>
        <w:rPr>
          <w:rFonts w:ascii="Arial" w:cs="Arial" w:eastAsia="Arial" w:hAnsi="Arial"/>
          <w:sz w:val="24"/>
          <w:szCs w:val="2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151765</wp:posOffset>
            </wp:positionV>
            <wp:extent cx="215265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65" w:lineRule="exact"/>
        <w:rPr>
          <w:sz w:val="24"/>
          <w:szCs w:val="24"/>
          <w:color w:val="auto"/>
        </w:rPr>
      </w:pPr>
    </w:p>
    <w:p>
      <w:pPr>
        <w:spacing w:after="0"/>
        <w:tabs>
          <w:tab w:leader="none" w:pos="5760" w:val="left"/>
          <w:tab w:leader="none" w:pos="10140" w:val="left"/>
        </w:tabs>
        <w:rPr>
          <w:sz w:val="20"/>
          <w:szCs w:val="20"/>
          <w:color w:val="auto"/>
        </w:rPr>
      </w:pPr>
      <w:r>
        <w:rPr>
          <w:rFonts w:ascii="Arial" w:cs="Arial" w:eastAsia="Arial" w:hAnsi="Arial"/>
          <w:sz w:val="18"/>
          <w:szCs w:val="18"/>
          <w:color w:val="auto"/>
        </w:rPr>
        <w:t>The notes offered by this prospectus supplement will bear interest at the rate of</w:t>
        <w:tab/>
        <w:t>% per year. Interest on the notes will be payable on</w:t>
      </w:r>
      <w:r>
        <w:rPr>
          <w:sz w:val="20"/>
          <w:szCs w:val="20"/>
          <w:color w:val="auto"/>
        </w:rPr>
        <w:tab/>
      </w:r>
      <w:r>
        <w:rPr>
          <w:rFonts w:ascii="Arial" w:cs="Arial" w:eastAsia="Arial" w:hAnsi="Arial"/>
          <w:sz w:val="15"/>
          <w:szCs w:val="15"/>
          <w:color w:val="auto"/>
        </w:rPr>
        <w:t>and</w:t>
      </w:r>
    </w:p>
    <w:p>
      <w:pPr>
        <w:spacing w:after="0" w:line="15" w:lineRule="exact"/>
        <w:rPr>
          <w:sz w:val="24"/>
          <w:szCs w:val="24"/>
          <w:color w:val="auto"/>
        </w:rPr>
      </w:pPr>
    </w:p>
    <w:p>
      <w:pPr>
        <w:spacing w:after="0"/>
        <w:tabs>
          <w:tab w:leader="none" w:pos="2400" w:val="left"/>
          <w:tab w:leader="none" w:pos="5440" w:val="left"/>
          <w:tab w:leader="none" w:pos="5880" w:val="left"/>
        </w:tabs>
        <w:rPr>
          <w:sz w:val="20"/>
          <w:szCs w:val="20"/>
          <w:color w:val="auto"/>
        </w:rPr>
      </w:pPr>
      <w:r>
        <w:rPr>
          <w:rFonts w:ascii="Arial" w:cs="Arial" w:eastAsia="Arial" w:hAnsi="Arial"/>
          <w:sz w:val="18"/>
          <w:szCs w:val="18"/>
          <w:color w:val="auto"/>
        </w:rPr>
        <w:t>each year, beginning on</w:t>
      </w:r>
      <w:r>
        <w:rPr>
          <w:sz w:val="20"/>
          <w:szCs w:val="20"/>
          <w:color w:val="auto"/>
        </w:rPr>
        <w:tab/>
      </w:r>
      <w:r>
        <w:rPr>
          <w:rFonts w:ascii="Arial" w:cs="Arial" w:eastAsia="Arial" w:hAnsi="Arial"/>
          <w:sz w:val="18"/>
          <w:szCs w:val="18"/>
          <w:color w:val="auto"/>
        </w:rPr>
        <w:t>, 2015. The 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We may redeem some or all of the notes at any time before maturity at the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applicable redemption price discussed under the caption “Description of Notes — Optional Redemption.”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Arial" w:cs="Arial" w:eastAsia="Arial" w:hAnsi="Arial"/>
          <w:sz w:val="18"/>
          <w:szCs w:val="18"/>
          <w:color w:val="auto"/>
        </w:rPr>
        <w:t>of</w:t>
      </w:r>
    </w:p>
    <w:p>
      <w:pPr>
        <w:spacing w:after="0" w:line="603" w:lineRule="exact"/>
        <w:rPr>
          <w:sz w:val="24"/>
          <w:szCs w:val="24"/>
          <w:color w:val="auto"/>
        </w:rPr>
      </w:pPr>
    </w:p>
    <w:p>
      <w:pPr>
        <w:sectPr>
          <w:pgSz w:w="11900" w:h="16838" w:orient="portrait"/>
          <w:cols w:equalWidth="0" w:num="2">
            <w:col w:w="11180" w:space="20"/>
            <w:col w:w="220"/>
          </w:cols>
          <w:pgMar w:left="240" w:top="230" w:right="239" w:bottom="1440" w:gutter="0" w:footer="0" w:header="0"/>
          <w:type w:val="continuous"/>
        </w:sectPr>
      </w:pPr>
    </w:p>
    <w:p>
      <w:pPr>
        <w:ind w:right="460"/>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color w:val="auto"/>
        </w:rPr>
        <w:t>The notes are a new issue of securities with no established trading market. We do not intend to apply to list the notes on any securities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97" w:lineRule="exact"/>
        <w:rPr>
          <w:sz w:val="24"/>
          <w:szCs w:val="24"/>
          <w:color w:val="auto"/>
        </w:rPr>
      </w:pPr>
    </w:p>
    <w:p>
      <w:pPr>
        <w:jc w:val="center"/>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notes involves risks. See “</w:t>
      </w:r>
      <w:hyperlink w:anchor="page1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S-6 of this prospectus supplement,</w:t>
      </w:r>
    </w:p>
    <w:p>
      <w:pPr>
        <w:spacing w:after="0" w:line="70" w:lineRule="exact"/>
        <w:rPr>
          <w:sz w:val="24"/>
          <w:szCs w:val="24"/>
          <w:color w:val="auto"/>
        </w:rPr>
      </w:pPr>
    </w:p>
    <w:p>
      <w:pPr>
        <w:jc w:val="center"/>
        <w:ind w:left="260" w:right="180"/>
        <w:spacing w:after="0" w:line="328" w:lineRule="auto"/>
        <w:rPr>
          <w:sz w:val="20"/>
          <w:szCs w:val="20"/>
          <w:color w:val="auto"/>
        </w:rPr>
      </w:pPr>
      <w:r>
        <w:rPr>
          <w:rFonts w:ascii="Arial" w:cs="Arial" w:eastAsia="Arial" w:hAnsi="Arial"/>
          <w:sz w:val="21"/>
          <w:szCs w:val="21"/>
          <w:b w:val="1"/>
          <w:bCs w:val="1"/>
          <w:color w:val="auto"/>
        </w:rPr>
        <w:t>on page 3 of the accompanying prospectus and in our Annual Report on Form 10-K for the year ended December 31, 2013, filed with the Securities and Exchange Commission, or the SEC, on February 11, 2014.</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600" w:type="dxa"/>
            <w:vAlign w:val="bottom"/>
            <w:gridSpan w:val="2"/>
          </w:tcPr>
          <w:p>
            <w:pPr>
              <w:jc w:val="center"/>
              <w:ind w:right="2140"/>
              <w:spacing w:after="0"/>
              <w:rPr>
                <w:sz w:val="20"/>
                <w:szCs w:val="20"/>
                <w:color w:val="auto"/>
              </w:rPr>
            </w:pPr>
            <w:r>
              <w:rPr>
                <w:rFonts w:ascii="Arial" w:cs="Arial" w:eastAsia="Arial" w:hAnsi="Arial"/>
                <w:sz w:val="18"/>
                <w:szCs w:val="18"/>
                <w:b w:val="1"/>
                <w:bCs w:val="1"/>
                <w:color w:val="auto"/>
                <w:w w:val="89"/>
              </w:rPr>
              <w:t>Per</w:t>
            </w:r>
          </w:p>
        </w:tc>
        <w:tc>
          <w:tcPr>
            <w:tcW w:w="620" w:type="dxa"/>
            <w:vAlign w:val="bottom"/>
          </w:tcPr>
          <w:p>
            <w:pPr>
              <w:spacing w:after="0"/>
              <w:rPr>
                <w:sz w:val="18"/>
                <w:szCs w:val="18"/>
                <w:color w:val="auto"/>
              </w:rPr>
            </w:pPr>
          </w:p>
        </w:tc>
      </w:tr>
      <w:tr>
        <w:trPr>
          <w:trHeight w:val="228"/>
        </w:trPr>
        <w:tc>
          <w:tcPr>
            <w:tcW w:w="26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600" w:type="dxa"/>
            <w:vAlign w:val="bottom"/>
            <w:gridSpan w:val="2"/>
          </w:tcPr>
          <w:p>
            <w:pPr>
              <w:jc w:val="center"/>
              <w:ind w:right="2160"/>
              <w:spacing w:after="0"/>
              <w:rPr>
                <w:sz w:val="20"/>
                <w:szCs w:val="20"/>
                <w:color w:val="auto"/>
              </w:rPr>
            </w:pPr>
            <w:r>
              <w:rPr>
                <w:rFonts w:ascii="Arial" w:cs="Arial" w:eastAsia="Arial" w:hAnsi="Arial"/>
                <w:sz w:val="18"/>
                <w:szCs w:val="18"/>
                <w:b w:val="1"/>
                <w:bCs w:val="1"/>
                <w:color w:val="auto"/>
                <w:w w:val="89"/>
              </w:rPr>
              <w:t>Note</w:t>
            </w:r>
          </w:p>
        </w:tc>
        <w:tc>
          <w:tcPr>
            <w:tcW w:w="620" w:type="dxa"/>
            <w:vAlign w:val="bottom"/>
          </w:tcPr>
          <w:p>
            <w:pPr>
              <w:jc w:val="right"/>
              <w:ind w:right="40"/>
              <w:spacing w:after="0"/>
              <w:rPr>
                <w:sz w:val="20"/>
                <w:szCs w:val="20"/>
                <w:color w:val="auto"/>
              </w:rPr>
            </w:pPr>
            <w:r>
              <w:rPr>
                <w:rFonts w:ascii="Arial" w:cs="Arial" w:eastAsia="Arial" w:hAnsi="Arial"/>
                <w:sz w:val="18"/>
                <w:szCs w:val="18"/>
                <w:b w:val="1"/>
                <w:bCs w:val="1"/>
                <w:color w:val="auto"/>
              </w:rPr>
              <w:t>Total</w:t>
            </w:r>
          </w:p>
        </w:tc>
      </w:tr>
      <w:tr>
        <w:trPr>
          <w:trHeight w:val="212"/>
        </w:trPr>
        <w:tc>
          <w:tcPr>
            <w:tcW w:w="268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11"/>
                <w:szCs w:val="11"/>
                <w:color w:val="auto"/>
              </w:rPr>
              <w:t>(1)</w:t>
            </w:r>
          </w:p>
        </w:tc>
        <w:tc>
          <w:tcPr>
            <w:tcW w:w="5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Underwriting discount</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60" w:type="dxa"/>
            <w:vAlign w:val="bottom"/>
          </w:tcPr>
          <w:p>
            <w:pPr>
              <w:spacing w:after="0"/>
              <w:rPr>
                <w:sz w:val="18"/>
                <w:szCs w:val="18"/>
                <w:color w:val="auto"/>
              </w:rPr>
            </w:pPr>
          </w:p>
        </w:tc>
        <w:tc>
          <w:tcPr>
            <w:tcW w:w="620" w:type="dxa"/>
            <w:vAlign w:val="bottom"/>
          </w:tcPr>
          <w:p>
            <w:pPr>
              <w:jc w:val="right"/>
              <w:ind w:right="460"/>
              <w:spacing w:after="0"/>
              <w:rPr>
                <w:sz w:val="20"/>
                <w:szCs w:val="20"/>
                <w:color w:val="auto"/>
              </w:rPr>
            </w:pPr>
            <w:r>
              <w:rPr>
                <w:rFonts w:ascii="Arial" w:cs="Arial" w:eastAsia="Arial" w:hAnsi="Arial"/>
                <w:sz w:val="15"/>
                <w:szCs w:val="15"/>
                <w:color w:val="auto"/>
                <w:w w:val="71"/>
              </w:rPr>
              <w:t>$</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4"/>
              </w:rPr>
              <w:t>Proceeds, before expenses, to us</w:t>
            </w:r>
            <w:r>
              <w:rPr>
                <w:rFonts w:ascii="Arial" w:cs="Arial" w:eastAsia="Arial" w:hAnsi="Arial"/>
                <w:sz w:val="11"/>
                <w:szCs w:val="11"/>
                <w:color w:val="auto"/>
                <w:w w:val="94"/>
              </w:rPr>
              <w:t>(1)</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0"/>
              <w:spacing w:after="0"/>
              <w:rPr>
                <w:sz w:val="20"/>
                <w:szCs w:val="20"/>
                <w:color w:val="auto"/>
              </w:rPr>
            </w:pPr>
            <w:r>
              <w:rPr>
                <w:rFonts w:ascii="Arial" w:cs="Arial" w:eastAsia="Arial" w:hAnsi="Arial"/>
                <w:sz w:val="15"/>
                <w:szCs w:val="15"/>
                <w:color w:val="auto"/>
                <w:w w:val="71"/>
              </w:rPr>
              <w:t>$</w:t>
            </w:r>
          </w:p>
        </w:tc>
      </w:tr>
      <w:tr>
        <w:trPr>
          <w:trHeight w:val="222"/>
        </w:trPr>
        <w:tc>
          <w:tcPr>
            <w:tcW w:w="2680" w:type="dxa"/>
            <w:vAlign w:val="bottom"/>
          </w:tcPr>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7"/>
                <w:szCs w:val="17"/>
                <w:color w:val="auto"/>
              </w:rPr>
              <w:t>Plus accrued interest from</w:t>
            </w:r>
          </w:p>
        </w:tc>
        <w:tc>
          <w:tcPr>
            <w:tcW w:w="8120" w:type="dxa"/>
            <w:vAlign w:val="bottom"/>
            <w:gridSpan w:val="3"/>
          </w:tcPr>
          <w:p>
            <w:pPr>
              <w:ind w:left="260"/>
              <w:spacing w:after="0"/>
              <w:rPr>
                <w:sz w:val="20"/>
                <w:szCs w:val="20"/>
                <w:color w:val="auto"/>
              </w:rPr>
            </w:pPr>
            <w:r>
              <w:rPr>
                <w:rFonts w:ascii="Arial" w:cs="Arial" w:eastAsia="Arial" w:hAnsi="Arial"/>
                <w:sz w:val="18"/>
                <w:szCs w:val="18"/>
                <w:color w:val="auto"/>
              </w:rPr>
              <w:t>, 2014, if settlement occurs after that date.</w:t>
            </w:r>
          </w:p>
        </w:tc>
        <w:tc>
          <w:tcPr>
            <w:tcW w:w="620" w:type="dxa"/>
            <w:vAlign w:val="bottom"/>
          </w:tcPr>
          <w:p>
            <w:pPr>
              <w:spacing w:after="0"/>
              <w:rPr>
                <w:sz w:val="19"/>
                <w:szCs w:val="19"/>
                <w:color w:val="auto"/>
              </w:rPr>
            </w:pPr>
          </w:p>
        </w:tc>
      </w:tr>
    </w:tbl>
    <w:p>
      <w:pPr>
        <w:spacing w:after="0" w:line="147" w:lineRule="exact"/>
        <w:rPr>
          <w:sz w:val="24"/>
          <w:szCs w:val="24"/>
          <w:color w:val="auto"/>
        </w:rPr>
      </w:pPr>
    </w:p>
    <w:p>
      <w:pPr>
        <w:ind w:left="880" w:right="800" w:hanging="877"/>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 2014.</w:t>
      </w:r>
    </w:p>
    <w:p>
      <w:pPr>
        <w:spacing w:after="0" w:line="126" w:lineRule="exact"/>
        <w:rPr>
          <w:sz w:val="24"/>
          <w:szCs w:val="24"/>
          <w:color w:val="auto"/>
        </w:rPr>
      </w:pPr>
    </w:p>
    <w:p>
      <w:pPr>
        <w:ind w:right="80"/>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860" w:type="dxa"/>
            <w:vAlign w:val="bottom"/>
          </w:tcPr>
          <w:p>
            <w:pPr>
              <w:spacing w:after="0"/>
              <w:rPr>
                <w:sz w:val="19"/>
                <w:szCs w:val="19"/>
                <w:color w:val="auto"/>
              </w:rPr>
            </w:pPr>
          </w:p>
        </w:tc>
        <w:tc>
          <w:tcPr>
            <w:tcW w:w="4560" w:type="dxa"/>
            <w:vAlign w:val="bottom"/>
            <w:gridSpan w:val="3"/>
          </w:tcPr>
          <w:p>
            <w:pPr>
              <w:ind w:left="1700"/>
              <w:spacing w:after="0"/>
              <w:rPr>
                <w:sz w:val="20"/>
                <w:szCs w:val="20"/>
                <w:color w:val="auto"/>
              </w:rPr>
            </w:pPr>
            <w:r>
              <w:rPr>
                <w:rFonts w:ascii="Arial" w:cs="Arial" w:eastAsia="Arial" w:hAnsi="Arial"/>
                <w:sz w:val="18"/>
                <w:szCs w:val="18"/>
                <w:b w:val="1"/>
                <w:bCs w:val="1"/>
                <w:color w:val="auto"/>
              </w:rPr>
              <w:t>Joint Book-Running Managers</w:t>
            </w:r>
          </w:p>
        </w:tc>
        <w:tc>
          <w:tcPr>
            <w:tcW w:w="4000" w:type="dxa"/>
            <w:vAlign w:val="bottom"/>
          </w:tcPr>
          <w:p>
            <w:pPr>
              <w:spacing w:after="0"/>
              <w:rPr>
                <w:sz w:val="19"/>
                <w:szCs w:val="19"/>
                <w:color w:val="auto"/>
              </w:rPr>
            </w:pPr>
          </w:p>
        </w:tc>
      </w:tr>
      <w:tr>
        <w:trPr>
          <w:trHeight w:val="344"/>
        </w:trPr>
        <w:tc>
          <w:tcPr>
            <w:tcW w:w="2860" w:type="dxa"/>
            <w:vAlign w:val="bottom"/>
          </w:tcPr>
          <w:p>
            <w:pPr>
              <w:spacing w:after="0"/>
              <w:rPr>
                <w:sz w:val="20"/>
                <w:szCs w:val="20"/>
                <w:color w:val="auto"/>
              </w:rPr>
            </w:pPr>
            <w:r>
              <w:rPr>
                <w:rFonts w:ascii="Arial" w:cs="Arial" w:eastAsia="Arial" w:hAnsi="Arial"/>
                <w:sz w:val="24"/>
                <w:szCs w:val="24"/>
                <w:b w:val="1"/>
                <w:bCs w:val="1"/>
                <w:color w:val="auto"/>
              </w:rPr>
              <w:t>Wells Fargo Securities</w:t>
            </w:r>
          </w:p>
        </w:tc>
        <w:tc>
          <w:tcPr>
            <w:tcW w:w="176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24"/>
                <w:szCs w:val="24"/>
                <w:b w:val="1"/>
                <w:bCs w:val="1"/>
                <w:color w:val="auto"/>
              </w:rPr>
              <w:t>BofA Merrill Lynch</w:t>
            </w:r>
          </w:p>
        </w:tc>
        <w:tc>
          <w:tcPr>
            <w:tcW w:w="4000" w:type="dxa"/>
            <w:vAlign w:val="bottom"/>
          </w:tcPr>
          <w:p>
            <w:pPr>
              <w:jc w:val="right"/>
              <w:spacing w:after="0"/>
              <w:rPr>
                <w:sz w:val="20"/>
                <w:szCs w:val="20"/>
                <w:color w:val="auto"/>
              </w:rPr>
            </w:pPr>
            <w:r>
              <w:rPr>
                <w:rFonts w:ascii="Arial" w:cs="Arial" w:eastAsia="Arial" w:hAnsi="Arial"/>
                <w:sz w:val="24"/>
                <w:szCs w:val="24"/>
                <w:b w:val="1"/>
                <w:bCs w:val="1"/>
                <w:color w:val="auto"/>
              </w:rPr>
              <w:t>Deutsche Bank Securities</w:t>
            </w:r>
          </w:p>
        </w:tc>
      </w:tr>
      <w:tr>
        <w:trPr>
          <w:trHeight w:val="158"/>
        </w:trPr>
        <w:tc>
          <w:tcPr>
            <w:tcW w:w="2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180" w:type="dxa"/>
            <w:vAlign w:val="bottom"/>
            <w:tcBorders>
              <w:bottom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4000" w:type="dxa"/>
            <w:vAlign w:val="bottom"/>
          </w:tcPr>
          <w:p>
            <w:pPr>
              <w:spacing w:after="0"/>
              <w:rPr>
                <w:sz w:val="13"/>
                <w:szCs w:val="13"/>
                <w:color w:val="auto"/>
              </w:rPr>
            </w:pPr>
          </w:p>
        </w:tc>
      </w:tr>
      <w:tr>
        <w:trPr>
          <w:trHeight w:val="289"/>
        </w:trPr>
        <w:tc>
          <w:tcPr>
            <w:tcW w:w="2860" w:type="dxa"/>
            <w:vAlign w:val="bottom"/>
          </w:tcPr>
          <w:p>
            <w:pPr>
              <w:spacing w:after="0"/>
              <w:rPr>
                <w:sz w:val="24"/>
                <w:szCs w:val="24"/>
                <w:color w:val="auto"/>
              </w:rPr>
            </w:pPr>
          </w:p>
        </w:tc>
        <w:tc>
          <w:tcPr>
            <w:tcW w:w="4560" w:type="dxa"/>
            <w:vAlign w:val="bottom"/>
            <w:gridSpan w:val="3"/>
          </w:tcPr>
          <w:p>
            <w:pPr>
              <w:ind w:left="540"/>
              <w:spacing w:after="0"/>
              <w:rPr>
                <w:sz w:val="20"/>
                <w:szCs w:val="20"/>
                <w:color w:val="auto"/>
              </w:rPr>
            </w:pPr>
            <w:r>
              <w:rPr>
                <w:rFonts w:ascii="Arial" w:cs="Arial" w:eastAsia="Arial" w:hAnsi="Arial"/>
                <w:sz w:val="18"/>
                <w:szCs w:val="18"/>
                <w:b w:val="1"/>
                <w:bCs w:val="1"/>
                <w:color w:val="auto"/>
                <w:w w:val="88"/>
              </w:rPr>
              <w:t>The date of this prospectus supplement is November</w:t>
            </w:r>
          </w:p>
        </w:tc>
        <w:tc>
          <w:tcPr>
            <w:tcW w:w="4000" w:type="dxa"/>
            <w:vAlign w:val="bottom"/>
          </w:tcPr>
          <w:p>
            <w:pPr>
              <w:jc w:val="right"/>
              <w:ind w:right="3295"/>
              <w:spacing w:after="0"/>
              <w:rPr>
                <w:sz w:val="20"/>
                <w:szCs w:val="20"/>
                <w:color w:val="auto"/>
              </w:rPr>
            </w:pPr>
            <w:r>
              <w:rPr>
                <w:rFonts w:ascii="Arial" w:cs="Arial" w:eastAsia="Arial" w:hAnsi="Arial"/>
                <w:sz w:val="18"/>
                <w:szCs w:val="18"/>
                <w:b w:val="1"/>
                <w:bCs w:val="1"/>
                <w:color w:val="auto"/>
              </w:rPr>
              <w:t>, 2014.</w:t>
            </w: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gridSpan w:val="11"/>
            <w:vMerge w:val="restart"/>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2460" w:type="dxa"/>
            <w:vAlign w:val="bottom"/>
            <w:gridSpan w:val="7"/>
            <w:vMerge w:val="restart"/>
          </w:tcPr>
          <w:p>
            <w:pPr>
              <w:spacing w:after="0"/>
              <w:rPr>
                <w:sz w:val="19"/>
                <w:szCs w:val="19"/>
                <w:color w:val="auto"/>
              </w:rPr>
            </w:pPr>
          </w:p>
        </w:tc>
        <w:tc>
          <w:tcPr>
            <w:tcW w:w="604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0000EE"/>
            </w:tcBorders>
            <w:gridSpan w:val="11"/>
            <w:vMerge w:val="continue"/>
          </w:tcPr>
          <w:p>
            <w:pPr>
              <w:spacing w:after="0"/>
              <w:rPr>
                <w:sz w:val="13"/>
                <w:szCs w:val="13"/>
                <w:color w:val="auto"/>
              </w:rPr>
            </w:pPr>
          </w:p>
        </w:tc>
        <w:tc>
          <w:tcPr>
            <w:tcW w:w="2460" w:type="dxa"/>
            <w:vAlign w:val="bottom"/>
            <w:gridSpan w:val="7"/>
            <w:vMerge w:val="continue"/>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gridSpan w:val="1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Cautionary Statement Concerning Forward-Looking Statements</w:t>
              </w:r>
            </w:hyperlink>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Notes</w:t>
              </w:r>
            </w:hyperlink>
          </w:p>
        </w:tc>
        <w:tc>
          <w:tcPr>
            <w:tcW w:w="3420" w:type="dxa"/>
            <w:vAlign w:val="bottom"/>
            <w:gridSpan w:val="1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Additional Material Federal Income Tax Considerations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gridSpan w:val="4"/>
          </w:tcPr>
          <w:p>
            <w:pPr>
              <w:spacing w:after="0"/>
              <w:rPr>
                <w:sz w:val="17"/>
                <w:szCs w:val="17"/>
                <w:color w:val="auto"/>
              </w:rPr>
            </w:pPr>
          </w:p>
        </w:tc>
        <w:tc>
          <w:tcPr>
            <w:tcW w:w="960" w:type="dxa"/>
            <w:vAlign w:val="bottom"/>
            <w:gridSpan w:val="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S-26</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4"/>
          </w:tcPr>
          <w:p>
            <w:pPr>
              <w:jc w:val="right"/>
              <w:ind w:right="52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20"/>
        </w:trPr>
        <w:tc>
          <w:tcPr>
            <w:tcW w:w="4900" w:type="dxa"/>
            <w:vAlign w:val="bottom"/>
            <w:gridSpan w:val="18"/>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4900" w:type="dxa"/>
            <w:vAlign w:val="bottom"/>
            <w:gridSpan w:val="18"/>
            <w:vMerge w:val="continue"/>
          </w:tcPr>
          <w:p>
            <w:pPr>
              <w:spacing w:after="0"/>
              <w:rPr>
                <w:sz w:val="13"/>
                <w:szCs w:val="13"/>
                <w:color w:val="auto"/>
              </w:rPr>
            </w:pPr>
          </w:p>
        </w:tc>
        <w:tc>
          <w:tcPr>
            <w:tcW w:w="6060" w:type="dxa"/>
            <w:vAlign w:val="bottom"/>
            <w:gridSpan w:val="2"/>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Forward-Looking Statements</w:t>
              </w:r>
            </w:hyperlink>
          </w:p>
        </w:tc>
        <w:tc>
          <w:tcPr>
            <w:tcW w:w="2820" w:type="dxa"/>
            <w:vAlign w:val="bottom"/>
            <w:gridSpan w:val="10"/>
          </w:tcPr>
          <w:p>
            <w:pPr>
              <w:spacing w:after="0"/>
              <w:rPr>
                <w:sz w:val="18"/>
                <w:szCs w:val="18"/>
                <w:color w:val="auto"/>
              </w:rPr>
            </w:pP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Prospectus Summary</w:t>
              </w:r>
            </w:hyperlink>
          </w:p>
        </w:tc>
        <w:tc>
          <w:tcPr>
            <w:tcW w:w="3360" w:type="dxa"/>
            <w:vAlign w:val="bottom"/>
            <w:gridSpan w:val="11"/>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Description of Debt Securities</w:t>
              </w:r>
            </w:hyperlink>
          </w:p>
        </w:tc>
        <w:tc>
          <w:tcPr>
            <w:tcW w:w="2760" w:type="dxa"/>
            <w:vAlign w:val="bottom"/>
            <w:gridSpan w:val="9"/>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Description of Shares of Beneficial Interest</w:t>
              </w:r>
            </w:hyperlink>
          </w:p>
        </w:tc>
        <w:tc>
          <w:tcPr>
            <w:tcW w:w="1840" w:type="dxa"/>
            <w:vAlign w:val="bottom"/>
            <w:gridSpan w:val="4"/>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Material Federal Income Tax Considerations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Plan of Distribution</w:t>
              </w:r>
            </w:hyperlink>
          </w:p>
        </w:tc>
        <w:tc>
          <w:tcPr>
            <w:tcW w:w="1760" w:type="dxa"/>
            <w:vAlign w:val="bottom"/>
            <w:gridSpan w:val="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Legal Matters</w:t>
              </w:r>
            </w:hyperlink>
          </w:p>
        </w:tc>
        <w:tc>
          <w:tcPr>
            <w:tcW w:w="3500" w:type="dxa"/>
            <w:vAlign w:val="bottom"/>
            <w:gridSpan w:val="1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Experts</w:t>
              </w:r>
            </w:hyperlink>
          </w:p>
        </w:tc>
        <w:tc>
          <w:tcPr>
            <w:tcW w:w="3920" w:type="dxa"/>
            <w:vAlign w:val="bottom"/>
            <w:gridSpan w:val="15"/>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Where You Can Find More Information</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contained or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3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2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2013, filed with the SEC on February 11, 2014,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660" w:right="2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660" w:right="14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23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September 30, 2014, we owned or had a controlling interest in community and neighborhood shopping centers and mixed-use properties which are operated as 89 predominantly retail real estate projects comprising approximately 20.1 million square feet (excludes unconsolidated joint venture properties). In total, the real estate projects were 95.6% leased and 94.7% occupied at September 30, 2014. A joint venture in which we own a 30% interest owned six retail real estate projects totaling approximately 0.8 million square feet as of September 30, 2014. In total, the joint venture properties in which we own a 30% interest were 83.2% leased and occupied at September 30, 2014. We have paid quarterly dividends to our shareholders continuously since our founding in 1962 and have increased our dividends per common share for 47 consecutive years.</w:t>
      </w:r>
    </w:p>
    <w:p>
      <w:pPr>
        <w:spacing w:after="0" w:line="37"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8220" w:type="dxa"/>
            <w:vAlign w:val="bottom"/>
            <w:gridSpan w:val="5"/>
          </w:tcPr>
          <w:p>
            <w:pPr>
              <w:jc w:val="right"/>
              <w:ind w:right="500"/>
              <w:spacing w:after="0"/>
              <w:rPr>
                <w:sz w:val="20"/>
                <w:szCs w:val="20"/>
                <w:color w:val="auto"/>
              </w:rPr>
            </w:pPr>
            <w:r>
              <w:rPr>
                <w:rFonts w:ascii="Arial" w:cs="Arial" w:eastAsia="Arial" w:hAnsi="Arial"/>
                <w:sz w:val="18"/>
                <w:szCs w:val="18"/>
                <w:color w:val="auto"/>
                <w:w w:val="94"/>
              </w:rPr>
              <w:t>The following table sets forth our historical ratios of earnings to fixed charges for the periods indicated:</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5380" w:type="dxa"/>
            <w:vAlign w:val="bottom"/>
          </w:tcPr>
          <w:p>
            <w:pPr>
              <w:spacing w:after="0"/>
              <w:rPr>
                <w:sz w:val="24"/>
                <w:szCs w:val="2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For the Nine Months</w:t>
            </w: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gridSpan w:val="7"/>
          </w:tcPr>
          <w:p>
            <w:pPr>
              <w:jc w:val="center"/>
              <w:ind w:right="440"/>
              <w:spacing w:after="0"/>
              <w:rPr>
                <w:sz w:val="20"/>
                <w:szCs w:val="20"/>
                <w:color w:val="auto"/>
              </w:rPr>
            </w:pPr>
            <w:r>
              <w:rPr>
                <w:rFonts w:ascii="Arial" w:cs="Arial" w:eastAsia="Arial" w:hAnsi="Arial"/>
                <w:sz w:val="18"/>
                <w:szCs w:val="18"/>
                <w:b w:val="1"/>
                <w:bCs w:val="1"/>
                <w:color w:val="auto"/>
                <w:w w:val="89"/>
              </w:rPr>
              <w:t>For the Years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5380" w:type="dxa"/>
            <w:vAlign w:val="bottom"/>
          </w:tcPr>
          <w:p>
            <w:pPr>
              <w:spacing w:after="0"/>
              <w:rPr>
                <w:sz w:val="19"/>
                <w:szCs w:val="19"/>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Ended September 30,</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December 31,</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538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440" w:type="dxa"/>
            <w:vAlign w:val="bottom"/>
          </w:tcPr>
          <w:p>
            <w:pPr>
              <w:spacing w:after="0"/>
              <w:rPr>
                <w:sz w:val="18"/>
                <w:szCs w:val="18"/>
                <w:color w:val="auto"/>
              </w:rPr>
            </w:pPr>
          </w:p>
        </w:tc>
        <w:tc>
          <w:tcPr>
            <w:tcW w:w="8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4"/>
              </w:rPr>
              <w:t>2013</w:t>
            </w:r>
          </w:p>
        </w:tc>
        <w:tc>
          <w:tcPr>
            <w:tcW w:w="4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84"/>
              </w:rPr>
              <w:t>2012</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4"/>
              </w:rPr>
              <w:t>2010</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2009</w:t>
            </w:r>
          </w:p>
        </w:tc>
        <w:tc>
          <w:tcPr>
            <w:tcW w:w="100" w:type="dxa"/>
            <w:vAlign w:val="bottom"/>
          </w:tcPr>
          <w:p>
            <w:pPr>
              <w:spacing w:after="0"/>
              <w:rPr>
                <w:sz w:val="18"/>
                <w:szCs w:val="18"/>
                <w:color w:val="auto"/>
              </w:rPr>
            </w:pPr>
          </w:p>
        </w:tc>
      </w:tr>
      <w:tr>
        <w:trPr>
          <w:trHeight w:val="210"/>
        </w:trPr>
        <w:tc>
          <w:tcPr>
            <w:tcW w:w="5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prepayment charges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260" w:firstLine="443"/>
        <w:spacing w:after="0" w:line="259" w:lineRule="auto"/>
        <w:rPr>
          <w:sz w:val="20"/>
          <w:szCs w:val="20"/>
          <w:color w:val="auto"/>
        </w:rPr>
      </w:pPr>
      <w:r>
        <w:rPr>
          <w:rFonts w:ascii="Arial" w:cs="Arial" w:eastAsia="Arial" w:hAnsi="Arial"/>
          <w:sz w:val="18"/>
          <w:szCs w:val="18"/>
          <w:i w:val="1"/>
          <w:iCs w:val="1"/>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Issuer</w:t>
            </w:r>
          </w:p>
        </w:tc>
        <w:tc>
          <w:tcPr>
            <w:tcW w:w="5880" w:type="dxa"/>
            <w:vAlign w:val="bottom"/>
            <w:gridSpan w:val="2"/>
          </w:tcPr>
          <w:p>
            <w:pPr>
              <w:ind w:left="980"/>
              <w:spacing w:after="0"/>
              <w:rPr>
                <w:sz w:val="20"/>
                <w:szCs w:val="20"/>
                <w:color w:val="auto"/>
              </w:rPr>
            </w:pPr>
            <w:r>
              <w:rPr>
                <w:rFonts w:ascii="Arial" w:cs="Arial" w:eastAsia="Arial" w:hAnsi="Arial"/>
                <w:sz w:val="18"/>
                <w:szCs w:val="18"/>
                <w:color w:val="auto"/>
              </w:rPr>
              <w:t>Federal Realty Investment Trust.</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Securities offered</w:t>
            </w:r>
          </w:p>
        </w:tc>
        <w:tc>
          <w:tcPr>
            <w:tcW w:w="1320" w:type="dxa"/>
            <w:vAlign w:val="bottom"/>
          </w:tcPr>
          <w:p>
            <w:pPr>
              <w:ind w:left="980"/>
              <w:spacing w:after="0"/>
              <w:rPr>
                <w:sz w:val="20"/>
                <w:szCs w:val="20"/>
                <w:color w:val="auto"/>
              </w:rPr>
            </w:pPr>
            <w:r>
              <w:rPr>
                <w:rFonts w:ascii="Arial" w:cs="Arial" w:eastAsia="Arial" w:hAnsi="Arial"/>
                <w:sz w:val="18"/>
                <w:szCs w:val="18"/>
                <w:color w:val="auto"/>
              </w:rPr>
              <w:t>$</w:t>
            </w:r>
          </w:p>
        </w:tc>
        <w:tc>
          <w:tcPr>
            <w:tcW w:w="4560" w:type="dxa"/>
            <w:vAlign w:val="bottom"/>
          </w:tcPr>
          <w:p>
            <w:pPr>
              <w:ind w:left="140"/>
              <w:spacing w:after="0"/>
              <w:rPr>
                <w:sz w:val="20"/>
                <w:szCs w:val="20"/>
                <w:color w:val="auto"/>
              </w:rPr>
            </w:pPr>
            <w:r>
              <w:rPr>
                <w:rFonts w:ascii="Arial" w:cs="Arial" w:eastAsia="Arial" w:hAnsi="Arial"/>
                <w:sz w:val="18"/>
                <w:szCs w:val="18"/>
                <w:color w:val="auto"/>
                <w:w w:val="97"/>
              </w:rPr>
              <w:t>million aggregate principal amount of   % notes due 20  .</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Maturity</w:t>
            </w:r>
          </w:p>
        </w:tc>
        <w:tc>
          <w:tcPr>
            <w:tcW w:w="6920" w:type="dxa"/>
            <w:vAlign w:val="bottom"/>
            <w:gridSpan w:val="3"/>
          </w:tcPr>
          <w:p>
            <w:pPr>
              <w:ind w:left="980"/>
              <w:spacing w:after="0"/>
              <w:rPr>
                <w:sz w:val="20"/>
                <w:szCs w:val="20"/>
                <w:color w:val="auto"/>
              </w:rPr>
            </w:pPr>
            <w:r>
              <w:rPr>
                <w:rFonts w:ascii="Arial" w:cs="Arial" w:eastAsia="Arial" w:hAnsi="Arial"/>
                <w:sz w:val="18"/>
                <w:szCs w:val="18"/>
                <w:color w:val="auto"/>
                <w:w w:val="93"/>
              </w:rPr>
              <w:t>Unless redeemed prior to maturity as described below, the notes will mature on</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 20  .</w:t>
            </w:r>
          </w:p>
        </w:tc>
      </w:tr>
      <w:tr>
        <w:trPr>
          <w:trHeight w:val="304"/>
        </w:trPr>
        <w:tc>
          <w:tcPr>
            <w:tcW w:w="33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5880" w:type="dxa"/>
            <w:vAlign w:val="bottom"/>
            <w:gridSpan w:val="2"/>
          </w:tcPr>
          <w:p>
            <w:pPr>
              <w:ind w:left="980"/>
              <w:spacing w:after="0"/>
              <w:rPr>
                <w:sz w:val="20"/>
                <w:szCs w:val="20"/>
                <w:color w:val="auto"/>
              </w:rPr>
            </w:pPr>
            <w:r>
              <w:rPr>
                <w:rFonts w:ascii="Arial" w:cs="Arial" w:eastAsia="Arial" w:hAnsi="Arial"/>
                <w:sz w:val="18"/>
                <w:szCs w:val="18"/>
                <w:color w:val="auto"/>
                <w:w w:val="95"/>
              </w:rPr>
              <w:t>Interest on the notes will be payable semi-annually in arrears on</w:t>
            </w:r>
          </w:p>
        </w:tc>
        <w:tc>
          <w:tcPr>
            <w:tcW w:w="1040" w:type="dxa"/>
            <w:vAlign w:val="bottom"/>
          </w:tcPr>
          <w:p>
            <w:pPr>
              <w:ind w:left="220"/>
              <w:spacing w:after="0"/>
              <w:rPr>
                <w:sz w:val="20"/>
                <w:szCs w:val="20"/>
                <w:color w:val="auto"/>
              </w:rPr>
            </w:pPr>
            <w:r>
              <w:rPr>
                <w:rFonts w:ascii="Arial" w:cs="Arial" w:eastAsia="Arial" w:hAnsi="Arial"/>
                <w:sz w:val="18"/>
                <w:szCs w:val="18"/>
                <w:color w:val="auto"/>
              </w:rPr>
              <w:t>and</w:t>
            </w:r>
          </w:p>
        </w:tc>
        <w:tc>
          <w:tcPr>
            <w:tcW w:w="780" w:type="dxa"/>
            <w:vAlign w:val="bottom"/>
          </w:tcPr>
          <w:p>
            <w:pPr>
              <w:jc w:val="right"/>
              <w:spacing w:after="0"/>
              <w:rPr>
                <w:sz w:val="20"/>
                <w:szCs w:val="20"/>
                <w:color w:val="auto"/>
              </w:rPr>
            </w:pPr>
            <w:r>
              <w:rPr>
                <w:rFonts w:ascii="Arial" w:cs="Arial" w:eastAsia="Arial" w:hAnsi="Arial"/>
                <w:sz w:val="18"/>
                <w:szCs w:val="18"/>
                <w:color w:val="auto"/>
                <w:w w:val="86"/>
              </w:rPr>
              <w:t>, beginning</w:t>
            </w:r>
          </w:p>
        </w:tc>
      </w:tr>
      <w:tr>
        <w:trPr>
          <w:trHeight w:val="222"/>
        </w:trPr>
        <w:tc>
          <w:tcPr>
            <w:tcW w:w="3320" w:type="dxa"/>
            <w:vAlign w:val="bottom"/>
          </w:tcPr>
          <w:p>
            <w:pPr>
              <w:spacing w:after="0"/>
              <w:rPr>
                <w:sz w:val="19"/>
                <w:szCs w:val="19"/>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on</w:t>
            </w:r>
          </w:p>
        </w:tc>
        <w:tc>
          <w:tcPr>
            <w:tcW w:w="4560" w:type="dxa"/>
            <w:vAlign w:val="bottom"/>
          </w:tcPr>
          <w:p>
            <w:pPr>
              <w:ind w:left="420"/>
              <w:spacing w:after="0"/>
              <w:rPr>
                <w:sz w:val="20"/>
                <w:szCs w:val="20"/>
                <w:color w:val="auto"/>
              </w:rPr>
            </w:pPr>
            <w:r>
              <w:rPr>
                <w:rFonts w:ascii="Arial" w:cs="Arial" w:eastAsia="Arial" w:hAnsi="Arial"/>
                <w:sz w:val="18"/>
                <w:szCs w:val="18"/>
                <w:color w:val="auto"/>
              </w:rPr>
              <w:t>, 2015, and at maturity.</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91"/>
        </w:trPr>
        <w:tc>
          <w:tcPr>
            <w:tcW w:w="3320" w:type="dxa"/>
            <w:vAlign w:val="bottom"/>
          </w:tcPr>
          <w:p>
            <w:pPr>
              <w:spacing w:after="0"/>
              <w:rPr>
                <w:sz w:val="20"/>
                <w:szCs w:val="20"/>
                <w:color w:val="auto"/>
              </w:rPr>
            </w:pPr>
            <w:r>
              <w:rPr>
                <w:rFonts w:ascii="Arial" w:cs="Arial" w:eastAsia="Arial" w:hAnsi="Arial"/>
                <w:sz w:val="18"/>
                <w:szCs w:val="18"/>
                <w:color w:val="auto"/>
              </w:rPr>
              <w:t>Ranking</w:t>
            </w: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89"/>
              </w:rPr>
              <w:t xml:space="preserve">The notes will be our senior unsecured obligations and will rank </w:t>
            </w:r>
            <w:r>
              <w:rPr>
                <w:rFonts w:ascii="Arial" w:cs="Arial" w:eastAsia="Arial" w:hAnsi="Arial"/>
                <w:sz w:val="18"/>
                <w:szCs w:val="18"/>
                <w:i w:val="1"/>
                <w:iCs w:val="1"/>
                <w:color w:val="auto"/>
                <w:w w:val="89"/>
              </w:rPr>
              <w:t>pari passu</w:t>
            </w:r>
            <w:r>
              <w:rPr>
                <w:rFonts w:ascii="Arial" w:cs="Arial" w:eastAsia="Arial" w:hAnsi="Arial"/>
                <w:sz w:val="18"/>
                <w:szCs w:val="18"/>
                <w:color w:val="auto"/>
                <w:w w:val="89"/>
              </w:rPr>
              <w:t>, or equally, with all</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97"/>
              </w:rPr>
              <w:t>of our other unsecured and unsubordinated indebtedness. The notes will be effectively</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89"/>
              </w:rPr>
              <w:t>subordinated to the prior claims of each secured mortgage lender to any specific property that</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87"/>
              </w:rPr>
              <w:t>secures such lender’s mortgage and to all of the unsecured indebtedness of our subsidiaries. At</w:t>
            </w:r>
          </w:p>
        </w:tc>
      </w:tr>
      <w:tr>
        <w:trPr>
          <w:trHeight w:val="216"/>
        </w:trPr>
        <w:tc>
          <w:tcPr>
            <w:tcW w:w="3320" w:type="dxa"/>
            <w:vAlign w:val="bottom"/>
          </w:tcPr>
          <w:p>
            <w:pPr>
              <w:spacing w:after="0"/>
              <w:rPr>
                <w:sz w:val="18"/>
                <w:szCs w:val="18"/>
                <w:color w:val="auto"/>
              </w:rPr>
            </w:pPr>
          </w:p>
        </w:tc>
        <w:tc>
          <w:tcPr>
            <w:tcW w:w="6920" w:type="dxa"/>
            <w:vAlign w:val="bottom"/>
            <w:gridSpan w:val="3"/>
          </w:tcPr>
          <w:p>
            <w:pPr>
              <w:ind w:left="980"/>
              <w:spacing w:after="0"/>
              <w:rPr>
                <w:sz w:val="20"/>
                <w:szCs w:val="20"/>
                <w:color w:val="auto"/>
              </w:rPr>
            </w:pPr>
            <w:r>
              <w:rPr>
                <w:rFonts w:ascii="Arial" w:cs="Arial" w:eastAsia="Arial" w:hAnsi="Arial"/>
                <w:sz w:val="18"/>
                <w:szCs w:val="18"/>
                <w:color w:val="auto"/>
                <w:w w:val="89"/>
              </w:rPr>
              <w:t>September 30, 2014, we had outstanding approximately $618 million (excluding net</w:t>
            </w:r>
          </w:p>
        </w:tc>
        <w:tc>
          <w:tcPr>
            <w:tcW w:w="78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90"/>
              </w:rPr>
              <w:t>unamortized premium) of secured indebtedness, collateralized by all or parts of 15 properties,</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93"/>
              </w:rPr>
              <w:t>which ranks senior to the notes to the extent of the securing collateral (approximately $467</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91"/>
              </w:rPr>
              <w:t>million of this amount, which was issued by our subsidiaries, is also structurally senior to the</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89"/>
              </w:rPr>
              <w:t>notes), approximately $16 million of unsecured indebtedness issued by our subsidiaries, which</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89"/>
              </w:rPr>
              <w:t>is structurally senior to the notes, and approximately $1,655 million of unsecured indebtedness</w:t>
            </w:r>
          </w:p>
        </w:tc>
      </w:tr>
      <w:tr>
        <w:trPr>
          <w:trHeight w:val="222"/>
        </w:trPr>
        <w:tc>
          <w:tcPr>
            <w:tcW w:w="3320" w:type="dxa"/>
            <w:vAlign w:val="bottom"/>
          </w:tcPr>
          <w:p>
            <w:pPr>
              <w:spacing w:after="0"/>
              <w:rPr>
                <w:sz w:val="19"/>
                <w:szCs w:val="19"/>
                <w:color w:val="auto"/>
              </w:rPr>
            </w:pPr>
          </w:p>
        </w:tc>
        <w:tc>
          <w:tcPr>
            <w:tcW w:w="6920" w:type="dxa"/>
            <w:vAlign w:val="bottom"/>
            <w:gridSpan w:val="3"/>
          </w:tcPr>
          <w:p>
            <w:pPr>
              <w:ind w:left="980"/>
              <w:spacing w:after="0"/>
              <w:rPr>
                <w:sz w:val="20"/>
                <w:szCs w:val="20"/>
                <w:color w:val="auto"/>
              </w:rPr>
            </w:pPr>
            <w:r>
              <w:rPr>
                <w:rFonts w:ascii="Arial" w:cs="Arial" w:eastAsia="Arial" w:hAnsi="Arial"/>
                <w:sz w:val="18"/>
                <w:szCs w:val="18"/>
                <w:color w:val="auto"/>
              </w:rPr>
              <w:t>(excluding net unamortized discount), which ranks equally with the notes.</w:t>
            </w:r>
          </w:p>
        </w:tc>
        <w:tc>
          <w:tcPr>
            <w:tcW w:w="780" w:type="dxa"/>
            <w:vAlign w:val="bottom"/>
          </w:tcPr>
          <w:p>
            <w:pPr>
              <w:spacing w:after="0"/>
              <w:rPr>
                <w:sz w:val="19"/>
                <w:szCs w:val="19"/>
                <w:color w:val="auto"/>
              </w:rPr>
            </w:pPr>
          </w:p>
        </w:tc>
      </w:tr>
      <w:tr>
        <w:trPr>
          <w:trHeight w:val="291"/>
        </w:trPr>
        <w:tc>
          <w:tcPr>
            <w:tcW w:w="3320" w:type="dxa"/>
            <w:vAlign w:val="bottom"/>
          </w:tcPr>
          <w:p>
            <w:pPr>
              <w:spacing w:after="0"/>
              <w:rPr>
                <w:sz w:val="20"/>
                <w:szCs w:val="20"/>
                <w:color w:val="auto"/>
              </w:rPr>
            </w:pPr>
            <w:r>
              <w:rPr>
                <w:rFonts w:ascii="Arial" w:cs="Arial" w:eastAsia="Arial" w:hAnsi="Arial"/>
                <w:sz w:val="18"/>
                <w:szCs w:val="18"/>
                <w:color w:val="auto"/>
              </w:rPr>
              <w:t>Use of proceeds</w:t>
            </w: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92"/>
              </w:rPr>
              <w:t>We intend to use the net proceeds from this offering to redeem all of our outstanding 5.65%</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90"/>
              </w:rPr>
              <w:t>Notes due 2016, to repay the mortgage loan on our East Bay Bridge property and for general</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96"/>
              </w:rPr>
              <w:t>corporate purposes, which may include, without limitation, paying down the outstanding</w:t>
            </w:r>
          </w:p>
        </w:tc>
      </w:tr>
      <w:tr>
        <w:trPr>
          <w:trHeight w:val="216"/>
        </w:trPr>
        <w:tc>
          <w:tcPr>
            <w:tcW w:w="3320" w:type="dxa"/>
            <w:vAlign w:val="bottom"/>
          </w:tcPr>
          <w:p>
            <w:pPr>
              <w:spacing w:after="0"/>
              <w:rPr>
                <w:sz w:val="18"/>
                <w:szCs w:val="18"/>
                <w:color w:val="auto"/>
              </w:rPr>
            </w:pPr>
          </w:p>
        </w:tc>
        <w:tc>
          <w:tcPr>
            <w:tcW w:w="7700" w:type="dxa"/>
            <w:vAlign w:val="bottom"/>
            <w:gridSpan w:val="4"/>
          </w:tcPr>
          <w:p>
            <w:pPr>
              <w:ind w:left="980"/>
              <w:spacing w:after="0"/>
              <w:rPr>
                <w:sz w:val="20"/>
                <w:szCs w:val="20"/>
                <w:color w:val="auto"/>
              </w:rPr>
            </w:pPr>
            <w:r>
              <w:rPr>
                <w:rFonts w:ascii="Arial" w:cs="Arial" w:eastAsia="Arial" w:hAnsi="Arial"/>
                <w:sz w:val="18"/>
                <w:szCs w:val="18"/>
                <w:color w:val="auto"/>
                <w:w w:val="96"/>
              </w:rPr>
              <w:t>balance under our revolving credit facility. See “Use of Proceeds” on page S-8 for more</w:t>
            </w:r>
          </w:p>
        </w:tc>
      </w:tr>
      <w:tr>
        <w:trPr>
          <w:trHeight w:val="222"/>
        </w:trPr>
        <w:tc>
          <w:tcPr>
            <w:tcW w:w="3320" w:type="dxa"/>
            <w:vAlign w:val="bottom"/>
          </w:tcPr>
          <w:p>
            <w:pPr>
              <w:spacing w:after="0"/>
              <w:rPr>
                <w:sz w:val="19"/>
                <w:szCs w:val="19"/>
                <w:color w:val="auto"/>
              </w:rPr>
            </w:pPr>
          </w:p>
        </w:tc>
        <w:tc>
          <w:tcPr>
            <w:tcW w:w="5880" w:type="dxa"/>
            <w:vAlign w:val="bottom"/>
            <w:gridSpan w:val="2"/>
          </w:tcPr>
          <w:p>
            <w:pPr>
              <w:ind w:left="980"/>
              <w:spacing w:after="0"/>
              <w:rPr>
                <w:sz w:val="20"/>
                <w:szCs w:val="20"/>
                <w:color w:val="auto"/>
              </w:rPr>
            </w:pPr>
            <w:r>
              <w:rPr>
                <w:rFonts w:ascii="Arial" w:cs="Arial" w:eastAsia="Arial" w:hAnsi="Arial"/>
                <w:sz w:val="18"/>
                <w:szCs w:val="18"/>
                <w:color w:val="auto"/>
              </w:rPr>
              <w:t>information.</w:t>
            </w: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5880" w:type="dxa"/>
            <w:vAlign w:val="bottom"/>
            <w:gridSpan w:val="2"/>
          </w:tcPr>
          <w:p>
            <w:pPr>
              <w:ind w:left="980"/>
              <w:spacing w:after="0"/>
              <w:rPr>
                <w:sz w:val="20"/>
                <w:szCs w:val="20"/>
                <w:color w:val="auto"/>
              </w:rPr>
            </w:pPr>
            <w:r>
              <w:rPr>
                <w:rFonts w:ascii="Arial" w:cs="Arial" w:eastAsia="Arial" w:hAnsi="Arial"/>
                <w:sz w:val="18"/>
                <w:szCs w:val="18"/>
                <w:color w:val="auto"/>
              </w:rPr>
              <w:t>The notes contain various covenants, including the following:</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88" w:lineRule="exact"/>
        <w:rPr>
          <w:sz w:val="20"/>
          <w:szCs w:val="20"/>
          <w:color w:val="auto"/>
        </w:rPr>
      </w:pPr>
    </w:p>
    <w:p>
      <w:pPr>
        <w:ind w:left="4500" w:firstLine="5"/>
        <w:spacing w:after="0" w:line="289" w:lineRule="auto"/>
        <w:tabs>
          <w:tab w:leader="none" w:pos="47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12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0126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right="20"/>
        <w:spacing w:after="0" w:line="254" w:lineRule="auto"/>
        <w:rPr>
          <w:sz w:val="20"/>
          <w:szCs w:val="20"/>
          <w:color w:val="auto"/>
        </w:rPr>
      </w:pPr>
      <w:r>
        <w:rPr>
          <w:rFonts w:ascii="Arial" w:cs="Arial" w:eastAsia="Arial" w:hAnsi="Arial"/>
          <w:sz w:val="18"/>
          <w:szCs w:val="18"/>
          <w:color w:val="auto"/>
        </w:rPr>
        <w:t>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77" w:lineRule="exact"/>
        <w:rPr>
          <w:sz w:val="20"/>
          <w:szCs w:val="20"/>
          <w:color w:val="auto"/>
        </w:rPr>
      </w:pPr>
    </w:p>
    <w:p>
      <w:pPr>
        <w:ind w:left="4500" w:firstLine="5"/>
        <w:spacing w:after="0" w:line="285" w:lineRule="auto"/>
        <w:tabs>
          <w:tab w:leader="none" w:pos="474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40" w:lineRule="exact"/>
        <w:rPr>
          <w:rFonts w:ascii="Arial" w:cs="Arial" w:eastAsia="Arial" w:hAnsi="Arial"/>
          <w:sz w:val="16"/>
          <w:szCs w:val="16"/>
          <w:color w:val="auto"/>
        </w:rPr>
      </w:pPr>
    </w:p>
    <w:p>
      <w:pPr>
        <w:ind w:left="4500" w:right="80" w:firstLine="5"/>
        <w:spacing w:after="0" w:line="286" w:lineRule="auto"/>
        <w:tabs>
          <w:tab w:leader="none" w:pos="47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754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75488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amount of Debt under any revolving credit facility shall be 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60" w:lineRule="exact"/>
        <w:rPr>
          <w:sz w:val="20"/>
          <w:szCs w:val="20"/>
          <w:color w:val="auto"/>
        </w:rPr>
      </w:pPr>
    </w:p>
    <w:p>
      <w:pPr>
        <w:jc w:val="both"/>
        <w:ind w:right="100" w:firstLine="5"/>
        <w:spacing w:after="0" w:line="259"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notes are redeemable at any time at our option, in whole or in part. If the notes are</w:t>
      </w:r>
    </w:p>
    <w:p>
      <w:pPr>
        <w:spacing w:after="0" w:line="38"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redeemed before days prior to the maturity date, the redemption price will be equal to the greater of (1) 100% of the principal amount of the notes being redeemed, or (2) the sum of the present values of the remaining scheduled payments of principal and interest thereon, discounted to the redemption date on a semi-annual basis at the Adjusted Treasury Rate plus</w:t>
      </w:r>
    </w:p>
    <w:p>
      <w:pPr>
        <w:spacing w:after="0" w:line="3" w:lineRule="exact"/>
        <w:rPr>
          <w:sz w:val="20"/>
          <w:szCs w:val="20"/>
          <w:color w:val="auto"/>
        </w:rPr>
      </w:pPr>
    </w:p>
    <w:p>
      <w:pPr>
        <w:ind w:right="100" w:firstLine="395"/>
        <w:spacing w:after="0" w:line="320" w:lineRule="auto"/>
        <w:rPr>
          <w:sz w:val="20"/>
          <w:szCs w:val="20"/>
          <w:color w:val="auto"/>
        </w:rPr>
      </w:pPr>
      <w:r>
        <w:rPr>
          <w:rFonts w:ascii="Arial" w:cs="Arial" w:eastAsia="Arial" w:hAnsi="Arial"/>
          <w:sz w:val="15"/>
          <w:szCs w:val="15"/>
          <w:color w:val="auto"/>
        </w:rPr>
        <w:t>basis points (0. %), plus, in each case, accrued and unpaid interest thereon to, but excluding, the redemption date. If the notes are redeemed on or after days prior to the maturity date, the redemption price will be equal to 100% of the principal amount of the notes being redeemed plus accrued and unpaid interest thereon to, but excluding, the redemption date.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See “Description of Notes — Optional Redemption” for more information.</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color w:val="auto"/>
        </w:rPr>
        <w:t>Investing in the notes involves risks. Please review the risk factors discussed beginning on page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S-6 of this prospectus supplement, on page 3 of the accompanying prospectus and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w:t>
      </w:r>
    </w:p>
    <w:p>
      <w:pPr>
        <w:spacing w:after="0" w:line="200" w:lineRule="exact"/>
        <w:rPr>
          <w:sz w:val="20"/>
          <w:szCs w:val="20"/>
          <w:color w:val="auto"/>
        </w:rPr>
      </w:pPr>
    </w:p>
    <w:p>
      <w:pPr>
        <w:sectPr>
          <w:pgSz w:w="11900" w:h="16838" w:orient="portrait"/>
          <w:cols w:equalWidth="0" w:num="2">
            <w:col w:w="3780" w:space="720"/>
            <w:col w:w="6740"/>
          </w:cols>
          <w:pgMar w:left="240" w:top="459" w:right="419" w:bottom="1440" w:gutter="0" w:footer="0" w:header="0"/>
          <w:type w:val="continuous"/>
        </w:sectPr>
      </w:pP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204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12045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spacing w:after="0" w:line="290" w:lineRule="auto"/>
        <w:rPr>
          <w:sz w:val="20"/>
          <w:szCs w:val="20"/>
          <w:color w:val="auto"/>
        </w:rPr>
      </w:pPr>
      <w:r>
        <w:rPr>
          <w:rFonts w:ascii="Arial" w:cs="Arial" w:eastAsia="Arial" w:hAnsi="Arial"/>
          <w:sz w:val="16"/>
          <w:szCs w:val="16"/>
          <w:color w:val="auto"/>
        </w:rPr>
        <w:t>December 31, 2013, filed with the SEC on February 11, 2014, and the other information contained or incorporated by reference 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53 of the accompanying prospectus.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2013 filed with the SEC on February 11, 2014 before you decide to purchase the notes. The risks and uncertainties described below and in the incorporated Form 10-K for the year ended December 31, 2013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intercompany cash flows to satisfy our obligations under the notes.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structurally subordinated to the claims of our subsidiaries’ creditors and our subsidiaries’ preferred equity holders.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September 30, 2014, our subsidiaries had approximately $483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are unsecured and are effectively subordinated to our secured indebtedness.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2014, we had approximately $618 million (excluding net unamortized premium) of secured debt outstanding, all of which was effectively senior to the notes to the extent of the value of the securing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public trading market for the notes may not develop.</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460"/>
        <w:spacing w:after="0"/>
        <w:tabs>
          <w:tab w:leader="none" w:pos="10440" w:val="left"/>
        </w:tabs>
        <w:rPr>
          <w:sz w:val="20"/>
          <w:szCs w:val="20"/>
          <w:color w:val="auto"/>
        </w:rPr>
      </w:pPr>
      <w:r>
        <w:rPr>
          <w:rFonts w:ascii="Arial" w:cs="Arial" w:eastAsia="Arial" w:hAnsi="Arial"/>
          <w:sz w:val="16"/>
          <w:szCs w:val="16"/>
          <w:color w:val="auto"/>
        </w:rPr>
        <w:t>The net proceeds to us from the issuance and sale of the notes offered by this prospectus supplement are estimated to be approximately $</w:t>
      </w:r>
      <w:r>
        <w:rPr>
          <w:sz w:val="20"/>
          <w:szCs w:val="20"/>
          <w:color w:val="auto"/>
        </w:rPr>
        <w:tab/>
      </w:r>
      <w:r>
        <w:rPr>
          <w:rFonts w:ascii="Arial" w:cs="Arial" w:eastAsia="Arial" w:hAnsi="Arial"/>
          <w:sz w:val="16"/>
          <w:szCs w:val="16"/>
          <w:color w:val="auto"/>
        </w:rPr>
        <w:t>million after</w:t>
      </w:r>
    </w:p>
    <w:p>
      <w:pPr>
        <w:spacing w:after="0" w:line="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deducting the underwriting discount and other estimated expenses of this offering payable by us. We intend to use these net proceeds to redeem all of our outstanding 5.65% Notes due 2016, to repay the mortgage loan on our East Bay Bridge property and for general corporate purposes, which may include, without limitation, paying down the outstanding balance under our revolving credit facility. Pending application of the net proceeds, we may invest the net proceeds in short-term income-producing investments.</w:t>
      </w:r>
    </w:p>
    <w:p>
      <w:pPr>
        <w:spacing w:after="0" w:line="6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September 30, 2014, $125 million of our 5.65% Notes due 2016 was outstanding. In addition to the payment of outstanding principal amount and accrued but unpaid interest, redemption of the 5.65% Notes due 2016 will be subject to a make-whole premium in the aggregate amount of approximately $9.4 million. The 5.65% Notes due 2016 are scheduled to mature on June 1, 2016.</w:t>
      </w:r>
    </w:p>
    <w:p>
      <w:pPr>
        <w:spacing w:after="0" w:line="5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September 30, 2014, the outstanding principal balance of the mortgage loan on our East Bay Bridge property was $61.2 million (net of unamortized premium), which accrued interest at a rate of 5.13% per annum. The East Bay Bridge mortgage is scheduled to mature on March 1, 2016. In addition to the payment of our outstanding principal balance and accrued but unpaid interest, prepayment of the East Bay Bridge mortgage loan will be subject to a prepayment premium of approximately $3.0 million.</w:t>
      </w:r>
    </w:p>
    <w:p>
      <w:pPr>
        <w:spacing w:after="0" w:line="6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$600 million revolving credit facility matures on April 21, 2017, subject to a one-year extension at our option. LIBOR loans outstanding under our revolving credit facility bear interest at seven day, one month, three month or six month LIBOR, at our election, plus a spread of 90 basis points, subject to adjustment based on our credit rating. As of September 30, 2014, we had $11 million outstanding under our revolving credit facility (which has increased to $57 million as of November 7, 2014).</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In addition, certain of the underwriters and their affiliates may be holders of 5.65% Notes due 2016. Such underwriters and their affiliates will receive a portion of the net proceeds from this offering to the extent they continue to hold 5.65% Notes due 2016 on any scheduled redemption date in relation thereto. See “Underwriting (Conflicts of Interest) — Conflicts of Interest.”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400"/>
          </w:cols>
          <w:pgMar w:left="240" w:top="459" w:right="259" w:bottom="1440" w:gutter="0" w:footer="0" w:header="0"/>
        </w:sectPr>
      </w:pP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million of our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notes maturing 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which may be redeemed prior to that date in accordance with their terms.</w:t>
      </w:r>
    </w:p>
    <w:p>
      <w:pPr>
        <w:spacing w:after="0" w:line="124" w:lineRule="exact"/>
        <w:rPr>
          <w:sz w:val="20"/>
          <w:szCs w:val="20"/>
          <w:color w:val="auto"/>
        </w:rPr>
      </w:pPr>
    </w:p>
    <w:p>
      <w:pPr>
        <w:sectPr>
          <w:pgSz w:w="11900" w:h="16838" w:orient="portrait"/>
          <w:cols w:equalWidth="0" w:num="5">
            <w:col w:w="1700" w:space="380"/>
            <w:col w:w="980" w:space="220"/>
            <w:col w:w="1460" w:space="560"/>
            <w:col w:w="280" w:space="160"/>
            <w:col w:w="5660"/>
          </w:cols>
          <w:pgMar w:left="240" w:top="459" w:right="259" w:bottom="1440" w:gutter="0" w:footer="0" w:header="0"/>
          <w:type w:val="continuous"/>
        </w:sectPr>
      </w:pPr>
    </w:p>
    <w:p>
      <w:pPr>
        <w:ind w:right="80" w:firstLine="456"/>
        <w:spacing w:after="0" w:line="254" w:lineRule="auto"/>
        <w:rPr>
          <w:sz w:val="20"/>
          <w:szCs w:val="20"/>
          <w:color w:val="auto"/>
        </w:rPr>
      </w:pPr>
      <w:r>
        <w:rPr>
          <w:rFonts w:ascii="Arial" w:cs="Arial" w:eastAsia="Arial" w:hAnsi="Arial"/>
          <w:sz w:val="18"/>
          <w:szCs w:val="18"/>
          <w:color w:val="auto"/>
        </w:rPr>
        <w:t>We will pay interest on the notes semi-annually in arrears on and of each year, beginning , 2015, to the registered holders of the notes on the preceding and . Interest will be computed and paid on the basis of a 360-day year consisting of twelve 30-day months. If any interest</w:t>
      </w:r>
    </w:p>
    <w:p>
      <w:pPr>
        <w:sectPr>
          <w:pgSz w:w="11900" w:h="16838" w:orient="portrait"/>
          <w:cols w:equalWidth="0" w:num="1">
            <w:col w:w="11400"/>
          </w:cols>
          <w:pgMar w:left="240" w:top="459" w:right="259" w:bottom="1440" w:gutter="0" w:footer="0" w:header="0"/>
          <w:type w:val="continuous"/>
        </w:sectPr>
      </w:pPr>
    </w:p>
    <w:p>
      <w:pPr>
        <w:jc w:val="both"/>
        <w:ind w:right="200"/>
        <w:spacing w:after="0" w:line="255" w:lineRule="auto"/>
        <w:rPr>
          <w:sz w:val="20"/>
          <w:szCs w:val="20"/>
          <w:color w:val="auto"/>
        </w:rPr>
      </w:pPr>
      <w:r>
        <w:rPr>
          <w:rFonts w:ascii="Arial" w:cs="Arial" w:eastAsia="Arial" w:hAnsi="Arial"/>
          <w:sz w:val="18"/>
          <w:szCs w:val="18"/>
          <w:color w:val="auto"/>
        </w:rPr>
        <w:t>payment date, redemption date or maturity date falls on a day that is not a business day, the payment will be made on the next succeeding business day, and no interest shall accrue on the amount of interest due on such date for the period from and after such interest payment date, redemption date or maturity date to the next succeeding business day.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only in registered form in denominations of $2,000 and integral multiples of $1,000 in excess thereof.</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public offer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The notes will be effectively subordinated to the prior claims of each secured mortgage lender to any specific property that secures such lender’s mortgage and to all of the unsecured indebtedness of our subsidiaries. At September 30, 2014, we had outstanding approximately $618 million (excluding net unamortized premium) of secured indebtedness collateralized by all or parts of 15 properties, which ranks senior to the notes to the extent of securing collateral (approximately $467 million of this amount, which was issued by our subsidiaries, is also structurally senior to the notes), approximately $16 million of unsecured indebtedness issued by our subsidiaries, which is structurally senior to the notes, and approximately $1,655 million of unsecured indebtedness (excluding net unamortized discount), which ranks equally.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left="460"/>
        <w:spacing w:after="0"/>
        <w:tabs>
          <w:tab w:leader="none" w:pos="8180" w:val="left"/>
        </w:tabs>
        <w:rPr>
          <w:sz w:val="20"/>
          <w:szCs w:val="20"/>
          <w:color w:val="auto"/>
        </w:rPr>
      </w:pPr>
      <w:r>
        <w:rPr>
          <w:rFonts w:ascii="Arial" w:cs="Arial" w:eastAsia="Arial" w:hAnsi="Arial"/>
          <w:sz w:val="18"/>
          <w:szCs w:val="18"/>
          <w:color w:val="auto"/>
        </w:rPr>
        <w:t>The notes are redeemable at any time at our option, in whole or in part. If the notes are redeemed before</w:t>
      </w:r>
      <w:r>
        <w:rPr>
          <w:sz w:val="20"/>
          <w:szCs w:val="20"/>
          <w:color w:val="auto"/>
        </w:rPr>
        <w:tab/>
      </w:r>
      <w:r>
        <w:rPr>
          <w:rFonts w:ascii="Arial" w:cs="Arial" w:eastAsia="Arial" w:hAnsi="Arial"/>
          <w:sz w:val="16"/>
          <w:szCs w:val="16"/>
          <w:color w:val="auto"/>
        </w:rPr>
        <w:t>days prior to the maturity date, the</w:t>
      </w:r>
    </w:p>
    <w:p>
      <w:pPr>
        <w:spacing w:after="0" w:line="1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Adjusted Treasury Rate (as defined below) plus basis points (0. %), plus, in each case, accrued and unpaid interest thereon to, but excluding, the redemption date. If the notes are redeemed on or after days prior to the maturity date, the redemption price will be equal to 100% of the principal amount of the notes being redeemed plus accrued and unpaid interest thereon to, but excluding, the redemption date.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 xml:space="preserve">“Adjusted Treasury Rate” </w:t>
      </w:r>
      <w:r>
        <w:rPr>
          <w:rFonts w:ascii="Arial" w:cs="Arial" w:eastAsia="Arial" w:hAnsi="Arial"/>
          <w:sz w:val="18"/>
          <w:szCs w:val="18"/>
          <w:color w:val="auto"/>
        </w:rPr>
        <w:t>means, with respect to any redemption date, the rate per year equal to the semi-annual equivalent yield to maturity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“Comparable Treasury Issue” </w:t>
      </w:r>
      <w:r>
        <w:rPr>
          <w:rFonts w:ascii="Arial" w:cs="Arial" w:eastAsia="Arial" w:hAnsi="Arial"/>
          <w:sz w:val="18"/>
          <w:szCs w:val="18"/>
          <w:color w:val="auto"/>
        </w:rPr>
        <w:t>means the United States Treasury security selected by the Quotation Agent as having a maturity comparable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“Comparable Treasury Price” </w:t>
      </w:r>
      <w:r>
        <w:rPr>
          <w:rFonts w:ascii="Arial" w:cs="Arial" w:eastAsia="Arial" w:hAnsi="Arial"/>
          <w:sz w:val="18"/>
          <w:szCs w:val="18"/>
          <w:color w:val="auto"/>
        </w:rPr>
        <w:t>means, with respect to any redemption date, (1) the average of the Reference Treasury Dealer Quotations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after excluding the highest and lowest of such Reference Treasury Dealer Quotations, or (2) if the trustee obtains fewer than five such Reference Treasury Dealer Quotations, the average of all such Quotations.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“Quotation Agent” </w:t>
      </w:r>
      <w:r>
        <w:rPr>
          <w:rFonts w:ascii="Arial" w:cs="Arial" w:eastAsia="Arial" w:hAnsi="Arial"/>
          <w:sz w:val="18"/>
          <w:szCs w:val="18"/>
          <w:color w:val="auto"/>
        </w:rPr>
        <w:t>means the Reference Treasury Dealer appointed by us.</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i w:val="1"/>
          <w:iCs w:val="1"/>
          <w:color w:val="auto"/>
        </w:rPr>
        <w:t xml:space="preserve">“Reference Treasury Dealer” </w:t>
      </w:r>
      <w:r>
        <w:rPr>
          <w:rFonts w:ascii="Arial" w:cs="Arial" w:eastAsia="Arial" w:hAnsi="Arial"/>
          <w:sz w:val="15"/>
          <w:szCs w:val="15"/>
          <w:color w:val="auto"/>
        </w:rPr>
        <w:t>means each of (1) a Primary Treasury Dealer (as defined below) selected by Wells Fargo Securities, LLC, Merrill Lynch,</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Pierce, Fenner &amp; Smith Incorporated and Deutsche Bank Securities Inc. and their respective successors;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if any of the Reference Treasury Dealers ceases to be a primary U.S. Government securities dealer, or a Primary Treasury Dealer, we will substitute therefor another Primary Treasury Dealer;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 any two other Primary Treasury Dealers selected by us.</w:t>
      </w:r>
    </w:p>
    <w:p>
      <w:pPr>
        <w:spacing w:after="0" w:line="84"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“Reference Treasury Dealer Quotations” </w:t>
      </w:r>
      <w:r>
        <w:rPr>
          <w:rFonts w:ascii="Arial" w:cs="Arial" w:eastAsia="Arial" w:hAnsi="Arial"/>
          <w:sz w:val="16"/>
          <w:szCs w:val="16"/>
          <w:color w:val="auto"/>
        </w:rPr>
        <w:t>means, with respect to each Reference Treasury Dealer and any redemption date, the average, as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Notice of any redemption will be mailed at least 20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4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34"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51"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“Acquired Debt” </w:t>
      </w:r>
      <w:r>
        <w:rPr>
          <w:rFonts w:ascii="Arial" w:cs="Arial" w:eastAsia="Arial" w:hAnsi="Arial"/>
          <w:sz w:val="18"/>
          <w:szCs w:val="18"/>
          <w:color w:val="auto"/>
        </w:rPr>
        <w:t>means Debt of a person (1) existing at the time such person becomes a subsidiary or (2) assumed in connection with the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from such person, in each case, other than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“Annual Debt Service Charge” </w:t>
      </w:r>
      <w:r>
        <w:rPr>
          <w:rFonts w:ascii="Arial" w:cs="Arial" w:eastAsia="Arial" w:hAnsi="Arial"/>
          <w:sz w:val="18"/>
          <w:szCs w:val="18"/>
          <w:color w:val="auto"/>
        </w:rPr>
        <w:t>as of any date means the maximum amount which is payable in any period for interest on, and original issue discount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and our subsidiaries’ Debt and the amount of dividends which are payable in respect of any Disqualified Stock.</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 with respect to any person, any capital stock (including preferred stock), shares, interests, participations or other 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“Consolidated Income Available for Debt Service” </w:t>
      </w:r>
      <w:r>
        <w:rPr>
          <w:rFonts w:ascii="Arial" w:cs="Arial" w:eastAsia="Arial" w:hAnsi="Arial"/>
          <w:sz w:val="18"/>
          <w:szCs w:val="18"/>
          <w:color w:val="auto"/>
        </w:rPr>
        <w:t>for any period means our and our subsidiaries’ Funds from Operations plus amounts which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deducted for interest on our and our subsidiaries’ Debt.</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“Debt” </w:t>
      </w:r>
      <w:r>
        <w:rPr>
          <w:rFonts w:ascii="Arial" w:cs="Arial" w:eastAsia="Arial" w:hAnsi="Arial"/>
          <w:sz w:val="16"/>
          <w:szCs w:val="16"/>
          <w:color w:val="auto"/>
        </w:rPr>
        <w:t>means any of our or any of our subsidiaries’ indebtedness, whether or not contingent, in respect of (without duplication) (1) borrowed money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4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“Disqualified Stock” </w:t>
      </w:r>
      <w:r>
        <w:rPr>
          <w:rFonts w:ascii="Arial" w:cs="Arial" w:eastAsia="Arial" w:hAnsi="Arial"/>
          <w:sz w:val="16"/>
          <w:szCs w:val="16"/>
          <w:color w:val="auto"/>
        </w:rPr>
        <w:t>means, with respect to any person, any Capital Stock of such person which by the terms of such Capital Stock (or by the terms of any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“Funds from Operations” </w:t>
      </w:r>
      <w:r>
        <w:rPr>
          <w:rFonts w:ascii="Arial" w:cs="Arial" w:eastAsia="Arial" w:hAnsi="Arial"/>
          <w:sz w:val="18"/>
          <w:szCs w:val="18"/>
          <w:color w:val="auto"/>
        </w:rPr>
        <w:t>for any period means income available to common shareholders before depreciation and amortization of real estate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before extraordinary items less gain on sale of real estate.</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“Total Assets” </w:t>
      </w:r>
      <w:r>
        <w:rPr>
          <w:rFonts w:ascii="Arial" w:cs="Arial" w:eastAsia="Arial" w:hAnsi="Arial"/>
          <w:sz w:val="18"/>
          <w:szCs w:val="18"/>
          <w:color w:val="auto"/>
        </w:rPr>
        <w:t>as of any date means the sum of (1) our and all of our subsidiaries’ Undepreciated Real Estate Assets and (2) all of our and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 determined in accordance with generally accepted accounting principles (but excluding goodwill).</w:t>
      </w:r>
    </w:p>
    <w:p>
      <w:pPr>
        <w:spacing w:after="0" w:line="5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 xml:space="preserve">“Undepreciated Real Estate Assets” </w:t>
      </w:r>
      <w:r>
        <w:rPr>
          <w:rFonts w:ascii="Arial" w:cs="Arial" w:eastAsia="Arial" w:hAnsi="Arial"/>
          <w:sz w:val="16"/>
          <w:szCs w:val="16"/>
          <w:color w:val="auto"/>
        </w:rPr>
        <w:t>as of any date means the cost (original cost plus capital improvements) of our and our subsidiaries’ real estate assets</w:t>
      </w:r>
      <w:r>
        <w:rPr>
          <w:rFonts w:ascii="Arial" w:cs="Arial" w:eastAsia="Arial" w:hAnsi="Arial"/>
          <w:sz w:val="16"/>
          <w:szCs w:val="16"/>
          <w:i w:val="1"/>
          <w:iCs w:val="1"/>
          <w:color w:val="auto"/>
        </w:rPr>
        <w:t xml:space="preserve"> </w:t>
      </w:r>
      <w:r>
        <w:rPr>
          <w:rFonts w:ascii="Arial" w:cs="Arial" w:eastAsia="Arial" w:hAnsi="Arial"/>
          <w:sz w:val="16"/>
          <w:szCs w:val="16"/>
          <w:color w:val="auto"/>
        </w:rPr>
        <w:t>on such date, before depreciation and amortization determined on a consolidated basis in accordance with generally accepted accounting principles.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18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tabs>
          <w:tab w:leader="none" w:pos="1920" w:val="left"/>
        </w:tabs>
        <w:rPr>
          <w:sz w:val="20"/>
          <w:szCs w:val="20"/>
          <w:color w:val="auto"/>
        </w:rPr>
      </w:pPr>
      <w:r>
        <w:rPr>
          <w:rFonts w:ascii="Arial" w:cs="Arial" w:eastAsia="Arial" w:hAnsi="Arial"/>
          <w:sz w:val="18"/>
          <w:szCs w:val="18"/>
          <w:b w:val="1"/>
          <w:bCs w:val="1"/>
          <w:i w:val="1"/>
          <w:iCs w:val="1"/>
          <w:color w:val="auto"/>
        </w:rPr>
        <w:t>Events of Default.</w:t>
      </w:r>
      <w:r>
        <w:rPr>
          <w:sz w:val="20"/>
          <w:szCs w:val="20"/>
          <w:color w:val="auto"/>
        </w:rPr>
        <w:tab/>
      </w:r>
      <w:r>
        <w:rPr>
          <w:rFonts w:ascii="Arial" w:cs="Arial" w:eastAsia="Arial" w:hAnsi="Arial"/>
          <w:sz w:val="16"/>
          <w:szCs w:val="16"/>
          <w:color w:val="auto"/>
        </w:rPr>
        <w:t>The notes will be subject to the following events of default:</w:t>
      </w:r>
    </w:p>
    <w:p>
      <w:pPr>
        <w:spacing w:after="0" w:line="90" w:lineRule="exact"/>
        <w:rPr>
          <w:sz w:val="20"/>
          <w:szCs w:val="20"/>
          <w:color w:val="auto"/>
        </w:rPr>
      </w:pPr>
    </w:p>
    <w:p>
      <w:pPr>
        <w:ind w:left="460" w:right="40" w:firstLine="443"/>
        <w:spacing w:after="0" w:line="268" w:lineRule="auto"/>
        <w:tabs>
          <w:tab w:leader="none" w:pos="1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60" w:firstLine="443"/>
        <w:spacing w:after="0" w:line="289" w:lineRule="auto"/>
        <w:tabs>
          <w:tab w:leader="none" w:pos="120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200" w:hanging="297"/>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720" w:hanging="379"/>
        <w:spacing w:after="0"/>
        <w:tabs>
          <w:tab w:leader="none" w:pos="1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90" w:lineRule="exact"/>
        <w:rPr>
          <w:sz w:val="20"/>
          <w:szCs w:val="20"/>
          <w:color w:val="auto"/>
        </w:rPr>
      </w:pPr>
    </w:p>
    <w:p>
      <w:pPr>
        <w:ind w:left="1200" w:hanging="297"/>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700" w:firstLine="421"/>
        <w:spacing w:after="0" w:line="268"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440" w:firstLine="421"/>
        <w:spacing w:after="0" w:line="268" w:lineRule="auto"/>
        <w:tabs>
          <w:tab w:leader="none" w:pos="171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720" w:hanging="379"/>
        <w:spacing w:after="0"/>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4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3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59"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5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300"/>
          </w:cols>
          <w:pgMar w:left="24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39" w:lineRule="exact"/>
        <w:rPr>
          <w:sz w:val="20"/>
          <w:szCs w:val="20"/>
          <w:color w:val="auto"/>
        </w:rPr>
      </w:pPr>
    </w:p>
    <w:p>
      <w:pPr>
        <w:ind w:right="780" w:firstLine="456"/>
        <w:spacing w:after="0" w:line="338" w:lineRule="auto"/>
        <w:rPr>
          <w:sz w:val="20"/>
          <w:szCs w:val="20"/>
          <w:color w:val="auto"/>
        </w:rPr>
      </w:pPr>
      <w:r>
        <w:rPr>
          <w:rFonts w:ascii="Arial" w:cs="Arial" w:eastAsia="Arial" w:hAnsi="Arial"/>
          <w:sz w:val="16"/>
          <w:szCs w:val="16"/>
          <w:b w:val="1"/>
          <w:bCs w:val="1"/>
          <w:color w:val="auto"/>
        </w:rPr>
        <w:t>PROSPECTIVE INVESTORS SHOULD CONSULT THEIR TAX ADVISORS REGARDING THE U.S. FEDERAL, STATE, LOCAL, FOREIGN AND OTHER TAX CONSEQUENCES OF THE ACQUISITION, OWNERSHIP AND DISPOSITION OF THE NOTES.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660" w:right="200" w:hanging="206"/>
        <w:spacing w:after="0" w:line="357"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ind w:right="260" w:firstLine="456"/>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2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“Non-U.S. Holder” means any beneficial owner of a note that is not a U.S. Holder or an entity or arrangement treated as a partnership for U.S. federal income tax purposes.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Revised Guidance on Treatment of Distressed Mortgage Loans. </w:t>
      </w:r>
      <w:r>
        <w:rPr>
          <w:rFonts w:ascii="Arial" w:cs="Arial" w:eastAsia="Arial" w:hAnsi="Arial"/>
          <w:sz w:val="16"/>
          <w:szCs w:val="16"/>
          <w:color w:val="auto"/>
        </w:rPr>
        <w:t>As described in the accompanying prospectus, in the case of the acquisition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mortgage loan secured by both real property and other property, the IRS had previously issued favorable guidance concerning the portion of such loan that could be treated as a real estate asset where the value of the real estate securing the acquired loan had declined since the loan was originally made. However, in response to concerns as to the potentially adverse effect of that guidance if the real estate value subsequently increased, the IRS recently revised the prior guidance. Under the revised guidance, the IRS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fair market value of the loan.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Stated 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stated interest earned on the notes as ordinary income when received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accrued in accordance with the U.S. Holder’s regular 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3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59"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Sale, Exchange, Redemption, or Other Taxable Disposition of the Notes. </w:t>
      </w:r>
      <w:r>
        <w:rPr>
          <w:rFonts w:ascii="Arial" w:cs="Arial" w:eastAsia="Arial" w:hAnsi="Arial"/>
          <w:sz w:val="16"/>
          <w:szCs w:val="16"/>
          <w:color w:val="auto"/>
        </w:rPr>
        <w:t>Unless a non-recognition provision applies, upon the sale,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U.S. Holders generally will be subject to a preferential tax rate. Subject to limited exceptions, capital losses cannot be used to offset a U.S. Holder’s ordinary income.</w:t>
      </w:r>
    </w:p>
    <w:p>
      <w:pPr>
        <w:spacing w:after="0" w:line="45"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i w:val="1"/>
          <w:iCs w:val="1"/>
          <w:color w:val="auto"/>
        </w:rPr>
        <w:t>Unearned Income Medicare Contribution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U.S. Holders that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55" w:lineRule="exact"/>
        <w:rPr>
          <w:sz w:val="20"/>
          <w:szCs w:val="20"/>
          <w:color w:val="auto"/>
        </w:rPr>
      </w:pPr>
    </w:p>
    <w:p>
      <w:pPr>
        <w:ind w:right="500" w:firstLine="456"/>
        <w:spacing w:after="0" w:line="338"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will apply to a U.S. Holder (other than an “exempt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 corporation and certain other persons who, when required, demonstrate their exempt status) with respect to:</w:t>
      </w:r>
    </w:p>
    <w:p>
      <w:pPr>
        <w:spacing w:after="0" w:line="1"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59"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rules described below under “— Unearned Income Medicare Contribution for Foreign Estates and Trusts,”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Reporting and Backup Withholding” and “— FATCA Regime,” a Non-U.S. Holder generally will not be subject to U.S. federal income or withholding tax on payments of interest on a note, provided that:</w:t>
      </w:r>
    </w:p>
    <w:p>
      <w:pPr>
        <w:spacing w:after="0" w:line="59"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6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in the case of an individual and IRS Form W-8BEN-E in the case of an entity). These forms may be required to be periodically updated.</w:t>
      </w:r>
    </w:p>
    <w:p>
      <w:pPr>
        <w:spacing w:after="0" w:line="4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Sale, Exchange, Redemption, or Other Taxable Disposition of the Notes. </w:t>
      </w:r>
      <w:r>
        <w:rPr>
          <w:rFonts w:ascii="Arial" w:cs="Arial" w:eastAsia="Arial" w:hAnsi="Arial"/>
          <w:sz w:val="18"/>
          <w:szCs w:val="18"/>
          <w:color w:val="auto"/>
        </w:rPr>
        <w:t>Subject to the rules described below under “— Information Reporting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Backup Withholding” and “— FATCA Regime,” a Non-U.S. Holder generally will not be subject to U.S. federal income or withholding tax on gain from the sale, exchange, redemption or other taxable disposition of a note unless:</w:t>
      </w:r>
    </w:p>
    <w:p>
      <w:pPr>
        <w:spacing w:after="0" w:line="59" w:lineRule="exact"/>
        <w:rPr>
          <w:sz w:val="20"/>
          <w:szCs w:val="20"/>
          <w:color w:val="auto"/>
        </w:rPr>
      </w:pPr>
    </w:p>
    <w:p>
      <w:pPr>
        <w:ind w:left="660" w:right="560" w:hanging="206"/>
        <w:spacing w:after="0" w:line="33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5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3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imposes a U.S. federal withholding tax of 30% on certain payments to foreign financial institutions (including investment funds) and non-financial foreign entities that fail to comply with certain certification and information reporting requirements (unless alternative procedures apply pursuant to an applicable intergovernmental agreement between the United States and the relevant foreign government). In certain cases, the relevant foreign financial institution or non-financial foreign entity may qualify for an exemption from, or be deemed to be in compliance with, these rules. The obligation to withhold under FATCA applies to payments of U.S.-source interest and OID on obligations made on or after July 1, 2014 and payments of gross proceeds from the sale or other disposition of such obligations made on or after January 1, 2017 (or such other date as may be specified in guidance issued by the U.S. Treasury Department). We will not pay any additional amounts in respect of any amounts withheld under FATCA.</w:t>
      </w:r>
    </w:p>
    <w:p>
      <w:pPr>
        <w:spacing w:after="0" w:line="37" w:lineRule="exact"/>
        <w:rPr>
          <w:sz w:val="20"/>
          <w:szCs w:val="20"/>
          <w:color w:val="auto"/>
        </w:rPr>
      </w:pPr>
    </w:p>
    <w:p>
      <w:pPr>
        <w:jc w:val="center"/>
        <w:ind w:left="460" w:right="240"/>
        <w:spacing w:after="0" w:line="391" w:lineRule="auto"/>
        <w:rPr>
          <w:sz w:val="20"/>
          <w:szCs w:val="20"/>
          <w:color w:val="auto"/>
        </w:rPr>
      </w:pPr>
      <w:r>
        <w:rPr>
          <w:rFonts w:ascii="Arial" w:cs="Arial" w:eastAsia="Arial" w:hAnsi="Arial"/>
          <w:sz w:val="18"/>
          <w:szCs w:val="18"/>
          <w:color w:val="auto"/>
        </w:rPr>
        <w:t xml:space="preserve">Prospective investors are encouraged to consult their tax advisors regarding the possible implications of this legislation on their investment in the notes. </w:t>
      </w:r>
      <w:r>
        <w:rPr>
          <w:rFonts w:ascii="Arial" w:cs="Arial" w:eastAsia="Arial" w:hAnsi="Arial"/>
          <w:sz w:val="18"/>
          <w:szCs w:val="18"/>
          <w:b w:val="1"/>
          <w:bCs w:val="1"/>
          <w:color w:val="auto"/>
        </w:rPr>
        <w:t>Current Tax Rates for U.S. Individuals, Estates and Trusts</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extended most of the reduced rates for U.S. individuals, estates and trusts with respect to ordinary income, qualified dividend income and long-term capital gains that had expired on December 31, 2012. The 2012 Relief Act, however, did not extend all of the reduced rates for high-income taxpayers. For 2014, in the case of married couples filing joint returns with taxable income in excess of</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$457,600, heads of households with taxable income in excess of $432,200 and other individuals with taxable income in excess of $406,750, the maximum tax rate on ordinary income is 39.6% and the maximum tax rate on long-term capital gains and qualified dividend income is 20%. Estates and trusts have more compressed rate schedules. The income thresholds for each rate schedule are indexed for inflation. Prospective investors are urged to consult their tax advisors regarding the effect of the tax rates and other tax provisions in the 2012 Relief Act on an investment in the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intend to offer the notes through the underwriters named below, for whom Wells Fargo Securities, LLC, Deutsche Bank Securities Inc. and Merrill Lynch, Pierce, Fenner &amp; Smith Incorporated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Principal</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6"/>
              </w:rPr>
              <w:t>Underwriter</w:t>
            </w:r>
          </w:p>
        </w:tc>
        <w:tc>
          <w:tcPr>
            <w:tcW w:w="9520" w:type="dxa"/>
            <w:vAlign w:val="bottom"/>
            <w:vMerge w:val="restart"/>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w w:val="97"/>
              </w:rPr>
              <w:t>Amount of</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auto"/>
            </w:tcBorders>
            <w:vMerge w:val="continue"/>
          </w:tcPr>
          <w:p>
            <w:pPr>
              <w:spacing w:after="0"/>
              <w:rPr>
                <w:sz w:val="20"/>
                <w:szCs w:val="20"/>
                <w:color w:val="auto"/>
              </w:rPr>
            </w:pPr>
          </w:p>
        </w:tc>
        <w:tc>
          <w:tcPr>
            <w:tcW w:w="9520" w:type="dxa"/>
            <w:vAlign w:val="bottom"/>
            <w:vMerge w:val="continue"/>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03"/>
        </w:trPr>
        <w:tc>
          <w:tcPr>
            <w:tcW w:w="10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8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0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5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Incorporated</w:t>
            </w:r>
          </w:p>
        </w:tc>
        <w:tc>
          <w:tcPr>
            <w:tcW w:w="8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05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5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We do not intend to apply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6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6" w:lineRule="exact"/>
        <w:rPr>
          <w:sz w:val="20"/>
          <w:szCs w:val="20"/>
          <w:color w:val="auto"/>
        </w:rPr>
      </w:pPr>
    </w:p>
    <w:p>
      <w:pPr>
        <w:ind w:left="10400"/>
        <w:spacing w:after="0"/>
        <w:rPr>
          <w:sz w:val="20"/>
          <w:szCs w:val="20"/>
          <w:color w:val="auto"/>
        </w:rPr>
      </w:pPr>
      <w:r>
        <w:rPr>
          <w:rFonts w:ascii="Arial" w:cs="Arial" w:eastAsia="Arial" w:hAnsi="Arial"/>
          <w:sz w:val="18"/>
          <w:szCs w:val="18"/>
          <w:b w:val="1"/>
          <w:bCs w:val="1"/>
          <w:color w:val="auto"/>
        </w:rPr>
        <w:t>Paid by Us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8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35"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Certain of the underwriters and their affiliates may be holders of 5.65% Notes due 2016. Such underwriters and their affiliates will receive a portion of the net proceeds from this offering to the extent they continue to hold 5.65% Notes due 2016 on any scheduled redemption date in relation thereto.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relation to each Member State of the European Economic Area (each, a “Relevant Member State”), no offer of notes may be made to the public in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Relevant Member State other than:</w:t>
      </w:r>
    </w:p>
    <w:p>
      <w:pPr>
        <w:spacing w:after="0" w:line="84" w:lineRule="exact"/>
        <w:rPr>
          <w:sz w:val="20"/>
          <w:szCs w:val="20"/>
          <w:color w:val="auto"/>
        </w:rPr>
      </w:pPr>
    </w:p>
    <w:p>
      <w:pPr>
        <w:ind w:left="1240" w:hanging="33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2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59" w:lineRule="exact"/>
        <w:rPr>
          <w:rFonts w:ascii="Arial" w:cs="Arial" w:eastAsia="Arial" w:hAnsi="Arial"/>
          <w:sz w:val="18"/>
          <w:szCs w:val="18"/>
          <w:color w:val="auto"/>
        </w:rPr>
      </w:pPr>
    </w:p>
    <w:p>
      <w:pPr>
        <w:ind w:left="1240" w:hanging="337"/>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provided that no such offer of notes shall require us or the representatives to publish a prospectus pursuant to Article 3 of the Prospectus Directive or supplement a prospectus pursuant to Article 16 of the Prospectus Directive.</w:t>
      </w:r>
    </w:p>
    <w:p>
      <w:pPr>
        <w:spacing w:after="0" w:line="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Each person in a Relevant Member State who initially acquires any notes or to whom any offer is made will be deemed to have represented, acknowledged and agreed that it is a “qualified investor” within the meaning of the law in that Relevant Member State implementing Article 2(1)(e) of the Prospectus Directive. In the case of any notes being offered to a financial intermediary as that term is used in Article 3(2) of the Prospectus Directive, each such financial intermediary will be deemed to have represented, acknowledged and agreed that the notes acquired by it in the offer have not been acquired on a non-discretionary basis on behalf of, nor have they been acquired with a view to their offer or resale to, persons in circumstances which may give rise to an offer of any notes to the public other than their offer or resale in a Relevant Member State to qualified investors as so defined or in circumstances in which the prior consent of the representatives has been obtained to each such proposed offer or resale.</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the representatives and their affiliates will rely upon the truth and accuracy of the foregoing representations, acknowledgements and agreements.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they authorize, the making of any offer of notes in circumstances in which an obligation arises for us or the underwriters to publish a prospectus for such offer.</w:t>
      </w:r>
    </w:p>
    <w:p>
      <w:pPr>
        <w:spacing w:after="0" w:line="3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300"/>
          </w:cols>
          <w:pgMar w:left="240" w:top="45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300" w:firstLine="443"/>
        <w:spacing w:after="0" w:line="283"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w:t>
      </w:r>
    </w:p>
    <w:p>
      <w:pPr>
        <w:spacing w:after="0" w:line="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hanging="1"/>
        <w:spacing w:after="0" w:line="292" w:lineRule="auto"/>
        <w:tabs>
          <w:tab w:leader="none" w:pos="1110" w:val="left"/>
        </w:tabs>
        <w:numPr>
          <w:ilvl w:val="1"/>
          <w:numId w:val="47"/>
        </w:numPr>
        <w:rPr>
          <w:rFonts w:ascii="Arial" w:cs="Arial" w:eastAsia="Arial" w:hAnsi="Arial"/>
          <w:sz w:val="16"/>
          <w:szCs w:val="16"/>
          <w:color w:val="auto"/>
        </w:rPr>
      </w:pPr>
      <w:r>
        <w:rPr>
          <w:rFonts w:ascii="Arial" w:cs="Arial" w:eastAsia="Arial" w:hAnsi="Arial"/>
          <w:sz w:val="16"/>
          <w:szCs w:val="16"/>
          <w:color w:val="auto"/>
        </w:rPr>
        <w:t>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we have received from, or there has been published by, the Internal Revenue Service a ruling, or</w:t>
      </w:r>
    </w:p>
    <w:p>
      <w:pPr>
        <w:spacing w:after="0" w:line="90" w:lineRule="exact"/>
        <w:rPr>
          <w:sz w:val="20"/>
          <w:szCs w:val="20"/>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84"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w:t>
      </w:r>
    </w:p>
    <w:p>
      <w:pPr>
        <w:spacing w:after="0" w:line="1" w:lineRule="exact"/>
        <w:rPr>
          <w:rFonts w:ascii="Arial" w:cs="Arial" w:eastAsia="Arial" w:hAnsi="Arial"/>
          <w:sz w:val="16"/>
          <w:szCs w:val="16"/>
          <w:color w:val="auto"/>
        </w:rPr>
      </w:pPr>
    </w:p>
    <w:p>
      <w:pPr>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46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614680</wp:posOffset>
            </wp:positionV>
            <wp:extent cx="2152650" cy="823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151765</wp:posOffset>
            </wp:positionV>
            <wp:extent cx="158623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jc w:val="center"/>
        <w:ind w:left="1040"/>
        <w:spacing w:after="0"/>
        <w:tabs>
          <w:tab w:leader="none" w:pos="200" w:val="left"/>
        </w:tabs>
        <w:rPr>
          <w:sz w:val="20"/>
          <w:szCs w:val="20"/>
          <w:color w:val="auto"/>
        </w:rPr>
      </w:pPr>
      <w:r>
        <w:rPr>
          <w:rFonts w:ascii="Arial" w:cs="Arial" w:eastAsia="Arial" w:hAnsi="Arial"/>
          <w:sz w:val="18"/>
          <w:szCs w:val="18"/>
          <w:b w:val="1"/>
          <w:bCs w:val="1"/>
          <w:color w:val="auto"/>
        </w:rPr>
        <w:t>November</w:t>
        <w:tab/>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Wells Fargo Securities</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Deutsche Bank Securities</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lvl w:ilvl="1">
      <w:lvlJc w:val="left"/>
      <w:lvlText w:val="•"/>
      <w:numFmt w:val="bullet"/>
      <w:start w:val="1"/>
    </w:lvl>
  </w:abstractNum>
  <w:abstractNum w:abstractNumId="2">
    <w:nsid w:val="7644A45C"/>
    <w:multiLevelType w:val="hybridMultilevel"/>
    <w:lvl w:ilvl="0">
      <w:lvlJc w:val="left"/>
      <w:lvlText w:val="(%1)"/>
      <w:numFmt w:val="lowerLetter"/>
      <w:start w:val="1"/>
    </w:lvl>
  </w:abstractNum>
  <w:abstractNum w:abstractNumId="3">
    <w:nsid w:val="32FFF902"/>
    <w:multiLevelType w:val="hybridMultilevel"/>
    <w:lvl w:ilvl="0">
      <w:lvlJc w:val="left"/>
      <w:lvlText w:val="(%1)"/>
      <w:numFmt w:val="decimal"/>
      <w:start w:val="1"/>
    </w:lvl>
  </w:abstractNum>
  <w:abstractNum w:abstractNumId="4">
    <w:nsid w:val="684A481A"/>
    <w:multiLevelType w:val="hybridMultilevel"/>
    <w:lvl w:ilvl="0">
      <w:lvlJc w:val="left"/>
      <w:lvlText w:val="(%1)"/>
      <w:numFmt w:val="decimal"/>
      <w:start w:val="2"/>
    </w:lvl>
  </w:abstractNum>
  <w:abstractNum w:abstractNumId="5">
    <w:nsid w:val="579478FE"/>
    <w:multiLevelType w:val="hybridMultilevel"/>
    <w:lvl w:ilvl="0">
      <w:lvlJc w:val="left"/>
      <w:lvlText w:val="(%1)"/>
      <w:numFmt w:val="decimal"/>
      <w:start w:val="4"/>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1."/>
      <w:numFmt w:val="decimal"/>
      <w:start w:val="1"/>
    </w:lvl>
    <w:lvl w:ilvl="1">
      <w:lvlJc w:val="left"/>
      <w:lvlText w:val="(%2)"/>
      <w:numFmt w:val="lowerLetter"/>
      <w:start w:val="1"/>
    </w:lvl>
  </w:abstractNum>
  <w:abstractNum w:abstractNumId="8">
    <w:nsid w:val="1BA026FA"/>
    <w:multiLevelType w:val="hybridMultilevel"/>
    <w:lvl w:ilvl="0">
      <w:lvlJc w:val="left"/>
      <w:lvlText w:val="%1."/>
      <w:numFmt w:val="decimal"/>
      <w:start w:val="7"/>
    </w:lvl>
    <w:lvl w:ilvl="1">
      <w:lvlJc w:val="left"/>
      <w:lvlText w:val="(%2)"/>
      <w:numFmt w:val="lowerLetter"/>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lvl w:ilvl="1">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1."/>
      <w:numFmt w:val="upperLetter"/>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1)"/>
      <w:numFmt w:val="lowerLetter"/>
      <w:start w:val="1"/>
    </w:lvl>
  </w:abstractNum>
  <w:abstractNum w:abstractNumId="18">
    <w:nsid w:val="275AC794"/>
    <w:multiLevelType w:val="hybridMultilevel"/>
    <w:lvl w:ilvl="0">
      <w:lvlJc w:val="left"/>
      <w:lvlText w:val="(%1)"/>
      <w:numFmt w:val="lowerLetter"/>
      <w:start w:val="3"/>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lvl w:ilvl="1">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lvl w:ilvl="1">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1."/>
      <w:numFmt w:val="decimal"/>
      <w:start w:val="1"/>
    </w:lvl>
    <w:lvl w:ilvl="1">
      <w:lvlJc w:val="left"/>
      <w:lvlText w:val="(%2)"/>
      <w:numFmt w:val="lowerLetter"/>
      <w:start w:val="1"/>
    </w:lvl>
  </w:abstractNum>
  <w:abstractNum w:abstractNumId="42">
    <w:nsid w:val="5DB70AE5"/>
    <w:multiLevelType w:val="hybridMultilevel"/>
    <w:lvl w:ilvl="0">
      <w:lvlJc w:val="left"/>
      <w:lvlText w:val="%1."/>
      <w:numFmt w:val="decimal"/>
      <w:start w:val="7"/>
    </w:lvl>
    <w:lvl w:ilvl="1">
      <w:lvlJc w:val="left"/>
      <w:lvlText w:val="(%2)"/>
      <w:numFmt w:val="lowerLetter"/>
      <w:start w:val="1"/>
    </w:lvl>
  </w:abstractNum>
  <w:abstractNum w:abstractNumId="43">
    <w:nsid w:val="100F8FCA"/>
    <w:multiLevelType w:val="hybridMultilevel"/>
    <w:lvl w:ilvl="0">
      <w:lvlJc w:val="left"/>
      <w:lvlText w:val="•"/>
      <w:numFmt w:val="bullet"/>
      <w:start w:val="1"/>
    </w:lvl>
  </w:abstractNum>
  <w:abstractNum w:abstractNumId="44">
    <w:nsid w:val="6590700B"/>
    <w:multiLevelType w:val="hybridMultilevel"/>
    <w:lvl w:ilvl="0">
      <w:lvlJc w:val="left"/>
      <w:lvlText w:val="•"/>
      <w:numFmt w:val="bullet"/>
      <w:start w:val="1"/>
    </w:lvl>
    <w:lvl w:ilvl="1">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lvl w:ilvl="1">
      <w:lvlJc w:val="left"/>
      <w:lvlText w:val="(%2)"/>
      <w:numFmt w:val="lowerRoman"/>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1)"/>
      <w:numFmt w:val="upperLetter"/>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
      <w:numFmt w:val="bullet"/>
      <w:start w:val="1"/>
    </w:lvl>
  </w:abstractNum>
  <w:abstractNum w:abstractNumId="64">
    <w:nsid w:val="1A32234B"/>
    <w:multiLevelType w:val="hybridMultilevel"/>
    <w:lvl w:ilvl="0">
      <w:lvlJc w:val="left"/>
      <w:lvlText w:val="•"/>
      <w:numFmt w:val="bullet"/>
      <w:start w:val="1"/>
    </w:lvl>
  </w:abstractNum>
  <w:abstractNum w:abstractNumId="65">
    <w:nsid w:val="3B0FD379"/>
    <w:multiLevelType w:val="hybridMultilevel"/>
    <w:lvl w:ilvl="0">
      <w:lvlJc w:val="left"/>
      <w:lvlText w:val="•"/>
      <w:numFmt w:val="bullet"/>
      <w:start w:val="1"/>
    </w:lvl>
  </w:abstractNum>
  <w:abstractNum w:abstractNumId="66">
    <w:nsid w:val="68EB2F63"/>
    <w:multiLevelType w:val="hybridMultilevel"/>
    <w:lvl w:ilvl="0">
      <w:lvlJc w:val="left"/>
      <w:lvlText w:val="•"/>
      <w:numFmt w:val="bullet"/>
      <w:start w:val="1"/>
    </w:lvl>
    <w:lvl w:ilvl="1">
      <w:lvlJc w:val="left"/>
      <w:lvlText w:val="•"/>
      <w:numFmt w:val="bullet"/>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lvl w:ilvl="1">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1)"/>
      <w:numFmt w:val="lowerRoman"/>
      <w:start w:val="3"/>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lvl w:ilvl="1">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lowerRoman"/>
      <w:start w:val="2"/>
    </w:lvl>
  </w:abstractNum>
  <w:abstractNum w:abstractNumId="85">
    <w:nsid w:val="74DE0EE3"/>
    <w:multiLevelType w:val="hybridMultilevel"/>
    <w:lvl w:ilvl="0">
      <w:lvlJc w:val="left"/>
      <w:lvlText w:val="\emdash "/>
      <w:numFmt w:val="bullet"/>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4"/>
    </w:lvl>
  </w:abstractNum>
  <w:abstractNum w:abstractNumId="91">
    <w:nsid w:val="57FC4FBB"/>
    <w:multiLevelType w:val="hybridMultilevel"/>
    <w:lvl w:ilvl="0">
      <w:lvlJc w:val="left"/>
      <w:lvlText w:val="•"/>
      <w:numFmt w:val="bullet"/>
      <w:start w:val="1"/>
    </w:lvl>
  </w:abstractNum>
  <w:abstractNum w:abstractNumId="92">
    <w:nsid w:val="CC1016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2019-12-05T09:27:20Z</dcterms:created>
  <dcterms:modified xsi:type="dcterms:W3CDTF">2019-12-05T09:27:20Z</dcterms:modified>
</cp:coreProperties>
</file>