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November 1, 2007</w:t>
      </w:r>
    </w:p>
    <w:p>
      <w:pPr>
        <w:spacing w:after="0" w:line="171" w:lineRule="exact"/>
        <w:rPr>
          <w:sz w:val="24"/>
          <w:szCs w:val="24"/>
          <w:color w:val="auto"/>
        </w:rPr>
      </w:pPr>
    </w:p>
    <w:p>
      <w:pPr>
        <w:ind w:left="8740"/>
        <w:spacing w:after="0"/>
        <w:rPr>
          <w:sz w:val="20"/>
          <w:szCs w:val="20"/>
          <w:color w:val="auto"/>
        </w:rPr>
      </w:pPr>
      <w:r>
        <w:rPr>
          <w:rFonts w:ascii="Arial" w:cs="Arial" w:eastAsia="Arial" w:hAnsi="Arial"/>
          <w:sz w:val="18"/>
          <w:szCs w:val="18"/>
          <w:b w:val="1"/>
          <w:bCs w:val="1"/>
          <w:color w:val="auto"/>
        </w:rPr>
        <w:t>Registration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131445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6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122555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111760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44" w:lineRule="exact"/>
        <w:rPr>
          <w:sz w:val="24"/>
          <w:szCs w:val="24"/>
          <w:color w:val="auto"/>
        </w:rPr>
      </w:pPr>
    </w:p>
    <w:tbl>
      <w:tblPr>
        <w:tblLayout w:type="fixed"/>
        <w:tblInd w:w="2040" w:type="dxa"/>
        <w:tblCellMar>
          <w:top w:w="0" w:type="dxa"/>
          <w:left w:w="0" w:type="dxa"/>
          <w:bottom w:w="0" w:type="dxa"/>
          <w:right w:w="0" w:type="dxa"/>
        </w:tblCellMar>
      </w:tblPr>
      <w:tr>
        <w:trPr>
          <w:trHeight w:val="220"/>
        </w:trPr>
        <w:tc>
          <w:tcPr>
            <w:tcW w:w="5920" w:type="dxa"/>
            <w:vAlign w:val="bottom"/>
            <w:gridSpan w:val="3"/>
          </w:tcPr>
          <w:p>
            <w:pPr>
              <w:jc w:val="center"/>
              <w:ind w:right="4280"/>
              <w:spacing w:after="0"/>
              <w:rPr>
                <w:sz w:val="20"/>
                <w:szCs w:val="20"/>
                <w:color w:val="auto"/>
              </w:rPr>
            </w:pPr>
            <w:r>
              <w:rPr>
                <w:rFonts w:ascii="Arial" w:cs="Arial" w:eastAsia="Arial" w:hAnsi="Arial"/>
                <w:sz w:val="18"/>
                <w:szCs w:val="18"/>
                <w:b w:val="1"/>
                <w:bCs w:val="1"/>
                <w:color w:val="auto"/>
                <w:w w:val="96"/>
              </w:rPr>
              <w:t>Maryland</w:t>
            </w:r>
          </w:p>
        </w:tc>
        <w:tc>
          <w:tcPr>
            <w:tcW w:w="1340" w:type="dxa"/>
            <w:vAlign w:val="bottom"/>
          </w:tcPr>
          <w:p>
            <w:pPr>
              <w:jc w:val="center"/>
              <w:ind w:left="26"/>
              <w:spacing w:after="0"/>
              <w:rPr>
                <w:sz w:val="20"/>
                <w:szCs w:val="20"/>
                <w:color w:val="auto"/>
              </w:rPr>
            </w:pPr>
            <w:r>
              <w:rPr>
                <w:rFonts w:ascii="Arial" w:cs="Arial" w:eastAsia="Arial" w:hAnsi="Arial"/>
                <w:sz w:val="18"/>
                <w:szCs w:val="18"/>
                <w:b w:val="1"/>
                <w:bCs w:val="1"/>
                <w:color w:val="auto"/>
                <w:w w:val="87"/>
              </w:rPr>
              <w:t>52-0782497</w:t>
            </w:r>
          </w:p>
        </w:tc>
      </w:tr>
      <w:tr>
        <w:trPr>
          <w:trHeight w:val="149"/>
        </w:trPr>
        <w:tc>
          <w:tcPr>
            <w:tcW w:w="5920" w:type="dxa"/>
            <w:vAlign w:val="bottom"/>
            <w:gridSpan w:val="3"/>
          </w:tcPr>
          <w:p>
            <w:pPr>
              <w:jc w:val="center"/>
              <w:ind w:right="4260"/>
              <w:spacing w:after="0" w:line="149" w:lineRule="exact"/>
              <w:rPr>
                <w:sz w:val="20"/>
                <w:szCs w:val="20"/>
                <w:color w:val="auto"/>
              </w:rPr>
            </w:pPr>
            <w:r>
              <w:rPr>
                <w:rFonts w:ascii="Arial" w:cs="Arial" w:eastAsia="Arial" w:hAnsi="Arial"/>
                <w:sz w:val="14"/>
                <w:szCs w:val="14"/>
                <w:color w:val="auto"/>
                <w:w w:val="88"/>
              </w:rPr>
              <w:t>(State or Other Jurisdiction of</w:t>
            </w:r>
          </w:p>
        </w:tc>
        <w:tc>
          <w:tcPr>
            <w:tcW w:w="1340" w:type="dxa"/>
            <w:vAlign w:val="bottom"/>
          </w:tcPr>
          <w:p>
            <w:pPr>
              <w:jc w:val="center"/>
              <w:ind w:left="26"/>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5920" w:type="dxa"/>
            <w:vAlign w:val="bottom"/>
            <w:gridSpan w:val="3"/>
          </w:tcPr>
          <w:p>
            <w:pPr>
              <w:jc w:val="center"/>
              <w:ind w:right="4260"/>
              <w:spacing w:after="0"/>
              <w:rPr>
                <w:sz w:val="20"/>
                <w:szCs w:val="20"/>
                <w:color w:val="auto"/>
              </w:rPr>
            </w:pPr>
            <w:r>
              <w:rPr>
                <w:rFonts w:ascii="Arial" w:cs="Arial" w:eastAsia="Arial" w:hAnsi="Arial"/>
                <w:sz w:val="14"/>
                <w:szCs w:val="14"/>
                <w:color w:val="auto"/>
                <w:w w:val="89"/>
              </w:rPr>
              <w:t>Incorporation or Organization)</w:t>
            </w:r>
          </w:p>
        </w:tc>
        <w:tc>
          <w:tcPr>
            <w:tcW w:w="1340" w:type="dxa"/>
            <w:vAlign w:val="bottom"/>
          </w:tcPr>
          <w:p>
            <w:pPr>
              <w:jc w:val="center"/>
              <w:ind w:left="26"/>
              <w:spacing w:after="0"/>
              <w:rPr>
                <w:sz w:val="20"/>
                <w:szCs w:val="20"/>
                <w:color w:val="auto"/>
              </w:rPr>
            </w:pPr>
            <w:r>
              <w:rPr>
                <w:rFonts w:ascii="Arial" w:cs="Arial" w:eastAsia="Arial" w:hAnsi="Arial"/>
                <w:sz w:val="14"/>
                <w:szCs w:val="14"/>
                <w:color w:val="auto"/>
                <w:w w:val="90"/>
              </w:rPr>
              <w:t>Identification Number)</w:t>
            </w:r>
          </w:p>
        </w:tc>
      </w:tr>
      <w:tr>
        <w:trPr>
          <w:trHeight w:val="190"/>
        </w:trPr>
        <w:tc>
          <w:tcPr>
            <w:tcW w:w="2700" w:type="dxa"/>
            <w:vAlign w:val="bottom"/>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303"/>
        </w:trPr>
        <w:tc>
          <w:tcPr>
            <w:tcW w:w="2700" w:type="dxa"/>
            <w:vAlign w:val="bottom"/>
          </w:tcPr>
          <w:p>
            <w:pPr>
              <w:spacing w:after="0"/>
              <w:rPr>
                <w:sz w:val="24"/>
                <w:szCs w:val="24"/>
                <w:color w:val="auto"/>
              </w:rPr>
            </w:pPr>
          </w:p>
        </w:tc>
        <w:tc>
          <w:tcPr>
            <w:tcW w:w="3220" w:type="dxa"/>
            <w:vAlign w:val="bottom"/>
            <w:gridSpan w:val="2"/>
          </w:tcPr>
          <w:p>
            <w:pPr>
              <w:jc w:val="center"/>
              <w:ind w:right="1260"/>
              <w:spacing w:after="0"/>
              <w:rPr>
                <w:sz w:val="20"/>
                <w:szCs w:val="20"/>
                <w:color w:val="auto"/>
              </w:rPr>
            </w:pPr>
            <w:r>
              <w:rPr>
                <w:rFonts w:ascii="Arial" w:cs="Arial" w:eastAsia="Arial" w:hAnsi="Arial"/>
                <w:sz w:val="18"/>
                <w:szCs w:val="18"/>
                <w:b w:val="1"/>
                <w:bCs w:val="1"/>
                <w:color w:val="auto"/>
                <w:w w:val="87"/>
              </w:rPr>
              <w:t>1626 East Jefferson Street</w:t>
            </w:r>
          </w:p>
        </w:tc>
        <w:tc>
          <w:tcPr>
            <w:tcW w:w="1340" w:type="dxa"/>
            <w:vAlign w:val="bottom"/>
          </w:tcPr>
          <w:p>
            <w:pPr>
              <w:spacing w:after="0"/>
              <w:rPr>
                <w:sz w:val="24"/>
                <w:szCs w:val="24"/>
                <w:color w:val="auto"/>
              </w:rPr>
            </w:pPr>
          </w:p>
        </w:tc>
      </w:tr>
      <w:tr>
        <w:trPr>
          <w:trHeight w:val="216"/>
        </w:trPr>
        <w:tc>
          <w:tcPr>
            <w:tcW w:w="2700" w:type="dxa"/>
            <w:vAlign w:val="bottom"/>
          </w:tcPr>
          <w:p>
            <w:pPr>
              <w:spacing w:after="0"/>
              <w:rPr>
                <w:sz w:val="18"/>
                <w:szCs w:val="18"/>
                <w:color w:val="auto"/>
              </w:rPr>
            </w:pPr>
          </w:p>
        </w:tc>
        <w:tc>
          <w:tcPr>
            <w:tcW w:w="3220" w:type="dxa"/>
            <w:vAlign w:val="bottom"/>
            <w:gridSpan w:val="2"/>
          </w:tcPr>
          <w:p>
            <w:pPr>
              <w:jc w:val="center"/>
              <w:ind w:right="1260"/>
              <w:spacing w:after="0"/>
              <w:rPr>
                <w:sz w:val="20"/>
                <w:szCs w:val="20"/>
                <w:color w:val="auto"/>
              </w:rPr>
            </w:pPr>
            <w:r>
              <w:rPr>
                <w:rFonts w:ascii="Arial" w:cs="Arial" w:eastAsia="Arial" w:hAnsi="Arial"/>
                <w:sz w:val="18"/>
                <w:szCs w:val="18"/>
                <w:b w:val="1"/>
                <w:bCs w:val="1"/>
                <w:color w:val="auto"/>
                <w:w w:val="90"/>
              </w:rPr>
              <w:t>Rockville, MD 20852</w:t>
            </w:r>
          </w:p>
        </w:tc>
        <w:tc>
          <w:tcPr>
            <w:tcW w:w="1340" w:type="dxa"/>
            <w:vAlign w:val="bottom"/>
          </w:tcPr>
          <w:p>
            <w:pPr>
              <w:spacing w:after="0"/>
              <w:rPr>
                <w:sz w:val="18"/>
                <w:szCs w:val="18"/>
                <w:color w:val="auto"/>
              </w:rPr>
            </w:pPr>
          </w:p>
        </w:tc>
      </w:tr>
      <w:tr>
        <w:trPr>
          <w:trHeight w:val="220"/>
        </w:trPr>
        <w:tc>
          <w:tcPr>
            <w:tcW w:w="4660" w:type="dxa"/>
            <w:vAlign w:val="bottom"/>
            <w:gridSpan w:val="2"/>
          </w:tcPr>
          <w:p>
            <w:pPr>
              <w:jc w:val="center"/>
              <w:ind w:left="2600"/>
              <w:spacing w:after="0"/>
              <w:rPr>
                <w:sz w:val="20"/>
                <w:szCs w:val="20"/>
                <w:color w:val="auto"/>
              </w:rPr>
            </w:pPr>
            <w:r>
              <w:rPr>
                <w:rFonts w:ascii="Arial" w:cs="Arial" w:eastAsia="Arial" w:hAnsi="Arial"/>
                <w:sz w:val="18"/>
                <w:szCs w:val="18"/>
                <w:b w:val="1"/>
                <w:bCs w:val="1"/>
                <w:color w:val="auto"/>
                <w:w w:val="89"/>
              </w:rPr>
              <w:t>(301) 998-8100</w:t>
            </w:r>
          </w:p>
        </w:tc>
        <w:tc>
          <w:tcPr>
            <w:tcW w:w="12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172"/>
        </w:trPr>
        <w:tc>
          <w:tcPr>
            <w:tcW w:w="5920" w:type="dxa"/>
            <w:vAlign w:val="bottom"/>
            <w:gridSpan w:val="3"/>
          </w:tcPr>
          <w:p>
            <w:pPr>
              <w:jc w:val="center"/>
              <w:ind w:left="1360"/>
              <w:spacing w:after="0"/>
              <w:rPr>
                <w:sz w:val="20"/>
                <w:szCs w:val="20"/>
                <w:color w:val="auto"/>
              </w:rPr>
            </w:pPr>
            <w:r>
              <w:rPr>
                <w:rFonts w:ascii="Arial" w:cs="Arial" w:eastAsia="Arial" w:hAnsi="Arial"/>
                <w:sz w:val="14"/>
                <w:szCs w:val="14"/>
                <w:color w:val="auto"/>
                <w:w w:val="89"/>
              </w:rPr>
              <w:t>(Address of Principal Executive Offices)</w:t>
            </w:r>
          </w:p>
        </w:tc>
        <w:tc>
          <w:tcPr>
            <w:tcW w:w="1340" w:type="dxa"/>
            <w:vAlign w:val="bottom"/>
          </w:tcPr>
          <w:p>
            <w:pPr>
              <w:spacing w:after="0"/>
              <w:rPr>
                <w:sz w:val="14"/>
                <w:szCs w:val="14"/>
                <w:color w:val="auto"/>
              </w:rPr>
            </w:pPr>
          </w:p>
        </w:tc>
      </w:tr>
      <w:tr>
        <w:trPr>
          <w:trHeight w:val="351"/>
        </w:trPr>
        <w:tc>
          <w:tcPr>
            <w:tcW w:w="5920" w:type="dxa"/>
            <w:vAlign w:val="bottom"/>
            <w:gridSpan w:val="3"/>
          </w:tcPr>
          <w:p>
            <w:pPr>
              <w:jc w:val="center"/>
              <w:ind w:left="1360"/>
              <w:spacing w:after="0"/>
              <w:rPr>
                <w:sz w:val="20"/>
                <w:szCs w:val="20"/>
                <w:color w:val="auto"/>
              </w:rPr>
            </w:pPr>
            <w:r>
              <w:rPr>
                <w:rFonts w:ascii="Arial" w:cs="Arial" w:eastAsia="Arial" w:hAnsi="Arial"/>
                <w:sz w:val="18"/>
                <w:szCs w:val="18"/>
                <w:b w:val="1"/>
                <w:bCs w:val="1"/>
                <w:color w:val="auto"/>
                <w:w w:val="89"/>
              </w:rPr>
              <w:t>Federal Realty Investment Trust</w:t>
            </w:r>
          </w:p>
        </w:tc>
        <w:tc>
          <w:tcPr>
            <w:tcW w:w="1340" w:type="dxa"/>
            <w:vAlign w:val="bottom"/>
          </w:tcPr>
          <w:p>
            <w:pPr>
              <w:spacing w:after="0"/>
              <w:rPr>
                <w:sz w:val="24"/>
                <w:szCs w:val="24"/>
                <w:color w:val="auto"/>
              </w:rPr>
            </w:pPr>
          </w:p>
        </w:tc>
      </w:tr>
      <w:tr>
        <w:trPr>
          <w:trHeight w:val="220"/>
        </w:trPr>
        <w:tc>
          <w:tcPr>
            <w:tcW w:w="5920" w:type="dxa"/>
            <w:vAlign w:val="bottom"/>
            <w:gridSpan w:val="3"/>
          </w:tcPr>
          <w:p>
            <w:pPr>
              <w:jc w:val="center"/>
              <w:ind w:left="1340"/>
              <w:spacing w:after="0"/>
              <w:rPr>
                <w:sz w:val="20"/>
                <w:szCs w:val="20"/>
                <w:color w:val="auto"/>
              </w:rPr>
            </w:pPr>
            <w:r>
              <w:rPr>
                <w:rFonts w:ascii="Arial" w:cs="Arial" w:eastAsia="Arial" w:hAnsi="Arial"/>
                <w:sz w:val="18"/>
                <w:szCs w:val="18"/>
                <w:b w:val="1"/>
                <w:bCs w:val="1"/>
                <w:color w:val="auto"/>
                <w:w w:val="87"/>
              </w:rPr>
              <w:t>2007 Employee Share Purchase Plan</w:t>
            </w:r>
          </w:p>
        </w:tc>
        <w:tc>
          <w:tcPr>
            <w:tcW w:w="1340" w:type="dxa"/>
            <w:vAlign w:val="bottom"/>
          </w:tcPr>
          <w:p>
            <w:pPr>
              <w:spacing w:after="0"/>
              <w:rPr>
                <w:sz w:val="19"/>
                <w:szCs w:val="19"/>
                <w:color w:val="auto"/>
              </w:rPr>
            </w:pPr>
          </w:p>
        </w:tc>
      </w:tr>
      <w:tr>
        <w:trPr>
          <w:trHeight w:val="172"/>
        </w:trPr>
        <w:tc>
          <w:tcPr>
            <w:tcW w:w="2700" w:type="dxa"/>
            <w:vAlign w:val="bottom"/>
          </w:tcPr>
          <w:p>
            <w:pPr>
              <w:spacing w:after="0"/>
              <w:rPr>
                <w:sz w:val="14"/>
                <w:szCs w:val="14"/>
                <w:color w:val="auto"/>
              </w:rPr>
            </w:pPr>
          </w:p>
        </w:tc>
        <w:tc>
          <w:tcPr>
            <w:tcW w:w="3220" w:type="dxa"/>
            <w:vAlign w:val="bottom"/>
            <w:gridSpan w:val="2"/>
          </w:tcPr>
          <w:p>
            <w:pPr>
              <w:jc w:val="center"/>
              <w:ind w:right="1280"/>
              <w:spacing w:after="0"/>
              <w:rPr>
                <w:sz w:val="20"/>
                <w:szCs w:val="20"/>
                <w:color w:val="auto"/>
              </w:rPr>
            </w:pPr>
            <w:r>
              <w:rPr>
                <w:rFonts w:ascii="Arial" w:cs="Arial" w:eastAsia="Arial" w:hAnsi="Arial"/>
                <w:sz w:val="14"/>
                <w:szCs w:val="14"/>
                <w:color w:val="auto"/>
                <w:w w:val="91"/>
              </w:rPr>
              <w:t>(Full title of the Plan)</w:t>
            </w:r>
          </w:p>
        </w:tc>
        <w:tc>
          <w:tcPr>
            <w:tcW w:w="1340" w:type="dxa"/>
            <w:vAlign w:val="bottom"/>
          </w:tcPr>
          <w:p>
            <w:pPr>
              <w:spacing w:after="0"/>
              <w:rPr>
                <w:sz w:val="14"/>
                <w:szCs w:val="14"/>
                <w:color w:val="auto"/>
              </w:rPr>
            </w:pPr>
          </w:p>
        </w:tc>
      </w:tr>
      <w:tr>
        <w:trPr>
          <w:trHeight w:val="351"/>
        </w:trPr>
        <w:tc>
          <w:tcPr>
            <w:tcW w:w="2700" w:type="dxa"/>
            <w:vAlign w:val="bottom"/>
          </w:tcPr>
          <w:p>
            <w:pPr>
              <w:spacing w:after="0"/>
              <w:rPr>
                <w:sz w:val="24"/>
                <w:szCs w:val="24"/>
                <w:color w:val="auto"/>
              </w:rPr>
            </w:pPr>
          </w:p>
        </w:tc>
        <w:tc>
          <w:tcPr>
            <w:tcW w:w="3220" w:type="dxa"/>
            <w:vAlign w:val="bottom"/>
            <w:gridSpan w:val="2"/>
          </w:tcPr>
          <w:p>
            <w:pPr>
              <w:jc w:val="center"/>
              <w:ind w:right="1280"/>
              <w:spacing w:after="0"/>
              <w:rPr>
                <w:sz w:val="20"/>
                <w:szCs w:val="20"/>
                <w:color w:val="auto"/>
              </w:rPr>
            </w:pPr>
            <w:r>
              <w:rPr>
                <w:rFonts w:ascii="Arial" w:cs="Arial" w:eastAsia="Arial" w:hAnsi="Arial"/>
                <w:sz w:val="18"/>
                <w:szCs w:val="18"/>
                <w:b w:val="1"/>
                <w:bCs w:val="1"/>
                <w:color w:val="auto"/>
                <w:w w:val="91"/>
              </w:rPr>
              <w:t>Dawn M. Becker</w:t>
            </w:r>
          </w:p>
        </w:tc>
        <w:tc>
          <w:tcPr>
            <w:tcW w:w="1340" w:type="dxa"/>
            <w:vAlign w:val="bottom"/>
          </w:tcPr>
          <w:p>
            <w:pPr>
              <w:spacing w:after="0"/>
              <w:rPr>
                <w:sz w:val="24"/>
                <w:szCs w:val="24"/>
                <w:color w:val="auto"/>
              </w:rPr>
            </w:pPr>
          </w:p>
        </w:tc>
      </w:tr>
      <w:tr>
        <w:trPr>
          <w:trHeight w:val="216"/>
        </w:trPr>
        <w:tc>
          <w:tcPr>
            <w:tcW w:w="5920" w:type="dxa"/>
            <w:vAlign w:val="bottom"/>
            <w:gridSpan w:val="3"/>
          </w:tcPr>
          <w:p>
            <w:pPr>
              <w:jc w:val="center"/>
              <w:ind w:left="1360"/>
              <w:spacing w:after="0"/>
              <w:rPr>
                <w:sz w:val="20"/>
                <w:szCs w:val="20"/>
                <w:color w:val="auto"/>
              </w:rPr>
            </w:pPr>
            <w:r>
              <w:rPr>
                <w:rFonts w:ascii="Arial" w:cs="Arial" w:eastAsia="Arial" w:hAnsi="Arial"/>
                <w:sz w:val="18"/>
                <w:szCs w:val="18"/>
                <w:b w:val="1"/>
                <w:bCs w:val="1"/>
                <w:color w:val="auto"/>
                <w:w w:val="87"/>
              </w:rPr>
              <w:t>Executive Vice President, General Counsel and Secretary</w:t>
            </w:r>
          </w:p>
        </w:tc>
        <w:tc>
          <w:tcPr>
            <w:tcW w:w="1340" w:type="dxa"/>
            <w:vAlign w:val="bottom"/>
          </w:tcPr>
          <w:p>
            <w:pPr>
              <w:spacing w:after="0"/>
              <w:rPr>
                <w:sz w:val="18"/>
                <w:szCs w:val="18"/>
                <w:color w:val="auto"/>
              </w:rPr>
            </w:pPr>
          </w:p>
        </w:tc>
      </w:tr>
      <w:tr>
        <w:trPr>
          <w:trHeight w:val="216"/>
        </w:trPr>
        <w:tc>
          <w:tcPr>
            <w:tcW w:w="5920" w:type="dxa"/>
            <w:vAlign w:val="bottom"/>
            <w:gridSpan w:val="3"/>
          </w:tcPr>
          <w:p>
            <w:pPr>
              <w:jc w:val="center"/>
              <w:ind w:left="1360"/>
              <w:spacing w:after="0"/>
              <w:rPr>
                <w:sz w:val="20"/>
                <w:szCs w:val="20"/>
                <w:color w:val="auto"/>
              </w:rPr>
            </w:pPr>
            <w:r>
              <w:rPr>
                <w:rFonts w:ascii="Arial" w:cs="Arial" w:eastAsia="Arial" w:hAnsi="Arial"/>
                <w:sz w:val="18"/>
                <w:szCs w:val="18"/>
                <w:b w:val="1"/>
                <w:bCs w:val="1"/>
                <w:color w:val="auto"/>
                <w:w w:val="89"/>
              </w:rPr>
              <w:t>Federal Realty Investment Trust</w:t>
            </w:r>
          </w:p>
        </w:tc>
        <w:tc>
          <w:tcPr>
            <w:tcW w:w="134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3220" w:type="dxa"/>
            <w:vAlign w:val="bottom"/>
            <w:gridSpan w:val="2"/>
          </w:tcPr>
          <w:p>
            <w:pPr>
              <w:jc w:val="center"/>
              <w:ind w:right="1260"/>
              <w:spacing w:after="0"/>
              <w:rPr>
                <w:sz w:val="20"/>
                <w:szCs w:val="20"/>
                <w:color w:val="auto"/>
              </w:rPr>
            </w:pPr>
            <w:r>
              <w:rPr>
                <w:rFonts w:ascii="Arial" w:cs="Arial" w:eastAsia="Arial" w:hAnsi="Arial"/>
                <w:sz w:val="18"/>
                <w:szCs w:val="18"/>
                <w:b w:val="1"/>
                <w:bCs w:val="1"/>
                <w:color w:val="auto"/>
                <w:w w:val="87"/>
              </w:rPr>
              <w:t>1626 East Jefferson Street</w:t>
            </w:r>
          </w:p>
        </w:tc>
        <w:tc>
          <w:tcPr>
            <w:tcW w:w="1340" w:type="dxa"/>
            <w:vAlign w:val="bottom"/>
          </w:tcPr>
          <w:p>
            <w:pPr>
              <w:spacing w:after="0"/>
              <w:rPr>
                <w:sz w:val="18"/>
                <w:szCs w:val="18"/>
                <w:color w:val="auto"/>
              </w:rPr>
            </w:pPr>
          </w:p>
        </w:tc>
      </w:tr>
      <w:tr>
        <w:trPr>
          <w:trHeight w:val="220"/>
        </w:trPr>
        <w:tc>
          <w:tcPr>
            <w:tcW w:w="2700" w:type="dxa"/>
            <w:vAlign w:val="bottom"/>
          </w:tcPr>
          <w:p>
            <w:pPr>
              <w:spacing w:after="0"/>
              <w:rPr>
                <w:sz w:val="19"/>
                <w:szCs w:val="19"/>
                <w:color w:val="auto"/>
              </w:rPr>
            </w:pPr>
          </w:p>
        </w:tc>
        <w:tc>
          <w:tcPr>
            <w:tcW w:w="3220" w:type="dxa"/>
            <w:vAlign w:val="bottom"/>
            <w:gridSpan w:val="2"/>
          </w:tcPr>
          <w:p>
            <w:pPr>
              <w:jc w:val="center"/>
              <w:ind w:right="1260"/>
              <w:spacing w:after="0"/>
              <w:rPr>
                <w:sz w:val="20"/>
                <w:szCs w:val="20"/>
                <w:color w:val="auto"/>
              </w:rPr>
            </w:pPr>
            <w:r>
              <w:rPr>
                <w:rFonts w:ascii="Arial" w:cs="Arial" w:eastAsia="Arial" w:hAnsi="Arial"/>
                <w:sz w:val="18"/>
                <w:szCs w:val="18"/>
                <w:b w:val="1"/>
                <w:bCs w:val="1"/>
                <w:color w:val="auto"/>
                <w:w w:val="90"/>
              </w:rPr>
              <w:t>Rockville, MD 20852</w:t>
            </w:r>
          </w:p>
        </w:tc>
        <w:tc>
          <w:tcPr>
            <w:tcW w:w="1340" w:type="dxa"/>
            <w:vAlign w:val="bottom"/>
          </w:tcPr>
          <w:p>
            <w:pPr>
              <w:spacing w:after="0"/>
              <w:rPr>
                <w:sz w:val="19"/>
                <w:szCs w:val="19"/>
                <w:color w:val="auto"/>
              </w:rPr>
            </w:pPr>
          </w:p>
        </w:tc>
      </w:tr>
      <w:tr>
        <w:trPr>
          <w:trHeight w:val="172"/>
        </w:trPr>
        <w:tc>
          <w:tcPr>
            <w:tcW w:w="5920" w:type="dxa"/>
            <w:vAlign w:val="bottom"/>
            <w:gridSpan w:val="3"/>
          </w:tcPr>
          <w:p>
            <w:pPr>
              <w:jc w:val="center"/>
              <w:ind w:left="1360"/>
              <w:spacing w:after="0"/>
              <w:rPr>
                <w:sz w:val="20"/>
                <w:szCs w:val="20"/>
                <w:color w:val="auto"/>
              </w:rPr>
            </w:pPr>
            <w:r>
              <w:rPr>
                <w:rFonts w:ascii="Arial" w:cs="Arial" w:eastAsia="Arial" w:hAnsi="Arial"/>
                <w:sz w:val="14"/>
                <w:szCs w:val="14"/>
                <w:color w:val="auto"/>
                <w:w w:val="87"/>
              </w:rPr>
              <w:t>(Name and Address of agent for service)</w:t>
            </w:r>
          </w:p>
        </w:tc>
        <w:tc>
          <w:tcPr>
            <w:tcW w:w="1340" w:type="dxa"/>
            <w:vAlign w:val="bottom"/>
          </w:tcPr>
          <w:p>
            <w:pPr>
              <w:spacing w:after="0"/>
              <w:rPr>
                <w:sz w:val="14"/>
                <w:szCs w:val="14"/>
                <w:color w:val="auto"/>
              </w:rPr>
            </w:pPr>
          </w:p>
        </w:tc>
      </w:tr>
      <w:tr>
        <w:trPr>
          <w:trHeight w:val="354"/>
        </w:trPr>
        <w:tc>
          <w:tcPr>
            <w:tcW w:w="4660" w:type="dxa"/>
            <w:vAlign w:val="bottom"/>
            <w:gridSpan w:val="2"/>
          </w:tcPr>
          <w:p>
            <w:pPr>
              <w:jc w:val="center"/>
              <w:ind w:left="2600"/>
              <w:spacing w:after="0"/>
              <w:rPr>
                <w:sz w:val="20"/>
                <w:szCs w:val="20"/>
                <w:color w:val="auto"/>
              </w:rPr>
            </w:pPr>
            <w:r>
              <w:rPr>
                <w:rFonts w:ascii="Arial" w:cs="Arial" w:eastAsia="Arial" w:hAnsi="Arial"/>
                <w:sz w:val="18"/>
                <w:szCs w:val="18"/>
                <w:b w:val="1"/>
                <w:bCs w:val="1"/>
                <w:color w:val="auto"/>
                <w:w w:val="89"/>
              </w:rPr>
              <w:t>(301) 998-8100</w:t>
            </w: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2"/>
        </w:trPr>
        <w:tc>
          <w:tcPr>
            <w:tcW w:w="5920" w:type="dxa"/>
            <w:vAlign w:val="bottom"/>
            <w:gridSpan w:val="3"/>
          </w:tcPr>
          <w:p>
            <w:pPr>
              <w:jc w:val="center"/>
              <w:ind w:left="1340"/>
              <w:spacing w:after="0"/>
              <w:rPr>
                <w:sz w:val="20"/>
                <w:szCs w:val="20"/>
                <w:color w:val="auto"/>
              </w:rPr>
            </w:pPr>
            <w:r>
              <w:rPr>
                <w:rFonts w:ascii="Arial" w:cs="Arial" w:eastAsia="Arial" w:hAnsi="Arial"/>
                <w:sz w:val="14"/>
                <w:szCs w:val="14"/>
                <w:color w:val="auto"/>
                <w:w w:val="87"/>
              </w:rPr>
              <w:t>(Telephone number, including area code, of agent for service)</w:t>
            </w:r>
          </w:p>
        </w:tc>
        <w:tc>
          <w:tcPr>
            <w:tcW w:w="1340" w:type="dxa"/>
            <w:vAlign w:val="bottom"/>
          </w:tcPr>
          <w:p>
            <w:pPr>
              <w:spacing w:after="0"/>
              <w:rPr>
                <w:sz w:val="14"/>
                <w:szCs w:val="14"/>
                <w:color w:val="auto"/>
              </w:rPr>
            </w:pPr>
          </w:p>
        </w:tc>
      </w:tr>
      <w:tr>
        <w:trPr>
          <w:trHeight w:val="363"/>
        </w:trPr>
        <w:tc>
          <w:tcPr>
            <w:tcW w:w="5920" w:type="dxa"/>
            <w:vAlign w:val="bottom"/>
            <w:gridSpan w:val="3"/>
          </w:tcPr>
          <w:p>
            <w:pPr>
              <w:jc w:val="center"/>
              <w:ind w:left="1340"/>
              <w:spacing w:after="0"/>
              <w:rPr>
                <w:sz w:val="20"/>
                <w:szCs w:val="20"/>
                <w:color w:val="auto"/>
              </w:rPr>
            </w:pPr>
            <w:r>
              <w:rPr>
                <w:rFonts w:ascii="Arial" w:cs="Arial" w:eastAsia="Arial" w:hAnsi="Arial"/>
                <w:sz w:val="18"/>
                <w:szCs w:val="18"/>
                <w:b w:val="1"/>
                <w:bCs w:val="1"/>
                <w:color w:val="auto"/>
                <w:w w:val="99"/>
              </w:rPr>
              <w:t>CALCULATION OF REGISTRATION FEE</w:t>
            </w:r>
          </w:p>
        </w:tc>
        <w:tc>
          <w:tcPr>
            <w:tcW w:w="13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3"/>
              </w:rPr>
              <w:t>Proposed</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3"/>
              </w:rPr>
              <w:t>Proposed</w:t>
            </w:r>
          </w:p>
        </w:tc>
        <w:tc>
          <w:tcPr>
            <w:tcW w:w="1040" w:type="dxa"/>
            <w:vAlign w:val="bottom"/>
          </w:tcPr>
          <w:p>
            <w:pPr>
              <w:spacing w:after="0"/>
              <w:rPr>
                <w:sz w:val="14"/>
                <w:szCs w:val="14"/>
                <w:color w:val="auto"/>
              </w:rPr>
            </w:pPr>
          </w:p>
        </w:tc>
      </w:tr>
      <w:tr>
        <w:trPr>
          <w:trHeight w:val="149"/>
        </w:trPr>
        <w:tc>
          <w:tcPr>
            <w:tcW w:w="51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1040" w:type="dxa"/>
            <w:vAlign w:val="bottom"/>
          </w:tcPr>
          <w:p>
            <w:pPr>
              <w:jc w:val="center"/>
              <w:ind w:left="267"/>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49"/>
        </w:trPr>
        <w:tc>
          <w:tcPr>
            <w:tcW w:w="5120" w:type="dxa"/>
            <w:vAlign w:val="bottom"/>
          </w:tcPr>
          <w:p>
            <w:pPr>
              <w:spacing w:after="0"/>
              <w:rPr>
                <w:sz w:val="12"/>
                <w:szCs w:val="12"/>
                <w:color w:val="auto"/>
              </w:rPr>
            </w:pPr>
          </w:p>
        </w:tc>
        <w:tc>
          <w:tcPr>
            <w:tcW w:w="2140" w:type="dxa"/>
            <w:vAlign w:val="bottom"/>
          </w:tcPr>
          <w:p>
            <w:pPr>
              <w:ind w:left="1020"/>
              <w:spacing w:after="0" w:line="149" w:lineRule="exact"/>
              <w:rPr>
                <w:sz w:val="20"/>
                <w:szCs w:val="20"/>
                <w:color w:val="auto"/>
              </w:rPr>
            </w:pPr>
            <w:r>
              <w:rPr>
                <w:rFonts w:ascii="Arial" w:cs="Arial" w:eastAsia="Arial" w:hAnsi="Arial"/>
                <w:sz w:val="14"/>
                <w:szCs w:val="14"/>
                <w:b w:val="1"/>
                <w:bCs w:val="1"/>
                <w:color w:val="auto"/>
              </w:rPr>
              <w:t>Amount to be</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Offering Price</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1040" w:type="dxa"/>
            <w:vAlign w:val="bottom"/>
          </w:tcPr>
          <w:p>
            <w:pPr>
              <w:jc w:val="center"/>
              <w:ind w:left="247"/>
              <w:spacing w:after="0" w:line="149" w:lineRule="exact"/>
              <w:rPr>
                <w:sz w:val="20"/>
                <w:szCs w:val="20"/>
                <w:color w:val="auto"/>
              </w:rPr>
            </w:pPr>
            <w:r>
              <w:rPr>
                <w:rFonts w:ascii="Arial" w:cs="Arial" w:eastAsia="Arial" w:hAnsi="Arial"/>
                <w:sz w:val="14"/>
                <w:szCs w:val="14"/>
                <w:b w:val="1"/>
                <w:bCs w:val="1"/>
                <w:color w:val="auto"/>
                <w:w w:val="88"/>
              </w:rPr>
              <w:t>Registration</w:t>
            </w:r>
          </w:p>
        </w:tc>
      </w:tr>
      <w:tr>
        <w:trPr>
          <w:trHeight w:val="161"/>
        </w:trPr>
        <w:tc>
          <w:tcPr>
            <w:tcW w:w="5120" w:type="dxa"/>
            <w:vAlign w:val="bottom"/>
            <w:tcBorders>
              <w:bottom w:val="single" w:sz="8" w:color="auto"/>
            </w:tcBorders>
          </w:tcPr>
          <w:p>
            <w:pPr>
              <w:ind w:left="1740"/>
              <w:spacing w:after="0"/>
              <w:rPr>
                <w:sz w:val="20"/>
                <w:szCs w:val="20"/>
                <w:color w:val="auto"/>
              </w:rPr>
            </w:pPr>
            <w:r>
              <w:rPr>
                <w:rFonts w:ascii="Arial" w:cs="Arial" w:eastAsia="Arial" w:hAnsi="Arial"/>
                <w:sz w:val="14"/>
                <w:szCs w:val="14"/>
                <w:b w:val="1"/>
                <w:bCs w:val="1"/>
                <w:color w:val="auto"/>
              </w:rPr>
              <w:t>Title of securities to be registered</w:t>
            </w:r>
          </w:p>
        </w:tc>
        <w:tc>
          <w:tcPr>
            <w:tcW w:w="214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Registered (1)</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Per Share (2)</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Offering Price (2)</w:t>
            </w:r>
          </w:p>
        </w:tc>
        <w:tc>
          <w:tcPr>
            <w:tcW w:w="1040" w:type="dxa"/>
            <w:vAlign w:val="bottom"/>
            <w:tcBorders>
              <w:bottom w:val="single" w:sz="8" w:color="auto"/>
            </w:tcBorders>
          </w:tcPr>
          <w:p>
            <w:pPr>
              <w:jc w:val="center"/>
              <w:ind w:left="247"/>
              <w:spacing w:after="0"/>
              <w:rPr>
                <w:sz w:val="20"/>
                <w:szCs w:val="20"/>
                <w:color w:val="auto"/>
              </w:rPr>
            </w:pPr>
            <w:r>
              <w:rPr>
                <w:rFonts w:ascii="Arial" w:cs="Arial" w:eastAsia="Arial" w:hAnsi="Arial"/>
                <w:sz w:val="14"/>
                <w:szCs w:val="14"/>
                <w:b w:val="1"/>
                <w:bCs w:val="1"/>
                <w:color w:val="auto"/>
                <w:w w:val="82"/>
              </w:rPr>
              <w:t>Fee</w:t>
            </w:r>
          </w:p>
        </w:tc>
      </w:tr>
      <w:tr>
        <w:trPr>
          <w:trHeight w:val="275"/>
        </w:trPr>
        <w:tc>
          <w:tcPr>
            <w:tcW w:w="5120" w:type="dxa"/>
            <w:vAlign w:val="bottom"/>
          </w:tcPr>
          <w:p>
            <w:pPr>
              <w:spacing w:after="0"/>
              <w:rPr>
                <w:sz w:val="20"/>
                <w:szCs w:val="20"/>
                <w:color w:val="auto"/>
              </w:rPr>
            </w:pPr>
            <w:r>
              <w:rPr>
                <w:rFonts w:ascii="Arial" w:cs="Arial" w:eastAsia="Arial" w:hAnsi="Arial"/>
                <w:sz w:val="18"/>
                <w:szCs w:val="18"/>
                <w:color w:val="auto"/>
              </w:rPr>
              <w:t>Common Shares of Beneficial Interest, $0.01 par value (3)</w:t>
            </w:r>
          </w:p>
        </w:tc>
        <w:tc>
          <w:tcPr>
            <w:tcW w:w="2140" w:type="dxa"/>
            <w:vAlign w:val="bottom"/>
          </w:tcPr>
          <w:p>
            <w:pPr>
              <w:ind w:left="1000"/>
              <w:spacing w:after="0"/>
              <w:rPr>
                <w:sz w:val="20"/>
                <w:szCs w:val="20"/>
                <w:color w:val="auto"/>
              </w:rPr>
            </w:pPr>
            <w:r>
              <w:rPr>
                <w:rFonts w:ascii="Arial" w:cs="Arial" w:eastAsia="Arial" w:hAnsi="Arial"/>
                <w:sz w:val="18"/>
                <w:szCs w:val="18"/>
                <w:color w:val="auto"/>
              </w:rPr>
              <w:t>100,000</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$87.90</w:t>
            </w:r>
          </w:p>
        </w:tc>
        <w:tc>
          <w:tcPr>
            <w:tcW w:w="1660" w:type="dxa"/>
            <w:vAlign w:val="bottom"/>
          </w:tcPr>
          <w:p>
            <w:pPr>
              <w:jc w:val="center"/>
              <w:spacing w:after="0"/>
              <w:rPr>
                <w:sz w:val="20"/>
                <w:szCs w:val="20"/>
                <w:color w:val="auto"/>
              </w:rPr>
            </w:pPr>
            <w:r>
              <w:rPr>
                <w:rFonts w:ascii="Arial" w:cs="Arial" w:eastAsia="Arial" w:hAnsi="Arial"/>
                <w:sz w:val="18"/>
                <w:szCs w:val="18"/>
                <w:color w:val="auto"/>
                <w:w w:val="86"/>
              </w:rPr>
              <w:t>$8,790,000.00</w:t>
            </w:r>
          </w:p>
        </w:tc>
        <w:tc>
          <w:tcPr>
            <w:tcW w:w="1040" w:type="dxa"/>
            <w:vAlign w:val="bottom"/>
          </w:tcPr>
          <w:p>
            <w:pPr>
              <w:jc w:val="center"/>
              <w:ind w:left="247"/>
              <w:spacing w:after="0"/>
              <w:rPr>
                <w:sz w:val="20"/>
                <w:szCs w:val="20"/>
                <w:color w:val="auto"/>
              </w:rPr>
            </w:pPr>
            <w:r>
              <w:rPr>
                <w:rFonts w:ascii="Arial" w:cs="Arial" w:eastAsia="Arial" w:hAnsi="Arial"/>
                <w:sz w:val="18"/>
                <w:szCs w:val="18"/>
                <w:color w:val="auto"/>
                <w:w w:val="86"/>
              </w:rPr>
              <w:t>$269.85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3" w:lineRule="exact"/>
        <w:rPr>
          <w:sz w:val="24"/>
          <w:szCs w:val="24"/>
          <w:color w:val="auto"/>
        </w:rPr>
      </w:pPr>
    </w:p>
    <w:p>
      <w:pPr>
        <w:ind w:left="460" w:right="120" w:hanging="452"/>
        <w:spacing w:after="0" w:line="284"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 of the Securities Act of 1933, as amended (the “Securities Act”), this Registration Statement shall also cover any additional common shares of beneficial interest, $0.01 par value, of the registrant (the “Common Shares”) which become issuable under the Federal Realty Investment Trust 2007 Employee Share Purchase Plan by reason of any share dividend, share split, recapitalization or other similar transaction.</w:t>
      </w:r>
    </w:p>
    <w:p>
      <w:pPr>
        <w:spacing w:after="0" w:line="1" w:lineRule="exact"/>
        <w:rPr>
          <w:rFonts w:ascii="Arial" w:cs="Arial" w:eastAsia="Arial" w:hAnsi="Arial"/>
          <w:sz w:val="16"/>
          <w:szCs w:val="16"/>
          <w:color w:val="auto"/>
        </w:rPr>
      </w:pPr>
    </w:p>
    <w:p>
      <w:pPr>
        <w:ind w:left="460" w:right="80" w:hanging="452"/>
        <w:spacing w:after="0" w:line="300" w:lineRule="auto"/>
        <w:tabs>
          <w:tab w:leader="none" w:pos="460" w:val="left"/>
        </w:tabs>
        <w:numPr>
          <w:ilvl w:val="0"/>
          <w:numId w:val="1"/>
        </w:numPr>
        <w:rPr>
          <w:rFonts w:ascii="Arial" w:cs="Arial" w:eastAsia="Arial" w:hAnsi="Arial"/>
          <w:sz w:val="15"/>
          <w:szCs w:val="15"/>
          <w:color w:val="auto"/>
        </w:rPr>
      </w:pPr>
      <w:r>
        <w:rPr>
          <w:rFonts w:ascii="Arial" w:cs="Arial" w:eastAsia="Arial" w:hAnsi="Arial"/>
          <w:sz w:val="15"/>
          <w:szCs w:val="15"/>
          <w:color w:val="auto"/>
        </w:rPr>
        <w:t>Estimated solely for the purpose of computing the registration fee. Pursuant to Rules 457(c) and (h) of the Securities Act, the calculation of the registration fee is based on the average of the high and low prices of the Common Shares reported on the New York Stock Exchange as of October 30, 2007.</w:t>
      </w: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associated rights to purchase 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spacing w:after="0"/>
        <w:tabs>
          <w:tab w:leader="none" w:pos="7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w:t>
      </w:r>
      <w:r>
        <w:rPr>
          <w:sz w:val="20"/>
          <w:szCs w:val="20"/>
          <w:color w:val="auto"/>
        </w:rPr>
        <w:tab/>
      </w:r>
      <w:r>
        <w:rPr>
          <w:rFonts w:ascii="Arial" w:cs="Arial" w:eastAsia="Arial" w:hAnsi="Arial"/>
          <w:sz w:val="16"/>
          <w:szCs w:val="16"/>
          <w:b w:val="1"/>
          <w:bCs w:val="1"/>
          <w:color w:val="auto"/>
        </w:rPr>
        <w:t>INFORMATION REQUIRED IN THE SECTION 10(a) PROSPECTUS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information required by Part I is included in documents sent or given to participants in the Federal Realty Investment Trust 2007 Employee Share Purchase Plan of Federal Realty Investment Trust, a Maryland real estate investment trust (the “Registrant”), pursuant to Rule 428(b)(1) under the Securities Act of 1933, as amended (the “Securities Act”).</w:t>
      </w:r>
    </w:p>
    <w:p>
      <w:pPr>
        <w:spacing w:after="0" w:line="21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6"/>
          <w:szCs w:val="16"/>
          <w:b w:val="1"/>
          <w:bCs w:val="1"/>
          <w:color w:val="auto"/>
        </w:rPr>
        <w:t>INFORMATION REQUIRED IN THE REGISTRATION STATEMENT</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Incorporation of Documents by Reference.</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Registrant is subject to the informational and reporting requirements of Sections 13(a), 14 and 15(d) of the Securities Exchange Act of 1934, as amended (the “Exchange Act”), and in accordance therewith files reports, proxy statements and other information with the Securities and Exchange Commission (the “Commission”). The following documents, which are on file with the Commission, are incorporated in this Registration Statement by reference:</w:t>
      </w:r>
    </w:p>
    <w:p>
      <w:pPr>
        <w:spacing w:after="0" w:line="2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Registrant’s Annual Report on the Form 10-K for the year ended December 31, 2006 filed with the Commission on March 1, 2007.</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Quarterly Report on Form 10-Q for the quarter ended March 31, 2007 filed with the Commission on May 2, 2007.</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Quarterly Report on Form 10-Q for the quarter ended June 30, 2007 filed with the Commission on August 1, 2007.</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Registrant’s Quarterly Report on Form 10-Q for the quarter ended September 30, 2007 filed with the Commission on October 31, 2007.</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Current Report on Form 8-K filed with the Commission on March 13, 2007.</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Current Report on Form 8-K filed with the Commission on April 23, 2007.</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Current Report on Form 8-K filed with the Commission on May 2, 2007.</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Current Report on Form 8-K filed with the Commission on July 17, 2007.</w:t>
      </w:r>
    </w:p>
    <w:p>
      <w:pPr>
        <w:spacing w:after="0" w:line="90" w:lineRule="exact"/>
        <w:rPr>
          <w:rFonts w:ascii="Arial" w:cs="Arial" w:eastAsia="Arial" w:hAnsi="Arial"/>
          <w:sz w:val="18"/>
          <w:szCs w:val="18"/>
          <w:color w:val="auto"/>
        </w:rPr>
      </w:pPr>
    </w:p>
    <w:p>
      <w:pPr>
        <w:ind w:left="900" w:right="160" w:hanging="446"/>
        <w:spacing w:after="0" w:line="33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description of the common shares of the Registrant, $0.0l par value per share, which is contained in the Registration Statement on Form 8-A/A filed with the Commission on June 6, 2002, including any amendment or report filed for the purpose of updating such description.</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description of the common share purchase rights included in the Registration Statement on Form 8-A/A, filed with the Commission on</w:t>
      </w:r>
    </w:p>
    <w:p>
      <w:pPr>
        <w:spacing w:after="0" w:line="38" w:lineRule="exact"/>
        <w:rPr>
          <w:rFonts w:ascii="Arial" w:cs="Arial" w:eastAsia="Arial" w:hAnsi="Arial"/>
          <w:sz w:val="16"/>
          <w:szCs w:val="16"/>
          <w:color w:val="auto"/>
        </w:rPr>
      </w:pPr>
    </w:p>
    <w:p>
      <w:pPr>
        <w:ind w:left="900" w:right="100"/>
        <w:spacing w:after="0" w:line="323" w:lineRule="auto"/>
        <w:rPr>
          <w:rFonts w:ascii="Arial" w:cs="Arial" w:eastAsia="Arial" w:hAnsi="Arial"/>
          <w:sz w:val="16"/>
          <w:szCs w:val="16"/>
          <w:color w:val="auto"/>
        </w:rPr>
      </w:pPr>
      <w:r>
        <w:rPr>
          <w:rFonts w:ascii="Arial" w:cs="Arial" w:eastAsia="Arial" w:hAnsi="Arial"/>
          <w:sz w:val="16"/>
          <w:szCs w:val="16"/>
          <w:color w:val="auto"/>
        </w:rPr>
        <w:t>March 11, 1999, and in the First Amendment to Amended and Restated Rights Agreement, dated as of November 2003 and filed as an exhibit to the Annual Report on Form 10-K for the year ended December 31, 2003, between us and American Stock Transfer &amp; Trust Company.</w:t>
      </w:r>
    </w:p>
    <w:p>
      <w:pPr>
        <w:spacing w:after="0" w:line="9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All documents subsequently filed by the Registrant pursuant to Sections 13(a), 13(c), 14 and 15(d) of the Exchange Act prior to the filing of a post-effective amendment which indicates that all shares offered hereby have been sold or which deregisters all shares then remaining unsold, shall be deemed to be incorporated in this Registration Statement by reference and to be a part hereof from the date of filing of such documents. Any statement contained in a document incorporated or deemed to be incorporated by reference herein shall be deemed to be modified or superseded for the purposes of this Registration Statement to the extent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 w:name="page3"/>
    <w:bookmarkEnd w:id="2"/>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4.</w:t>
      </w:r>
      <w:r>
        <w:rPr>
          <w:sz w:val="20"/>
          <w:szCs w:val="20"/>
          <w:color w:val="auto"/>
        </w:rPr>
        <w:tab/>
      </w:r>
      <w:r>
        <w:rPr>
          <w:rFonts w:ascii="Arial" w:cs="Arial" w:eastAsia="Arial" w:hAnsi="Arial"/>
          <w:sz w:val="15"/>
          <w:szCs w:val="15"/>
          <w:b w:val="1"/>
          <w:bCs w:val="1"/>
          <w:color w:val="auto"/>
        </w:rPr>
        <w:t>Description of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Interests of Named Experts and Counsel.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Indemnification of Directors and Officers.</w:t>
      </w:r>
    </w:p>
    <w:p>
      <w:pPr>
        <w:spacing w:after="0" w:line="9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Registrant’s Declaration of Trust authorizes the Registrant, to the maximum extent permitted by Maryland law, to obligate itself to indemnify and to pay or reimburse reasonable expenses in advance of final disposition of a proceeding to (i) any individual who is a present or former shareholder, Trustee or officer of the Registrant or (ii) any individual who, while a Trustee of the Registrant and at the request of the Registrant, serves or has served as a director, officer, partner, trustee, employee or agent of another corporation, real estate investment trust, partnership, joint venture, trust, employee benefit plan or any other enterprise from and against any claim or liability to which such person may become subject or which such person may incur by reason of his or her status. The Registrant’s Declaration of Trust also permits the Registrant, with approval of the Registrant’s Board of Trustees, to indemnify and advance expenses to any person who served a predecessor of the Registrant in any of the capacities described above and to any employee or agent of the Registrant or a predecessor of the Registrant.</w:t>
      </w:r>
    </w:p>
    <w:p>
      <w:pPr>
        <w:spacing w:after="0" w:line="145"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Registrant’s Bylaws obligate it, to the maximum extent permitted by Maryland law, to indemnify (a) any Trustee, officer or shareholder or any former Trustee, officer or shareholder, including any individual who, while a Trustee, officer or shareholder and at the express request of the Registrant, serves or has served another real estate investment trust, corporation, partnership, joint venture, trust, employee benefit plan or any other enterprise as a director, officer, shareholder, manager, member, partner or trustee of such real estate investment trust, corporation, partnership, limited liability company, joint venture, trust, employee benefit plan or other enterprise, who has been successful, on the merits or otherwise, in the defense of a proceeding to which he was made a party by reason of service in such capacity, against reasonable expenses incurred by him in connection with the proceeding, (b) any Trustee or officer or any former Trustee or officer against any claim or liability to which he may become subject by reason of such status unless it is established that (i) his act or omission was material to the matter giving rise to the proceeding 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and (c) each shareholder or former shareholder against any claim or liability to which he may become subject by reason of such status. In addition, the Registrant will, without requiring a preliminary determination of the ultimate entitlement to indemnification, pay or reimburse, in advance of final disposition of a proceeding, reasonable expenses incurred by a Trustee, officer or shareholder or former Trustee, officer or shareholder made a party to a proceeding by reason of such status, provided that, in the case of a Trustee or officer, the Registrant must have received (i) a written affirmation by the Trustee or officer of his good faith belief that he has met the applicable standard of conduct necessary for indemnification by the Registrant and (ii) a written undertaking by or on his behalf to repay the amount paid or reimbursed by the Registrant if it shall ultimately be determined that the applicable standard of conduct was not met. The Registrant may, with the approval of its Trustees, provide such indemnification or payment or reimbursement of expenses to any Trustee, officer or shareholder or any former Trustee, officer or shareholder who served a predecessor of the Trust and to any employee or agent of the Registrant or a predecessor of the Registrant. Any indemnification or payment or reimbursement of the expenses permitted by the Registrant’s Bylaws will be furnished in accordance with the procedures provided for indemnification or payment or reimbursement of expenses, as the case may be, under Section 2-418 of the Maryland General Corporation Law (the “MGCL”) for directors of Maryland corporations. The Registrant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126"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Title 8 of the Corporations and Associations Code of the State of Maryland, as amended, provides that a shareholder or Trustee of a Maryland real estate investment trust is not personally liable for the obligations of the real estate investment trust, except that a Trustee will be liable in any case in which a Trustee otherwise would be liable and the Trustee’s act constitutes bad faith, willful misfeasance, gross negligence or reckless disregard of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ind w:right="1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Trustee’s duties. Title 8 further provides that a Maryland real estate investment trust may indemnify or advance expenses to trustees, officers, employees, and agents of the trust to the same extent as is permitted for directors, officers, employees, and agents of a Maryland corporation. Title 2 of the Corporations and Associations Code of the State of Maryland, as amended, permits a Maryland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certain related capacities unless it is established that (a) the act or omission of the director or officer was material to the matter giving rise to the proceeding and (i) was committed in bad faith or (ii)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a Maryland corporation may not indemnify a director or officer in a suit by or in the right of the trust if such director or officer has been adjudged to be liable to the corporation.</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Trustees,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Index immediately preceding the exhibits is attached hereto and incorporated herein by reference.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this Registration Statement:</w:t>
      </w:r>
    </w:p>
    <w:p>
      <w:pPr>
        <w:spacing w:after="0" w:line="113" w:lineRule="exact"/>
        <w:rPr>
          <w:rFonts w:ascii="Arial" w:cs="Arial" w:eastAsia="Arial" w:hAnsi="Arial"/>
          <w:sz w:val="16"/>
          <w:szCs w:val="16"/>
          <w:color w:val="auto"/>
        </w:rPr>
      </w:pPr>
    </w:p>
    <w:p>
      <w:pPr>
        <w:ind w:left="1920" w:hanging="440"/>
        <w:spacing w:after="0"/>
        <w:tabs>
          <w:tab w:leader="none" w:pos="192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90" w:lineRule="exact"/>
        <w:rPr>
          <w:rFonts w:ascii="Arial" w:cs="Arial" w:eastAsia="Arial" w:hAnsi="Arial"/>
          <w:sz w:val="18"/>
          <w:szCs w:val="18"/>
          <w:color w:val="auto"/>
        </w:rPr>
      </w:pPr>
    </w:p>
    <w:p>
      <w:pPr>
        <w:ind w:left="1920" w:right="120" w:hanging="440"/>
        <w:spacing w:after="0" w:line="290" w:lineRule="auto"/>
        <w:tabs>
          <w:tab w:leader="none" w:pos="1920" w:val="left"/>
        </w:tabs>
        <w:numPr>
          <w:ilvl w:val="2"/>
          <w:numId w:val="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37" w:lineRule="exact"/>
        <w:rPr>
          <w:rFonts w:ascii="Arial" w:cs="Arial" w:eastAsia="Arial" w:hAnsi="Arial"/>
          <w:sz w:val="16"/>
          <w:szCs w:val="16"/>
          <w:color w:val="auto"/>
        </w:rPr>
      </w:pPr>
    </w:p>
    <w:p>
      <w:pPr>
        <w:ind w:left="1920" w:right="200" w:hanging="440"/>
        <w:spacing w:after="0" w:line="268" w:lineRule="auto"/>
        <w:tabs>
          <w:tab w:leader="none" w:pos="192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1" w:lineRule="exact"/>
        <w:rPr>
          <w:sz w:val="20"/>
          <w:szCs w:val="20"/>
          <w:color w:val="auto"/>
        </w:rPr>
      </w:pPr>
    </w:p>
    <w:p>
      <w:pPr>
        <w:ind w:left="460" w:right="140" w:firstLine="438"/>
        <w:spacing w:after="0" w:line="306"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paragraphs (a)(1)(i) and (a)(1)(ii) do not apply if the Registration Statement is on Form S-3, Form S-8 or Form F-3,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required to be included in a post-effective amendment by those paragraphs is contained in periodic reports filed with or furnished to the Commission by the Registrant pursuant to Section 13 or 15(d) of the Exchange Act that are incorporated by reference in the Registration Statement.</w:t>
      </w:r>
    </w:p>
    <w:p>
      <w:pPr>
        <w:spacing w:after="0" w:line="26" w:lineRule="exact"/>
        <w:rPr>
          <w:sz w:val="20"/>
          <w:szCs w:val="20"/>
          <w:color w:val="auto"/>
        </w:rPr>
      </w:pPr>
    </w:p>
    <w:p>
      <w:pPr>
        <w:jc w:val="both"/>
        <w:ind w:left="1480" w:right="180" w:hanging="567"/>
        <w:spacing w:after="0" w:line="259"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4" w:name="page5"/>
    <w:bookmarkEnd w:id="4"/>
    <w:p>
      <w:pPr>
        <w:ind w:left="567" w:right="240" w:hanging="567"/>
        <w:spacing w:after="0" w:line="268" w:lineRule="auto"/>
        <w:tabs>
          <w:tab w:leader="none" w:pos="567"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remove from registration by means of a post-effective amendment any of the securities being registered hereby which remain unsold at the termination of the offering.</w:t>
      </w:r>
    </w:p>
    <w:p>
      <w:pPr>
        <w:spacing w:after="0" w:line="50" w:lineRule="exact"/>
        <w:rPr>
          <w:rFonts w:ascii="Arial" w:cs="Arial" w:eastAsia="Arial" w:hAnsi="Arial"/>
          <w:sz w:val="18"/>
          <w:szCs w:val="18"/>
          <w:color w:val="auto"/>
        </w:rPr>
      </w:pPr>
    </w:p>
    <w:p>
      <w:pPr>
        <w:ind w:left="567" w:hanging="567"/>
        <w:spacing w:after="0"/>
        <w:tabs>
          <w:tab w:leader="none" w:pos="567"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ind w:left="567" w:hanging="567"/>
        <w:spacing w:after="0"/>
        <w:tabs>
          <w:tab w:leader="none" w:pos="56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90" w:lineRule="exact"/>
        <w:rPr>
          <w:rFonts w:ascii="Arial" w:cs="Arial" w:eastAsia="Arial" w:hAnsi="Arial"/>
          <w:sz w:val="18"/>
          <w:szCs w:val="18"/>
          <w:color w:val="auto"/>
        </w:rPr>
      </w:pPr>
    </w:p>
    <w:p>
      <w:pPr>
        <w:ind w:left="1007" w:hanging="440"/>
        <w:spacing w:after="0"/>
        <w:tabs>
          <w:tab w:leader="none" w:pos="1007" w:val="left"/>
        </w:tabs>
        <w:numPr>
          <w:ilvl w:val="1"/>
          <w:numId w:val="5"/>
        </w:numPr>
        <w:rPr>
          <w:rFonts w:ascii="Arial" w:cs="Arial" w:eastAsia="Arial" w:hAnsi="Arial"/>
          <w:sz w:val="18"/>
          <w:szCs w:val="18"/>
          <w:color w:val="auto"/>
        </w:rPr>
      </w:pPr>
      <w:r>
        <w:rPr>
          <w:rFonts w:ascii="Arial" w:cs="Arial" w:eastAsia="Arial" w:hAnsi="Arial"/>
          <w:sz w:val="18"/>
          <w:szCs w:val="18"/>
          <w:color w:val="auto"/>
        </w:rPr>
        <w:t>If the Registrant is relying on Rule 430B (§230.430B of this chapter):</w:t>
      </w:r>
    </w:p>
    <w:p>
      <w:pPr>
        <w:spacing w:after="0" w:line="90" w:lineRule="exact"/>
        <w:rPr>
          <w:rFonts w:ascii="Arial" w:cs="Arial" w:eastAsia="Arial" w:hAnsi="Arial"/>
          <w:sz w:val="18"/>
          <w:szCs w:val="18"/>
          <w:color w:val="auto"/>
        </w:rPr>
      </w:pPr>
    </w:p>
    <w:p>
      <w:pPr>
        <w:ind w:left="1467" w:hanging="441"/>
        <w:spacing w:after="0" w:line="259" w:lineRule="auto"/>
        <w:tabs>
          <w:tab w:leader="none" w:pos="1467" w:val="left"/>
        </w:tabs>
        <w:numPr>
          <w:ilvl w:val="2"/>
          <w:numId w:val="5"/>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(§230.424(b)(3) of this chapter) shall be deemed to be part of the Registration Statement as of the date the filed prospectus was deemed part of and included in the Registration Statement; and</w:t>
      </w:r>
    </w:p>
    <w:p>
      <w:pPr>
        <w:spacing w:after="0" w:line="59" w:lineRule="exact"/>
        <w:rPr>
          <w:rFonts w:ascii="Arial" w:cs="Arial" w:eastAsia="Arial" w:hAnsi="Arial"/>
          <w:sz w:val="18"/>
          <w:szCs w:val="18"/>
          <w:color w:val="auto"/>
        </w:rPr>
      </w:pPr>
    </w:p>
    <w:p>
      <w:pPr>
        <w:ind w:left="1467" w:right="80" w:hanging="441"/>
        <w:spacing w:after="0" w:line="306" w:lineRule="auto"/>
        <w:tabs>
          <w:tab w:leader="none" w:pos="1467" w:val="left"/>
        </w:tabs>
        <w:numPr>
          <w:ilvl w:val="2"/>
          <w:numId w:val="5"/>
        </w:numPr>
        <w:rPr>
          <w:rFonts w:ascii="Arial" w:cs="Arial" w:eastAsia="Arial" w:hAnsi="Arial"/>
          <w:sz w:val="15"/>
          <w:szCs w:val="15"/>
          <w:color w:val="auto"/>
        </w:rPr>
      </w:pPr>
      <w:r>
        <w:rPr>
          <w:rFonts w:ascii="Arial" w:cs="Arial" w:eastAsia="Arial" w:hAnsi="Arial"/>
          <w:sz w:val="15"/>
          <w:szCs w:val="15"/>
          <w:color w:val="auto"/>
        </w:rPr>
        <w:t>Each prospectus required to be filed pursuant to Rule 424(b)(2), (b)(5), or (b)(7) (§230.424(b)(2), (b)(5), or (b)(7) of this chapter) as part of a Registration Statement in reliance on Rule 430B relating to an offering made pursuant to Rule 415(a)(1)(i), (vii), or (x) (§230.415(a)(1)(i), (vii), or (x) of this chapter)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31" w:lineRule="exact"/>
        <w:rPr>
          <w:rFonts w:ascii="Arial" w:cs="Arial" w:eastAsia="Arial" w:hAnsi="Arial"/>
          <w:sz w:val="15"/>
          <w:szCs w:val="15"/>
          <w:color w:val="auto"/>
        </w:rPr>
      </w:pPr>
    </w:p>
    <w:p>
      <w:pPr>
        <w:ind w:left="1007" w:right="20" w:hanging="440"/>
        <w:spacing w:after="0" w:line="289" w:lineRule="auto"/>
        <w:tabs>
          <w:tab w:leader="none" w:pos="1007" w:val="left"/>
        </w:tabs>
        <w:numPr>
          <w:ilvl w:val="1"/>
          <w:numId w:val="5"/>
        </w:numPr>
        <w:rPr>
          <w:rFonts w:ascii="Arial" w:cs="Arial" w:eastAsia="Arial" w:hAnsi="Arial"/>
          <w:sz w:val="16"/>
          <w:szCs w:val="16"/>
          <w:color w:val="auto"/>
        </w:rPr>
      </w:pPr>
      <w:r>
        <w:rPr>
          <w:rFonts w:ascii="Arial" w:cs="Arial" w:eastAsia="Arial" w:hAnsi="Arial"/>
          <w:sz w:val="16"/>
          <w:szCs w:val="16"/>
          <w:color w:val="auto"/>
        </w:rPr>
        <w:t>If the Registrant is subject to Rule 430C (§230.430C of this chapter), each prospectus filed pursuant to Rule 424(b) as part of a Registration Statement relating to an offering, other than Registration Statements relying on Rule 430B or other than prospectuses filed in reliance on Rule 430A (§230.430A of this chapter),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37" w:lineRule="exact"/>
        <w:rPr>
          <w:rFonts w:ascii="Arial" w:cs="Arial" w:eastAsia="Arial" w:hAnsi="Arial"/>
          <w:sz w:val="16"/>
          <w:szCs w:val="16"/>
          <w:color w:val="auto"/>
        </w:rPr>
      </w:pPr>
    </w:p>
    <w:p>
      <w:pPr>
        <w:ind w:left="567" w:right="120" w:hanging="567"/>
        <w:spacing w:after="0" w:line="268" w:lineRule="auto"/>
        <w:tabs>
          <w:tab w:leader="none" w:pos="56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51" w:lineRule="exact"/>
        <w:rPr>
          <w:sz w:val="20"/>
          <w:szCs w:val="20"/>
          <w:color w:val="auto"/>
        </w:rPr>
      </w:pPr>
    </w:p>
    <w:p>
      <w:pPr>
        <w:ind w:left="587" w:right="80" w:firstLine="397"/>
        <w:spacing w:after="0" w:line="256"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2" w:lineRule="exact"/>
        <w:rPr>
          <w:sz w:val="20"/>
          <w:szCs w:val="20"/>
          <w:color w:val="auto"/>
        </w:rPr>
      </w:pPr>
    </w:p>
    <w:p>
      <w:pPr>
        <w:ind w:left="1467" w:right="140" w:hanging="441"/>
        <w:spacing w:after="0" w:line="268" w:lineRule="auto"/>
        <w:tabs>
          <w:tab w:leader="none" w:pos="1467"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 (§230.424 of this chapter);</w:t>
      </w:r>
    </w:p>
    <w:p>
      <w:pPr>
        <w:spacing w:after="0" w:line="50" w:lineRule="exact"/>
        <w:rPr>
          <w:rFonts w:ascii="Arial" w:cs="Arial" w:eastAsia="Arial" w:hAnsi="Arial"/>
          <w:sz w:val="18"/>
          <w:szCs w:val="18"/>
          <w:color w:val="auto"/>
        </w:rPr>
      </w:pPr>
    </w:p>
    <w:p>
      <w:pPr>
        <w:ind w:left="1467" w:right="40" w:hanging="441"/>
        <w:spacing w:after="0" w:line="268" w:lineRule="auto"/>
        <w:tabs>
          <w:tab w:leader="none" w:pos="1467"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50" w:lineRule="exact"/>
        <w:rPr>
          <w:rFonts w:ascii="Arial" w:cs="Arial" w:eastAsia="Arial" w:hAnsi="Arial"/>
          <w:sz w:val="18"/>
          <w:szCs w:val="18"/>
          <w:color w:val="auto"/>
        </w:rPr>
      </w:pPr>
    </w:p>
    <w:p>
      <w:pPr>
        <w:ind w:left="1467" w:right="160" w:hanging="441"/>
        <w:spacing w:after="0" w:line="268" w:lineRule="auto"/>
        <w:tabs>
          <w:tab w:leader="none" w:pos="146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18" w:lineRule="exact"/>
        <w:rPr>
          <w:sz w:val="20"/>
          <w:szCs w:val="20"/>
          <w:color w:val="auto"/>
        </w:rPr>
      </w:pPr>
    </w:p>
    <w:p>
      <w:pPr>
        <w:ind w:left="4767"/>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07"/>
          </w:cols>
          <w:pgMar w:left="1153" w:top="280" w:right="239" w:bottom="1440" w:gutter="0" w:footer="0" w:header="0"/>
        </w:sectPr>
      </w:pPr>
    </w:p>
    <w:bookmarkStart w:id="5" w:name="page6"/>
    <w:bookmarkEnd w:id="5"/>
    <w:p>
      <w:pPr>
        <w:ind w:left="2360" w:hanging="441"/>
        <w:spacing w:after="0"/>
        <w:tabs>
          <w:tab w:leader="none" w:pos="2360" w:val="left"/>
        </w:tabs>
        <w:numPr>
          <w:ilvl w:val="1"/>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other communication that is an offer in the offering made by the undersigned Registrant to the purchaser.</w:t>
      </w:r>
    </w:p>
    <w:p>
      <w:pPr>
        <w:spacing w:after="0" w:line="90" w:lineRule="exact"/>
        <w:rPr>
          <w:rFonts w:ascii="Arial" w:cs="Arial" w:eastAsia="Arial" w:hAnsi="Arial"/>
          <w:sz w:val="18"/>
          <w:szCs w:val="18"/>
          <w:color w:val="auto"/>
        </w:rPr>
      </w:pPr>
    </w:p>
    <w:p>
      <w:pPr>
        <w:ind w:left="-20" w:firstLine="464"/>
        <w:spacing w:after="0" w:line="298" w:lineRule="auto"/>
        <w:tabs>
          <w:tab w:leader="none" w:pos="814"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32" w:lineRule="exact"/>
        <w:rPr>
          <w:sz w:val="20"/>
          <w:szCs w:val="20"/>
          <w:color w:val="auto"/>
        </w:rPr>
      </w:pPr>
    </w:p>
    <w:p>
      <w:pPr>
        <w:ind w:left="-20" w:right="260" w:firstLine="464"/>
        <w:spacing w:after="0" w:line="290" w:lineRule="auto"/>
        <w:tabs>
          <w:tab w:leader="none" w:pos="817" w:val="left"/>
        </w:tabs>
        <w:numPr>
          <w:ilvl w:val="0"/>
          <w:numId w:val="9"/>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60" w:top="280"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140" w:firstLine="456"/>
        <w:spacing w:after="0" w:line="281" w:lineRule="auto"/>
        <w:rPr>
          <w:sz w:val="20"/>
          <w:szCs w:val="20"/>
          <w:color w:val="auto"/>
        </w:rPr>
      </w:pPr>
      <w:r>
        <w:rPr>
          <w:rFonts w:ascii="Arial" w:cs="Arial" w:eastAsia="Arial" w:hAnsi="Arial"/>
          <w:sz w:val="16"/>
          <w:szCs w:val="16"/>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Rockville, State of Maryland, on the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day of November, 2007.</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Donald C. Wood</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President and Chief Executive Officer</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the undersigned officers and directors of Federal Realty Investment Trust hereby severally constitute Dawn M. Becker and Donald C. Wood, and each of them singly, our true and lawful attorneys with full power to them, and each of them singly, to sign for us and in our names in the capacities indicated below the Registration Statement on Form S-8 filed herewith and any and all subsequent amendments to said Registration Statement, and generally to do all such things in our names and behalf in our capacities as officers and directors to enable Federal Realty Investment Trust to comply with all requirements of the Securities and Exchange Commission, hereby ratifying and confirming our signatures as they may be signed by said attorneys, or any of them, to said Registration Statement and any and all amendments thereto.</w:t>
      </w:r>
    </w:p>
    <w:p>
      <w:pPr>
        <w:spacing w:after="0" w:line="14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below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Signature</w:t>
            </w:r>
          </w:p>
        </w:tc>
        <w:tc>
          <w:tcPr>
            <w:tcW w:w="1420" w:type="dxa"/>
            <w:vAlign w:val="bottom"/>
          </w:tcPr>
          <w:p>
            <w:pPr>
              <w:spacing w:after="0"/>
              <w:rPr>
                <w:sz w:val="14"/>
                <w:szCs w:val="14"/>
                <w:color w:val="auto"/>
              </w:rPr>
            </w:pPr>
          </w:p>
        </w:tc>
        <w:tc>
          <w:tcPr>
            <w:tcW w:w="350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Title</w:t>
            </w:r>
          </w:p>
        </w:tc>
        <w:tc>
          <w:tcPr>
            <w:tcW w:w="140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32"/>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Wood</w:t>
            </w:r>
          </w:p>
        </w:tc>
        <w:tc>
          <w:tcPr>
            <w:tcW w:w="4920" w:type="dxa"/>
            <w:vAlign w:val="bottom"/>
            <w:gridSpan w:val="2"/>
          </w:tcPr>
          <w:p>
            <w:pPr>
              <w:ind w:left="1420"/>
              <w:spacing w:after="0"/>
              <w:rPr>
                <w:sz w:val="20"/>
                <w:szCs w:val="20"/>
                <w:color w:val="auto"/>
              </w:rPr>
            </w:pPr>
            <w:r>
              <w:rPr>
                <w:rFonts w:ascii="Arial" w:cs="Arial" w:eastAsia="Arial" w:hAnsi="Arial"/>
                <w:sz w:val="18"/>
                <w:szCs w:val="18"/>
                <w:color w:val="auto"/>
              </w:rPr>
              <w:t>President, Chief Executive Officer</w:t>
            </w:r>
          </w:p>
        </w:tc>
        <w:tc>
          <w:tcPr>
            <w:tcW w:w="14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November 1, 2007</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Donald Wood</w:t>
            </w:r>
          </w:p>
        </w:tc>
        <w:tc>
          <w:tcPr>
            <w:tcW w:w="4920" w:type="dxa"/>
            <w:vAlign w:val="bottom"/>
            <w:gridSpan w:val="2"/>
          </w:tcPr>
          <w:p>
            <w:pPr>
              <w:ind w:left="1420"/>
              <w:spacing w:after="0"/>
              <w:rPr>
                <w:sz w:val="20"/>
                <w:szCs w:val="20"/>
                <w:color w:val="auto"/>
              </w:rPr>
            </w:pPr>
            <w:r>
              <w:rPr>
                <w:rFonts w:ascii="Arial" w:cs="Arial" w:eastAsia="Arial" w:hAnsi="Arial"/>
                <w:sz w:val="18"/>
                <w:szCs w:val="18"/>
                <w:color w:val="auto"/>
              </w:rPr>
              <w:t>and Trustee</w:t>
            </w:r>
          </w:p>
        </w:tc>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439"/>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Larry Finger</w:t>
            </w:r>
          </w:p>
        </w:tc>
        <w:tc>
          <w:tcPr>
            <w:tcW w:w="4920" w:type="dxa"/>
            <w:vAlign w:val="bottom"/>
            <w:gridSpan w:val="2"/>
          </w:tcPr>
          <w:p>
            <w:pPr>
              <w:ind w:left="1420"/>
              <w:spacing w:after="0"/>
              <w:rPr>
                <w:sz w:val="20"/>
                <w:szCs w:val="20"/>
                <w:color w:val="auto"/>
              </w:rPr>
            </w:pPr>
            <w:r>
              <w:rPr>
                <w:rFonts w:ascii="Arial" w:cs="Arial" w:eastAsia="Arial" w:hAnsi="Arial"/>
                <w:sz w:val="18"/>
                <w:szCs w:val="18"/>
                <w:color w:val="auto"/>
              </w:rPr>
              <w:t>Executive Vice President – Chief Financial</w:t>
            </w:r>
          </w:p>
        </w:tc>
        <w:tc>
          <w:tcPr>
            <w:tcW w:w="14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November 1, 2007</w:t>
            </w:r>
          </w:p>
        </w:tc>
      </w:tr>
      <w:tr>
        <w:trPr>
          <w:trHeight w:val="221"/>
        </w:trPr>
        <w:tc>
          <w:tcPr>
            <w:tcW w:w="3780" w:type="dxa"/>
            <w:vAlign w:val="bottom"/>
          </w:tcPr>
          <w:p>
            <w:pPr>
              <w:spacing w:after="0"/>
              <w:rPr>
                <w:sz w:val="20"/>
                <w:szCs w:val="20"/>
                <w:color w:val="auto"/>
              </w:rPr>
            </w:pPr>
            <w:r>
              <w:rPr>
                <w:rFonts w:ascii="Arial" w:cs="Arial" w:eastAsia="Arial" w:hAnsi="Arial"/>
                <w:sz w:val="18"/>
                <w:szCs w:val="18"/>
                <w:color w:val="auto"/>
              </w:rPr>
              <w:t>Larry Finger</w:t>
            </w:r>
          </w:p>
        </w:tc>
        <w:tc>
          <w:tcPr>
            <w:tcW w:w="4920" w:type="dxa"/>
            <w:vAlign w:val="bottom"/>
            <w:gridSpan w:val="2"/>
          </w:tcPr>
          <w:p>
            <w:pPr>
              <w:ind w:left="1420"/>
              <w:spacing w:after="0"/>
              <w:rPr>
                <w:sz w:val="20"/>
                <w:szCs w:val="20"/>
                <w:color w:val="auto"/>
              </w:rPr>
            </w:pPr>
            <w:r>
              <w:rPr>
                <w:rFonts w:ascii="Arial" w:cs="Arial" w:eastAsia="Arial" w:hAnsi="Arial"/>
                <w:sz w:val="18"/>
                <w:szCs w:val="18"/>
                <w:color w:val="auto"/>
                <w:w w:val="92"/>
              </w:rPr>
              <w:t>Officer, Chief Accounting Officer and Treasurer</w:t>
            </w:r>
          </w:p>
        </w:tc>
        <w:tc>
          <w:tcPr>
            <w:tcW w:w="1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33"/>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 E. Bortz</w:t>
            </w:r>
          </w:p>
        </w:tc>
        <w:tc>
          <w:tcPr>
            <w:tcW w:w="4920" w:type="dxa"/>
            <w:vAlign w:val="bottom"/>
            <w:gridSpan w:val="2"/>
          </w:tcPr>
          <w:p>
            <w:pPr>
              <w:ind w:left="1420"/>
              <w:spacing w:after="0"/>
              <w:rPr>
                <w:sz w:val="20"/>
                <w:szCs w:val="20"/>
                <w:color w:val="auto"/>
              </w:rPr>
            </w:pPr>
            <w:r>
              <w:rPr>
                <w:rFonts w:ascii="Arial" w:cs="Arial" w:eastAsia="Arial" w:hAnsi="Arial"/>
                <w:sz w:val="18"/>
                <w:szCs w:val="18"/>
                <w:color w:val="auto"/>
              </w:rPr>
              <w:t>Trustee</w:t>
            </w:r>
          </w:p>
        </w:tc>
        <w:tc>
          <w:tcPr>
            <w:tcW w:w="14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November 1, 2007</w:t>
            </w:r>
          </w:p>
        </w:tc>
      </w:tr>
      <w:tr>
        <w:trPr>
          <w:trHeight w:val="217"/>
        </w:trPr>
        <w:tc>
          <w:tcPr>
            <w:tcW w:w="3780" w:type="dxa"/>
            <w:vAlign w:val="bottom"/>
          </w:tcPr>
          <w:p>
            <w:pPr>
              <w:spacing w:after="0"/>
              <w:rPr>
                <w:sz w:val="20"/>
                <w:szCs w:val="20"/>
                <w:color w:val="auto"/>
              </w:rPr>
            </w:pPr>
            <w:r>
              <w:rPr>
                <w:rFonts w:ascii="Arial" w:cs="Arial" w:eastAsia="Arial" w:hAnsi="Arial"/>
                <w:sz w:val="18"/>
                <w:szCs w:val="18"/>
                <w:color w:val="auto"/>
              </w:rPr>
              <w:t>Jon E. Bortz</w:t>
            </w:r>
          </w:p>
        </w:tc>
        <w:tc>
          <w:tcPr>
            <w:tcW w:w="14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438"/>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W. Faeder</w:t>
            </w:r>
          </w:p>
        </w:tc>
        <w:tc>
          <w:tcPr>
            <w:tcW w:w="4920" w:type="dxa"/>
            <w:vAlign w:val="bottom"/>
            <w:gridSpan w:val="2"/>
          </w:tcPr>
          <w:p>
            <w:pPr>
              <w:ind w:left="1420"/>
              <w:spacing w:after="0"/>
              <w:rPr>
                <w:sz w:val="20"/>
                <w:szCs w:val="20"/>
                <w:color w:val="auto"/>
              </w:rPr>
            </w:pPr>
            <w:r>
              <w:rPr>
                <w:rFonts w:ascii="Arial" w:cs="Arial" w:eastAsia="Arial" w:hAnsi="Arial"/>
                <w:sz w:val="18"/>
                <w:szCs w:val="18"/>
                <w:color w:val="auto"/>
              </w:rPr>
              <w:t>Trustee</w:t>
            </w:r>
          </w:p>
        </w:tc>
        <w:tc>
          <w:tcPr>
            <w:tcW w:w="14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November 1, 2007</w:t>
            </w:r>
          </w:p>
        </w:tc>
      </w:tr>
      <w:tr>
        <w:trPr>
          <w:trHeight w:val="217"/>
        </w:trPr>
        <w:tc>
          <w:tcPr>
            <w:tcW w:w="3780" w:type="dxa"/>
            <w:vAlign w:val="bottom"/>
          </w:tcPr>
          <w:p>
            <w:pPr>
              <w:spacing w:after="0"/>
              <w:rPr>
                <w:sz w:val="20"/>
                <w:szCs w:val="20"/>
                <w:color w:val="auto"/>
              </w:rPr>
            </w:pPr>
            <w:r>
              <w:rPr>
                <w:rFonts w:ascii="Arial" w:cs="Arial" w:eastAsia="Arial" w:hAnsi="Arial"/>
                <w:sz w:val="18"/>
                <w:szCs w:val="18"/>
                <w:color w:val="auto"/>
              </w:rPr>
              <w:t>David W. Faeder</w:t>
            </w:r>
          </w:p>
        </w:tc>
        <w:tc>
          <w:tcPr>
            <w:tcW w:w="14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438"/>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Kristin Gamble</w:t>
            </w:r>
          </w:p>
        </w:tc>
        <w:tc>
          <w:tcPr>
            <w:tcW w:w="4920" w:type="dxa"/>
            <w:vAlign w:val="bottom"/>
            <w:gridSpan w:val="2"/>
          </w:tcPr>
          <w:p>
            <w:pPr>
              <w:ind w:left="1420"/>
              <w:spacing w:after="0"/>
              <w:rPr>
                <w:sz w:val="20"/>
                <w:szCs w:val="20"/>
                <w:color w:val="auto"/>
              </w:rPr>
            </w:pPr>
            <w:r>
              <w:rPr>
                <w:rFonts w:ascii="Arial" w:cs="Arial" w:eastAsia="Arial" w:hAnsi="Arial"/>
                <w:sz w:val="18"/>
                <w:szCs w:val="18"/>
                <w:color w:val="auto"/>
              </w:rPr>
              <w:t>Trustee</w:t>
            </w:r>
          </w:p>
        </w:tc>
        <w:tc>
          <w:tcPr>
            <w:tcW w:w="14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November 1, 2007</w:t>
            </w:r>
          </w:p>
        </w:tc>
      </w:tr>
      <w:tr>
        <w:trPr>
          <w:trHeight w:val="217"/>
        </w:trPr>
        <w:tc>
          <w:tcPr>
            <w:tcW w:w="3780" w:type="dxa"/>
            <w:vAlign w:val="bottom"/>
          </w:tcPr>
          <w:p>
            <w:pPr>
              <w:spacing w:after="0"/>
              <w:rPr>
                <w:sz w:val="20"/>
                <w:szCs w:val="20"/>
                <w:color w:val="auto"/>
              </w:rPr>
            </w:pPr>
            <w:r>
              <w:rPr>
                <w:rFonts w:ascii="Arial" w:cs="Arial" w:eastAsia="Arial" w:hAnsi="Arial"/>
                <w:sz w:val="18"/>
                <w:szCs w:val="18"/>
                <w:color w:val="auto"/>
              </w:rPr>
              <w:t>Kristin Gamble</w:t>
            </w:r>
          </w:p>
        </w:tc>
        <w:tc>
          <w:tcPr>
            <w:tcW w:w="14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438"/>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Gail P. Steinel</w:t>
            </w:r>
          </w:p>
        </w:tc>
        <w:tc>
          <w:tcPr>
            <w:tcW w:w="4920" w:type="dxa"/>
            <w:vAlign w:val="bottom"/>
            <w:gridSpan w:val="2"/>
          </w:tcPr>
          <w:p>
            <w:pPr>
              <w:ind w:left="1420"/>
              <w:spacing w:after="0"/>
              <w:rPr>
                <w:sz w:val="20"/>
                <w:szCs w:val="20"/>
                <w:color w:val="auto"/>
              </w:rPr>
            </w:pPr>
            <w:r>
              <w:rPr>
                <w:rFonts w:ascii="Arial" w:cs="Arial" w:eastAsia="Arial" w:hAnsi="Arial"/>
                <w:sz w:val="18"/>
                <w:szCs w:val="18"/>
                <w:color w:val="auto"/>
              </w:rPr>
              <w:t>Trustee</w:t>
            </w:r>
          </w:p>
        </w:tc>
        <w:tc>
          <w:tcPr>
            <w:tcW w:w="14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November 1, 2007</w:t>
            </w:r>
          </w:p>
        </w:tc>
      </w:tr>
      <w:tr>
        <w:trPr>
          <w:trHeight w:val="217"/>
        </w:trPr>
        <w:tc>
          <w:tcPr>
            <w:tcW w:w="3780" w:type="dxa"/>
            <w:vAlign w:val="bottom"/>
          </w:tcPr>
          <w:p>
            <w:pPr>
              <w:spacing w:after="0"/>
              <w:rPr>
                <w:sz w:val="20"/>
                <w:szCs w:val="20"/>
                <w:color w:val="auto"/>
              </w:rPr>
            </w:pPr>
            <w:r>
              <w:rPr>
                <w:rFonts w:ascii="Arial" w:cs="Arial" w:eastAsia="Arial" w:hAnsi="Arial"/>
                <w:sz w:val="18"/>
                <w:szCs w:val="18"/>
                <w:color w:val="auto"/>
              </w:rPr>
              <w:t>Gail P. Steinel</w:t>
            </w:r>
          </w:p>
        </w:tc>
        <w:tc>
          <w:tcPr>
            <w:tcW w:w="14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856"/>
        </w:trPr>
        <w:tc>
          <w:tcPr>
            <w:tcW w:w="3780" w:type="dxa"/>
            <w:vAlign w:val="bottom"/>
          </w:tcPr>
          <w:p>
            <w:pPr>
              <w:spacing w:after="0"/>
              <w:rPr>
                <w:sz w:val="24"/>
                <w:szCs w:val="24"/>
                <w:color w:val="auto"/>
              </w:rPr>
            </w:pPr>
          </w:p>
        </w:tc>
        <w:tc>
          <w:tcPr>
            <w:tcW w:w="4920" w:type="dxa"/>
            <w:vAlign w:val="bottom"/>
            <w:gridSpan w:val="2"/>
          </w:tcPr>
          <w:p>
            <w:pPr>
              <w:ind w:left="1900"/>
              <w:spacing w:after="0"/>
              <w:rPr>
                <w:sz w:val="20"/>
                <w:szCs w:val="20"/>
                <w:color w:val="auto"/>
              </w:rPr>
            </w:pPr>
            <w:r>
              <w:rPr>
                <w:rFonts w:ascii="Arial" w:cs="Arial" w:eastAsia="Arial" w:hAnsi="Arial"/>
                <w:sz w:val="18"/>
                <w:szCs w:val="18"/>
                <w:color w:val="auto"/>
              </w:rPr>
              <w:t>7</w:t>
            </w: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3"/>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S. Vassalluzzo</w:t>
            </w:r>
          </w:p>
        </w:tc>
        <w:tc>
          <w:tcPr>
            <w:tcW w:w="4960" w:type="dxa"/>
            <w:vAlign w:val="bottom"/>
          </w:tcPr>
          <w:p>
            <w:pPr>
              <w:ind w:left="1400"/>
              <w:spacing w:after="0"/>
              <w:rPr>
                <w:sz w:val="20"/>
                <w:szCs w:val="20"/>
                <w:color w:val="auto"/>
              </w:rPr>
            </w:pPr>
            <w:r>
              <w:rPr>
                <w:rFonts w:ascii="Arial" w:cs="Arial" w:eastAsia="Arial" w:hAnsi="Arial"/>
                <w:sz w:val="18"/>
                <w:szCs w:val="18"/>
                <w:color w:val="auto"/>
              </w:rPr>
              <w:t>Trustee, Chairman of the Board</w:t>
            </w:r>
          </w:p>
        </w:tc>
        <w:tc>
          <w:tcPr>
            <w:tcW w:w="2660" w:type="dxa"/>
            <w:vAlign w:val="bottom"/>
          </w:tcPr>
          <w:p>
            <w:pPr>
              <w:ind w:left="1340"/>
              <w:spacing w:after="0"/>
              <w:rPr>
                <w:sz w:val="20"/>
                <w:szCs w:val="20"/>
                <w:color w:val="auto"/>
              </w:rPr>
            </w:pPr>
            <w:r>
              <w:rPr>
                <w:rFonts w:ascii="Arial" w:cs="Arial" w:eastAsia="Arial" w:hAnsi="Arial"/>
                <w:sz w:val="18"/>
                <w:szCs w:val="18"/>
                <w:color w:val="auto"/>
                <w:w w:val="87"/>
              </w:rPr>
              <w:t>November 1, 2007</w:t>
            </w:r>
          </w:p>
        </w:tc>
      </w:tr>
      <w:tr>
        <w:trPr>
          <w:trHeight w:val="217"/>
        </w:trPr>
        <w:tc>
          <w:tcPr>
            <w:tcW w:w="3800" w:type="dxa"/>
            <w:vAlign w:val="bottom"/>
          </w:tcPr>
          <w:p>
            <w:pPr>
              <w:spacing w:after="0"/>
              <w:rPr>
                <w:sz w:val="20"/>
                <w:szCs w:val="20"/>
                <w:color w:val="auto"/>
              </w:rPr>
            </w:pPr>
            <w:r>
              <w:rPr>
                <w:rFonts w:ascii="Arial" w:cs="Arial" w:eastAsia="Arial" w:hAnsi="Arial"/>
                <w:sz w:val="18"/>
                <w:szCs w:val="18"/>
                <w:color w:val="auto"/>
              </w:rPr>
              <w:t>Joseph S. Vassalluzzo</w:t>
            </w:r>
          </w:p>
        </w:tc>
        <w:tc>
          <w:tcPr>
            <w:tcW w:w="496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438"/>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M. Thompson</w:t>
            </w:r>
          </w:p>
        </w:tc>
        <w:tc>
          <w:tcPr>
            <w:tcW w:w="4960" w:type="dxa"/>
            <w:vAlign w:val="bottom"/>
          </w:tcPr>
          <w:p>
            <w:pPr>
              <w:ind w:left="1400"/>
              <w:spacing w:after="0"/>
              <w:rPr>
                <w:sz w:val="20"/>
                <w:szCs w:val="20"/>
                <w:color w:val="auto"/>
              </w:rPr>
            </w:pPr>
            <w:r>
              <w:rPr>
                <w:rFonts w:ascii="Arial" w:cs="Arial" w:eastAsia="Arial" w:hAnsi="Arial"/>
                <w:sz w:val="18"/>
                <w:szCs w:val="18"/>
                <w:color w:val="auto"/>
              </w:rPr>
              <w:t>Trustee</w:t>
            </w:r>
          </w:p>
        </w:tc>
        <w:tc>
          <w:tcPr>
            <w:tcW w:w="2660" w:type="dxa"/>
            <w:vAlign w:val="bottom"/>
          </w:tcPr>
          <w:p>
            <w:pPr>
              <w:ind w:left="1340"/>
              <w:spacing w:after="0"/>
              <w:rPr>
                <w:sz w:val="20"/>
                <w:szCs w:val="20"/>
                <w:color w:val="auto"/>
              </w:rPr>
            </w:pPr>
            <w:r>
              <w:rPr>
                <w:rFonts w:ascii="Arial" w:cs="Arial" w:eastAsia="Arial" w:hAnsi="Arial"/>
                <w:sz w:val="18"/>
                <w:szCs w:val="18"/>
                <w:color w:val="auto"/>
                <w:w w:val="87"/>
              </w:rPr>
              <w:t>November 1, 2007</w:t>
            </w:r>
          </w:p>
        </w:tc>
      </w:tr>
      <w:tr>
        <w:trPr>
          <w:trHeight w:val="217"/>
        </w:trPr>
        <w:tc>
          <w:tcPr>
            <w:tcW w:w="3800" w:type="dxa"/>
            <w:vAlign w:val="bottom"/>
          </w:tcPr>
          <w:p>
            <w:pPr>
              <w:spacing w:after="0"/>
              <w:rPr>
                <w:sz w:val="20"/>
                <w:szCs w:val="20"/>
                <w:color w:val="auto"/>
              </w:rPr>
            </w:pPr>
            <w:r>
              <w:rPr>
                <w:rFonts w:ascii="Arial" w:cs="Arial" w:eastAsia="Arial" w:hAnsi="Arial"/>
                <w:sz w:val="18"/>
                <w:szCs w:val="18"/>
                <w:color w:val="auto"/>
              </w:rPr>
              <w:t>William M. Thompson</w:t>
            </w:r>
          </w:p>
        </w:tc>
        <w:tc>
          <w:tcPr>
            <w:tcW w:w="496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370"/>
        </w:trPr>
        <w:tc>
          <w:tcPr>
            <w:tcW w:w="3800" w:type="dxa"/>
            <w:vAlign w:val="bottom"/>
          </w:tcPr>
          <w:p>
            <w:pPr>
              <w:spacing w:after="0"/>
              <w:rPr>
                <w:sz w:val="24"/>
                <w:szCs w:val="24"/>
                <w:color w:val="auto"/>
              </w:rPr>
            </w:pPr>
          </w:p>
        </w:tc>
        <w:tc>
          <w:tcPr>
            <w:tcW w:w="4960" w:type="dxa"/>
            <w:vAlign w:val="bottom"/>
          </w:tcPr>
          <w:p>
            <w:pPr>
              <w:jc w:val="right"/>
              <w:ind w:right="2912"/>
              <w:spacing w:after="0"/>
              <w:rPr>
                <w:sz w:val="20"/>
                <w:szCs w:val="20"/>
                <w:color w:val="auto"/>
              </w:rPr>
            </w:pPr>
            <w:r>
              <w:rPr>
                <w:rFonts w:ascii="Arial" w:cs="Arial" w:eastAsia="Arial" w:hAnsi="Arial"/>
                <w:sz w:val="18"/>
                <w:szCs w:val="18"/>
                <w:color w:val="auto"/>
              </w:rPr>
              <w:t>8</w:t>
            </w:r>
          </w:p>
        </w:tc>
        <w:tc>
          <w:tcPr>
            <w:tcW w:w="2660" w:type="dxa"/>
            <w:vAlign w:val="bottom"/>
          </w:tcPr>
          <w:p>
            <w:pPr>
              <w:spacing w:after="0"/>
              <w:rPr>
                <w:sz w:val="24"/>
                <w:szCs w:val="24"/>
                <w:color w:val="auto"/>
              </w:rPr>
            </w:pPr>
          </w:p>
        </w:tc>
      </w:tr>
    </w:tbl>
    <w:p>
      <w:pPr>
        <w:sectPr>
          <w:pgSz w:w="11900" w:h="16838" w:orient="portrait"/>
          <w:cols w:equalWidth="0" w:num="1">
            <w:col w:w="11420"/>
          </w:cols>
          <w:pgMar w:left="240" w:top="49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18" w:lineRule="exact"/>
        <w:rPr>
          <w:sz w:val="20"/>
          <w:szCs w:val="20"/>
          <w:color w:val="auto"/>
        </w:rPr>
      </w:pPr>
    </w:p>
    <w:p>
      <w:pPr>
        <w:ind w:left="580" w:right="600" w:hanging="580"/>
        <w:spacing w:after="0" w:line="268" w:lineRule="auto"/>
        <w:tabs>
          <w:tab w:leader="none" w:pos="5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Specimen Common Share certificate (filed as Exhibit 4(i) to the Trust’s Annual Report on Form 10-K for the year ended December 31, 1999, and incorporated herein by reference)</w:t>
      </w:r>
    </w:p>
    <w:p>
      <w:pPr>
        <w:spacing w:after="0" w:line="78" w:lineRule="exact"/>
        <w:rPr>
          <w:sz w:val="20"/>
          <w:szCs w:val="20"/>
          <w:color w:val="auto"/>
        </w:rPr>
      </w:pPr>
    </w:p>
    <w:p>
      <w:pPr>
        <w:ind w:left="580" w:hanging="580"/>
        <w:spacing w:after="0" w:line="332" w:lineRule="auto"/>
        <w:tabs>
          <w:tab w:leader="none" w:pos="5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Amended and Restated Rights Agreement, dated March 11, 1999, between the Trust and American Stock Transfer &amp; Trust Company (filed as Exhibit 1 to the Trust’s Registration Statement No. 1-07533 on Form 8-A/A filed on March 11, 1999, and incorporated herein by reference)</w:t>
      </w:r>
    </w:p>
    <w:p>
      <w:pPr>
        <w:spacing w:after="0" w:line="31" w:lineRule="exact"/>
        <w:rPr>
          <w:sz w:val="20"/>
          <w:szCs w:val="20"/>
          <w:color w:val="auto"/>
        </w:rPr>
      </w:pPr>
    </w:p>
    <w:p>
      <w:pPr>
        <w:ind w:left="580" w:right="360" w:hanging="580"/>
        <w:spacing w:after="0" w:line="259" w:lineRule="auto"/>
        <w:tabs>
          <w:tab w:leader="none" w:pos="5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First Amendment to Amended and Restated Rights Agreement, dated as of November 2003, between the Trust and American Stock Transfer &amp; Trust Company (filed as Exhibit 4.5 to the Trust’s Annual Report on Form 10-K for the year ended December 31, 2003 filed on March 15, 2004, and incorporated herein by reference)</w:t>
      </w:r>
    </w:p>
    <w:p>
      <w:pPr>
        <w:spacing w:after="0" w:line="86" w:lineRule="exact"/>
        <w:rPr>
          <w:sz w:val="20"/>
          <w:szCs w:val="20"/>
          <w:color w:val="auto"/>
        </w:rPr>
      </w:pPr>
    </w:p>
    <w:p>
      <w:pPr>
        <w:ind w:left="580" w:right="240" w:hanging="580"/>
        <w:spacing w:after="0" w:line="268" w:lineRule="auto"/>
        <w:tabs>
          <w:tab w:leader="none" w:pos="5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Articles Supplementary relating to the 5.417% Series 1 Cumulative Convertible Preferred Shares (previously filed as Exhibit 4.1 to the Trust’s Current Report on Form 8-K filed on March 13, 2007 and incorporated herein by reference)</w:t>
      </w:r>
    </w:p>
    <w:p>
      <w:pPr>
        <w:spacing w:after="0" w:line="78" w:lineRule="exact"/>
        <w:rPr>
          <w:sz w:val="20"/>
          <w:szCs w:val="20"/>
          <w:color w:val="auto"/>
        </w:rPr>
      </w:pPr>
    </w:p>
    <w:p>
      <w:pPr>
        <w:jc w:val="both"/>
        <w:ind w:left="580" w:right="140" w:hanging="580"/>
        <w:spacing w:after="0" w:line="259" w:lineRule="auto"/>
        <w:tabs>
          <w:tab w:leader="none" w:pos="56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Indenture dated December 13, 1993 related to the Trust’s 7.48% Debentures due August 15, 2026; and 6.82% Medium Term Notes due August 1, 2027 (previously filed as Exhibit 4(a) to the Trust’s Registration Statement on Form S-3 (File No. 33-51029), and amended on Form S-3 (File No. 33-63687), filed on December 13, 1993 and incorporated herein by reference)</w:t>
      </w:r>
    </w:p>
    <w:p>
      <w:pPr>
        <w:spacing w:after="0" w:line="86" w:lineRule="exact"/>
        <w:rPr>
          <w:sz w:val="20"/>
          <w:szCs w:val="20"/>
          <w:color w:val="auto"/>
        </w:rPr>
      </w:pPr>
    </w:p>
    <w:p>
      <w:pPr>
        <w:jc w:val="both"/>
        <w:ind w:left="580" w:right="160" w:hanging="580"/>
        <w:spacing w:after="0" w:line="306" w:lineRule="auto"/>
        <w:tabs>
          <w:tab w:leader="none" w:pos="56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Indenture dated September 1, 1998 related to the Trust’s 8.75% Notes due December 1, 2009; 6 1/8% Notes due November 15, 2007; 4.50% Notes due 2011; 5.65% Notes due 2016; 6.00% Notes due 2012; 6.20% Notes due 2017; and 5.40% Notes due 2013 (previously filed as Exhibit 4(a) to the Trust’s Registration Statement on Form S-3 (File No. 333-63619) filed on September 17, 1998 and incorporated herein by reference)</w:t>
      </w:r>
    </w:p>
    <w:p>
      <w:pPr>
        <w:spacing w:after="0" w:line="53" w:lineRule="exact"/>
        <w:rPr>
          <w:sz w:val="20"/>
          <w:szCs w:val="20"/>
          <w:color w:val="auto"/>
        </w:rPr>
      </w:pPr>
    </w:p>
    <w:p>
      <w:pPr>
        <w:ind w:left="580" w:hanging="580"/>
        <w:spacing w:after="0" w:line="268" w:lineRule="auto"/>
        <w:tabs>
          <w:tab w:leader="none" w:pos="56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Pursuant to Regulation S-K Item 601(b)(4)(iii), the Trust by this filing agrees, upon request, to furnish to the Securities and Exchange Commission a copy of other instruments defining the rights of holders of long-term debt of the Trust</w:t>
      </w:r>
    </w:p>
    <w:p>
      <w:pPr>
        <w:spacing w:after="0" w:line="7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Pillsbury Winthrop Shaw Pittman LLP regarding the validity of the securities being registered (filed herewith)</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Grant Thornton LLP, independent registered public accounting firm (filed herewith)</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Pillsbury Winthrop Shaw Pittman LLP (included in Exhibit 5.1)</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(included on signature page)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[PILLSBURY WINTHROP SHAW PITTMAN LLP LETTERHEAD]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November 1, 2007</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246"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Re:</w:t>
        <w:tab/>
        <w:t>Registration Statement on Form S-8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We have acted as counsel to Federal Realty Investment Trust, a Maryland real estate investment trust (the “Company”), in connection with a registration statement on Form S-8 (the “Registration Statement”), which is being filed by the Company with the Securities and Exchange Commission (the “Commission”) under the Securities Act of 1933, as amended (the “Act”). The Registration Statement relates to the offering of up to 100,000 of the Company’s common shares of beneficial interest, par value $.01 per share, including rights to acquire common shares that are attached to, or trade with, such common shares (the “Common Shares”), that may be offered and sold from time to time pursuant to the Federal Realty Investment Trust 2007 Employee Share Purchase Plan (the “Plan”).</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purposes of this opinion, we have examined the following documents (each a “Document” and together the “Documents”):</w:t>
      </w:r>
    </w:p>
    <w:p>
      <w:pPr>
        <w:spacing w:after="0" w:line="90"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executed copy of the Registration Statement;</w:t>
      </w:r>
    </w:p>
    <w:p>
      <w:pPr>
        <w:spacing w:after="0" w:line="9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Declaration of Trust of the Company, as amended, supplemented or modified as of the date hereof (the “Declaration of Trust”), as certified by the Maryland State Department of Assessments and Taxation (the “SDAT”) on October 22, 2007 and as certified to us by an officer of the Company as being in effect as of the date hereof;</w:t>
      </w:r>
    </w:p>
    <w:p>
      <w:pPr>
        <w:spacing w:after="0" w:line="59"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Amended and Restated Bylaws of the Company, as amended, supplemented or modified as of the date hereof (the “Bylaws”), as certified to us by an officer of the Company as being in effect as of the date hereof;</w:t>
      </w:r>
    </w:p>
    <w:p>
      <w:pPr>
        <w:spacing w:after="0" w:line="50" w:lineRule="exact"/>
        <w:rPr>
          <w:rFonts w:ascii="Arial" w:cs="Arial" w:eastAsia="Arial" w:hAnsi="Arial"/>
          <w:sz w:val="18"/>
          <w:szCs w:val="18"/>
          <w:color w:val="auto"/>
        </w:rPr>
      </w:pPr>
    </w:p>
    <w:p>
      <w:pPr>
        <w:ind w:left="900" w:right="24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Amended and Restated Rights Agreement, dated March 11, 1999, between the Company and American Stock Transfer &amp; Trust Company, as amended by the First Amendment to Amended and Restated Rights Agreement, dated as of November 2003, between the Company and American Stock Transfer &amp; Trust Company;</w:t>
      </w:r>
    </w:p>
    <w:p>
      <w:pPr>
        <w:spacing w:after="0" w:line="59"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resolutions of the Board of Trustees of the Company adopted at a meeting held on August 1, 2007, as certified to us by an officer of the Company as being in effect as of the date hereof (the “Resolutions”);</w:t>
      </w:r>
    </w:p>
    <w:p>
      <w:pPr>
        <w:sectPr>
          <w:pgSz w:w="11900" w:h="16838" w:orient="portrait"/>
          <w:cols w:equalWidth="0" w:num="1">
            <w:col w:w="11420"/>
          </w:cols>
          <w:pgMar w:left="240" w:top="125" w:right="239" w:bottom="1440" w:gutter="0" w:footer="0" w:header="0"/>
        </w:sectPr>
      </w:pPr>
    </w:p>
    <w:bookmarkStart w:id="10" w:name="page11"/>
    <w:bookmarkEnd w:id="10"/>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copy of the Plan;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copy of a good standing certificate of the Company issued by the SDAT on October 19, 2007;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certificate of an officer of the Company dated as of the date hereof.</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For purposes of this opinion letter, we have not reviewed any documents other than the Documents. In particular, we have not reviewed any document (other than the Documents) that is referred to in or incorporated by reference into any Document reviewed by us. We have assumed that there exists no provision in any document that we have not reviewed that is inconsistent with the opinions stated herein.</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connection with this opinion letter, we have considered such matters of law and fact as we, in our professional judgment, have deemed necessary or appropriate to render the opinions contained herein.</w:t>
      </w:r>
    </w:p>
    <w:p>
      <w:pPr>
        <w:spacing w:after="0" w:line="132"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color w:val="auto"/>
        </w:rPr>
        <w:t>In our examination of the aforesaid documents, we have assumed without independent investigation (i) that each entity that is a party to any Document is, and has been at all times relevant to this opinion letter, duly formed or organized, validly existing and in good standing under the laws of the jurisdiction in which each is formed or organized; (ii) the due authorization, execution and delivery of each Document by each of the parties thereto; and (iii) the legal capacity of all natural persons, the genuineness of all signatures, the completeness and authenticity of all documents submitted to us as originals, and the conformity to original documents of all documents submitted to us as certified, telecopied, photostatic or reproduced copies. In connection with the opinions expressed below, we have assumed without independent investigation that, at and prior to the time of the sale and delivery of any Common Shares pursuant to the Registration Statement,</w:t>
      </w:r>
    </w:p>
    <w:p>
      <w:pPr>
        <w:spacing w:after="0" w:line="1" w:lineRule="exact"/>
        <w:rPr>
          <w:sz w:val="20"/>
          <w:szCs w:val="20"/>
          <w:color w:val="auto"/>
        </w:rPr>
      </w:pPr>
    </w:p>
    <w:p>
      <w:pPr>
        <w:ind w:right="20" w:firstLine="8"/>
        <w:spacing w:after="0" w:line="292" w:lineRule="auto"/>
        <w:tabs>
          <w:tab w:leader="none" w:pos="21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contemplated or necessary additional actions shall have been taken and the authorization of the issuance of the Common Shares will not have been modified or rescinded, (ii) the Registration Statement will have been declared effective and no stop order suspending the effectiveness of the Registration Statement will have been issued and no proceedings with respect thereto will have been commenced or threatened, (iii) there will not have occurred any change in law materially and adversely affecting the validity of the Common Shares, and (iv) none of the Common Shares will be transferred in violation of the provisions of the Declaration of Trust relating to restrictions on ownership and transfer of capital stock.</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also assumed without independent investigation that the offer, sale and delivery of any Common Shares, and compliance by the Company with the rights, powers, privileges and preferences and other terms, if any, of such Common Shares will not at the time of such offering, sale and delivery violate or conflict with (i) the Declaration of Trust, as then amended, restated and supplemented, or the Bylaws, as then amended, restated or supplemented, (ii) any provision of any license, indenture, instrument, mortgage, contract, document or agreement to which the Company is then a party or by which the Company is then bound, or (iii) any law or regulation or any decree, judgment or order then applicable to the Company. We have further assumed that the number of Common Shares to be offered and sold pursuant to the Registration Statement will not at the time of such offering and sale exceed the amount of such class of capital shares authorized in the Declaration of Trust, as then amended, restated or supplemented, and unissued (and not otherwise reserved for issuance) at such time, and that the consideration received or proposed to be received for the issuance and sale or reservation for issuance of any offering of the Common Shares as contemplated by the Registration Statement and the Plan is not less than the par value per share.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1" w:name="page12"/>
    <w:bookmarkEnd w:id="11"/>
    <w:p>
      <w:pPr>
        <w:jc w:val="both"/>
        <w:ind w:right="1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Based upon, subject to and limited by the foregoing, we are of the opinion that the Common Shares have been duly authorized and, when sold, issued and delivered by the Company in the manner and on the terms described in the Registration Statement and the Plan, the Common Shares will be validly issued, fully paid and nonassessable.</w:t>
      </w:r>
    </w:p>
    <w:p>
      <w:pPr>
        <w:spacing w:after="0" w:line="14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Our opinions in the previous paragraph are subject to and limited by the effect of bankruptcy, insolvency, fraudulent conveyance and other similar laws affecting or relating to the rights of creditors generally, and are limited by general equitable principles.</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This opinion letter is limited to the laws of the State of Maryland, excluding the securities laws, blue sky laws and the choice-of-law provisions thereof. We render no opinions with respect to the law of any other jurisdiction, including federal laws and rules and regulations relating thereto. Our opinions are rendered only with respect to the laws and the rules, regulations and orders thereunder that are currently in effect.</w:t>
      </w:r>
    </w:p>
    <w:p>
      <w:pPr>
        <w:spacing w:after="0" w:line="10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opinions set forth in this letter are limited to the matters expressly addressed herein and no opinion is to be implied or may be inferred beyond the opinions expressly stated in this letter.</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assume no obligation to advise you of any changes in the foregoing subsequent to the delivery of this opinion. This opinion has been prepared solely for your use in connection with the filing of the Registration Statement, and should not be quoted in whole or in part or otherwise be referred to, nor otherwise be filed with or furnished to, any governmental agency or other person or entity, without our express prior written consent.</w:t>
      </w:r>
    </w:p>
    <w:p>
      <w:pPr>
        <w:spacing w:after="0" w:line="10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hereby consent to the filing of this opinion as an exhibit to the Registration Statement. The giving of this consent, however, does not constitute an admission that we are “experts” within the meaning of Section 11 of the Act, or within the category of persons whose consent is required by Section 7 of the Act.</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33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Pillsbury Winthrop Shaw Pittman LLP</w:t>
      </w:r>
    </w:p>
    <w:p>
      <w:pPr>
        <w:spacing w:after="0" w:line="33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PILLSBURY WINTHROP SHAW PITTMAN LLP</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We have issued our report dated February 26, 2007, accompanying the consolidated financial statements and schedules (which report expressed an unqualified opinion and contains an explanatory paragraph related to the adoption of SFAS No. 123R, </w:t>
      </w:r>
      <w:r>
        <w:rPr>
          <w:rFonts w:ascii="Arial" w:cs="Arial" w:eastAsia="Arial" w:hAnsi="Arial"/>
          <w:sz w:val="16"/>
          <w:szCs w:val="16"/>
          <w:i w:val="1"/>
          <w:iCs w:val="1"/>
          <w:color w:val="auto"/>
        </w:rPr>
        <w:t>Share-Based Payment</w:t>
      </w:r>
      <w:r>
        <w:rPr>
          <w:rFonts w:ascii="Arial" w:cs="Arial" w:eastAsia="Arial" w:hAnsi="Arial"/>
          <w:sz w:val="16"/>
          <w:szCs w:val="16"/>
          <w:color w:val="auto"/>
        </w:rPr>
        <w:t>, effective January 1, 2006), and our report dated February 26, 2007 on management’s assessment of the effectiveness of internal control over financial reporting, included in the Annual Report of Federal Realty Investment Trust on Form 10-K for the year ended December 31, 2006. We hereby consent to the incorporation by reference of said reports in the Registration Statement of Federal Realty Investment Trust, pertaining to the Federal Realty Investment Trust 2007 Employee Share Purchase Plan, on Form S-8 to be filed on November 1, 2007 for the registration of 100,000 shares of its Common Shares of Beneficial Interest, $0.01 par value.</w:t>
      </w:r>
    </w:p>
    <w:p>
      <w:pPr>
        <w:spacing w:after="0" w:line="120"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31, 2007</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lowerLetter"/>
      <w:start w:val="1"/>
    </w:lvl>
  </w:abstractNum>
  <w:abstractNum w:abstractNumId="2">
    <w:nsid w:val="79E2A9E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7545E146"/>
    <w:multiLevelType w:val="hybridMultilevel"/>
    <w:lvl w:ilvl="0">
      <w:lvlJc w:val="left"/>
      <w:lvlText w:val="(%1)"/>
      <w:numFmt w:val="decimal"/>
      <w:start w:val="2"/>
    </w:lvl>
  </w:abstractNum>
  <w:abstractNum w:abstractNumId="4">
    <w:nsid w:val="515F007C"/>
    <w:multiLevelType w:val="hybridMultilevel"/>
    <w:lvl w:ilvl="0">
      <w:lvlJc w:val="left"/>
      <w:lvlText w:val="(%1)"/>
      <w:numFmt w:val="decimal"/>
      <w:start w:val="3"/>
    </w:lvl>
    <w:lvl w:ilvl="1">
      <w:lvlJc w:val="left"/>
      <w:lvlText w:val="(%2)"/>
      <w:numFmt w:val="lowerRoman"/>
      <w:start w:val="1"/>
    </w:lvl>
    <w:lvl w:ilvl="2">
      <w:lvlJc w:val="left"/>
      <w:lvlText w:val="(%3)"/>
      <w:numFmt w:val="upperLetter"/>
      <w:start w:val="1"/>
    </w:lvl>
  </w:abstractNum>
  <w:abstractNum w:abstractNumId="5">
    <w:nsid w:val="5BD062C2"/>
    <w:multiLevelType w:val="hybridMultilevel"/>
    <w:lvl w:ilvl="0">
      <w:lvlJc w:val="left"/>
      <w:lvlText w:val="(%1)"/>
      <w:numFmt w:val="lowerRoman"/>
      <w:start w:val="1"/>
    </w:lvl>
  </w:abstractNum>
  <w:abstractNum w:abstractNumId="6">
    <w:nsid w:val="12200854"/>
    <w:multiLevelType w:val="hybridMultilevel"/>
    <w:lvl w:ilvl="0">
      <w:lvlJc w:val="left"/>
      <w:lvlText w:val="%1"/>
      <w:numFmt w:val="lowerLetter"/>
      <w:start w:val="1"/>
    </w:lvl>
    <w:lvl w:ilvl="1">
      <w:lvlJc w:val="left"/>
      <w:lvlText w:val="(%2)"/>
      <w:numFmt w:val="lowerRoman"/>
      <w:start w:val="4"/>
    </w:lvl>
  </w:abstractNum>
  <w:abstractNum w:abstractNumId="7">
    <w:nsid w:val="4DB127F8"/>
    <w:multiLevelType w:val="hybridMultilevel"/>
    <w:lvl w:ilvl="0">
      <w:lvlJc w:val="left"/>
      <w:lvlText w:val="(%1)"/>
      <w:numFmt w:val="lowerLetter"/>
      <w:start w:val="2"/>
    </w:lvl>
    <w:lvl w:ilvl="1">
      <w:lvlJc w:val="left"/>
      <w:lvlText w:val="%2"/>
      <w:numFmt w:val="lowerRoman"/>
      <w:start w:val="1"/>
    </w:lvl>
  </w:abstractNum>
  <w:abstractNum w:abstractNumId="8">
    <w:nsid w:val="216231B"/>
    <w:multiLevelType w:val="hybridMultilevel"/>
    <w:lvl w:ilvl="0">
      <w:lvlJc w:val="left"/>
      <w:lvlText w:val="(%1)"/>
      <w:numFmt w:val="lowerLetter"/>
      <w:start w:val="8"/>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6"/>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2019-12-11T17:07:57Z</dcterms:created>
  <dcterms:modified xsi:type="dcterms:W3CDTF">2019-12-11T17:07:57Z</dcterms:modified>
</cp:coreProperties>
</file>