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(Amendment No. 1)</w:t>
      </w:r>
    </w:p>
    <w:p>
      <w:pPr>
        <w:spacing w:after="0" w:line="166" w:lineRule="exact"/>
        <w:rPr>
          <w:sz w:val="20"/>
          <w:szCs w:val="20"/>
          <w:color w:val="auto"/>
        </w:rPr>
      </w:pPr>
    </w:p>
    <w:p>
      <w:pPr>
        <w:jc w:val="center"/>
        <w:ind w:right="-1220"/>
        <w:spacing w:after="0"/>
        <w:rPr>
          <w:sz w:val="20"/>
          <w:szCs w:val="20"/>
          <w:color w:val="auto"/>
        </w:rPr>
      </w:pPr>
      <w:r>
        <w:rPr>
          <w:rFonts w:ascii="Arial" w:cs="Arial" w:eastAsia="Arial" w:hAnsi="Arial"/>
          <w:sz w:val="39"/>
          <w:szCs w:val="39"/>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(Title of Class of Securities)</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31" w:lineRule="exact"/>
        <w:rPr>
          <w:sz w:val="20"/>
          <w:szCs w:val="20"/>
          <w:color w:val="auto"/>
        </w:rPr>
      </w:pPr>
    </w:p>
    <w:p>
      <w:pPr>
        <w:jc w:val="both"/>
        <w:ind w:right="8919" w:firstLine="8"/>
        <w:spacing w:after="0" w:line="500" w:lineRule="auto"/>
        <w:tabs>
          <w:tab w:leader="none" w:pos="27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429260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27" w:right="144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980" w:type="dxa"/>
            <w:vAlign w:val="bottom"/>
            <w:gridSpan w:val="6"/>
          </w:tcPr>
          <w:p>
            <w:pPr>
              <w:spacing w:after="0"/>
              <w:rPr>
                <w:sz w:val="20"/>
                <w:szCs w:val="20"/>
                <w:color w:val="auto"/>
              </w:rPr>
            </w:pPr>
            <w:r>
              <w:rPr>
                <w:rFonts w:ascii="Arial" w:cs="Arial" w:eastAsia="Arial" w:hAnsi="Arial"/>
                <w:sz w:val="18"/>
                <w:szCs w:val="18"/>
                <w:b w:val="1"/>
                <w:bCs w:val="1"/>
                <w:color w:val="auto"/>
              </w:rPr>
              <w:t>CUSIP No. 313747206</w:t>
            </w:r>
          </w:p>
        </w:tc>
        <w:tc>
          <w:tcPr>
            <w:tcW w:w="6980" w:type="dxa"/>
            <w:vAlign w:val="bottom"/>
          </w:tcPr>
          <w:p>
            <w:pPr>
              <w:ind w:left="3580"/>
              <w:spacing w:after="0"/>
              <w:rPr>
                <w:sz w:val="20"/>
                <w:szCs w:val="20"/>
                <w:color w:val="auto"/>
              </w:rPr>
            </w:pPr>
            <w:r>
              <w:rPr>
                <w:rFonts w:ascii="Arial" w:cs="Arial" w:eastAsia="Arial" w:hAnsi="Arial"/>
                <w:sz w:val="18"/>
                <w:szCs w:val="18"/>
                <w:b w:val="1"/>
                <w:bCs w:val="1"/>
                <w:color w:val="auto"/>
              </w:rPr>
              <w:t>13G</w:t>
            </w:r>
          </w:p>
        </w:tc>
        <w:tc>
          <w:tcPr>
            <w:tcW w:w="2500" w:type="dxa"/>
            <w:vAlign w:val="bottom"/>
          </w:tcPr>
          <w:p>
            <w:pPr>
              <w:ind w:left="1140"/>
              <w:spacing w:after="0"/>
              <w:rPr>
                <w:sz w:val="20"/>
                <w:szCs w:val="20"/>
                <w:color w:val="auto"/>
              </w:rPr>
            </w:pPr>
            <w:r>
              <w:rPr>
                <w:rFonts w:ascii="Arial" w:cs="Arial" w:eastAsia="Arial" w:hAnsi="Arial"/>
                <w:sz w:val="18"/>
                <w:szCs w:val="18"/>
                <w:b w:val="1"/>
                <w:bCs w:val="1"/>
                <w:color w:val="auto"/>
                <w:w w:val="86"/>
              </w:rPr>
              <w:t>Page 2 of 9 Pages</w:t>
            </w:r>
          </w:p>
        </w:tc>
        <w:tc>
          <w:tcPr>
            <w:tcW w:w="0" w:type="dxa"/>
            <w:vAlign w:val="bottom"/>
          </w:tcPr>
          <w:p>
            <w:pPr>
              <w:spacing w:after="0"/>
              <w:rPr>
                <w:sz w:val="1"/>
                <w:szCs w:val="1"/>
                <w:color w:val="auto"/>
              </w:rPr>
            </w:pPr>
          </w:p>
        </w:tc>
      </w:tr>
      <w:tr>
        <w:trPr>
          <w:trHeight w:val="672"/>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080" w:type="dxa"/>
            <w:vAlign w:val="bottom"/>
            <w:tcBorders>
              <w:bottom w:val="single" w:sz="8" w:color="auto"/>
            </w:tcBorders>
            <w:gridSpan w:val="2"/>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5"/>
              </w:rPr>
              <w:t>ING Groep N.V.</w:t>
            </w:r>
          </w:p>
        </w:tc>
        <w:tc>
          <w:tcPr>
            <w:tcW w:w="698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S.S. OR I.R.S. IDENTIFICATION NO. OF ABOVE PERSONS</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7080" w:type="dxa"/>
            <w:vAlign w:val="bottom"/>
            <w:tcBorders>
              <w:bottom w:val="single" w:sz="8" w:color="auto"/>
            </w:tcBorders>
            <w:gridSpan w:val="2"/>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40" w:type="dxa"/>
            <w:vAlign w:val="bottom"/>
            <w:tcBorders>
              <w:left w:val="single" w:sz="8" w:color="auto"/>
              <w:right w:val="single" w:sz="8" w:color="auto"/>
            </w:tcBorders>
          </w:tcPr>
          <w:p>
            <w:pPr>
              <w:spacing w:after="0"/>
              <w:rPr>
                <w:sz w:val="21"/>
                <w:szCs w:val="21"/>
                <w:color w:val="auto"/>
              </w:rPr>
            </w:pP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rPr>
              <w:t>Not Applicable</w:t>
            </w:r>
          </w:p>
        </w:tc>
        <w:tc>
          <w:tcPr>
            <w:tcW w:w="698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 w:type="dxa"/>
            <w:vAlign w:val="bottom"/>
            <w:tcBorders>
              <w:left w:val="single" w:sz="8" w:color="auto"/>
              <w:right w:val="single" w:sz="8" w:color="auto"/>
            </w:tcBorders>
            <w:vMerge w:val="continue"/>
          </w:tcPr>
          <w:p>
            <w:pPr>
              <w:spacing w:after="0"/>
              <w:rPr>
                <w:sz w:val="21"/>
                <w:szCs w:val="21"/>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980" w:type="dxa"/>
            <w:vAlign w:val="bottom"/>
            <w:tcBorders>
              <w:bottom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698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7080" w:type="dxa"/>
            <w:vAlign w:val="bottom"/>
            <w:tcBorders>
              <w:bottom w:val="single" w:sz="8" w:color="auto"/>
            </w:tcBorders>
            <w:gridSpan w:val="2"/>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w w:val="91"/>
              </w:rPr>
              <w:t>The Netherlands</w:t>
            </w:r>
          </w:p>
        </w:tc>
        <w:tc>
          <w:tcPr>
            <w:tcW w:w="69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13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Pr>
          <w:p>
            <w:pPr>
              <w:spacing w:after="0"/>
              <w:rPr>
                <w:sz w:val="24"/>
                <w:szCs w:val="24"/>
                <w:color w:val="auto"/>
              </w:rPr>
            </w:pPr>
          </w:p>
        </w:tc>
        <w:tc>
          <w:tcPr>
            <w:tcW w:w="4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 xml:space="preserve">4,954,647 </w:t>
            </w:r>
            <w:r>
              <w:rPr>
                <w:rFonts w:ascii="Arial" w:cs="Arial" w:eastAsia="Arial" w:hAnsi="Arial"/>
                <w:sz w:val="30"/>
                <w:szCs w:val="30"/>
                <w:color w:val="auto"/>
                <w:vertAlign w:val="superscript"/>
              </w:rPr>
              <w:t>1 2</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340" w:type="dxa"/>
            <w:vAlign w:val="bottom"/>
            <w:tcBorders>
              <w:left w:val="single" w:sz="8" w:color="auto"/>
              <w:right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98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40" w:type="dxa"/>
            <w:vAlign w:val="bottom"/>
            <w:tcBorders>
              <w:left w:val="single" w:sz="8" w:color="auto"/>
            </w:tcBorders>
            <w:gridSpan w:val="2"/>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2"/>
                <w:szCs w:val="22"/>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2"/>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2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4"/>
                <w:szCs w:val="24"/>
                <w:color w:val="auto"/>
              </w:rPr>
            </w:pPr>
          </w:p>
        </w:tc>
        <w:tc>
          <w:tcPr>
            <w:tcW w:w="4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 xml:space="preserve">4,954,647 </w:t>
            </w:r>
            <w:r>
              <w:rPr>
                <w:rFonts w:ascii="Arial" w:cs="Arial" w:eastAsia="Arial" w:hAnsi="Arial"/>
                <w:sz w:val="30"/>
                <w:szCs w:val="30"/>
                <w:color w:val="auto"/>
                <w:vertAlign w:val="superscript"/>
              </w:rPr>
              <w:t>1 2</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40" w:type="dxa"/>
            <w:vAlign w:val="bottom"/>
            <w:tcBorders>
              <w:left w:val="single" w:sz="8" w:color="auto"/>
            </w:tcBorders>
            <w:gridSpan w:val="2"/>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980" w:type="dxa"/>
            <w:vAlign w:val="bottom"/>
            <w:tcBorders>
              <w:bottom w:val="single" w:sz="8" w:color="auto"/>
            </w:tcBorders>
            <w:vMerge w:val="continue"/>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9"/>
        </w:trPr>
        <w:tc>
          <w:tcPr>
            <w:tcW w:w="1040" w:type="dxa"/>
            <w:vAlign w:val="bottom"/>
            <w:tcBorders>
              <w:left w:val="single" w:sz="8" w:color="auto"/>
            </w:tcBorders>
            <w:gridSpan w:val="2"/>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9"/>
              </w:rPr>
              <w:t>4,954,647</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4"/>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15,400 Custodian shares</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8.24%</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ind w:left="120" w:hanging="112"/>
        <w:spacing w:after="0" w:line="213"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3,725,187 of these shares are held by indirect subsidiaries of ING Groep N.V. in their role as a discretionary manager of client portfolios.</w:t>
      </w:r>
    </w:p>
    <w:p>
      <w:pPr>
        <w:spacing w:after="0" w:line="97" w:lineRule="exact"/>
        <w:rPr>
          <w:rFonts w:ascii="Arial" w:cs="Arial" w:eastAsia="Arial" w:hAnsi="Arial"/>
          <w:sz w:val="30"/>
          <w:szCs w:val="30"/>
          <w:color w:val="auto"/>
          <w:vertAlign w:val="superscript"/>
        </w:rPr>
      </w:pP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12,460 of these shares are held by indirect subsidiaries of ING Groep N.V. in their role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931"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1980" w:type="dxa"/>
            <w:vAlign w:val="bottom"/>
            <w:gridSpan w:val="6"/>
          </w:tcPr>
          <w:p>
            <w:pPr>
              <w:spacing w:after="0"/>
              <w:rPr>
                <w:sz w:val="20"/>
                <w:szCs w:val="20"/>
                <w:color w:val="auto"/>
              </w:rPr>
            </w:pPr>
            <w:r>
              <w:rPr>
                <w:rFonts w:ascii="Arial" w:cs="Arial" w:eastAsia="Arial" w:hAnsi="Arial"/>
                <w:sz w:val="18"/>
                <w:szCs w:val="18"/>
                <w:b w:val="1"/>
                <w:bCs w:val="1"/>
                <w:color w:val="auto"/>
              </w:rPr>
              <w:t>CUSIP No. 313747206</w:t>
            </w:r>
          </w:p>
        </w:tc>
        <w:tc>
          <w:tcPr>
            <w:tcW w:w="6980" w:type="dxa"/>
            <w:vAlign w:val="bottom"/>
          </w:tcPr>
          <w:p>
            <w:pPr>
              <w:ind w:left="3580"/>
              <w:spacing w:after="0"/>
              <w:rPr>
                <w:sz w:val="20"/>
                <w:szCs w:val="20"/>
                <w:color w:val="auto"/>
              </w:rPr>
            </w:pPr>
            <w:r>
              <w:rPr>
                <w:rFonts w:ascii="Arial" w:cs="Arial" w:eastAsia="Arial" w:hAnsi="Arial"/>
                <w:sz w:val="18"/>
                <w:szCs w:val="18"/>
                <w:b w:val="1"/>
                <w:bCs w:val="1"/>
                <w:color w:val="auto"/>
              </w:rPr>
              <w:t>13G</w:t>
            </w:r>
          </w:p>
        </w:tc>
        <w:tc>
          <w:tcPr>
            <w:tcW w:w="2500" w:type="dxa"/>
            <w:vAlign w:val="bottom"/>
          </w:tcPr>
          <w:p>
            <w:pPr>
              <w:ind w:left="1140"/>
              <w:spacing w:after="0"/>
              <w:rPr>
                <w:sz w:val="20"/>
                <w:szCs w:val="20"/>
                <w:color w:val="auto"/>
              </w:rPr>
            </w:pPr>
            <w:r>
              <w:rPr>
                <w:rFonts w:ascii="Arial" w:cs="Arial" w:eastAsia="Arial" w:hAnsi="Arial"/>
                <w:sz w:val="18"/>
                <w:szCs w:val="18"/>
                <w:b w:val="1"/>
                <w:bCs w:val="1"/>
                <w:color w:val="auto"/>
                <w:w w:val="86"/>
              </w:rPr>
              <w:t>Page 3 of 9 Pages</w:t>
            </w:r>
          </w:p>
        </w:tc>
        <w:tc>
          <w:tcPr>
            <w:tcW w:w="0" w:type="dxa"/>
            <w:vAlign w:val="bottom"/>
          </w:tcPr>
          <w:p>
            <w:pPr>
              <w:spacing w:after="0"/>
              <w:rPr>
                <w:sz w:val="1"/>
                <w:szCs w:val="1"/>
                <w:color w:val="auto"/>
              </w:rPr>
            </w:pPr>
          </w:p>
        </w:tc>
      </w:tr>
      <w:tr>
        <w:trPr>
          <w:trHeight w:val="672"/>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080" w:type="dxa"/>
            <w:vAlign w:val="bottom"/>
            <w:tcBorders>
              <w:bottom w:val="single" w:sz="8" w:color="auto"/>
            </w:tcBorders>
            <w:gridSpan w:val="2"/>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right w:val="single" w:sz="8" w:color="auto"/>
            </w:tcBorders>
          </w:tcPr>
          <w:p>
            <w:pPr>
              <w:spacing w:after="0"/>
              <w:rPr>
                <w:sz w:val="22"/>
                <w:szCs w:val="22"/>
                <w:color w:val="auto"/>
              </w:rPr>
            </w:pP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 xml:space="preserve">ING Clarion Real Estate Securities, L.P. </w:t>
            </w:r>
            <w:r>
              <w:rPr>
                <w:rFonts w:ascii="Arial" w:cs="Arial" w:eastAsia="Arial" w:hAnsi="Arial"/>
                <w:sz w:val="30"/>
                <w:szCs w:val="30"/>
                <w:color w:val="auto"/>
                <w:vertAlign w:val="superscript"/>
              </w:rPr>
              <w:t>3</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40" w:type="dxa"/>
            <w:vAlign w:val="bottom"/>
            <w:tcBorders>
              <w:left w:val="single" w:sz="8" w:color="auto"/>
              <w:right w:val="single" w:sz="8" w:color="auto"/>
            </w:tcBorders>
          </w:tcPr>
          <w:p>
            <w:pPr>
              <w:spacing w:after="0"/>
              <w:rPr>
                <w:sz w:val="22"/>
                <w:szCs w:val="22"/>
                <w:color w:val="auto"/>
              </w:rPr>
            </w:pP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S.S. OR I.R.S. IDENTIFICATION NO. OF ABOVE PERSONS</w:t>
            </w: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7080" w:type="dxa"/>
            <w:vAlign w:val="bottom"/>
            <w:tcBorders>
              <w:bottom w:val="single" w:sz="8" w:color="auto"/>
            </w:tcBorders>
            <w:gridSpan w:val="2"/>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40" w:type="dxa"/>
            <w:vAlign w:val="bottom"/>
            <w:tcBorders>
              <w:left w:val="single" w:sz="8" w:color="auto"/>
              <w:right w:val="single" w:sz="8" w:color="auto"/>
            </w:tcBorders>
          </w:tcPr>
          <w:p>
            <w:pPr>
              <w:spacing w:after="0"/>
              <w:rPr>
                <w:sz w:val="21"/>
                <w:szCs w:val="21"/>
                <w:color w:val="auto"/>
              </w:rPr>
            </w:pP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rPr>
              <w:t>Not Applicable</w:t>
            </w:r>
          </w:p>
        </w:tc>
        <w:tc>
          <w:tcPr>
            <w:tcW w:w="6980" w:type="dxa"/>
            <w:vAlign w:val="bottom"/>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 w:type="dxa"/>
            <w:vAlign w:val="bottom"/>
            <w:tcBorders>
              <w:left w:val="single" w:sz="8" w:color="auto"/>
              <w:right w:val="single" w:sz="8" w:color="auto"/>
            </w:tcBorders>
            <w:vMerge w:val="continue"/>
          </w:tcPr>
          <w:p>
            <w:pPr>
              <w:spacing w:after="0"/>
              <w:rPr>
                <w:sz w:val="21"/>
                <w:szCs w:val="21"/>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980" w:type="dxa"/>
            <w:vAlign w:val="bottom"/>
            <w:tcBorders>
              <w:bottom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698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7080" w:type="dxa"/>
            <w:vAlign w:val="bottom"/>
            <w:tcBorders>
              <w:bottom w:val="single" w:sz="8" w:color="auto"/>
            </w:tcBorders>
            <w:gridSpan w:val="2"/>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32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201 King of Prussia Road, Suite 600, Radnor, PA 19087</w:t>
            </w: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1,542,402</w:t>
            </w: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2"/>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2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3,800</w:t>
            </w: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2"/>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2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2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2"/>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3,417,442</w:t>
            </w: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2"/>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9"/>
              </w:rPr>
              <w:t>3,417,442</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tcPr>
          <w:p>
            <w:pPr>
              <w:spacing w:after="0"/>
              <w:rPr>
                <w:sz w:val="23"/>
                <w:szCs w:val="23"/>
                <w:color w:val="auto"/>
              </w:rPr>
            </w:pP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4"/>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rPr>
              <w:t>Not Applicable</w:t>
            </w:r>
          </w:p>
        </w:tc>
        <w:tc>
          <w:tcPr>
            <w:tcW w:w="698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98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5.83%</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32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ind w:left="120" w:hanging="112"/>
        <w:spacing w:after="0" w:line="213"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ING Clarion Real Estate Securities, L.P. is a wholly owned indirect subsidiary of ING Groep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393065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931"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CUSIP No. 313747206</w:t>
            </w:r>
          </w:p>
        </w:tc>
        <w:tc>
          <w:tcPr>
            <w:tcW w:w="3920" w:type="dxa"/>
            <w:vAlign w:val="bottom"/>
          </w:tcPr>
          <w:p>
            <w:pPr>
              <w:ind w:left="1480"/>
              <w:spacing w:after="0"/>
              <w:rPr>
                <w:sz w:val="20"/>
                <w:szCs w:val="20"/>
                <w:color w:val="auto"/>
              </w:rPr>
            </w:pPr>
            <w:r>
              <w:rPr>
                <w:rFonts w:ascii="Arial" w:cs="Arial" w:eastAsia="Arial" w:hAnsi="Arial"/>
                <w:sz w:val="18"/>
                <w:szCs w:val="18"/>
                <w:b w:val="1"/>
                <w:bCs w:val="1"/>
                <w:color w:val="auto"/>
              </w:rPr>
              <w:t>13G</w:t>
            </w:r>
          </w:p>
        </w:tc>
        <w:tc>
          <w:tcPr>
            <w:tcW w:w="3420" w:type="dxa"/>
            <w:vAlign w:val="bottom"/>
          </w:tcPr>
          <w:p>
            <w:pPr>
              <w:ind w:left="2100"/>
              <w:spacing w:after="0"/>
              <w:rPr>
                <w:sz w:val="20"/>
                <w:szCs w:val="20"/>
                <w:color w:val="auto"/>
              </w:rPr>
            </w:pPr>
            <w:r>
              <w:rPr>
                <w:rFonts w:ascii="Arial" w:cs="Arial" w:eastAsia="Arial" w:hAnsi="Arial"/>
                <w:sz w:val="18"/>
                <w:szCs w:val="18"/>
                <w:b w:val="1"/>
                <w:bCs w:val="1"/>
                <w:color w:val="auto"/>
                <w:w w:val="84"/>
              </w:rPr>
              <w:t>Page 4 of 9 Pages</w:t>
            </w: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3020" w:type="dxa"/>
            <w:vAlign w:val="bottom"/>
          </w:tcPr>
          <w:p>
            <w:pPr>
              <w:ind w:left="300"/>
              <w:spacing w:after="0"/>
              <w:rPr>
                <w:sz w:val="20"/>
                <w:szCs w:val="20"/>
                <w:color w:val="auto"/>
              </w:rPr>
            </w:pPr>
            <w:r>
              <w:rPr>
                <w:rFonts w:ascii="Arial" w:cs="Arial" w:eastAsia="Arial" w:hAnsi="Arial"/>
                <w:sz w:val="18"/>
                <w:szCs w:val="18"/>
                <w:b w:val="1"/>
                <w:bCs w:val="1"/>
                <w:color w:val="auto"/>
              </w:rPr>
              <w:t>Name of Issuer:</w:t>
            </w:r>
          </w:p>
        </w:tc>
        <w:tc>
          <w:tcPr>
            <w:tcW w:w="39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2" w:lineRule="exact"/>
        <w:rPr>
          <w:sz w:val="20"/>
          <w:szCs w:val="20"/>
          <w:color w:val="auto"/>
        </w:rPr>
      </w:pPr>
    </w:p>
    <w:p>
      <w:pPr>
        <w:jc w:val="center"/>
        <w:ind w:right="6380"/>
        <w:spacing w:after="0"/>
        <w:rPr>
          <w:sz w:val="20"/>
          <w:szCs w:val="20"/>
          <w:color w:val="auto"/>
        </w:rPr>
      </w:pPr>
      <w:r>
        <w:rPr>
          <w:rFonts w:ascii="Arial" w:cs="Arial" w:eastAsia="Arial" w:hAnsi="Arial"/>
          <w:sz w:val="18"/>
          <w:szCs w:val="18"/>
          <w:color w:val="auto"/>
        </w:rPr>
        <w:t>Federal Realty Investment Trust</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Rockville, MD 20852-4041</w:t>
      </w:r>
    </w:p>
    <w:p>
      <w:pPr>
        <w:spacing w:after="0" w:line="20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ING Groep N.V.</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ING Clarion Real Estate Securities, L.P.</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ING Groep N.V.:</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Amstelveenseweg 500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1081 KL Amsterdam</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P.O. Box 810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1000 AV Amsterdam</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Netherlands</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ING Clarion Real Estate Securities, L.P.: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201 King of Prussia Road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Suite 600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Radnor, PA 19087</w:t>
      </w:r>
    </w:p>
    <w:p>
      <w:pPr>
        <w:spacing w:after="0" w:line="20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See item 4 on Page 2</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See item 4 on Page 3</w:t>
      </w:r>
    </w:p>
    <w:p>
      <w:pPr>
        <w:spacing w:after="0" w:line="20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313747206</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700" w:hanging="23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Securities Exchange Act of 1934, as amended (the “Exchange Act”);</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313747206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9 Pages</w:t>
      </w:r>
    </w:p>
    <w:p>
      <w:pPr>
        <w:spacing w:after="0" w:line="229" w:lineRule="exact"/>
        <w:rPr>
          <w:sz w:val="20"/>
          <w:szCs w:val="20"/>
          <w:color w:val="auto"/>
        </w:rPr>
      </w:pPr>
    </w:p>
    <w:p>
      <w:pPr>
        <w:ind w:left="700" w:hanging="23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as amended (the “Investment Company Act”);</w:t>
      </w:r>
    </w:p>
    <w:p>
      <w:pPr>
        <w:spacing w:after="0" w:line="225" w:lineRule="exact"/>
        <w:rPr>
          <w:rFonts w:ascii="Arial" w:cs="Arial" w:eastAsia="Arial" w:hAnsi="Arial"/>
          <w:sz w:val="18"/>
          <w:szCs w:val="18"/>
          <w:color w:val="auto"/>
        </w:rPr>
      </w:pPr>
    </w:p>
    <w:p>
      <w:pPr>
        <w:ind w:left="700" w:hanging="23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adviser in accordance with Rule 13d-1(b)(1)(ii)(E) under the Exchange Act;</w:t>
      </w:r>
    </w:p>
    <w:p>
      <w:pPr>
        <w:spacing w:after="0" w:line="225" w:lineRule="exact"/>
        <w:rPr>
          <w:rFonts w:ascii="Arial" w:cs="Arial" w:eastAsia="Arial" w:hAnsi="Arial"/>
          <w:sz w:val="18"/>
          <w:szCs w:val="18"/>
          <w:color w:val="auto"/>
        </w:rPr>
      </w:pPr>
    </w:p>
    <w:p>
      <w:pPr>
        <w:ind w:left="700" w:hanging="22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Employee benefit plan or endowment fund in accordance with Rule 13d-1(b)(1)(ii)(F) under the Exchange Act;</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Parent holding company or control person in accordance with Rule 13d-1(b)(ii)(G) under the Exchange Act;</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Savings association as defined in Section 3(b) of the Federal Deposit Insurance Act;</w:t>
      </w:r>
    </w:p>
    <w:p>
      <w:pPr>
        <w:sectPr>
          <w:pgSz w:w="11900" w:h="16838" w:orient="portrait"/>
          <w:cols w:equalWidth="0" w:num="1">
            <w:col w:w="11420"/>
          </w:cols>
          <w:pgMar w:left="240" w:top="931" w:right="239" w:bottom="1440" w:gutter="0" w:footer="0" w:header="0"/>
        </w:sectPr>
      </w:pP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 o</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(j) 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560"/>
        <w:spacing w:after="0" w:line="498" w:lineRule="auto"/>
        <w:rPr>
          <w:sz w:val="20"/>
          <w:szCs w:val="20"/>
          <w:color w:val="auto"/>
        </w:rPr>
      </w:pPr>
      <w:r>
        <w:rPr>
          <w:rFonts w:ascii="Arial" w:cs="Arial" w:eastAsia="Arial" w:hAnsi="Arial"/>
          <w:sz w:val="18"/>
          <w:szCs w:val="18"/>
          <w:color w:val="auto"/>
        </w:rPr>
        <w:t>Church plan that is excluded from the definition of an investment company under Section 3(c)(14) of the Investment Company Act; Group in accordance with Rule 13d-1(b)(1)(ii)(J) under the Exchange Act.</w:t>
      </w:r>
    </w:p>
    <w:p>
      <w:pPr>
        <w:spacing w:after="0" w:line="1" w:lineRule="exact"/>
        <w:rPr>
          <w:sz w:val="20"/>
          <w:szCs w:val="20"/>
          <w:color w:val="auto"/>
        </w:rPr>
      </w:pPr>
    </w:p>
    <w:p>
      <w:pPr>
        <w:sectPr>
          <w:pgSz w:w="11900" w:h="16838" w:orient="portrait"/>
          <w:cols w:equalWidth="0" w:num="2">
            <w:col w:w="780" w:space="580"/>
            <w:col w:w="10060"/>
          </w:cols>
          <w:pgMar w:left="240" w:top="93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144" w:lineRule="exact"/>
        <w:rPr>
          <w:sz w:val="20"/>
          <w:szCs w:val="20"/>
          <w:color w:val="auto"/>
        </w:rPr>
      </w:pPr>
    </w:p>
    <w:p>
      <w:pPr>
        <w:sectPr>
          <w:pgSz w:w="11900" w:h="16838" w:orient="portrait"/>
          <w:cols w:equalWidth="0" w:num="2">
            <w:col w:w="640" w:space="720"/>
            <w:col w:w="10060"/>
          </w:cols>
          <w:pgMar w:left="240" w:top="931" w:right="2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See item 9 on Page 2</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See item 9 on Page 3</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See item 11 on Page 2</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See item 11 on Page 3</w:t>
      </w:r>
    </w:p>
    <w:p>
      <w:pPr>
        <w:spacing w:after="0" w:line="103" w:lineRule="exact"/>
        <w:rPr>
          <w:sz w:val="20"/>
          <w:szCs w:val="20"/>
          <w:color w:val="auto"/>
        </w:rPr>
      </w:pPr>
    </w:p>
    <w:p>
      <w:pPr>
        <w:ind w:left="620" w:hanging="24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40" w:hanging="1059"/>
        <w:spacing w:after="0"/>
        <w:tabs>
          <w:tab w:leader="none" w:pos="1840" w:val="left"/>
        </w:tabs>
        <w:numPr>
          <w:ilvl w:val="1"/>
          <w:numId w:val="7"/>
        </w:numPr>
        <w:rPr>
          <w:rFonts w:ascii="Arial" w:cs="Arial" w:eastAsia="Arial" w:hAnsi="Arial"/>
          <w:sz w:val="17"/>
          <w:szCs w:val="17"/>
          <w:color w:val="auto"/>
        </w:rPr>
      </w:pPr>
      <w:r>
        <w:rPr>
          <w:rFonts w:ascii="Arial" w:cs="Arial" w:eastAsia="Arial" w:hAnsi="Arial"/>
          <w:sz w:val="17"/>
          <w:szCs w:val="17"/>
          <w:color w:val="auto"/>
        </w:rPr>
        <w:t>Sole power to vote or to direct the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40" w:hanging="1084"/>
        <w:spacing w:after="0"/>
        <w:tabs>
          <w:tab w:leader="none" w:pos="1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power to vote or to direct the vote:</w:t>
      </w:r>
    </w:p>
    <w:p>
      <w:pPr>
        <w:spacing w:after="0" w:line="248" w:lineRule="exact"/>
        <w:rPr>
          <w:rFonts w:ascii="Arial" w:cs="Arial" w:eastAsia="Arial" w:hAnsi="Arial"/>
          <w:sz w:val="16"/>
          <w:szCs w:val="16"/>
          <w:color w:val="auto"/>
        </w:rPr>
      </w:pPr>
    </w:p>
    <w:p>
      <w:pPr>
        <w:jc w:val="both"/>
        <w:ind w:left="1840" w:right="8060"/>
        <w:spacing w:after="0" w:line="381" w:lineRule="auto"/>
        <w:rPr>
          <w:rFonts w:ascii="Arial" w:cs="Arial" w:eastAsia="Arial" w:hAnsi="Arial"/>
          <w:sz w:val="16"/>
          <w:szCs w:val="16"/>
          <w:color w:val="auto"/>
        </w:rPr>
      </w:pPr>
      <w:r>
        <w:rPr>
          <w:rFonts w:ascii="Arial" w:cs="Arial" w:eastAsia="Arial" w:hAnsi="Arial"/>
          <w:sz w:val="15"/>
          <w:szCs w:val="15"/>
          <w:color w:val="auto"/>
        </w:rPr>
        <w:t>See item 6 on Page 2 See item 6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6" w:name="page7"/>
    <w:bookmarkEnd w:id="6"/>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313747206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9 Pages</w:t>
      </w:r>
    </w:p>
    <w:p>
      <w:pPr>
        <w:spacing w:after="0" w:line="229" w:lineRule="exact"/>
        <w:rPr>
          <w:sz w:val="20"/>
          <w:szCs w:val="20"/>
          <w:color w:val="auto"/>
        </w:rPr>
      </w:pPr>
    </w:p>
    <w:p>
      <w:pPr>
        <w:ind w:left="1840" w:hanging="1109"/>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jc w:val="both"/>
        <w:ind w:left="1840" w:right="8060"/>
        <w:spacing w:after="0" w:line="381" w:lineRule="auto"/>
        <w:rPr>
          <w:rFonts w:ascii="Arial" w:cs="Arial" w:eastAsia="Arial" w:hAnsi="Arial"/>
          <w:sz w:val="18"/>
          <w:szCs w:val="18"/>
          <w:color w:val="auto"/>
        </w:rPr>
      </w:pPr>
      <w:r>
        <w:rPr>
          <w:rFonts w:ascii="Arial" w:cs="Arial" w:eastAsia="Arial" w:hAnsi="Arial"/>
          <w:sz w:val="15"/>
          <w:szCs w:val="15"/>
          <w:color w:val="auto"/>
        </w:rPr>
        <w:t>See item 7 on Page 2 See item 7 on Page 3</w:t>
      </w:r>
    </w:p>
    <w:p>
      <w:pPr>
        <w:spacing w:after="0" w:line="100" w:lineRule="exact"/>
        <w:rPr>
          <w:rFonts w:ascii="Arial" w:cs="Arial" w:eastAsia="Arial" w:hAnsi="Arial"/>
          <w:sz w:val="18"/>
          <w:szCs w:val="18"/>
          <w:color w:val="auto"/>
        </w:rPr>
      </w:pPr>
    </w:p>
    <w:p>
      <w:pPr>
        <w:ind w:left="1840" w:hanging="1104"/>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0420" w:type="dxa"/>
            <w:vAlign w:val="bottom"/>
          </w:tcPr>
          <w:p>
            <w:pPr>
              <w:ind w:left="840"/>
              <w:spacing w:after="0"/>
              <w:rPr>
                <w:sz w:val="20"/>
                <w:szCs w:val="20"/>
                <w:color w:val="auto"/>
              </w:rPr>
            </w:pPr>
            <w:r>
              <w:rPr>
                <w:rFonts w:ascii="Arial" w:cs="Arial" w:eastAsia="Arial" w:hAnsi="Arial"/>
                <w:sz w:val="18"/>
                <w:szCs w:val="18"/>
                <w:color w:val="auto"/>
              </w:rPr>
              <w:t>See item 8 on Page 2</w:t>
            </w:r>
          </w:p>
        </w:tc>
      </w:tr>
      <w:tr>
        <w:trPr>
          <w:trHeight w:val="230"/>
        </w:trPr>
        <w:tc>
          <w:tcPr>
            <w:tcW w:w="1000" w:type="dxa"/>
            <w:vAlign w:val="bottom"/>
          </w:tcPr>
          <w:p>
            <w:pPr>
              <w:spacing w:after="0"/>
              <w:rPr>
                <w:sz w:val="20"/>
                <w:szCs w:val="20"/>
                <w:color w:val="auto"/>
              </w:rPr>
            </w:pPr>
          </w:p>
        </w:tc>
        <w:tc>
          <w:tcPr>
            <w:tcW w:w="10420" w:type="dxa"/>
            <w:vAlign w:val="bottom"/>
          </w:tcPr>
          <w:p>
            <w:pPr>
              <w:ind w:left="840"/>
              <w:spacing w:after="0"/>
              <w:rPr>
                <w:sz w:val="20"/>
                <w:szCs w:val="20"/>
                <w:color w:val="auto"/>
              </w:rPr>
            </w:pPr>
            <w:r>
              <w:rPr>
                <w:rFonts w:ascii="Arial" w:cs="Arial" w:eastAsia="Arial" w:hAnsi="Arial"/>
                <w:sz w:val="18"/>
                <w:szCs w:val="18"/>
                <w:color w:val="auto"/>
              </w:rPr>
              <w:t>See item 8 on Page 3</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2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32"/>
        </w:trPr>
        <w:tc>
          <w:tcPr>
            <w:tcW w:w="100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100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20" w:type="dxa"/>
            <w:vAlign w:val="bottom"/>
          </w:tcPr>
          <w:p>
            <w:pPr>
              <w:ind w:left="36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1000" w:type="dxa"/>
            <w:vAlign w:val="bottom"/>
          </w:tcPr>
          <w:p>
            <w:pPr>
              <w:spacing w:after="0"/>
              <w:rPr>
                <w:sz w:val="20"/>
                <w:szCs w:val="20"/>
                <w:color w:val="auto"/>
              </w:rPr>
            </w:pPr>
          </w:p>
        </w:tc>
        <w:tc>
          <w:tcPr>
            <w:tcW w:w="10420" w:type="dxa"/>
            <w:vAlign w:val="bottom"/>
          </w:tcPr>
          <w:p>
            <w:pPr>
              <w:ind w:left="36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100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2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100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2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100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2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418"/>
        </w:trPr>
        <w:tc>
          <w:tcPr>
            <w:tcW w:w="1000" w:type="dxa"/>
            <w:vAlign w:val="bottom"/>
          </w:tcPr>
          <w:p>
            <w:pPr>
              <w:spacing w:after="0"/>
              <w:rPr>
                <w:sz w:val="24"/>
                <w:szCs w:val="24"/>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w w:val="93"/>
              </w:rPr>
              <w:t>By signing below we certify that, to the best of our knowledge and belief, the securities referred to above were not acquired and are not</w:t>
            </w:r>
          </w:p>
        </w:tc>
      </w:tr>
      <w:tr>
        <w:trPr>
          <w:trHeight w:val="216"/>
        </w:trPr>
        <w:tc>
          <w:tcPr>
            <w:tcW w:w="1000" w:type="dxa"/>
            <w:vAlign w:val="bottom"/>
          </w:tcPr>
          <w:p>
            <w:pPr>
              <w:spacing w:after="0"/>
              <w:rPr>
                <w:sz w:val="18"/>
                <w:szCs w:val="18"/>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w w:val="91"/>
              </w:rPr>
              <w:t>held for the purpose of or with the effect of changing or influencing the control of the issuer of the securities and were not acquired and are</w:t>
            </w:r>
          </w:p>
        </w:tc>
      </w:tr>
      <w:tr>
        <w:trPr>
          <w:trHeight w:val="230"/>
        </w:trPr>
        <w:tc>
          <w:tcPr>
            <w:tcW w:w="1000" w:type="dxa"/>
            <w:vAlign w:val="bottom"/>
          </w:tcPr>
          <w:p>
            <w:pPr>
              <w:spacing w:after="0"/>
              <w:rPr>
                <w:sz w:val="20"/>
                <w:szCs w:val="20"/>
                <w:color w:val="auto"/>
              </w:rPr>
            </w:pPr>
          </w:p>
        </w:tc>
        <w:tc>
          <w:tcPr>
            <w:tcW w:w="10420" w:type="dxa"/>
            <w:vAlign w:val="bottom"/>
          </w:tcPr>
          <w:p>
            <w:pPr>
              <w:ind w:left="360"/>
              <w:spacing w:after="0"/>
              <w:rPr>
                <w:sz w:val="20"/>
                <w:szCs w:val="20"/>
                <w:color w:val="auto"/>
              </w:rPr>
            </w:pPr>
            <w:r>
              <w:rPr>
                <w:rFonts w:ascii="Arial" w:cs="Arial" w:eastAsia="Arial" w:hAnsi="Arial"/>
                <w:sz w:val="18"/>
                <w:szCs w:val="18"/>
                <w:color w:val="auto"/>
              </w:rPr>
              <w:t>not held in connection with or as a participant in any transaction having that purpose or effect.</w:t>
            </w:r>
          </w:p>
        </w:tc>
      </w:tr>
      <w:tr>
        <w:trPr>
          <w:trHeight w:val="632"/>
        </w:trPr>
        <w:tc>
          <w:tcPr>
            <w:tcW w:w="1000" w:type="dxa"/>
            <w:vAlign w:val="bottom"/>
            <w:tcBorders>
              <w:bottom w:val="single" w:sz="8" w:color="808080"/>
            </w:tcBorders>
          </w:tcPr>
          <w:p>
            <w:pPr>
              <w:spacing w:after="0"/>
              <w:rPr>
                <w:sz w:val="24"/>
                <w:szCs w:val="24"/>
                <w:color w:val="auto"/>
              </w:rPr>
            </w:pPr>
          </w:p>
        </w:tc>
        <w:tc>
          <w:tcPr>
            <w:tcW w:w="10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313747206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9 Pages</w:t>
      </w:r>
    </w:p>
    <w:p>
      <w:pPr>
        <w:sectPr>
          <w:pgSz w:w="11900" w:h="16838" w:orient="portrait"/>
          <w:cols w:equalWidth="0" w:num="1">
            <w:col w:w="11420"/>
          </w:cols>
          <w:pgMar w:left="240" w:top="931"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February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3181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ING GROEP N.V.</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Eric E. Ribbers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5715</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Eric E. Ribbers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5715</wp:posOffset>
            </wp:positionV>
            <wp:extent cx="31813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Carl-Eric M. Rasch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3181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Carl-Eric M. Rasch</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Head of Compliance, Regulator &amp; Industry Body</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Liaison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5715</wp:posOffset>
            </wp:positionV>
            <wp:extent cx="31813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8" w:name="page9"/>
    <w:bookmarkEnd w:id="8"/>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313747206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9 Pages</w:t>
      </w:r>
    </w:p>
    <w:p>
      <w:pPr>
        <w:sectPr>
          <w:pgSz w:w="11900" w:h="16838" w:orient="portrait"/>
          <w:cols w:equalWidth="0" w:num="1">
            <w:col w:w="11420"/>
          </w:cols>
          <w:pgMar w:left="240" w:top="931"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ING CLARION REAL ESTATE SECURITIES,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William Zitelli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Zitelli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9" w:name="page10"/>
    <w:bookmarkEnd w:id="9"/>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313747206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9 Pages</w:t>
      </w:r>
    </w:p>
    <w:p>
      <w:pPr>
        <w:spacing w:after="0" w:line="33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Exhibit A to Schedule 13G</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Joint Filing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103" w:lineRule="exact"/>
        <w:rPr>
          <w:sz w:val="20"/>
          <w:szCs w:val="20"/>
          <w:color w:val="auto"/>
        </w:rPr>
      </w:pPr>
    </w:p>
    <w:p>
      <w:pPr>
        <w:ind w:right="120" w:firstLine="447"/>
        <w:spacing w:after="0" w:line="277"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ING Groep N.V.</w:t>
      </w:r>
    </w:p>
    <w:p>
      <w:pPr>
        <w:spacing w:after="0" w:line="62" w:lineRule="exact"/>
        <w:rPr>
          <w:sz w:val="20"/>
          <w:szCs w:val="20"/>
          <w:color w:val="auto"/>
        </w:rPr>
      </w:pPr>
    </w:p>
    <w:p>
      <w:pPr>
        <w:ind w:right="40" w:firstLine="450"/>
        <w:spacing w:after="0" w:line="308" w:lineRule="auto"/>
        <w:rPr>
          <w:sz w:val="20"/>
          <w:szCs w:val="20"/>
          <w:color w:val="auto"/>
        </w:rPr>
      </w:pPr>
      <w:r>
        <w:rPr>
          <w:rFonts w:ascii="Arial" w:cs="Arial" w:eastAsia="Arial" w:hAnsi="Arial"/>
          <w:sz w:val="17"/>
          <w:szCs w:val="17"/>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2008</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ING GROEP N.V.</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Eric E. Ribbers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Eric E. Ribbers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Compliance Officer</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Carl-Eric M. Rasch</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Carl-Eric M. Rasch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Head of Compliance, Regulator &amp; Industry Body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Liaison Netherlands</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ING CLARION REAL ESTATE SECURITIES, L.P.</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William Zitelli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William Zitelli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Chief Compliance Officer</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3"/>
    </w:lvl>
    <w:lvl w:ilvl="1">
      <w:lvlJc w:val="left"/>
      <w:lvlText w:val="(%2)"/>
      <w:numFmt w:val="lowerLetter"/>
      <w:start w:val="9"/>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2019-12-11T12:14:14Z</dcterms:created>
  <dcterms:modified xsi:type="dcterms:W3CDTF">2019-12-11T12:14:14Z</dcterms:modified>
</cp:coreProperties>
</file>