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April 10, 2023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333-262016-01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April 10, 2023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January 5, 2022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$350,000,000 5.375% Notes due 2028</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Sheet dated April 10, 2023</w:t>
      </w:r>
    </w:p>
    <w:p>
      <w:pPr>
        <w:sectPr>
          <w:pgSz w:w="11900" w:h="16838" w:orient="portrait"/>
          <w:cols w:equalWidth="0" w:num="1">
            <w:col w:w="11020"/>
          </w:cols>
          <w:pgMar w:left="440" w:top="229" w:right="43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Federal Realty OP LP</w:t>
      </w:r>
    </w:p>
    <w:p>
      <w:pPr>
        <w:spacing w:after="0" w:line="128"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5.375% Notes due 2028 (the “Notes”)</w:t>
      </w:r>
    </w:p>
    <w:p>
      <w:pPr>
        <w:spacing w:after="0" w:line="117"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$350,000,000</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Anticipated Ratings (Moody’s/S&amp;P)*: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Baa1/BBB+</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117"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April 12, 2023 (T+2)</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May 1, 2028</w:t>
      </w:r>
    </w:p>
    <w:p>
      <w:pPr>
        <w:spacing w:after="0" w:line="117"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May 1 and November 1, beginning on November 1, 2023</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3.625% due March 31, 2028</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100-15+ / 3.518%</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+195 basis points</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5.468%</w:t>
      </w:r>
    </w:p>
    <w:p>
      <w:pPr>
        <w:spacing w:after="0" w:line="117"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5.375% per year</w:t>
      </w:r>
    </w:p>
    <w:p>
      <w:pPr>
        <w:spacing w:after="0" w:line="129" w:lineRule="exact"/>
        <w:rPr>
          <w:sz w:val="24"/>
          <w:szCs w:val="24"/>
          <w:color w:val="auto"/>
        </w:rPr>
      </w:pPr>
    </w:p>
    <w:p>
      <w:pPr>
        <w:sectPr>
          <w:pgSz w:w="11900" w:h="16838" w:orient="portrait"/>
          <w:cols w:equalWidth="0" w:num="2">
            <w:col w:w="3140" w:space="720"/>
            <w:col w:w="716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99.590% of the principal amount, plus accrued interest, if any, from April 12, 2023</w:t>
      </w:r>
    </w:p>
    <w:p>
      <w:pPr>
        <w:sectPr>
          <w:pgSz w:w="11900" w:h="16838" w:orient="portrait"/>
          <w:cols w:equalWidth="0" w:num="2">
            <w:col w:w="3140" w:space="720"/>
            <w:col w:w="7160"/>
          </w:cols>
          <w:pgMar w:left="440" w:top="229"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Redemption Provision: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Prior to April 1, 2028 (one month prior to their maturity date) (the “Par Call Date”), the Issuer may redeem the notes at its option, in whole or in part, at any time and from time to time, at a redemption price (expressed as a percentage of principal amount and rounded to three decimal places)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-722630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140" w:space="720"/>
            <w:col w:w="7140"/>
          </w:cols>
          <w:pgMar w:left="440" w:top="378" w:right="459" w:bottom="1440" w:gutter="0" w:footer="0" w:header="0"/>
        </w:sectPr>
      </w:pPr>
    </w:p>
    <w:p>
      <w:pPr>
        <w:ind w:left="3860" w:right="60"/>
        <w:spacing w:after="0" w:line="261"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pacing w:after="0" w:line="72" w:lineRule="exact"/>
        <w:rPr>
          <w:sz w:val="20"/>
          <w:szCs w:val="20"/>
          <w:color w:val="auto"/>
        </w:rPr>
      </w:pPr>
    </w:p>
    <w:p>
      <w:pPr>
        <w:ind w:left="3860" w:right="320"/>
        <w:spacing w:after="0" w:line="282" w:lineRule="auto"/>
        <w:rPr>
          <w:sz w:val="20"/>
          <w:szCs w:val="20"/>
          <w:color w:val="auto"/>
        </w:rPr>
      </w:pPr>
      <w:r>
        <w:rPr>
          <w:rFonts w:ascii="Times New Roman" w:cs="Times New Roman" w:eastAsia="Times New Roman" w:hAnsi="Times New Roman"/>
          <w:sz w:val="18"/>
          <w:szCs w:val="18"/>
          <w:color w:val="auto"/>
        </w:rPr>
        <w:t>(2) 100% of the principal amount of the notes to be redeemed, plus, in either case, accrued and unpaid interest thereon to the redemption date.</w:t>
      </w:r>
    </w:p>
    <w:p>
      <w:pPr>
        <w:spacing w:after="0" w:line="54" w:lineRule="exact"/>
        <w:rPr>
          <w:sz w:val="20"/>
          <w:szCs w:val="20"/>
          <w:color w:val="auto"/>
        </w:rPr>
      </w:pPr>
    </w:p>
    <w:p>
      <w:pPr>
        <w:jc w:val="both"/>
        <w:ind w:left="3860" w:right="60"/>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ectPr>
          <w:pgSz w:w="11900" w:h="16838" w:orient="portrait"/>
          <w:cols w:equalWidth="0" w:num="1">
            <w:col w:w="11000"/>
          </w:cols>
          <w:pgMar w:left="440" w:top="378" w:right="45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313747BC0 / US313747BC00</w:t>
      </w:r>
    </w:p>
    <w:p>
      <w:pPr>
        <w:spacing w:after="0" w:line="129" w:lineRule="exact"/>
        <w:rPr>
          <w:sz w:val="20"/>
          <w:szCs w:val="20"/>
          <w:color w:val="auto"/>
        </w:rPr>
      </w:pPr>
    </w:p>
    <w:p>
      <w:pPr>
        <w:sectPr>
          <w:pgSz w:w="11900" w:h="16838" w:orient="portrait"/>
          <w:cols w:equalWidth="0" w:num="2">
            <w:col w:w="3140" w:space="720"/>
            <w:col w:w="71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9" w:lineRule="exact"/>
        <w:rPr>
          <w:sz w:val="20"/>
          <w:szCs w:val="20"/>
          <w:color w:val="auto"/>
        </w:rPr>
      </w:pPr>
    </w:p>
    <w:p>
      <w:pPr>
        <w:sectPr>
          <w:pgSz w:w="11900" w:h="16838" w:orient="portrait"/>
          <w:cols w:equalWidth="0" w:num="2">
            <w:col w:w="3140" w:space="720"/>
            <w:col w:w="7140"/>
          </w:cols>
          <w:pgMar w:left="440" w:top="378"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A. Ramirez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228600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140"/>
          </w:cols>
          <w:pgMar w:left="440" w:top="378" w:right="45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A securities rating is not a recommendation to buy, sell or hold securities and may be subject to withdrawal or revision at any time.</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preliminary prospectus supplement and a prospectus) with the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b w:val="1"/>
          <w:bCs w:val="1"/>
          <w:color w:val="auto"/>
        </w:rPr>
        <w:t>”) for the offering to which this communication relates. Before you invest, you should read the preliminary prospectus supplement and the prospectus in that registration statement and other</w:t>
      </w:r>
    </w:p>
    <w:p>
      <w:pPr>
        <w:sectPr>
          <w:pgSz w:w="11900" w:h="16838" w:orient="portrait"/>
          <w:cols w:equalWidth="0" w:num="1">
            <w:col w:w="11000"/>
          </w:cols>
          <w:pgMar w:left="440" w:top="378" w:right="459" w:bottom="1440" w:gutter="0" w:footer="0" w:header="0"/>
          <w:type w:val="continuous"/>
        </w:sectPr>
      </w:pPr>
    </w:p>
    <w:bookmarkStart w:id="2" w:name="page3"/>
    <w:bookmarkEnd w:id="2"/>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the issuer has filed with the SEC for more complete information about the issuer and this offering. You may get these documents for free by visiting EDGAR on the SEC’s web site at www.sec.gov. Alternatively, the issuer, any underwriter or any dealer participating in the offering will arrange to send you the prospectus supplement and prospectus if you request it from (i) J.P. Morgan Securities LLC collect at 1-212-834-4533, (ii) PNC Capital Markets LLC toll-free at 1-855-881-0697, (iii) TD Securities (USA) LLC, toll-free at 1-855-495-9846 or (iv) BofA Securities, Inc. toll-free at 1-800-294-1322.</w:t>
      </w:r>
    </w:p>
    <w:p>
      <w:pPr>
        <w:spacing w:after="0" w:line="179"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2023-04-10T15:47:33Z</dcterms:created>
  <dcterms:modified xsi:type="dcterms:W3CDTF">2023-04-10T15:47:33Z</dcterms:modified>
</cp:coreProperties>
</file>