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6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52-0782497</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Rockville, Maryland 20852-4041</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263525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left="1140" w:right="12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May 3, 2016, the Board of Trustees of Federal Realty Investment Trust (“Trust”) appointed Donald C. Wood as the Trust’s principal financial officer and Melissa Solis as the Trust’s principal accounting officer upon the departure of James Taylor, the Trust’s Executive Vice President-Chief Financial Officer and Treasurer, who currently holds these designations. Mr. Wood currently serves as President and Chief Executive Officer of the Trust and will continue to serve in this position while serving as the principal financial officer. Ms. Solis currently serves as Vice President-Chief Accounting Officer of the Trust and will continue to serve in this position while serving as the principal accounting officer. Both of these appointments will become effective as of the close of business on May 19, 2016, the last day of Mr. Taylor’s employment with the Trust.</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Ms. Solis, 38, has served as the Trust’s Vice President-Chief Accounting Officer since June of 2011 and prior to that time, served as controller of the Trust from 2007 to June 2011.</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Ms. Solis’ appointment as principal accounting officer, the Board of Trustees of the Trust awarded Ms. Solis a $250,000 restricted share award effective May 3, 2016. That award will vest in six equal, annual installments on December 31 of each year until December 31, 2021, subject to proration for 2016.</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annual meeting of shareholders of the Trust was held on May 4, 2016 in North Bethesda, Maryland. The following table sets forth the matters presented for a vote by the shareholders and the voting results with respect to such matters: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Votes Withheld/</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ind w:left="3180"/>
              <w:spacing w:after="0" w:line="151" w:lineRule="exact"/>
              <w:rPr>
                <w:sz w:val="20"/>
                <w:szCs w:val="20"/>
                <w:color w:val="auto"/>
              </w:rPr>
            </w:pPr>
            <w:r>
              <w:rPr>
                <w:rFonts w:ascii="Arial" w:cs="Arial" w:eastAsia="Arial" w:hAnsi="Arial"/>
                <w:sz w:val="14"/>
                <w:szCs w:val="14"/>
                <w:b w:val="1"/>
                <w:bCs w:val="1"/>
                <w:color w:val="auto"/>
              </w:rPr>
              <w:t>Matter</w:t>
            </w:r>
          </w:p>
        </w:tc>
        <w:tc>
          <w:tcPr>
            <w:tcW w:w="340" w:type="dxa"/>
            <w:vAlign w:val="bottom"/>
          </w:tcPr>
          <w:p>
            <w:pPr>
              <w:spacing w:after="0"/>
              <w:rPr>
                <w:sz w:val="14"/>
                <w:szCs w:val="14"/>
                <w:color w:val="auto"/>
              </w:rPr>
            </w:pPr>
          </w:p>
        </w:tc>
        <w:tc>
          <w:tcPr>
            <w:tcW w:w="900" w:type="dxa"/>
            <w:vAlign w:val="bottom"/>
            <w:gridSpan w:val="2"/>
          </w:tcPr>
          <w:p>
            <w:pPr>
              <w:jc w:val="right"/>
              <w:ind w:right="300"/>
              <w:spacing w:after="0" w:line="151" w:lineRule="exact"/>
              <w:rPr>
                <w:sz w:val="20"/>
                <w:szCs w:val="20"/>
                <w:color w:val="auto"/>
              </w:rPr>
            </w:pPr>
            <w:r>
              <w:rPr>
                <w:rFonts w:ascii="Arial" w:cs="Arial" w:eastAsia="Arial" w:hAnsi="Arial"/>
                <w:sz w:val="14"/>
                <w:szCs w:val="14"/>
                <w:b w:val="1"/>
                <w:bCs w:val="1"/>
                <w:color w:val="auto"/>
                <w:w w:val="89"/>
              </w:rPr>
              <w:t>Votes For</w:t>
            </w:r>
          </w:p>
        </w:tc>
        <w:tc>
          <w:tcPr>
            <w:tcW w:w="160" w:type="dxa"/>
            <w:vAlign w:val="bottom"/>
          </w:tcPr>
          <w:p>
            <w:pPr>
              <w:spacing w:after="0"/>
              <w:rPr>
                <w:sz w:val="14"/>
                <w:szCs w:val="14"/>
                <w:color w:val="auto"/>
              </w:rPr>
            </w:pPr>
          </w:p>
        </w:tc>
        <w:tc>
          <w:tcPr>
            <w:tcW w:w="1280" w:type="dxa"/>
            <w:vAlign w:val="bottom"/>
            <w:gridSpan w:val="2"/>
          </w:tcPr>
          <w:p>
            <w:pPr>
              <w:jc w:val="right"/>
              <w:ind w:right="560"/>
              <w:spacing w:after="0" w:line="151" w:lineRule="exact"/>
              <w:rPr>
                <w:sz w:val="20"/>
                <w:szCs w:val="20"/>
                <w:color w:val="auto"/>
              </w:rPr>
            </w:pPr>
            <w:r>
              <w:rPr>
                <w:rFonts w:ascii="Arial" w:cs="Arial" w:eastAsia="Arial" w:hAnsi="Arial"/>
                <w:sz w:val="14"/>
                <w:szCs w:val="14"/>
                <w:b w:val="1"/>
                <w:bCs w:val="1"/>
                <w:color w:val="auto"/>
              </w:rPr>
              <w:t>Against</w:t>
            </w:r>
          </w:p>
        </w:tc>
        <w:tc>
          <w:tcPr>
            <w:tcW w:w="92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Abstentions</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line="151" w:lineRule="exact"/>
              <w:rPr>
                <w:sz w:val="20"/>
                <w:szCs w:val="20"/>
                <w:color w:val="auto"/>
              </w:rPr>
            </w:pPr>
            <w:r>
              <w:rPr>
                <w:rFonts w:ascii="Arial" w:cs="Arial" w:eastAsia="Arial" w:hAnsi="Arial"/>
                <w:sz w:val="14"/>
                <w:szCs w:val="14"/>
                <w:b w:val="1"/>
                <w:bCs w:val="1"/>
                <w:color w:val="auto"/>
                <w:w w:val="91"/>
              </w:rPr>
              <w:t>Non-Votes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Proposal 1: Election of Trustees</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Jon E. Bortz</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60,896,294</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699,616</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3,174,802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David W. Faeder</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60,909,434</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686,476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3,174,802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Kristin Gamble</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57,154,730</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4,441,180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3,174,802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Gail P. Steinel</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61,263,702</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332,208</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3,174,802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Warren M. Thompson</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61,235,673</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360,236</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3,174,802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Joseph S. Vassalluzzo</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60,911,068</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684,842</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3,174,802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ind w:left="340"/>
              <w:spacing w:after="0"/>
              <w:rPr>
                <w:sz w:val="20"/>
                <w:szCs w:val="20"/>
                <w:color w:val="auto"/>
              </w:rPr>
            </w:pPr>
            <w:r>
              <w:rPr>
                <w:rFonts w:ascii="Arial" w:cs="Arial" w:eastAsia="Arial" w:hAnsi="Arial"/>
                <w:sz w:val="18"/>
                <w:szCs w:val="18"/>
                <w:color w:val="auto"/>
              </w:rPr>
              <w:t>Donald C. Wood</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61,155,840</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440,070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3,174,802</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Proposal 2: Ratification of the appointment of</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Grant Thornton LLP as the Trust’s</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independent registered public accounting firm</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year ending December 31, 2016</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63,760,600</w:t>
            </w:r>
          </w:p>
        </w:tc>
        <w:tc>
          <w:tcPr>
            <w:tcW w:w="14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958,232</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51,878</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06"/>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Proposal 3: Advisory vote on compensation of</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our named executive officers</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57,880,014</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3,555,281</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236,433</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3,098,984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b w:val="1"/>
                <w:bCs w:val="1"/>
                <w:color w:val="auto"/>
              </w:rPr>
              <w:t>FEDERAL REALTY INVESTMENT TRUST</w:t>
            </w:r>
          </w:p>
        </w:tc>
      </w:tr>
      <w:tr>
        <w:trPr>
          <w:trHeight w:val="432"/>
        </w:trPr>
        <w:tc>
          <w:tcPr>
            <w:tcW w:w="5960" w:type="dxa"/>
            <w:vAlign w:val="bottom"/>
          </w:tcPr>
          <w:p>
            <w:pPr>
              <w:spacing w:after="0"/>
              <w:rPr>
                <w:sz w:val="20"/>
                <w:szCs w:val="20"/>
                <w:color w:val="auto"/>
              </w:rPr>
            </w:pPr>
            <w:r>
              <w:rPr>
                <w:rFonts w:ascii="Arial" w:cs="Arial" w:eastAsia="Arial" w:hAnsi="Arial"/>
                <w:sz w:val="18"/>
                <w:szCs w:val="18"/>
                <w:color w:val="auto"/>
              </w:rPr>
              <w:t>Date: May 6, 2016</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Dawn M. Becker</w:t>
            </w:r>
          </w:p>
        </w:tc>
      </w:tr>
      <w:tr>
        <w:trPr>
          <w:trHeight w:val="195"/>
        </w:trPr>
        <w:tc>
          <w:tcPr>
            <w:tcW w:w="5960" w:type="dxa"/>
            <w:vAlign w:val="bottom"/>
          </w:tcPr>
          <w:p>
            <w:pPr>
              <w:spacing w:after="0"/>
              <w:rPr>
                <w:sz w:val="16"/>
                <w:szCs w:val="16"/>
                <w:color w:val="auto"/>
              </w:rPr>
            </w:pPr>
          </w:p>
        </w:tc>
        <w:tc>
          <w:tcPr>
            <w:tcW w:w="5460" w:type="dxa"/>
            <w:vAlign w:val="bottom"/>
          </w:tcPr>
          <w:p>
            <w:pPr>
              <w:ind w:left="100"/>
              <w:spacing w:after="0" w:line="195" w:lineRule="exact"/>
              <w:rPr>
                <w:sz w:val="20"/>
                <w:szCs w:val="20"/>
                <w:color w:val="auto"/>
              </w:rPr>
            </w:pPr>
            <w:r>
              <w:rPr>
                <w:rFonts w:ascii="Arial" w:cs="Arial" w:eastAsia="Arial" w:hAnsi="Arial"/>
                <w:sz w:val="18"/>
                <w:szCs w:val="18"/>
                <w:color w:val="auto"/>
              </w:rPr>
              <w:t>Dawn M. Becker</w:t>
            </w:r>
          </w:p>
        </w:tc>
      </w:tr>
      <w:tr>
        <w:trPr>
          <w:trHeight w:val="230"/>
        </w:trPr>
        <w:tc>
          <w:tcPr>
            <w:tcW w:w="596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Executive Vice President-General Counsel and Secretary</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2019-12-05T05:47:35Z</dcterms:created>
  <dcterms:modified xsi:type="dcterms:W3CDTF">2019-12-05T05:47:35Z</dcterms:modified>
</cp:coreProperties>
</file>