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7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jc w:val="center"/>
        <w:ind w:right="3259"/>
        <w:spacing w:after="0"/>
        <w:rPr>
          <w:sz w:val="20"/>
          <w:szCs w:val="20"/>
          <w:color w:val="auto"/>
        </w:rPr>
      </w:pPr>
      <w:r>
        <w:rPr>
          <w:rFonts w:ascii="Courier New" w:cs="Courier New" w:eastAsia="Courier New" w:hAnsi="Courier New"/>
          <w:sz w:val="15"/>
          <w:szCs w:val="15"/>
          <w:color w:val="auto"/>
        </w:rPr>
        <w:t>Form 10-Q</w:t>
      </w:r>
    </w:p>
    <w:p>
      <w:pPr>
        <w:spacing w:after="0" w:line="33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35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1840"/>
        <w:spacing w:after="0"/>
        <w:tabs>
          <w:tab w:leader="none" w:pos="394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4"/>
          <w:szCs w:val="14"/>
          <w:color w:val="auto"/>
        </w:rPr>
        <w:t>June 30, 1996</w:t>
      </w:r>
    </w:p>
    <w:p>
      <w:pPr>
        <w:ind w:left="1840"/>
        <w:spacing w:after="0"/>
        <w:rPr>
          <w:sz w:val="20"/>
          <w:szCs w:val="20"/>
          <w:color w:val="auto"/>
        </w:rPr>
      </w:pPr>
      <w:r>
        <w:rPr>
          <w:rFonts w:ascii="Courier New" w:cs="Courier New" w:eastAsia="Courier New" w:hAnsi="Courier New"/>
          <w:sz w:val="15"/>
          <w:szCs w:val="15"/>
          <w:color w:val="auto"/>
        </w:rPr>
        <w:t>-------------------------------------</w:t>
      </w:r>
    </w:p>
    <w:p>
      <w:pPr>
        <w:ind w:left="2280"/>
        <w:spacing w:after="0"/>
        <w:rPr>
          <w:sz w:val="20"/>
          <w:szCs w:val="20"/>
          <w:color w:val="auto"/>
        </w:rPr>
      </w:pPr>
      <w:r>
        <w:rPr>
          <w:rFonts w:ascii="Courier New" w:cs="Courier New" w:eastAsia="Courier New" w:hAnsi="Courier New"/>
          <w:sz w:val="15"/>
          <w:szCs w:val="15"/>
          <w:color w:val="auto"/>
        </w:rPr>
        <w:t>Commission File No. 1-7533</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259"/>
        <w:spacing w:after="0"/>
        <w:rPr>
          <w:sz w:val="20"/>
          <w:szCs w:val="20"/>
          <w:color w:val="auto"/>
        </w:rPr>
      </w:pPr>
      <w:r>
        <w:rPr>
          <w:rFonts w:ascii="Courier New" w:cs="Courier New" w:eastAsia="Courier New" w:hAnsi="Courier New"/>
          <w:sz w:val="15"/>
          <w:szCs w:val="15"/>
          <w:color w:val="auto"/>
        </w:rPr>
        <w:t>-------------------------------</w:t>
      </w:r>
    </w:p>
    <w:p>
      <w:pPr>
        <w:jc w:val="center"/>
        <w:ind w:right="33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ind w:left="1040"/>
        <w:spacing w:after="0"/>
        <w:tabs>
          <w:tab w:leader="none" w:pos="4900" w:val="left"/>
        </w:tabs>
        <w:rPr>
          <w:sz w:val="20"/>
          <w:szCs w:val="20"/>
          <w:color w:val="auto"/>
        </w:rPr>
      </w:pPr>
      <w:r>
        <w:rPr>
          <w:rFonts w:ascii="Courier New" w:cs="Courier New" w:eastAsia="Courier New" w:hAnsi="Courier New"/>
          <w:sz w:val="15"/>
          <w:szCs w:val="15"/>
          <w:color w:val="auto"/>
        </w:rPr>
        <w:t>District of Columbia</w:t>
      </w:r>
      <w:r>
        <w:rPr>
          <w:sz w:val="20"/>
          <w:szCs w:val="20"/>
          <w:color w:val="auto"/>
        </w:rPr>
        <w:tab/>
      </w:r>
      <w:r>
        <w:rPr>
          <w:rFonts w:ascii="Courier New" w:cs="Courier New" w:eastAsia="Courier New" w:hAnsi="Courier New"/>
          <w:sz w:val="14"/>
          <w:szCs w:val="14"/>
          <w:color w:val="auto"/>
        </w:rPr>
        <w:t>52-0782497</w:t>
      </w:r>
    </w:p>
    <w:p>
      <w:pPr>
        <w:ind w:left="520"/>
        <w:spacing w:after="0"/>
        <w:rPr>
          <w:sz w:val="20"/>
          <w:szCs w:val="20"/>
          <w:color w:val="auto"/>
        </w:rPr>
      </w:pPr>
      <w:r>
        <w:rPr>
          <w:rFonts w:ascii="Courier New" w:cs="Courier New" w:eastAsia="Courier New" w:hAnsi="Courier New"/>
          <w:sz w:val="15"/>
          <w:szCs w:val="15"/>
          <w:color w:val="auto"/>
        </w:rPr>
        <w:t>-------------------------------------------------------------------</w:t>
      </w:r>
    </w:p>
    <w:p>
      <w:pPr>
        <w:ind w:left="1040"/>
        <w:spacing w:after="0"/>
        <w:tabs>
          <w:tab w:leader="none" w:pos="428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1040"/>
        <w:spacing w:after="0"/>
        <w:tabs>
          <w:tab w:leader="none" w:pos="428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39" w:lineRule="exact"/>
        <w:rPr>
          <w:sz w:val="24"/>
          <w:szCs w:val="24"/>
          <w:color w:val="auto"/>
        </w:rPr>
      </w:pPr>
    </w:p>
    <w:p>
      <w:pPr>
        <w:ind w:left="960"/>
        <w:spacing w:after="0"/>
        <w:tabs>
          <w:tab w:leader="none" w:pos="5340" w:val="left"/>
        </w:tabs>
        <w:rPr>
          <w:sz w:val="20"/>
          <w:szCs w:val="20"/>
          <w:color w:val="auto"/>
        </w:rPr>
      </w:pPr>
      <w:r>
        <w:rPr>
          <w:rFonts w:ascii="Courier New" w:cs="Courier New" w:eastAsia="Courier New" w:hAnsi="Courier New"/>
          <w:sz w:val="15"/>
          <w:szCs w:val="15"/>
          <w:color w:val="auto"/>
        </w:rPr>
        <w:t>4800 Hampden Lane, Suite 500, Bethesda, Maryland</w:t>
      </w:r>
      <w:r>
        <w:rPr>
          <w:sz w:val="20"/>
          <w:szCs w:val="20"/>
          <w:color w:val="auto"/>
        </w:rPr>
        <w:tab/>
      </w:r>
      <w:r>
        <w:rPr>
          <w:rFonts w:ascii="Courier New" w:cs="Courier New" w:eastAsia="Courier New" w:hAnsi="Courier New"/>
          <w:sz w:val="14"/>
          <w:szCs w:val="14"/>
          <w:color w:val="auto"/>
        </w:rPr>
        <w:t>20814</w:t>
      </w:r>
    </w:p>
    <w:p>
      <w:pPr>
        <w:ind w:left="960"/>
        <w:spacing w:after="0"/>
        <w:rPr>
          <w:sz w:val="20"/>
          <w:szCs w:val="20"/>
          <w:color w:val="auto"/>
        </w:rPr>
      </w:pPr>
      <w:r>
        <w:rPr>
          <w:rFonts w:ascii="Courier New" w:cs="Courier New" w:eastAsia="Courier New" w:hAnsi="Courier New"/>
          <w:sz w:val="15"/>
          <w:szCs w:val="15"/>
          <w:color w:val="auto"/>
        </w:rPr>
        <w:t>-------------------------------------------------------</w:t>
      </w:r>
    </w:p>
    <w:p>
      <w:pPr>
        <w:ind w:left="1040"/>
        <w:spacing w:after="0"/>
        <w:tabs>
          <w:tab w:leader="none" w:pos="54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ind w:left="3340" w:hanging="529"/>
        <w:spacing w:after="0"/>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652-3360</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65" w:right="1440" w:bottom="1440" w:gutter="0" w:footer="0" w:header="0"/>
        </w:sectPr>
      </w:pPr>
    </w:p>
    <w:p>
      <w:pPr>
        <w:spacing w:after="0" w:line="17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No_____.</w:t>
      </w:r>
    </w:p>
    <w:p>
      <w:pPr>
        <w:spacing w:after="0" w:line="343" w:lineRule="exact"/>
        <w:rPr>
          <w:sz w:val="24"/>
          <w:szCs w:val="24"/>
          <w:color w:val="auto"/>
        </w:rPr>
      </w:pPr>
    </w:p>
    <w:p>
      <w:pPr>
        <w:sectPr>
          <w:pgSz w:w="11900" w:h="16838" w:orient="portrait"/>
          <w:cols w:equalWidth="0" w:num="4">
            <w:col w:w="700" w:space="80"/>
            <w:col w:w="440" w:space="0"/>
            <w:col w:w="160" w:space="720"/>
            <w:col w:w="8119"/>
          </w:cols>
          <w:pgMar w:left="240" w:top="565" w:right="1440" w:bottom="1440" w:gutter="0" w:footer="0" w:header="0"/>
          <w:type w:val="continuous"/>
        </w:sectPr>
      </w:pPr>
    </w:p>
    <w:p>
      <w:pPr>
        <w:ind w:right="3359" w:firstLine="441"/>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65" w:right="1440" w:bottom="1440" w:gutter="0" w:footer="0" w:header="0"/>
          <w:type w:val="continuous"/>
        </w:sectPr>
      </w:pPr>
    </w:p>
    <w:p>
      <w:pPr>
        <w:spacing w:after="0" w:line="340"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August 6, 1996</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34,135,438</w:t>
      </w:r>
    </w:p>
    <w:p>
      <w:pPr>
        <w:spacing w:after="0" w:line="175" w:lineRule="exact"/>
        <w:rPr>
          <w:sz w:val="24"/>
          <w:szCs w:val="24"/>
          <w:color w:val="auto"/>
        </w:rPr>
      </w:pPr>
    </w:p>
    <w:p>
      <w:pPr>
        <w:sectPr>
          <w:pgSz w:w="11900" w:h="16838" w:orient="portrait"/>
          <w:cols w:equalWidth="0" w:num="2">
            <w:col w:w="3260" w:space="340"/>
            <w:col w:w="6619"/>
          </w:cols>
          <w:pgMar w:left="240" w:top="5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contains 21 pages.</w:t>
      </w:r>
    </w:p>
    <w:p>
      <w:pPr>
        <w:sectPr>
          <w:pgSz w:w="11900" w:h="16838" w:orient="portrait"/>
          <w:cols w:equalWidth="0" w:num="1">
            <w:col w:w="10219"/>
          </w:cols>
          <w:pgMar w:left="240" w:top="565" w:right="1440" w:bottom="1440" w:gutter="0" w:footer="0" w:header="0"/>
          <w:type w:val="continuous"/>
        </w:sectPr>
      </w:pPr>
    </w:p>
    <w:bookmarkStart w:id="1" w:name="page2"/>
    <w:bookmarkEnd w:id="1"/>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June 30, 1996</w:t>
            </w:r>
          </w:p>
        </w:tc>
        <w:tc>
          <w:tcPr>
            <w:tcW w:w="880" w:type="dxa"/>
            <w:vAlign w:val="bottom"/>
          </w:tcPr>
          <w:p>
            <w:pPr>
              <w:spacing w:after="0"/>
              <w:rPr>
                <w:sz w:val="14"/>
                <w:szCs w:val="14"/>
                <w:color w:val="auto"/>
              </w:rPr>
            </w:pPr>
          </w:p>
        </w:tc>
      </w:tr>
      <w:tr>
        <w:trPr>
          <w:trHeight w:val="678"/>
        </w:trPr>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 N D E X</w:t>
            </w:r>
          </w:p>
        </w:tc>
        <w:tc>
          <w:tcPr>
            <w:tcW w:w="880" w:type="dxa"/>
            <w:vAlign w:val="bottom"/>
          </w:tcPr>
          <w:p>
            <w:pPr>
              <w:spacing w:after="0"/>
              <w:rPr>
                <w:sz w:val="24"/>
                <w:szCs w:val="2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2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50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Accountants'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24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Consolidated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Balance Sheets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170"/>
        </w:trPr>
        <w:tc>
          <w:tcPr>
            <w:tcW w:w="820" w:type="dxa"/>
            <w:vAlign w:val="bottom"/>
          </w:tcPr>
          <w:p>
            <w:pPr>
              <w:spacing w:after="0"/>
              <w:rPr>
                <w:sz w:val="14"/>
                <w:szCs w:val="14"/>
                <w:color w:val="auto"/>
              </w:rPr>
            </w:pPr>
          </w:p>
        </w:tc>
        <w:tc>
          <w:tcPr>
            <w:tcW w:w="4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June 30, 1996 (unaudited) and</w:t>
            </w:r>
          </w:p>
        </w:tc>
        <w:tc>
          <w:tcPr>
            <w:tcW w:w="88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December 31,</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1995 (audited)</w:t>
            </w:r>
          </w:p>
        </w:tc>
        <w:tc>
          <w:tcPr>
            <w:tcW w:w="880" w:type="dxa"/>
            <w:vAlign w:val="bottom"/>
          </w:tcPr>
          <w:p>
            <w:pPr>
              <w:spacing w:after="0"/>
              <w:rPr>
                <w:sz w:val="14"/>
                <w:szCs w:val="14"/>
                <w:color w:val="auto"/>
              </w:rPr>
            </w:pPr>
          </w:p>
        </w:tc>
      </w:tr>
      <w:tr>
        <w:trPr>
          <w:trHeight w:val="50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 Operations (unaudited)</w:t>
            </w:r>
          </w:p>
        </w:tc>
        <w:tc>
          <w:tcPr>
            <w:tcW w:w="88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4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Six months ended June 30, 1996 and 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50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 Operations (unaudited)</w:t>
            </w:r>
          </w:p>
        </w:tc>
        <w:tc>
          <w:tcPr>
            <w:tcW w:w="88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Three months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ended June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30, 1996 and 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r>
      <w:tr>
        <w:trPr>
          <w:trHeight w:val="33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of Shareholders' Equity</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Six months ended June 30 1996 and 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r>
      <w:tr>
        <w:trPr>
          <w:trHeight w:val="33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 Cash Flows (unaudited)</w:t>
            </w:r>
          </w:p>
        </w:tc>
        <w:tc>
          <w:tcPr>
            <w:tcW w:w="88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4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Six months ended June 30, 1996 and 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r>
      <w:tr>
        <w:trPr>
          <w:trHeight w:val="339"/>
        </w:trPr>
        <w:tc>
          <w:tcPr>
            <w:tcW w:w="820" w:type="dxa"/>
            <w:vAlign w:val="bottom"/>
          </w:tcPr>
          <w:p>
            <w:pPr>
              <w:spacing w:after="0"/>
              <w:rPr>
                <w:sz w:val="24"/>
                <w:szCs w:val="24"/>
                <w:color w:val="auto"/>
              </w:rPr>
            </w:pPr>
          </w:p>
        </w:tc>
        <w:tc>
          <w:tcPr>
            <w:tcW w:w="4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Notes to Financial Statements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10-13</w:t>
            </w:r>
          </w:p>
        </w:tc>
      </w:tr>
      <w:tr>
        <w:trPr>
          <w:trHeight w:val="339"/>
        </w:trPr>
        <w:tc>
          <w:tcPr>
            <w:tcW w:w="82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Management's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Discussion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and Analysis of</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82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Financial Condition and</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Results of Operations</w:t>
            </w:r>
          </w:p>
        </w:tc>
        <w:tc>
          <w:tcPr>
            <w:tcW w:w="880" w:type="dxa"/>
            <w:vAlign w:val="bottom"/>
          </w:tcPr>
          <w:p>
            <w:pPr>
              <w:spacing w:after="0"/>
              <w:rPr>
                <w:sz w:val="14"/>
                <w:szCs w:val="14"/>
                <w:color w:val="auto"/>
              </w:rPr>
            </w:pPr>
          </w:p>
        </w:tc>
      </w:tr>
      <w:tr>
        <w:trPr>
          <w:trHeight w:val="50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24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r>
      <w:tr>
        <w:trPr>
          <w:trHeight w:val="509"/>
        </w:trPr>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ind w:left="380"/>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539"/>
        <w:spacing w:after="0"/>
        <w:tabs>
          <w:tab w:leader="none" w:pos="140" w:val="left"/>
        </w:tabs>
        <w:rPr>
          <w:sz w:val="20"/>
          <w:szCs w:val="20"/>
          <w:color w:val="auto"/>
        </w:rPr>
      </w:pPr>
      <w:r>
        <w:rPr>
          <w:rFonts w:ascii="Courier New" w:cs="Courier New" w:eastAsia="Courier New" w:hAnsi="Courier New"/>
          <w:sz w:val="15"/>
          <w:szCs w:val="15"/>
          <w:color w:val="auto"/>
        </w:rPr>
        <w:t>S.E.C.</w:t>
        <w:tab/>
        <w:t>FORM 10-Q</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30, 1996</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ind w:left="960" w:right="3259" w:firstLine="353"/>
        <w:spacing w:after="0" w:line="238"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47" w:lineRule="exact"/>
        <w:rPr>
          <w:sz w:val="20"/>
          <w:szCs w:val="20"/>
          <w:color w:val="auto"/>
        </w:rPr>
      </w:pPr>
    </w:p>
    <w:p>
      <w:pPr>
        <w:ind w:left="960" w:right="3179" w:firstLine="353"/>
        <w:spacing w:after="0" w:line="238" w:lineRule="auto"/>
        <w:rPr>
          <w:sz w:val="20"/>
          <w:szCs w:val="20"/>
          <w:color w:val="auto"/>
        </w:rPr>
      </w:pPr>
      <w:r>
        <w:rPr>
          <w:rFonts w:ascii="Courier New" w:cs="Courier New" w:eastAsia="Courier New" w:hAnsi="Courier New"/>
          <w:sz w:val="15"/>
          <w:szCs w:val="15"/>
          <w:color w:val="auto"/>
        </w:rPr>
        <w:t>The balance sheet as of December 31, 1995 was audited by Grant Thornton LLP, independent public accountants, who expressed an unqualified opinion on it in their report dated February 9, 1996. All other financial information presented is unaudited but has been reviewed as of June 30, 1996 and for each of the six months ended June 30, 1996 and 1995 by Grant Thornton LLP whose report thereon appears on Page 4. All adjustments and disclosures proposed by them have been reflected in the data presented.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Accountants' Review Report</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reviewed the accompanying consolidated balance sheet of Federal Realty Investment Trust as of June 30, 1996 and the related consolidated statements of operations, shareholders' equity and cash flows for the six month periods ended June 30, 1996 and 1995, and the consolidated statements of operations for the three month periods ended June 30, 1996 and 1995. These financial statements are the responsibility of the Trust's management.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1995 and the related consolidated statements of operations, shareholders' equity and cash flows for the year then ended (not presented herein); and in our report dated February 9, 1996, we expressed an unqualified opinion on those consolidated financial statements. In our opinion, the information set forth in the accompanying condensed consolidated balance sheet as of December 31, 1995 is stated fairly, in all material respects, in relation to the consolidated balance sheet from which it has been derived.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Grant Thornton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rPr>
          <w:sz w:val="20"/>
          <w:szCs w:val="20"/>
          <w:color w:val="auto"/>
        </w:rPr>
      </w:pPr>
      <w:r>
        <w:rPr>
          <w:rFonts w:ascii="Courier New" w:cs="Courier New" w:eastAsia="Courier New" w:hAnsi="Courier New"/>
          <w:sz w:val="15"/>
          <w:szCs w:val="15"/>
          <w:color w:val="auto"/>
        </w:rPr>
        <w:t>August 9,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June 30</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6680" w:type="dxa"/>
            <w:vAlign w:val="bottom"/>
          </w:tcPr>
          <w:p>
            <w:pPr>
              <w:ind w:left="1040"/>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Real estate, at cost</w:t>
            </w: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$1,047,226</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$1,009,682</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500" w:type="dxa"/>
            <w:vAlign w:val="bottom"/>
          </w:tcPr>
          <w:p>
            <w:pPr>
              <w:spacing w:after="0"/>
              <w:rPr>
                <w:sz w:val="14"/>
                <w:szCs w:val="14"/>
                <w:color w:val="auto"/>
              </w:rPr>
            </w:pP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(206,813)</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(190,795)</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840,413</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818,887</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Mortgage notes receivable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23,327</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13,561</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863,740</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832,448</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6,865</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10,521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536</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receivable - officers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1,191</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15,699</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15,091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 other assets, principally</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160"/>
              <w:spacing w:after="0"/>
              <w:rPr>
                <w:sz w:val="20"/>
                <w:szCs w:val="20"/>
                <w:color w:val="auto"/>
              </w:rPr>
            </w:pPr>
            <w:r>
              <w:rPr>
                <w:rFonts w:ascii="Courier New" w:cs="Courier New" w:eastAsia="Courier New" w:hAnsi="Courier New"/>
                <w:sz w:val="15"/>
                <w:szCs w:val="15"/>
                <w:color w:val="auto"/>
              </w:rPr>
              <w:t>property taxes and lease commissions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22,289</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22,987</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Debt issue costs (net of accumulated amortization</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160"/>
              <w:spacing w:after="0"/>
              <w:rPr>
                <w:sz w:val="20"/>
                <w:szCs w:val="20"/>
                <w:color w:val="auto"/>
              </w:rPr>
            </w:pPr>
            <w:r>
              <w:rPr>
                <w:rFonts w:ascii="Courier New" w:cs="Courier New" w:eastAsia="Courier New" w:hAnsi="Courier New"/>
                <w:sz w:val="15"/>
                <w:szCs w:val="15"/>
                <w:color w:val="auto"/>
              </w:rPr>
              <w:t>of $4,117,000 and $3,918,000, respectively)</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3,495</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3,835</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913,815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886,154</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LIABILITIES AND SHAREHOLDERS' EQUITY</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Obligations under capital leases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131,237</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131,829</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Mortgages payable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89,847</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90,488</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payable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52,503</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49,980</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Accrued expenses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17,998</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19,048</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7,210</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8,571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Dividends payable</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13,980</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13,191</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Security deposits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3,208</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3,083</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Prepaid rents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1,138</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165,000</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165,000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75,289</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75,289</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1,240</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Common shares of beneficial interest, no par</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160"/>
              <w:spacing w:after="0"/>
              <w:rPr>
                <w:sz w:val="20"/>
                <w:szCs w:val="20"/>
                <w:color w:val="auto"/>
              </w:rPr>
            </w:pPr>
            <w:r>
              <w:rPr>
                <w:rFonts w:ascii="Courier New" w:cs="Courier New" w:eastAsia="Courier New" w:hAnsi="Courier New"/>
                <w:sz w:val="15"/>
                <w:szCs w:val="15"/>
                <w:color w:val="auto"/>
              </w:rPr>
              <w:t>or stated value, unlimited authorization,</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160"/>
              <w:spacing w:after="0"/>
              <w:rPr>
                <w:sz w:val="20"/>
                <w:szCs w:val="20"/>
                <w:color w:val="auto"/>
              </w:rPr>
            </w:pPr>
            <w:r>
              <w:rPr>
                <w:rFonts w:ascii="Courier New" w:cs="Courier New" w:eastAsia="Courier New" w:hAnsi="Courier New"/>
                <w:sz w:val="15"/>
                <w:szCs w:val="15"/>
                <w:color w:val="auto"/>
              </w:rPr>
              <w:t>issued 34,159,159 and 32,221,670 shares,</w:t>
            </w: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80" w:type="dxa"/>
            <w:vAlign w:val="bottom"/>
          </w:tcPr>
          <w:p>
            <w:pPr>
              <w:ind w:left="160"/>
              <w:spacing w:after="0"/>
              <w:rPr>
                <w:sz w:val="20"/>
                <w:szCs w:val="20"/>
                <w:color w:val="auto"/>
              </w:rPr>
            </w:pPr>
            <w:r>
              <w:rPr>
                <w:rFonts w:ascii="Courier New" w:cs="Courier New" w:eastAsia="Courier New" w:hAnsi="Courier New"/>
                <w:sz w:val="15"/>
                <w:szCs w:val="15"/>
                <w:color w:val="auto"/>
              </w:rPr>
              <w:t>respectively</w:t>
            </w: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550,752</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508,870</w:t>
            </w: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500" w:type="dxa"/>
            <w:vAlign w:val="bottom"/>
          </w:tcPr>
          <w:p>
            <w:pPr>
              <w:spacing w:after="0"/>
              <w:rPr>
                <w:sz w:val="14"/>
                <w:szCs w:val="14"/>
                <w:color w:val="auto"/>
              </w:rPr>
            </w:pP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(187,104)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(172,835)</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363,648</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336,035</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Less 62,386 and 61,328 common shares in treasury - at cost, respectively,</w:t>
            </w: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deferred compensation and subscriptions receivable</w:t>
            </w:r>
          </w:p>
        </w:tc>
        <w:tc>
          <w:tcPr>
            <w:tcW w:w="500" w:type="dxa"/>
            <w:vAlign w:val="bottom"/>
          </w:tcPr>
          <w:p>
            <w:pPr>
              <w:spacing w:after="0"/>
              <w:rPr>
                <w:sz w:val="14"/>
                <w:szCs w:val="14"/>
                <w:color w:val="auto"/>
              </w:rPr>
            </w:pP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(8,483)</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(8,567)</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355,165</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327,468</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913,815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886,154</w:t>
            </w:r>
          </w:p>
        </w:tc>
      </w:tr>
      <w:tr>
        <w:trPr>
          <w:trHeight w:val="170"/>
        </w:trPr>
        <w:tc>
          <w:tcPr>
            <w:tcW w:w="6680" w:type="dxa"/>
            <w:vAlign w:val="bottom"/>
          </w:tcPr>
          <w:p>
            <w:pPr>
              <w:spacing w:after="0"/>
              <w:rPr>
                <w:sz w:val="14"/>
                <w:szCs w:val="14"/>
                <w:color w:val="auto"/>
              </w:rPr>
            </w:pPr>
          </w:p>
        </w:tc>
        <w:tc>
          <w:tcPr>
            <w:tcW w:w="24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00"/>
          </w:cols>
          <w:pgMar w:left="240" w:top="622" w:right="12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4980" w:type="dxa"/>
            <w:vAlign w:val="bottom"/>
          </w:tcPr>
          <w:p>
            <w:pPr>
              <w:ind w:left="2380"/>
              <w:spacing w:after="0"/>
              <w:rPr>
                <w:sz w:val="20"/>
                <w:szCs w:val="20"/>
                <w:color w:val="auto"/>
              </w:rPr>
            </w:pPr>
            <w:r>
              <w:rPr>
                <w:rFonts w:ascii="Courier New" w:cs="Courier New" w:eastAsia="Courier New" w:hAnsi="Courier New"/>
                <w:sz w:val="15"/>
                <w:szCs w:val="15"/>
                <w:color w:val="auto"/>
              </w:rPr>
              <w:t>(unaudited)</w:t>
            </w: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8"/>
        </w:trPr>
        <w:tc>
          <w:tcPr>
            <w:tcW w:w="4980" w:type="dxa"/>
            <w:vAlign w:val="bottom"/>
          </w:tcPr>
          <w:p>
            <w:pPr>
              <w:spacing w:after="0"/>
              <w:rPr>
                <w:sz w:val="24"/>
                <w:szCs w:val="24"/>
                <w:color w:val="auto"/>
              </w:rPr>
            </w:pPr>
          </w:p>
        </w:tc>
        <w:tc>
          <w:tcPr>
            <w:tcW w:w="3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Rental income</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$80,660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$68,647</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1,919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1,893</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Other income</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4,763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3,376</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87,342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73,916</w:t>
            </w:r>
          </w:p>
        </w:tc>
      </w:tr>
      <w:tr>
        <w:trPr>
          <w:trHeight w:val="678"/>
        </w:trPr>
        <w:tc>
          <w:tcPr>
            <w:tcW w:w="49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Rental</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21,717</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16,219</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Real estate taxes</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7,969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6,985</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22,288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18,716</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3,822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2,817</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18,676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16,988</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74,472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61,725</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of operations and loss on real estate to be sold</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12,870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12,191</w:t>
            </w:r>
          </w:p>
        </w:tc>
      </w:tr>
      <w:tr>
        <w:trPr>
          <w:trHeight w:val="339"/>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Investors' share of operations</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before loss on  real estate to be sold</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12,923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12,361</w:t>
            </w:r>
          </w:p>
        </w:tc>
      </w:tr>
      <w:tr>
        <w:trPr>
          <w:trHeight w:val="678"/>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Loss on real estate to be sold</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$12,923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$11,826</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32,666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31,691</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9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Income before loss on real estate to be sold</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$0.40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w:t>
            </w:r>
          </w:p>
        </w:tc>
      </w:tr>
      <w:tr>
        <w:trPr>
          <w:trHeight w:val="170"/>
        </w:trPr>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Loss on real estate to be sold</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$0.40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$0.37</w:t>
            </w:r>
          </w:p>
        </w:tc>
      </w:tr>
      <w:tr>
        <w:trPr>
          <w:trHeight w:val="170"/>
        </w:trPr>
        <w:tc>
          <w:tcPr>
            <w:tcW w:w="498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720" w:type="dxa"/>
            <w:vAlign w:val="bottom"/>
          </w:tcPr>
          <w:p>
            <w:pPr>
              <w:ind w:left="1220"/>
              <w:spacing w:after="0"/>
              <w:rPr>
                <w:sz w:val="20"/>
                <w:szCs w:val="20"/>
                <w:color w:val="auto"/>
              </w:rPr>
            </w:pPr>
            <w:r>
              <w:rPr>
                <w:rFonts w:ascii="Courier New" w:cs="Courier New" w:eastAsia="Courier New" w:hAnsi="Courier New"/>
                <w:sz w:val="15"/>
                <w:szCs w:val="15"/>
                <w:color w:val="auto"/>
              </w:rPr>
              <w:t>(unaudited)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5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Three months ended June 30,</w:t>
            </w:r>
          </w:p>
        </w:tc>
      </w:tr>
      <w:tr>
        <w:trPr>
          <w:trHeight w:val="170"/>
        </w:trPr>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Rental income</w:t>
            </w:r>
          </w:p>
        </w:tc>
        <w:tc>
          <w:tcPr>
            <w:tcW w:w="26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$39,913</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$34,240</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1,056</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887</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2,601</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1,862</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43,570</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36,989</w:t>
            </w:r>
          </w:p>
        </w:tc>
      </w:tr>
      <w:tr>
        <w:trPr>
          <w:trHeight w:val="678"/>
        </w:trPr>
        <w:tc>
          <w:tcPr>
            <w:tcW w:w="57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Rental</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9,924</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8,264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Real estate taxes</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4,045</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3,588</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11,139</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9,559</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2,136</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1,390</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9,344</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8,619</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36,588</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31,420</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loss on real estate to be sold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6,982</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5,569</w:t>
            </w:r>
          </w:p>
        </w:tc>
      </w:tr>
      <w:tr>
        <w:trPr>
          <w:trHeight w:val="339"/>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Investors' share of operations</w:t>
            </w:r>
          </w:p>
        </w:tc>
        <w:tc>
          <w:tcPr>
            <w:tcW w:w="14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w:t>
            </w:r>
          </w:p>
        </w:tc>
        <w:tc>
          <w:tcPr>
            <w:tcW w:w="8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before loss on real estate to be sold</w:t>
            </w:r>
          </w:p>
        </w:tc>
        <w:tc>
          <w:tcPr>
            <w:tcW w:w="142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6,897</w:t>
            </w:r>
          </w:p>
        </w:tc>
        <w:tc>
          <w:tcPr>
            <w:tcW w:w="8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5,738</w:t>
            </w:r>
          </w:p>
        </w:tc>
      </w:tr>
      <w:tr>
        <w:trPr>
          <w:trHeight w:val="678"/>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Loss on real estate to be sold</w:t>
            </w:r>
          </w:p>
        </w:tc>
        <w:tc>
          <w:tcPr>
            <w:tcW w:w="1420" w:type="dxa"/>
            <w:vAlign w:val="bottom"/>
          </w:tcPr>
          <w:p>
            <w:pPr>
              <w:spacing w:after="0"/>
              <w:rPr>
                <w:sz w:val="24"/>
                <w:szCs w:val="2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$ 6,897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5,203</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33,066</w:t>
            </w:r>
          </w:p>
        </w:tc>
        <w:tc>
          <w:tcPr>
            <w:tcW w:w="8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31,723</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7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Income before loss on real estate to be sold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720" w:type="dxa"/>
            <w:vAlign w:val="bottom"/>
          </w:tcPr>
          <w:p>
            <w:pPr>
              <w:spacing w:after="0"/>
              <w:rPr>
                <w:sz w:val="14"/>
                <w:szCs w:val="14"/>
                <w:color w:val="auto"/>
              </w:rPr>
            </w:pPr>
          </w:p>
        </w:tc>
        <w:tc>
          <w:tcPr>
            <w:tcW w:w="1420" w:type="dxa"/>
            <w:vAlign w:val="bottom"/>
          </w:tcPr>
          <w:p>
            <w:pPr>
              <w:ind w:left="132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0.18</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Loss on real estate to be sold</w:t>
            </w:r>
          </w:p>
        </w:tc>
        <w:tc>
          <w:tcPr>
            <w:tcW w:w="14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0.00</w:t>
            </w: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420" w:type="dxa"/>
            <w:vAlign w:val="bottom"/>
          </w:tcPr>
          <w:p>
            <w:pPr>
              <w:ind w:left="132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0.16</w:t>
            </w:r>
          </w:p>
        </w:tc>
      </w:tr>
      <w:tr>
        <w:trPr>
          <w:trHeight w:val="170"/>
        </w:trPr>
        <w:tc>
          <w:tcPr>
            <w:tcW w:w="5720" w:type="dxa"/>
            <w:vAlign w:val="bottom"/>
          </w:tcPr>
          <w:p>
            <w:pPr>
              <w:spacing w:after="0"/>
              <w:rPr>
                <w:sz w:val="14"/>
                <w:szCs w:val="14"/>
                <w:color w:val="auto"/>
              </w:rPr>
            </w:pPr>
          </w:p>
        </w:tc>
        <w:tc>
          <w:tcPr>
            <w:tcW w:w="2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4840" w:type="dxa"/>
            <w:vAlign w:val="bottom"/>
          </w:tcPr>
          <w:p>
            <w:pPr>
              <w:ind w:left="2020"/>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4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Six months ended June 30,</w:t>
            </w:r>
          </w:p>
        </w:tc>
        <w:tc>
          <w:tcPr>
            <w:tcW w:w="1280" w:type="dxa"/>
            <w:vAlign w:val="bottom"/>
          </w:tcPr>
          <w:p>
            <w:pPr>
              <w:spacing w:after="0"/>
              <w:rPr>
                <w:sz w:val="24"/>
                <w:szCs w:val="24"/>
                <w:color w:val="auto"/>
              </w:rPr>
            </w:pPr>
          </w:p>
        </w:tc>
      </w:tr>
      <w:tr>
        <w:trPr>
          <w:trHeight w:val="170"/>
        </w:trPr>
        <w:tc>
          <w:tcPr>
            <w:tcW w:w="484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680" w:type="dxa"/>
            <w:vAlign w:val="bottom"/>
          </w:tcPr>
          <w:p>
            <w:pPr>
              <w:spacing w:after="0"/>
              <w:rPr>
                <w:sz w:val="14"/>
                <w:szCs w:val="14"/>
                <w:color w:val="auto"/>
              </w:rPr>
            </w:pPr>
          </w:p>
        </w:tc>
        <w:tc>
          <w:tcPr>
            <w:tcW w:w="1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spacing w:after="0"/>
              <w:rPr>
                <w:sz w:val="14"/>
                <w:szCs w:val="14"/>
                <w:color w:val="auto"/>
              </w:rPr>
            </w:pPr>
          </w:p>
        </w:tc>
      </w:tr>
      <w:tr>
        <w:trPr>
          <w:trHeight w:val="170"/>
        </w:trPr>
        <w:tc>
          <w:tcPr>
            <w:tcW w:w="484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w:t>
            </w:r>
          </w:p>
        </w:tc>
        <w:tc>
          <w:tcPr>
            <w:tcW w:w="16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Amount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 period</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32,221,670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$508,870</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31,669,434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$496,958</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Net proceeds from sale of shares</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1,818,182</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39,327</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26,501</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531</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7,744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Shares issued under dividend reinvestment plan</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92,806</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2,024</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96,754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2,024</w:t>
            </w:r>
          </w:p>
        </w:tc>
      </w:tr>
      <w:tr>
        <w:trPr>
          <w:trHeight w:val="170"/>
        </w:trPr>
        <w:tc>
          <w:tcPr>
            <w:tcW w:w="484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end of period</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34,159,159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$550,752</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31,773,932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$499,104</w:t>
            </w:r>
          </w:p>
        </w:tc>
      </w:tr>
      <w:tr>
        <w:trPr>
          <w:trHeight w:val="170"/>
        </w:trPr>
        <w:tc>
          <w:tcPr>
            <w:tcW w:w="484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in Treasury, Deferred Compensation and</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Subscriptions Receivable</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 period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(500,095)</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(8,567)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(539,188)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(9,130)</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deferred compensation</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30,250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482</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32,875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547</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Purchase of shares under share purchase plan</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Purchase of treasury shares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Payment of (issuance of) stock option loans, net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(19,834)</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(393)</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w:t>
            </w:r>
          </w:p>
        </w:tc>
      </w:tr>
      <w:tr>
        <w:trPr>
          <w:trHeight w:val="170"/>
        </w:trPr>
        <w:tc>
          <w:tcPr>
            <w:tcW w:w="48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end of period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(489,487)</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(8,483)</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(499,285)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(8,538)</w:t>
            </w:r>
          </w:p>
        </w:tc>
      </w:tr>
      <w:tr>
        <w:trPr>
          <w:trHeight w:val="170"/>
        </w:trPr>
        <w:tc>
          <w:tcPr>
            <w:tcW w:w="48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Allowance for Unrealized Loss on Marketable Securities</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 period</w:t>
            </w: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Unrealized (loss ) recovery</w:t>
            </w: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w:t>
            </w:r>
          </w:p>
        </w:tc>
      </w:tr>
      <w:tr>
        <w:trPr>
          <w:trHeight w:val="170"/>
        </w:trPr>
        <w:tc>
          <w:tcPr>
            <w:tcW w:w="4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end of period</w:t>
            </w: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 period</w:t>
            </w:r>
          </w:p>
        </w:tc>
        <w:tc>
          <w:tcPr>
            <w:tcW w:w="136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($172,835)</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($144,553)</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spacing w:after="0"/>
              <w:rPr>
                <w:sz w:val="14"/>
                <w:szCs w:val="1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12,923</w:t>
            </w:r>
          </w:p>
        </w:tc>
        <w:tc>
          <w:tcPr>
            <w:tcW w:w="168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11,826</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Dividends declared to shareholders</w:t>
            </w:r>
          </w:p>
        </w:tc>
        <w:tc>
          <w:tcPr>
            <w:tcW w:w="136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(27,192)</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(25,035)</w:t>
            </w:r>
          </w:p>
        </w:tc>
      </w:tr>
      <w:tr>
        <w:trPr>
          <w:trHeight w:val="170"/>
        </w:trPr>
        <w:tc>
          <w:tcPr>
            <w:tcW w:w="4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Balance, end of period</w:t>
            </w:r>
          </w:p>
        </w:tc>
        <w:tc>
          <w:tcPr>
            <w:tcW w:w="136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($187,104)</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($157,762)</w:t>
            </w:r>
          </w:p>
        </w:tc>
      </w:tr>
      <w:tr>
        <w:trPr>
          <w:trHeight w:val="170"/>
        </w:trPr>
        <w:tc>
          <w:tcPr>
            <w:tcW w:w="4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840"/>
          </w:cols>
          <w:pgMar w:left="240" w:top="622" w:right="8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Federal Realty Investment Trust</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8"/>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(see accountants' review report)</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(unaudited)</w:t>
            </w:r>
          </w:p>
        </w:tc>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36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OPERATING ACTIVITIES</w:t>
            </w:r>
          </w:p>
        </w:tc>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w w:val="95"/>
              </w:rPr>
              <w:t>Net income</w:t>
            </w: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$11,826</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provided by operations</w:t>
            </w:r>
          </w:p>
        </w:tc>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18,676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16,988</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Rent abatements in lieu of leasehold improvements,</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net of tenant improvements retired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(918)</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Imputed interest and amortization of debt cost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Amortization of deferred compensation and</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forgiveness of officers' notes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w:t>
            </w:r>
          </w:p>
        </w:tc>
      </w:tr>
      <w:tr>
        <w:trPr>
          <w:trHeight w:val="170"/>
        </w:trPr>
        <w:tc>
          <w:tcPr>
            <w:tcW w:w="57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Loss on real estate to be sold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Changes in assets and liabilities</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(Increase) decrease</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in accounts receivable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3,718</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Increase in prepaid expenses and other</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assets before depreciation and amortization</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(1,569)</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(Decrease) increase in operating accounts payable,</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security deposits and prepaid rent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w:t>
            </w:r>
          </w:p>
        </w:tc>
      </w:tr>
      <w:tr>
        <w:trPr>
          <w:trHeight w:val="170"/>
        </w:trPr>
        <w:tc>
          <w:tcPr>
            <w:tcW w:w="57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Increase (decrease) in accrued expenses,  net of  the premium</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7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put on the 5 1/4% convertible subordinated  debentures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6,179</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29,102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38,488</w:t>
            </w:r>
          </w:p>
        </w:tc>
      </w:tr>
      <w:tr>
        <w:trPr>
          <w:trHeight w:val="339"/>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Acquisition of real estate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(56,759)</w:t>
            </w:r>
          </w:p>
        </w:tc>
      </w:tr>
      <w:tr>
        <w:trPr>
          <w:trHeight w:val="170"/>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3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(17,820)</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increase in notes receivable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70"/>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Net (increase) decrease</w:t>
            </w: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in temporary investments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(48,906)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(74,605)</w:t>
            </w:r>
          </w:p>
        </w:tc>
      </w:tr>
      <w:tr>
        <w:trPr>
          <w:trHeight w:val="339"/>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Regular payments on mortgages, capital leases, and</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payable</w:t>
            </w:r>
          </w:p>
        </w:tc>
        <w:tc>
          <w:tcPr>
            <w:tcW w:w="3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Balloon payments of mortgages and notes payable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(23,601)</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increase (decrease) in lines of credit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5,621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(35,380)</w:t>
            </w:r>
          </w:p>
        </w:tc>
      </w:tr>
      <w:tr>
        <w:trPr>
          <w:trHeight w:val="170"/>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Issuance</w:t>
            </w:r>
          </w:p>
        </w:tc>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of senior notes, net of costs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123,761</w:t>
            </w:r>
          </w:p>
        </w:tc>
      </w:tr>
      <w:tr>
        <w:trPr>
          <w:trHeight w:val="170"/>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paid</w:t>
            </w:r>
          </w:p>
        </w:tc>
        <w:tc>
          <w:tcPr>
            <w:tcW w:w="36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(23,625)</w:t>
            </w:r>
          </w:p>
        </w:tc>
      </w:tr>
      <w:tr>
        <w:trPr>
          <w:trHeight w:val="170"/>
        </w:trPr>
        <w:tc>
          <w:tcPr>
            <w:tcW w:w="5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Issuance of shares of beneficial interest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40,180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w:t>
            </w:r>
          </w:p>
        </w:tc>
      </w:tr>
      <w:tr>
        <w:trPr>
          <w:trHeight w:val="170"/>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Decrease</w:t>
            </w:r>
          </w:p>
        </w:tc>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in minority interest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Net cash</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provided by</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16,148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40,680</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Increase (decrease) in cash</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4,563</w:t>
            </w:r>
          </w:p>
        </w:tc>
      </w:tr>
      <w:tr>
        <w:trPr>
          <w:trHeight w:val="339"/>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10,521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3,995</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Cash at end of period</w:t>
            </w: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$ 6,865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$ 8,558</w:t>
            </w:r>
          </w:p>
        </w:tc>
      </w:tr>
      <w:tr>
        <w:trPr>
          <w:trHeight w:val="170"/>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9" w:name="page10"/>
    <w:bookmarkEnd w:id="9"/>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30, 1996</w:t>
      </w:r>
    </w:p>
    <w:p>
      <w:pPr>
        <w:jc w:val="center"/>
        <w:ind w:right="3359"/>
        <w:spacing w:after="0"/>
        <w:rPr>
          <w:sz w:val="20"/>
          <w:szCs w:val="20"/>
          <w:color w:val="auto"/>
        </w:rPr>
      </w:pPr>
      <w:r>
        <w:rPr>
          <w:rFonts w:ascii="Courier New" w:cs="Courier New" w:eastAsia="Courier New" w:hAnsi="Courier New"/>
          <w:sz w:val="15"/>
          <w:szCs w:val="15"/>
          <w:color w:val="auto"/>
        </w:rPr>
        <w:t>(see accountants' review report)</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1995 which contain the Trust's accounting policies and other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DIVIDENDS PAYABLE</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On June 12, 1996 the Trustees declared a cash dividend of $.41 per share, payable July 15, 1996 to shareholders of record June 28, 1996.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REAL ESTATE</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On February 28, 1996 the Trust purchased, for cash, two retail buildings totalling 28,446 square feet in Winter Park, Florida for a cost of $6.8 million.</w:t>
      </w:r>
    </w:p>
    <w:p>
      <w:pPr>
        <w:spacing w:after="0" w:line="15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On May 6, 1996 the Trust purchased a 14,712 square foot building in Greenwich, Connecticut, for $3.2 million in cash. On June 4, 1996 the Trust purchased a 21,954 square foot building in Greenwich, Connecticut for $9.5 million in cash. In connection with the purchase of these two buildings, the Trust paid $80,500 in commissions to a company that is wholly owned by the brother of the Trust's president.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MORTGAGE NOTES RECEIVABLE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April 22, 1996 the Trust made a $9.2 million convertible participating loan to a partnership, secured by retail properties in Manayunk, Pennsylvania. The loan bears interest at 10% plus additional interest based upon the gross income of the secured properties. In addition, upon sale of the properties, the Trust will share in the appreciation of the properties. From and after April 2006, which date may be extended to April 2008, the Trust has the option to convert the loan into a partnership interest.</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1995 the Trust issued a mortgage for up to $900,000 to a partnership with common ownership to the partnership above. During 1996 the Trust loaned the partnership $514,000 on this mortgage for a total outstanding of $893,000. The loan, which is due November 1997, is secured by properties in Manayunk,</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0" w:name="page11"/>
    <w:bookmarkEnd w:id="10"/>
    <w:p>
      <w:pPr>
        <w:ind w:right="3179"/>
        <w:spacing w:after="0" w:line="235" w:lineRule="auto"/>
        <w:rPr>
          <w:sz w:val="20"/>
          <w:szCs w:val="20"/>
          <w:color w:val="auto"/>
        </w:rPr>
      </w:pPr>
      <w:r>
        <w:rPr>
          <w:rFonts w:ascii="Courier New" w:cs="Courier New" w:eastAsia="Courier New" w:hAnsi="Courier New"/>
          <w:sz w:val="15"/>
          <w:szCs w:val="15"/>
          <w:color w:val="auto"/>
        </w:rPr>
        <w:t>Pennsylvania and requires monthly interest payments at the greater of prime plus 2% or 10%.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NOTES PAYABLE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has $130 million of unsecured medium term revolving credit facilities with four banks. The facilities, which bear interest at LIBOR plus 75 to 100 basis points, require fees and have covenants requiring a minimum shareholders' equity and a maximum ratio of debt to net worth. At June 30, 1996 there was $45.7 million borrowed under these credit facilities. The maximum drawn during the first six months of 1996 was $76.2 million. The weighted average interest rate on borrowings for the six months ended June 30, 1996 was 6.5%.</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In June 1996 the Trust repaid a $3 million note which had been issued in connection with the purchase of Federal Plaza in 1989.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SHAREHOLDERS' EQUITY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May 24, 1996 the Trust sold 1.8 million shares at $22 per share, netting $39.3 million. The proceeds were used to repay borrowings on the Trust's revolving credit facilities.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During the first six months of 1996, 26,501 shares were issued at prices ranging from $18.00 a share to $20.875 a share as the result of the exercise of stock options. The Trust accepted notes of $393,000 from certain of its officers and employees in connection with the issuance of 19,834 of these shares.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February 16, 1996, 58,681 options at $21.125 per share were granted to employees of the Trust. An option for 20,000 shares at $21 per share was granted to an employee upon commencement of his employment.</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On May 2, 1996 each of the trustees, other than the president, was awarded 2,500 options at $21.625 per share.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INTEREST EXPENSE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 incurred interest expense totaling $22.8 million during the first six months of 1996 and $19.1 million during the first six months of 1995, of which $465,000 and $390,000, respectively, were capitalized. Interest paid was $22.6 million in the first six months of 1996 and $13.0 million in the first six months of 1995.</w:t>
      </w:r>
    </w:p>
    <w:p>
      <w:pPr>
        <w:spacing w:after="0" w:line="178"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ratio of earnings to fixed charges was 1.53x for the first six months of 1996 and 1.61x for the comparable period in 1995. The ratio of funds from operations to fixed charges was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2.30x for the first six months of 1996 and 2.43x for the first six months of</w:t>
      </w:r>
    </w:p>
    <w:p>
      <w:pPr>
        <w:spacing w:after="0"/>
        <w:rPr>
          <w:sz w:val="20"/>
          <w:szCs w:val="20"/>
          <w:color w:val="auto"/>
        </w:rPr>
      </w:pPr>
      <w:r>
        <w:rPr>
          <w:rFonts w:ascii="Courier New" w:cs="Courier New" w:eastAsia="Courier New" w:hAnsi="Courier New"/>
          <w:sz w:val="15"/>
          <w:szCs w:val="15"/>
          <w:color w:val="auto"/>
        </w:rPr>
        <w:t>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COMMITMENTS AND CONTINGENCIES</w:t>
      </w:r>
    </w:p>
    <w:p>
      <w:pPr>
        <w:spacing w:after="0" w:line="175"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reserved approximately $2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the purchase of Bristol Shopping Center in 1995,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ind w:right="3179" w:firstLine="441"/>
        <w:spacing w:after="0" w:line="237"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At June 30, 1996 in connection with certain redevelopment projects and tenant improvements, the Trust is contractually obligated on contracts of approximately $7.5 million. At June 30, 1996 the Trust is also obligated under leases with tenants to provide up to an additional $13.8 million for improvements.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COMPONENTS OF RENTAL INCOME</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components of rental income for the six months ended June 30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7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9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Minimum rents</w:t>
            </w: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$63,551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$53,847</w:t>
            </w:r>
          </w:p>
        </w:tc>
      </w:tr>
      <w:tr>
        <w:trPr>
          <w:trHeight w:val="170"/>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Cost reimbursements</w:t>
            </w: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13,521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10,946</w:t>
            </w:r>
          </w:p>
        </w:tc>
      </w:tr>
      <w:tr>
        <w:trPr>
          <w:trHeight w:val="170"/>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Percentage rents</w:t>
            </w: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2,366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2,630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Apartments</w:t>
            </w: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1,222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0"/>
        </w:trPr>
        <w:tc>
          <w:tcPr>
            <w:tcW w:w="2980" w:type="dxa"/>
            <w:vAlign w:val="bottom"/>
          </w:tcPr>
          <w:p>
            <w:pPr>
              <w:spacing w:after="0"/>
              <w:rPr>
                <w:sz w:val="14"/>
                <w:szCs w:val="14"/>
                <w:color w:val="auto"/>
              </w:rPr>
            </w:pP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$80,660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$68,647</w:t>
            </w:r>
          </w:p>
        </w:tc>
      </w:tr>
      <w:tr>
        <w:trPr>
          <w:trHeight w:val="170"/>
        </w:trPr>
        <w:tc>
          <w:tcPr>
            <w:tcW w:w="2980" w:type="dxa"/>
            <w:vAlign w:val="bottom"/>
          </w:tcPr>
          <w:p>
            <w:pPr>
              <w:spacing w:after="0"/>
              <w:rPr>
                <w:sz w:val="14"/>
                <w:szCs w:val="14"/>
                <w:color w:val="auto"/>
              </w:rPr>
            </w:pPr>
          </w:p>
        </w:tc>
        <w:tc>
          <w:tcPr>
            <w:tcW w:w="27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SUBSEQUENT EVENTS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July 2, 1996 the Trust was granted a purchase option on land in Bethesda, Maryland in exchange for a refundable deposit of $50,000 and a $3.6 million loan secured by the land. The loan requires monthly payments of interest at 9% until March 31, 1997 and 9.5% thereafter. The Note is due on the earlier of the exercise of the purchase option or March 31, 1998.</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jc w:val="center"/>
        <w:ind w:right="325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259"/>
        <w:spacing w:after="0"/>
        <w:rPr>
          <w:sz w:val="20"/>
          <w:szCs w:val="20"/>
          <w:color w:val="auto"/>
        </w:rPr>
      </w:pPr>
      <w:r>
        <w:rPr>
          <w:rFonts w:ascii="Courier New" w:cs="Courier New" w:eastAsia="Courier New" w:hAnsi="Courier New"/>
          <w:sz w:val="15"/>
          <w:szCs w:val="15"/>
          <w:color w:val="auto"/>
        </w:rPr>
        <w:t>FORM 10-Q</w:t>
      </w:r>
    </w:p>
    <w:p>
      <w:pPr>
        <w:jc w:val="center"/>
        <w:ind w:right="3259"/>
        <w:spacing w:after="0"/>
        <w:rPr>
          <w:sz w:val="20"/>
          <w:szCs w:val="20"/>
          <w:color w:val="auto"/>
        </w:rPr>
      </w:pPr>
      <w:r>
        <w:rPr>
          <w:rFonts w:ascii="Courier New" w:cs="Courier New" w:eastAsia="Courier New" w:hAnsi="Courier New"/>
          <w:sz w:val="15"/>
          <w:szCs w:val="15"/>
          <w:color w:val="auto"/>
        </w:rPr>
        <w:t>June 30, 1996</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activities during the first six months of 1996 generated $29.1 million, of which $25.1 million was distributed to shareholders. During the first six months of 1995, $38.5 million was generated from operating activities, of which $23.6 million was distributed to shareholders. Less cash was generated from operating activities in the first six months of 1996 than the first six months of 1995 despite the $1.1 million increase in net income in 1996 and the $1.7 million increase in depreciation in 1996 because of $12.2 million more being used in 1996 for other operating uses of cash than in 1995, primarily changes in accounts receivable and accrued expenses. In 1995, $3.7 million was generated from a decrease in accounts receivable and $6.2 million was generated from an increase in accrued expenses, primarily interest on the senior notes, whereas in 1996 accounts receivable increased $608,000 and accrued expenses decreased $778,000.</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the first six months of 1996 the Trust purchased four retail properties; in February the Trust purchased two retail buildings in Winter Park, Florida for $6.8 million in cash, in May the Trust purchased a retail building in Greenwich, Connecticut for $3.2 million in cash and in June the Trust purchased another retail building in Greenwich for $9.5 million in cash. During the first six months of 1996 another $19.2 million was spent on tenant work and improvements to Trust properties; these improvements included: (1) $1.4 million on the redevelopment of Brick Plaza which was begun in 1995; (2) $2.2 million to buy out below market leases; (3) $4.5 million to begin the construction of an additional 30,000 square feet at Congressional Plaza; and (4) $2.0 million to begin the redevelopment and expansion of a portion of Bethesda Row.</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ind w:right="3259" w:firstLine="441"/>
        <w:spacing w:after="0" w:line="237" w:lineRule="auto"/>
        <w:rPr>
          <w:sz w:val="20"/>
          <w:szCs w:val="20"/>
          <w:color w:val="auto"/>
        </w:rPr>
      </w:pPr>
      <w:r>
        <w:rPr>
          <w:rFonts w:ascii="Courier New" w:cs="Courier New" w:eastAsia="Courier New" w:hAnsi="Courier New"/>
          <w:sz w:val="15"/>
          <w:szCs w:val="15"/>
          <w:color w:val="auto"/>
        </w:rPr>
        <w:t>During the first six months of 1996 the Trust made two mortgage loans, secured by retail property in Manayunk, Pennsylvania; a $9.2 million 25 year loan which bears base interest at 10% and which is convertible into a partnership interest in the secured properties and a $514,000 loan due November 1997 which bears interest at the greater of prime plus 2% or 10%.</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In June 1996 the Trust repaid a $3 million note which had been issued in connection with the purchase of Federal Plaza in 1989.</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These expenditures were primarily financed with borrowings under revolving credit facilities. The Trust has available $130.0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June 30, 1996 the Trust had $45.7 million borrowed under these facilities. The maximum amount borrowed under these facilities during the first six months of 1996 was $76.2 million. Amounts advanced under these facilities bear interest at LIBOR plus 75 - 100 basis points; the weighted average interest rate on borrowings during the six months ended June 30, 1996 was 6.5%.</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May 24, 1996 the Trust sold 1.8 million shares at $22 per share, netting $39.3 million. These proceeds were used to repay borrowings on the Trust's revolving credit facilities.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Trust is contractually obligated on contracts of approximately $7.5 million for redevelopment and tenant improvements and is committed under leases for up to an additional $13.8 million in tenant work. In addition to these committed amounts, the Trust has budgeted an additional $7 million for</w:t>
      </w:r>
    </w:p>
    <w:p>
      <w:pPr>
        <w:spacing w:after="0" w:line="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remainder of 1996 for improvements to its properties. These committed and budgeted improvements include a 30,000 square foot expansion at Congressional Plaza, a renovation and expansion of a portion of Bethesda Row, a reconstruction of a portion of Crossroads Shopping Center, and a retenanting and renovation of a portion of Troy Shopping Center. These expenditures will be funded with the revolving credit facilities pending their long term financing with either equity or debt.</w:t>
      </w:r>
    </w:p>
    <w:p>
      <w:pPr>
        <w:spacing w:after="0" w:line="17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Trust continues to seek to acquire existing retail properties. In addition, the Trust is searching for sites in its core markets to permit the Trust to build new shopping centers.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 will need additional capital in order to fund these acquisitions, expansions and refinancings. Sources of this funding may be proceeds from the sale of existing properties, additional debt and additional equity. The timing and choice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5" w:name="page16"/>
    <w:bookmarkEnd w:id="15"/>
    <w:p>
      <w:pPr>
        <w:ind w:right="3259"/>
        <w:spacing w:after="0" w:line="237" w:lineRule="auto"/>
        <w:rPr>
          <w:sz w:val="20"/>
          <w:szCs w:val="20"/>
          <w:color w:val="auto"/>
        </w:rPr>
      </w:pPr>
      <w:r>
        <w:rPr>
          <w:rFonts w:ascii="Courier New" w:cs="Courier New" w:eastAsia="Courier New" w:hAnsi="Courier New"/>
          <w:sz w:val="15"/>
          <w:szCs w:val="15"/>
          <w:color w:val="auto"/>
        </w:rPr>
        <w:t>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Trust reserved approximately $2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of certain third party claims and government requirements related to contamination at adjacent properties.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purchase of Bristol Shopping Center in 1995,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6" w:name="page17"/>
    <w:bookmarkEnd w:id="16"/>
    <w:p>
      <w:pPr>
        <w:ind w:right="3619"/>
        <w:spacing w:after="0" w:line="235" w:lineRule="auto"/>
        <w:rPr>
          <w:sz w:val="20"/>
          <w:szCs w:val="20"/>
          <w:color w:val="auto"/>
        </w:rPr>
      </w:pPr>
      <w:r>
        <w:rPr>
          <w:rFonts w:ascii="Courier New" w:cs="Courier New" w:eastAsia="Courier New" w:hAnsi="Courier New"/>
          <w:sz w:val="15"/>
          <w:szCs w:val="15"/>
          <w:color w:val="auto"/>
        </w:rPr>
        <w:t>such remedial measures and has indemnified the Trust in connection with the identified contamination.</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Recently the unfavorable trends in the retail environment have led to a number of retail bankruptcies. A further weakening of the retail environment and additional bankruptcies could adversely impact the Trust, by increasing vacancies and decreasing rents. In past difficult retail and real estate environments, the Trust has been able to replace weak and bankrupt tenants with stronger tenants; management believes that the quality of the Trust's properties will continue to generate demand for its retail space.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SIX MONTHS ENDED JUNE 30, 1996 AND 1995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has historically reported its funds from operations in addition to its net income.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83"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reconciliation of net income to funds from operations for the six months ended June 30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8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260" w:type="dxa"/>
            <w:vAlign w:val="bottom"/>
          </w:tcPr>
          <w:p>
            <w:pPr>
              <w:spacing w:after="0"/>
              <w:rPr>
                <w:sz w:val="14"/>
                <w:szCs w:val="14"/>
                <w:color w:val="auto"/>
              </w:rPr>
            </w:pPr>
          </w:p>
        </w:tc>
        <w:tc>
          <w:tcPr>
            <w:tcW w:w="29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$11,826</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Plus: depreciation and amortization</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60" w:type="dxa"/>
            <w:vAlign w:val="bottom"/>
          </w:tcPr>
          <w:p>
            <w:pPr>
              <w:ind w:left="600"/>
              <w:spacing w:after="0"/>
              <w:rPr>
                <w:sz w:val="20"/>
                <w:szCs w:val="20"/>
                <w:color w:val="auto"/>
              </w:rPr>
            </w:pPr>
            <w:r>
              <w:rPr>
                <w:rFonts w:ascii="Courier New" w:cs="Courier New" w:eastAsia="Courier New" w:hAnsi="Courier New"/>
                <w:sz w:val="15"/>
                <w:szCs w:val="15"/>
                <w:color w:val="auto"/>
              </w:rPr>
              <w:t>of real estate assets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16,697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15,051</w:t>
            </w:r>
          </w:p>
        </w:tc>
      </w:tr>
      <w:tr>
        <w:trPr>
          <w:trHeight w:val="170"/>
        </w:trPr>
        <w:tc>
          <w:tcPr>
            <w:tcW w:w="3260" w:type="dxa"/>
            <w:vAlign w:val="bottom"/>
          </w:tcPr>
          <w:p>
            <w:pPr>
              <w:ind w:left="520"/>
              <w:spacing w:after="0"/>
              <w:rPr>
                <w:sz w:val="20"/>
                <w:szCs w:val="20"/>
                <w:color w:val="auto"/>
              </w:rPr>
            </w:pPr>
            <w:r>
              <w:rPr>
                <w:rFonts w:ascii="Courier New" w:cs="Courier New" w:eastAsia="Courier New" w:hAnsi="Courier New"/>
                <w:sz w:val="15"/>
                <w:szCs w:val="15"/>
                <w:color w:val="auto"/>
              </w:rPr>
              <w:t>amortization of initial direct</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60" w:type="dxa"/>
            <w:vAlign w:val="bottom"/>
          </w:tcPr>
          <w:p>
            <w:pPr>
              <w:ind w:left="600"/>
              <w:spacing w:after="0"/>
              <w:rPr>
                <w:sz w:val="20"/>
                <w:szCs w:val="20"/>
                <w:color w:val="auto"/>
              </w:rPr>
            </w:pPr>
            <w:r>
              <w:rPr>
                <w:rFonts w:ascii="Courier New" w:cs="Courier New" w:eastAsia="Courier New" w:hAnsi="Courier New"/>
                <w:sz w:val="15"/>
                <w:szCs w:val="15"/>
                <w:color w:val="auto"/>
              </w:rPr>
              <w:t>costs of leases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r>
      <w:tr>
        <w:trPr>
          <w:trHeight w:val="170"/>
        </w:trPr>
        <w:tc>
          <w:tcPr>
            <w:tcW w:w="3260" w:type="dxa"/>
            <w:vAlign w:val="bottom"/>
          </w:tcPr>
          <w:p>
            <w:pPr>
              <w:ind w:left="520"/>
              <w:spacing w:after="0"/>
              <w:rPr>
                <w:sz w:val="20"/>
                <w:szCs w:val="20"/>
                <w:color w:val="auto"/>
              </w:rPr>
            </w:pPr>
            <w:r>
              <w:rPr>
                <w:rFonts w:ascii="Courier New" w:cs="Courier New" w:eastAsia="Courier New" w:hAnsi="Courier New"/>
                <w:sz w:val="15"/>
                <w:szCs w:val="15"/>
                <w:color w:val="auto"/>
              </w:rPr>
              <w:t>loss on sale and nonrecurring</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60" w:type="dxa"/>
            <w:vAlign w:val="bottom"/>
          </w:tcPr>
          <w:p>
            <w:pPr>
              <w:ind w:left="600"/>
              <w:spacing w:after="0"/>
              <w:rPr>
                <w:sz w:val="20"/>
                <w:szCs w:val="20"/>
                <w:color w:val="auto"/>
              </w:rPr>
            </w:pPr>
            <w:r>
              <w:rPr>
                <w:rFonts w:ascii="Courier New" w:cs="Courier New" w:eastAsia="Courier New" w:hAnsi="Courier New"/>
                <w:sz w:val="15"/>
                <w:szCs w:val="15"/>
                <w:color w:val="auto"/>
              </w:rPr>
              <w:t>items</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0"/>
        </w:trPr>
        <w:tc>
          <w:tcPr>
            <w:tcW w:w="3260" w:type="dxa"/>
            <w:vAlign w:val="bottom"/>
          </w:tcPr>
          <w:p>
            <w:pPr>
              <w:spacing w:after="0"/>
              <w:rPr>
                <w:sz w:val="14"/>
                <w:szCs w:val="14"/>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Funds from operations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$30,805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$28,607</w:t>
            </w:r>
          </w:p>
        </w:tc>
      </w:tr>
      <w:tr>
        <w:trPr>
          <w:trHeight w:val="170"/>
        </w:trPr>
        <w:tc>
          <w:tcPr>
            <w:tcW w:w="3260" w:type="dxa"/>
            <w:vAlign w:val="bottom"/>
          </w:tcPr>
          <w:p>
            <w:pPr>
              <w:spacing w:after="0"/>
              <w:rPr>
                <w:sz w:val="14"/>
                <w:szCs w:val="14"/>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3260" w:type="dxa"/>
            <w:vAlign w:val="bottom"/>
          </w:tcPr>
          <w:p>
            <w:pPr>
              <w:spacing w:after="0"/>
              <w:rPr>
                <w:sz w:val="24"/>
                <w:szCs w:val="24"/>
                <w:color w:val="auto"/>
              </w:rPr>
            </w:pPr>
          </w:p>
        </w:tc>
        <w:tc>
          <w:tcPr>
            <w:tcW w:w="188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7" w:name="page18"/>
    <w:bookmarkEnd w:id="17"/>
    <w:p>
      <w:pPr>
        <w:ind w:right="3359" w:firstLine="441"/>
        <w:spacing w:after="0" w:line="265" w:lineRule="auto"/>
        <w:rPr>
          <w:sz w:val="20"/>
          <w:szCs w:val="20"/>
          <w:color w:val="auto"/>
        </w:rPr>
      </w:pPr>
      <w:r>
        <w:rPr>
          <w:rFonts w:ascii="Courier New" w:cs="Courier New" w:eastAsia="Courier New" w:hAnsi="Courier New"/>
          <w:sz w:val="14"/>
          <w:szCs w:val="14"/>
          <w:color w:val="auto"/>
        </w:rPr>
        <w:t>Funds from operations increased 8% to $30.8 million for the six months ended June 30, 1996 from $28.6 million for the six months ended June 30, 1995.</w:t>
      </w:r>
    </w:p>
    <w:p>
      <w:pPr>
        <w:spacing w:after="0" w:line="15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17% from $68.6 million in the first six months of 1995 to $80.7 million in the first six months of 1996. If properties purchased and sold in 1995 and 1996 are excluded, rental income increased 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Minimum rent increased 17% from $55.1 million in the first six months of</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1995 to $64.8 million in the first six months of 1996. Excluding properties purchased and sold in 1995 and 1996, minimum rent increased 6.5%. Forty-six percent of the increase results from rent increases at Brick Plaza, Gaithersburg Square and Congressional Plaza, all of which have recently been renovated and retenanted.</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reimbursements consist of tenant reimbursements of real estate taxes (real estate tax recovery) and common area maintenance expenses (CAM recovery). Cost reimbursements increased 24% from $10.9 million during the first six months of 1995 to $13.5 million during the first six months of 1996. The increase was due to the recent acquisitions, the partial recovery of increased CAM expenses, primarily snow removal, and an acceleration of billing CAM capital items from once at year end to monthly.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property income includes items which tend to fluctuate from period to period, such as utility reimbursements, telephone income, merchant association dues, lease termination fees, late fees and temporary tenant income. Other property income increased from $3.4 million during the first six months of 1995 to $4.8 million during the first six months of 1996, primarily due to increases in lease termination fees.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Rental expenses have increased 34% in the first six months of 1996 over the first six months of 1995, to $21.7 million from $16.2 million. If centers acquired and sold during 1995 and 1996 are excluded, rental expenses increased 22%, due to increased snow removal costs incurred during this winter's heavy snowfalls and due to a loss resulting from the decision to demolish a portion of Crossroads Shopping Center to allow for construction of new space.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Real estate taxes have increased from $7.0 million during the first six months of 1995 to $8.0 million during the first six months of 1996; $656,000 of the increase was due to taxes on the 1995 and 1996 acquisitions. Depreciation and amortization in the first six months of 1996 was 10% greater than in the first six months of 1995. Excluding the effect from the 1995 and 1996 acquisitions, depreciation and amortization increased 5%,</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8" w:name="page19"/>
    <w:bookmarkEnd w:id="18"/>
    <w:p>
      <w:pPr>
        <w:ind w:right="3259"/>
        <w:spacing w:after="0" w:line="235" w:lineRule="auto"/>
        <w:rPr>
          <w:sz w:val="20"/>
          <w:szCs w:val="20"/>
          <w:color w:val="auto"/>
        </w:rPr>
      </w:pPr>
      <w:r>
        <w:rPr>
          <w:rFonts w:ascii="Courier New" w:cs="Courier New" w:eastAsia="Courier New" w:hAnsi="Courier New"/>
          <w:sz w:val="15"/>
          <w:szCs w:val="15"/>
          <w:color w:val="auto"/>
        </w:rPr>
        <w:t>primarily due to increases attributable to Brick Plaza, Gaithersburg Square and Congressional Plaza.</w:t>
      </w:r>
    </w:p>
    <w:p>
      <w:pPr>
        <w:spacing w:after="0" w:line="17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Interest expense increased from $18.7 million during the first six months of 1995 to $22.3 million during the first six months of 1996, primarily due to interest expense on the $165 million of senior notes issued during 1995 and due to increased interest on the revolving credit facilities due to larger average outstanding balances in 1996 than in 1995. The ratio of earnings to fixed</w:t>
      </w:r>
    </w:p>
    <w:p>
      <w:pPr>
        <w:spacing w:after="0" w:line="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charges was 1.53x for the first six months of 1996 and 1.61x for the comparable period in 1995. The ratio of funds from operations to fixed charges was 2.30x for the first six months of 1996 and 2.43x for the first six months of 1995.</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Administrative expenses as a percentage of total revenue have increased from 3.8% in 1995 to 4.4% in 1996, primarily because of the write off of costs associated with unconsummated acquisitions and developments.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a result of the foregoing items, net income increased from $11.8 million during the first six months of 1995 to $12.9 million during the first six months of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JUNE 30, 1996 AND 1995</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Funds from operations increased 13% to $15.8 million in the second quarter of 1996 from $14.0 million in the second quarter of 1995.</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Rental income increased 17% from $34.2 million in the second quarter of 1995 to $40.0 million in 1996. If properties purchased and sold in 1995 and 1996 are excluded, rental income increased 6%. Fifty-nine percent of this increase is attributable to Brick Plaza, Gaithersburg and Congressional Plaza, all of which have recently been redeveloped and retenanted.</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Minimum rent, a component of rental income, increased 18% from $27.9 million in the second quarter of 1995 to $32.8 million in the second quarter of 1996. If properties purchased and sold in 1995 and 1996 are excluded, minimum rent increased 7%. Fifty-seven percent of this increase is attributable to Brick Plaza, Gaithersburg, and Congressional Plaza.</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Cost reimbursements, another component of rental income, increased 15% from $5.3 million in the second quarter of 1995 to $6.1 million in the second quarter of 1996. The increase is primarily due to the 1995 and 1996 acquisitions, but also to an acceleration of billing CAM capital items from once at year end to monthly.</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ind w:right="3259" w:firstLine="441"/>
        <w:spacing w:after="0" w:line="237" w:lineRule="auto"/>
        <w:rPr>
          <w:sz w:val="20"/>
          <w:szCs w:val="20"/>
          <w:color w:val="auto"/>
        </w:rPr>
      </w:pPr>
      <w:r>
        <w:rPr>
          <w:rFonts w:ascii="Courier New" w:cs="Courier New" w:eastAsia="Courier New" w:hAnsi="Courier New"/>
          <w:sz w:val="15"/>
          <w:szCs w:val="15"/>
          <w:color w:val="auto"/>
        </w:rPr>
        <w:t>Other property income has increased 37% from $1.9 million in the second quarter of 1995 to $2.6 million in the second quarter of 1996, primarily due to lease termination fees.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Rental expenses for the second quarter have increased 20% from $8.3 million in 1995 to $9.9 million in 1996. Excluding properties purchased and sold in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1995 and 1996, rental expenses increased 10%. The major source of this increase was the loss resulting from the decision to demolish a portion of Crossroads Shopping Center to allow for the construction of new space.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Real estate taxes increased from the second quarter of 1995 to the second quarter of 1996 because of the recent acquisitions and because of increased assessments at several centers.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Interest expense increased from $9.6 million during the second quarter of 1995 to $11.1 million during the second quarter of 1996 primarily due to increased usage of the revolving credit facilities and due to the interest on $65 million of senior notes issued during the second and fourth quarters of 1995.</w:t>
      </w:r>
    </w:p>
    <w:p>
      <w:pPr>
        <w:spacing w:after="0" w:line="178"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Administrative expenses have increased due to the write off of costs related to unconsummated acquisitions and developments.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Depreciation and amortization expense was 8% greater during the second quarter of 1996 as compared to the second quarter of 1995. Excluding the depreciation on properties purchased and sold in 1995 and 1996, depreciation increased 3%, primarily due to increases attributable to Brick Plaza, Gaithersburg Square and Congressional Plaza.</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the second quarter of 1995 the Trust recorded a $535,000 loss, resulting from the write down of North City Plaza to its fair value less costs to sell, since it was being prepared for sale.</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As a result of the foregoing items, net income increased from $5.2 million in the second quarter of 1995 to $6.9 million in the second quarter of 1996.</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0" w:name="page21"/>
    <w:bookmarkEnd w:id="20"/>
    <w:p>
      <w:pPr>
        <w:ind w:left="10"/>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4. Submission of Matters to a Vote of Shareholders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At the 1996 Annual Meeting of Shareholders on May 2, 1996 the Shareholders elected four trustees to serve for the ensuing three years. Holders of 23.2 million shares voted for each of the four trustees. Holders of under 100,000 shares voted against each of the four trustees.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Item 6. Exhibits and Reports on Form</w:t>
            </w:r>
          </w:p>
        </w:tc>
        <w:tc>
          <w:tcPr>
            <w:tcW w:w="204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8-K</w:t>
            </w:r>
          </w:p>
        </w:tc>
        <w:tc>
          <w:tcPr>
            <w:tcW w:w="1480" w:type="dxa"/>
            <w:vAlign w:val="bottom"/>
          </w:tcPr>
          <w:p>
            <w:pPr>
              <w:spacing w:after="0"/>
              <w:rPr>
                <w:sz w:val="14"/>
                <w:szCs w:val="14"/>
                <w:color w:val="auto"/>
              </w:rPr>
            </w:pPr>
          </w:p>
        </w:tc>
      </w:t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4"/>
              </w:rPr>
              <w:t>(A) Exhibits</w:t>
            </w: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Financial Data Schedule</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Edgar filing only</w:t>
            </w:r>
          </w:p>
        </w:tc>
      </w:tr>
    </w:tbl>
    <w:p>
      <w:pPr>
        <w:spacing w:after="0" w:line="169" w:lineRule="exact"/>
        <w:rPr>
          <w:sz w:val="20"/>
          <w:szCs w:val="20"/>
          <w:color w:val="auto"/>
        </w:rPr>
      </w:pPr>
    </w:p>
    <w:p>
      <w:pPr>
        <w:ind w:left="350" w:hanging="350"/>
        <w:spacing w:after="0"/>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dated May 17, 1996, was filed in response to Item 7.(c)</w:t>
      </w:r>
    </w:p>
    <w:p>
      <w:pPr>
        <w:spacing w:after="0" w:line="200" w:lineRule="exact"/>
        <w:rPr>
          <w:sz w:val="20"/>
          <w:szCs w:val="20"/>
          <w:color w:val="auto"/>
        </w:rPr>
      </w:pPr>
    </w:p>
    <w:p>
      <w:pPr>
        <w:spacing w:after="0" w:line="313" w:lineRule="exact"/>
        <w:rPr>
          <w:sz w:val="20"/>
          <w:szCs w:val="20"/>
          <w:color w:val="auto"/>
        </w:rPr>
      </w:pPr>
    </w:p>
    <w:p>
      <w:pPr>
        <w:ind w:left="10" w:right="3359" w:firstLine="88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FEDERAL REALTY INVESTMENT TRUST</w:t>
      </w:r>
    </w:p>
    <w:p>
      <w:pPr>
        <w:jc w:val="right"/>
        <w:ind w:right="3179"/>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August 12, 1996</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590" w:space="720"/>
            <w:col w:w="5919"/>
          </w:cols>
          <w:pgMar w:left="230" w:top="622" w:right="1440" w:bottom="1440" w:gutter="0" w:footer="0" w:header="0"/>
          <w:type w:val="continuous"/>
        </w:sect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August 12, 1996</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 Vice President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75" w:lineRule="exact"/>
        <w:rPr>
          <w:sz w:val="20"/>
          <w:szCs w:val="20"/>
          <w:color w:val="auto"/>
        </w:rPr>
      </w:pPr>
    </w:p>
    <w:p>
      <w:pPr>
        <w:sectPr>
          <w:pgSz w:w="11900" w:h="16838" w:orient="portrait"/>
          <w:cols w:equalWidth="0" w:num="2">
            <w:col w:w="3590" w:space="720"/>
            <w:col w:w="5919"/>
          </w:cols>
          <w:pgMar w:left="230" w:top="622" w:right="1440" w:bottom="1440" w:gutter="0" w:footer="0" w:header="0"/>
          <w:type w:val="continuous"/>
        </w:sect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49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June 30, 1996 and the related consolidated statement of operations for the six months ended June 30, 1996 and is qualified in its entirety by reference to such financial statements.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ind w:left="2280"/>
        <w:spacing w:after="0"/>
        <w:rPr>
          <w:sz w:val="20"/>
          <w:szCs w:val="20"/>
          <w:color w:val="auto"/>
        </w:rPr>
      </w:pPr>
      <w:r>
        <w:rPr>
          <w:rFonts w:ascii="Courier New" w:cs="Courier New" w:eastAsia="Courier New" w:hAnsi="Courier New"/>
          <w:sz w:val="15"/>
          <w:szCs w:val="15"/>
          <w:color w:val="auto"/>
        </w:rPr>
        <w:t>DEC-31-1996</w:t>
      </w:r>
    </w:p>
    <w:p>
      <w:pPr>
        <w:ind w:left="2720"/>
        <w:spacing w:after="0"/>
        <w:rPr>
          <w:sz w:val="20"/>
          <w:szCs w:val="20"/>
          <w:color w:val="auto"/>
        </w:rPr>
      </w:pPr>
      <w:r>
        <w:rPr>
          <w:rFonts w:ascii="Courier New" w:cs="Courier New" w:eastAsia="Courier New" w:hAnsi="Courier New"/>
          <w:sz w:val="15"/>
          <w:szCs w:val="15"/>
          <w:color w:val="auto"/>
        </w:rPr>
        <w:t>JUN-30-1996</w:t>
      </w:r>
    </w:p>
    <w:p>
      <w:pPr>
        <w:ind w:left="3700"/>
        <w:spacing w:after="0" w:line="238" w:lineRule="auto"/>
        <w:rPr>
          <w:sz w:val="20"/>
          <w:szCs w:val="20"/>
          <w:color w:val="auto"/>
        </w:rPr>
      </w:pPr>
      <w:r>
        <w:rPr>
          <w:rFonts w:ascii="Courier New" w:cs="Courier New" w:eastAsia="Courier New" w:hAnsi="Courier New"/>
          <w:sz w:val="15"/>
          <w:szCs w:val="15"/>
          <w:color w:val="auto"/>
        </w:rPr>
        <w:t>$6,865</w:t>
      </w:r>
    </w:p>
    <w:p>
      <w:pPr>
        <w:ind w:left="3420"/>
        <w:spacing w:after="0"/>
        <w:rPr>
          <w:sz w:val="20"/>
          <w:szCs w:val="20"/>
          <w:color w:val="auto"/>
        </w:rPr>
      </w:pPr>
      <w:r>
        <w:rPr>
          <w:rFonts w:ascii="Courier New" w:cs="Courier New" w:eastAsia="Courier New" w:hAnsi="Courier New"/>
          <w:sz w:val="15"/>
          <w:szCs w:val="15"/>
          <w:color w:val="auto"/>
        </w:rPr>
        <w:t>536</w:t>
      </w:r>
    </w:p>
    <w:p>
      <w:pPr>
        <w:ind w:left="3080"/>
        <w:spacing w:after="0"/>
        <w:rPr>
          <w:sz w:val="20"/>
          <w:szCs w:val="20"/>
          <w:color w:val="auto"/>
        </w:rPr>
      </w:pPr>
      <w:r>
        <w:rPr>
          <w:rFonts w:ascii="Courier New" w:cs="Courier New" w:eastAsia="Courier New" w:hAnsi="Courier New"/>
          <w:sz w:val="15"/>
          <w:szCs w:val="15"/>
          <w:color w:val="auto"/>
        </w:rPr>
        <w:t>16,890</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420"/>
        <w:spacing w:after="0"/>
        <w:rPr>
          <w:sz w:val="20"/>
          <w:szCs w:val="20"/>
          <w:color w:val="auto"/>
        </w:rPr>
      </w:pPr>
      <w:r>
        <w:rPr>
          <w:rFonts w:ascii="Courier New" w:cs="Courier New" w:eastAsia="Courier New" w:hAnsi="Courier New"/>
          <w:sz w:val="15"/>
          <w:szCs w:val="15"/>
          <w:color w:val="auto"/>
        </w:rPr>
        <w:t>1,047,226</w:t>
      </w:r>
    </w:p>
    <w:p>
      <w:pPr>
        <w:ind w:left="2720"/>
        <w:spacing w:after="0" w:line="238" w:lineRule="auto"/>
        <w:rPr>
          <w:sz w:val="20"/>
          <w:szCs w:val="20"/>
          <w:color w:val="auto"/>
        </w:rPr>
      </w:pPr>
      <w:r>
        <w:rPr>
          <w:rFonts w:ascii="Courier New" w:cs="Courier New" w:eastAsia="Courier New" w:hAnsi="Courier New"/>
          <w:sz w:val="15"/>
          <w:szCs w:val="15"/>
          <w:color w:val="auto"/>
        </w:rPr>
        <w:t>(206,813)</w:t>
      </w:r>
    </w:p>
    <w:p>
      <w:pPr>
        <w:ind w:left="2900"/>
        <w:spacing w:after="0"/>
        <w:rPr>
          <w:sz w:val="20"/>
          <w:szCs w:val="20"/>
          <w:color w:val="auto"/>
        </w:rPr>
      </w:pPr>
      <w:r>
        <w:rPr>
          <w:rFonts w:ascii="Courier New" w:cs="Courier New" w:eastAsia="Courier New" w:hAnsi="Courier New"/>
          <w:sz w:val="15"/>
          <w:szCs w:val="15"/>
          <w:color w:val="auto"/>
        </w:rPr>
        <w:t>913,815</w:t>
      </w:r>
    </w:p>
    <w:p>
      <w:pPr>
        <w:ind w:left="2820"/>
        <w:spacing w:after="0"/>
        <w:rPr>
          <w:sz w:val="20"/>
          <w:szCs w:val="20"/>
          <w:color w:val="auto"/>
        </w:rPr>
      </w:pPr>
      <w:r>
        <w:rPr>
          <w:rFonts w:ascii="Courier New" w:cs="Courier New" w:eastAsia="Courier New" w:hAnsi="Courier New"/>
          <w:sz w:val="15"/>
          <w:szCs w:val="15"/>
          <w:color w:val="auto"/>
        </w:rPr>
        <w:t>0</w:t>
      </w:r>
    </w:p>
    <w:p>
      <w:pPr>
        <w:ind w:left="3520"/>
        <w:spacing w:after="0" w:line="238" w:lineRule="auto"/>
        <w:rPr>
          <w:sz w:val="20"/>
          <w:szCs w:val="20"/>
          <w:color w:val="auto"/>
        </w:rPr>
      </w:pPr>
      <w:r>
        <w:rPr>
          <w:rFonts w:ascii="Courier New" w:cs="Courier New" w:eastAsia="Courier New" w:hAnsi="Courier New"/>
          <w:sz w:val="15"/>
          <w:szCs w:val="15"/>
          <w:color w:val="auto"/>
        </w:rPr>
        <w:t>513,876</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420"/>
        <w:spacing w:after="0"/>
        <w:rPr>
          <w:sz w:val="20"/>
          <w:szCs w:val="20"/>
          <w:color w:val="auto"/>
        </w:rPr>
      </w:pPr>
      <w:r>
        <w:rPr>
          <w:rFonts w:ascii="Courier New" w:cs="Courier New" w:eastAsia="Courier New" w:hAnsi="Courier New"/>
          <w:sz w:val="15"/>
          <w:szCs w:val="15"/>
          <w:color w:val="auto"/>
        </w:rPr>
        <w:t>550,752</w:t>
      </w:r>
    </w:p>
    <w:p>
      <w:pPr>
        <w:ind w:left="3080"/>
        <w:spacing w:after="0" w:line="238" w:lineRule="auto"/>
        <w:rPr>
          <w:sz w:val="20"/>
          <w:szCs w:val="20"/>
          <w:color w:val="auto"/>
        </w:rPr>
      </w:pPr>
      <w:r>
        <w:rPr>
          <w:rFonts w:ascii="Courier New" w:cs="Courier New" w:eastAsia="Courier New" w:hAnsi="Courier New"/>
          <w:sz w:val="15"/>
          <w:szCs w:val="15"/>
          <w:color w:val="auto"/>
        </w:rPr>
        <w:t>(195,587)</w:t>
      </w:r>
    </w:p>
    <w:p>
      <w:pPr>
        <w:ind w:left="1660"/>
        <w:spacing w:after="0"/>
        <w:rPr>
          <w:sz w:val="20"/>
          <w:szCs w:val="20"/>
          <w:color w:val="auto"/>
        </w:rPr>
      </w:pPr>
      <w:r>
        <w:rPr>
          <w:rFonts w:ascii="Courier New" w:cs="Courier New" w:eastAsia="Courier New" w:hAnsi="Courier New"/>
          <w:sz w:val="15"/>
          <w:szCs w:val="15"/>
          <w:color w:val="auto"/>
        </w:rPr>
        <w:t>913,815</w:t>
      </w:r>
    </w:p>
    <w:p>
      <w:pPr>
        <w:ind w:left="4040"/>
        <w:spacing w:after="0"/>
        <w:rPr>
          <w:sz w:val="20"/>
          <w:szCs w:val="20"/>
          <w:color w:val="auto"/>
        </w:rPr>
      </w:pPr>
      <w:r>
        <w:rPr>
          <w:rFonts w:ascii="Courier New" w:cs="Courier New" w:eastAsia="Courier New" w:hAnsi="Courier New"/>
          <w:sz w:val="15"/>
          <w:szCs w:val="15"/>
          <w:color w:val="auto"/>
        </w:rPr>
        <w:t>0</w:t>
      </w:r>
    </w:p>
    <w:p>
      <w:pPr>
        <w:ind w:left="2820"/>
        <w:spacing w:after="0" w:line="238" w:lineRule="auto"/>
        <w:rPr>
          <w:sz w:val="20"/>
          <w:szCs w:val="20"/>
          <w:color w:val="auto"/>
        </w:rPr>
      </w:pPr>
      <w:r>
        <w:rPr>
          <w:rFonts w:ascii="Courier New" w:cs="Courier New" w:eastAsia="Courier New" w:hAnsi="Courier New"/>
          <w:sz w:val="15"/>
          <w:szCs w:val="15"/>
          <w:color w:val="auto"/>
        </w:rPr>
        <w:t>85,423</w:t>
      </w:r>
    </w:p>
    <w:p>
      <w:pPr>
        <w:ind w:left="422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29,686</w:t>
      </w:r>
    </w:p>
    <w:p>
      <w:pPr>
        <w:ind w:left="326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22,288</w:t>
      </w:r>
    </w:p>
    <w:p>
      <w:pPr>
        <w:ind w:left="2900"/>
        <w:spacing w:after="0"/>
        <w:rPr>
          <w:sz w:val="20"/>
          <w:szCs w:val="20"/>
          <w:color w:val="auto"/>
        </w:rPr>
      </w:pPr>
      <w:r>
        <w:rPr>
          <w:rFonts w:ascii="Courier New" w:cs="Courier New" w:eastAsia="Courier New" w:hAnsi="Courier New"/>
          <w:sz w:val="15"/>
          <w:szCs w:val="15"/>
          <w:color w:val="auto"/>
        </w:rPr>
        <w:t>12,923</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rPr>
          <w:sz w:val="20"/>
          <w:szCs w:val="20"/>
          <w:color w:val="auto"/>
        </w:rPr>
      </w:pPr>
      <w:r>
        <w:rPr>
          <w:rFonts w:ascii="Courier New" w:cs="Courier New" w:eastAsia="Courier New" w:hAnsi="Courier New"/>
          <w:sz w:val="15"/>
          <w:szCs w:val="15"/>
          <w:color w:val="auto"/>
        </w:rPr>
        <w:t>0</w:t>
      </w:r>
    </w:p>
    <w:p>
      <w:pPr>
        <w:ind w:left="3420"/>
        <w:spacing w:after="0"/>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ind w:left="3160"/>
        <w:spacing w:after="0"/>
        <w:rPr>
          <w:sz w:val="20"/>
          <w:szCs w:val="20"/>
          <w:color w:val="auto"/>
        </w:rPr>
      </w:pPr>
      <w:r>
        <w:rPr>
          <w:rFonts w:ascii="Courier New" w:cs="Courier New" w:eastAsia="Courier New" w:hAnsi="Courier New"/>
          <w:sz w:val="15"/>
          <w:szCs w:val="15"/>
          <w:color w:val="auto"/>
        </w:rPr>
        <w:t>12,923</w:t>
      </w:r>
    </w:p>
    <w:p>
      <w:pPr>
        <w:ind w:left="3340"/>
        <w:spacing w:after="0"/>
        <w:rPr>
          <w:sz w:val="20"/>
          <w:szCs w:val="20"/>
          <w:color w:val="auto"/>
        </w:rPr>
      </w:pPr>
      <w:r>
        <w:rPr>
          <w:rFonts w:ascii="Courier New" w:cs="Courier New" w:eastAsia="Courier New" w:hAnsi="Courier New"/>
          <w:sz w:val="15"/>
          <w:szCs w:val="15"/>
          <w:color w:val="auto"/>
        </w:rPr>
        <w:t>.40</w:t>
      </w:r>
    </w:p>
    <w:p>
      <w:pPr>
        <w:ind w:left="3520"/>
        <w:spacing w:after="0" w:line="238" w:lineRule="auto"/>
        <w:rPr>
          <w:sz w:val="20"/>
          <w:szCs w:val="20"/>
          <w:color w:val="auto"/>
        </w:rPr>
      </w:pPr>
      <w:r>
        <w:rPr>
          <w:rFonts w:ascii="Courier New" w:cs="Courier New" w:eastAsia="Courier New" w:hAnsi="Courier New"/>
          <w:sz w:val="15"/>
          <w:szCs w:val="15"/>
          <w:color w:val="auto"/>
        </w:rPr>
        <w:t>0</w:t>
      </w:r>
    </w:p>
    <w:p>
      <w:pPr>
        <w:spacing w:after="0" w:line="175" w:lineRule="exact"/>
        <w:rPr>
          <w:sz w:val="20"/>
          <w:szCs w:val="20"/>
          <w:color w:val="auto"/>
        </w:rPr>
      </w:pPr>
    </w:p>
    <w:p>
      <w:pPr>
        <w:ind w:right="4239" w:firstLine="88"/>
        <w:spacing w:after="0" w:line="235"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1"/>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2019-12-13T01:03:01Z</dcterms:created>
  <dcterms:modified xsi:type="dcterms:W3CDTF">2019-12-13T01:03:01Z</dcterms:modified>
</cp:coreProperties>
</file>