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tcPr>
          <w:p>
            <w:pPr>
              <w:ind w:left="7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2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May 4, 2009 was 59,105,589.</w:t>
            </w:r>
          </w:p>
        </w:tc>
        <w:tc>
          <w:tcPr>
            <w:tcW w:w="2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3"/>
        </w:trPr>
        <w:tc>
          <w:tcPr>
            <w:tcW w:w="184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20" w:type="dxa"/>
            <w:vAlign w:val="bottom"/>
            <w:gridSpan w:val="9"/>
          </w:tcPr>
          <w:p>
            <w:pPr>
              <w:jc w:val="center"/>
              <w:ind w:right="2080"/>
              <w:spacing w:after="0"/>
              <w:rPr>
                <w:sz w:val="20"/>
                <w:szCs w:val="20"/>
                <w:color w:val="auto"/>
              </w:rPr>
            </w:pPr>
            <w:r>
              <w:rPr>
                <w:rFonts w:ascii="Arial" w:cs="Arial" w:eastAsia="Arial" w:hAnsi="Arial"/>
                <w:sz w:val="18"/>
                <w:szCs w:val="18"/>
                <w:b w:val="1"/>
                <w:bCs w:val="1"/>
                <w:color w:val="auto"/>
                <w:w w:val="99"/>
              </w:rPr>
              <w:t>FEDERAL REALTY INVESTMENT TRUST</w:t>
            </w:r>
          </w:p>
        </w:tc>
        <w:tc>
          <w:tcPr>
            <w:tcW w:w="1860" w:type="dxa"/>
            <w:vAlign w:val="bottom"/>
          </w:tcPr>
          <w:p>
            <w:pPr>
              <w:spacing w:after="0"/>
              <w:rPr>
                <w:sz w:val="19"/>
                <w:szCs w:val="19"/>
                <w:color w:val="auto"/>
              </w:rPr>
            </w:pPr>
          </w:p>
        </w:tc>
      </w:tr>
      <w:tr>
        <w:trPr>
          <w:trHeight w:val="366"/>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20" w:type="dxa"/>
            <w:vAlign w:val="bottom"/>
            <w:gridSpan w:val="9"/>
          </w:tcPr>
          <w:p>
            <w:pPr>
              <w:jc w:val="center"/>
              <w:ind w:right="2080"/>
              <w:spacing w:after="0"/>
              <w:rPr>
                <w:sz w:val="20"/>
                <w:szCs w:val="20"/>
                <w:color w:val="auto"/>
              </w:rPr>
            </w:pPr>
            <w:r>
              <w:rPr>
                <w:rFonts w:ascii="Arial" w:cs="Arial" w:eastAsia="Arial" w:hAnsi="Arial"/>
                <w:sz w:val="18"/>
                <w:szCs w:val="18"/>
                <w:b w:val="1"/>
                <w:bCs w:val="1"/>
                <w:color w:val="auto"/>
                <w:w w:val="97"/>
              </w:rPr>
              <w:t>QUARTERLY REPORT ON FORM 10-Q</w:t>
            </w:r>
          </w:p>
        </w:tc>
        <w:tc>
          <w:tcPr>
            <w:tcW w:w="1860" w:type="dxa"/>
            <w:vAlign w:val="bottom"/>
          </w:tcPr>
          <w:p>
            <w:pPr>
              <w:spacing w:after="0"/>
              <w:rPr>
                <w:sz w:val="24"/>
                <w:szCs w:val="24"/>
                <w:color w:val="auto"/>
              </w:rPr>
            </w:pPr>
          </w:p>
        </w:tc>
      </w:tr>
      <w:tr>
        <w:trPr>
          <w:trHeight w:val="228"/>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gridSpan w:val="8"/>
          </w:tcPr>
          <w:p>
            <w:pPr>
              <w:jc w:val="center"/>
              <w:ind w:right="2340"/>
              <w:spacing w:after="0"/>
              <w:rPr>
                <w:sz w:val="20"/>
                <w:szCs w:val="20"/>
                <w:color w:val="auto"/>
              </w:rPr>
            </w:pPr>
            <w:r>
              <w:rPr>
                <w:rFonts w:ascii="Arial" w:cs="Arial" w:eastAsia="Arial" w:hAnsi="Arial"/>
                <w:sz w:val="18"/>
                <w:szCs w:val="18"/>
                <w:b w:val="1"/>
                <w:bCs w:val="1"/>
                <w:color w:val="auto"/>
                <w:w w:val="96"/>
              </w:rPr>
              <w:t>QUARTER ENDED MARCH 31, 2009</w:t>
            </w:r>
          </w:p>
        </w:tc>
        <w:tc>
          <w:tcPr>
            <w:tcW w:w="18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gridSpan w:val="7"/>
          </w:tcPr>
          <w:p>
            <w:pPr>
              <w:jc w:val="center"/>
              <w:ind w:right="2880"/>
              <w:spacing w:after="0"/>
              <w:rPr>
                <w:sz w:val="20"/>
                <w:szCs w:val="20"/>
                <w:color w:val="auto"/>
              </w:rPr>
            </w:pPr>
            <w:r>
              <w:rPr>
                <w:rFonts w:ascii="Arial" w:cs="Arial" w:eastAsia="Arial" w:hAnsi="Arial"/>
                <w:sz w:val="18"/>
                <w:szCs w:val="18"/>
                <w:b w:val="1"/>
                <w:bCs w:val="1"/>
                <w:color w:val="auto"/>
                <w:w w:val="96"/>
              </w:rPr>
              <w:t>TABLE OF CONTENTS</w:t>
            </w:r>
          </w:p>
        </w:tc>
        <w:tc>
          <w:tcPr>
            <w:tcW w:w="1860" w:type="dxa"/>
            <w:vAlign w:val="bottom"/>
          </w:tcPr>
          <w:p>
            <w:pPr>
              <w:spacing w:after="0"/>
              <w:rPr>
                <w:sz w:val="24"/>
                <w:szCs w:val="24"/>
                <w:color w:val="auto"/>
              </w:rPr>
            </w:pPr>
          </w:p>
        </w:tc>
      </w:tr>
      <w:tr>
        <w:trPr>
          <w:trHeight w:val="380"/>
        </w:trPr>
        <w:tc>
          <w:tcPr>
            <w:tcW w:w="28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6720" w:type="dxa"/>
            <w:vAlign w:val="bottom"/>
            <w:gridSpan w:val="10"/>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7540" w:type="dxa"/>
            <w:vAlign w:val="bottom"/>
            <w:gridSpan w:val="14"/>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91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2009 (unaudited) and December 31, 2008</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1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March 31, 2009 and 2008</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7380" w:type="dxa"/>
            <w:vAlign w:val="bottom"/>
            <w:tcBorders>
              <w:top w:val="single" w:sz="8" w:color="0000EE"/>
            </w:tcBorders>
            <w:gridSpan w:val="1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Shareholders’ Equity (unaudited) for the three months ended March 31, 2009</w:t>
              </w:r>
            </w:hyperlink>
          </w:p>
        </w:tc>
        <w:tc>
          <w:tcPr>
            <w:tcW w:w="1740" w:type="dxa"/>
            <w:vAlign w:val="bottom"/>
            <w:gridSpan w:val="2"/>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4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Cash Flows (unaudited) for the three months ended March 31, 2009 and 2008</w:t>
              </w:r>
            </w:hyperlink>
          </w:p>
        </w:tc>
        <w:tc>
          <w:tcPr>
            <w:tcW w:w="168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 (unaudited)</w:t>
              </w:r>
            </w:hyperlink>
          </w:p>
        </w:tc>
        <w:tc>
          <w:tcPr>
            <w:tcW w:w="5620" w:type="dxa"/>
            <w:vAlign w:val="bottom"/>
            <w:gridSpan w:val="9"/>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56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2720" w:type="dxa"/>
            <w:vAlign w:val="bottom"/>
            <w:gridSpan w:val="4"/>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 Controls and Procedures</w:t>
              </w:r>
            </w:hyperlink>
          </w:p>
        </w:tc>
        <w:tc>
          <w:tcPr>
            <w:tcW w:w="7280" w:type="dxa"/>
            <w:vAlign w:val="bottom"/>
            <w:gridSpan w:val="13"/>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7040" w:type="dxa"/>
            <w:vAlign w:val="bottom"/>
            <w:gridSpan w:val="1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1. Legal Proceedings</w:t>
              </w:r>
            </w:hyperlink>
          </w:p>
        </w:tc>
        <w:tc>
          <w:tcPr>
            <w:tcW w:w="7700" w:type="dxa"/>
            <w:vAlign w:val="bottom"/>
            <w:gridSpan w:val="15"/>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8000" w:type="dxa"/>
            <w:vAlign w:val="bottom"/>
            <w:gridSpan w:val="17"/>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2. Unregistered Sales of Equity Securities and Use of Proceeds</w:t>
              </w:r>
            </w:hyperlink>
          </w:p>
        </w:tc>
        <w:tc>
          <w:tcPr>
            <w:tcW w:w="4760" w:type="dxa"/>
            <w:vAlign w:val="bottom"/>
            <w:gridSpan w:val="6"/>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3. Defaults Upon Senior Securities</w:t>
              </w:r>
            </w:hyperlink>
          </w:p>
        </w:tc>
        <w:tc>
          <w:tcPr>
            <w:tcW w:w="6740" w:type="dxa"/>
            <w:vAlign w:val="bottom"/>
            <w:gridSpan w:val="11"/>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56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 Submission of Matters to a Vote of Security Holders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5. Other Information</w:t>
              </w:r>
            </w:hyperlink>
          </w:p>
        </w:tc>
        <w:tc>
          <w:tcPr>
            <w:tcW w:w="2380" w:type="dxa"/>
            <w:vAlign w:val="bottom"/>
            <w:tcBorders>
              <w:top w:val="single" w:sz="8" w:color="0000EE"/>
            </w:tcBorders>
            <w:gridSpan w:val="8"/>
          </w:tcPr>
          <w:p>
            <w:pPr>
              <w:spacing w:after="0"/>
              <w:rPr>
                <w:sz w:val="17"/>
                <w:szCs w:val="17"/>
                <w:color w:val="auto"/>
              </w:rPr>
            </w:pPr>
          </w:p>
        </w:tc>
        <w:tc>
          <w:tcPr>
            <w:tcW w:w="5340" w:type="dxa"/>
            <w:vAlign w:val="bottom"/>
            <w:gridSpan w:val="8"/>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6. Exhibits</w:t>
              </w:r>
            </w:hyperlink>
          </w:p>
        </w:tc>
        <w:tc>
          <w:tcPr>
            <w:tcW w:w="8420" w:type="dxa"/>
            <w:vAlign w:val="bottom"/>
            <w:gridSpan w:val="18"/>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04"/>
        </w:trPr>
        <w:tc>
          <w:tcPr>
            <w:tcW w:w="956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3"/>
        </w:trPr>
        <w:tc>
          <w:tcPr>
            <w:tcW w:w="1080" w:type="dxa"/>
            <w:vAlign w:val="bottom"/>
            <w:tcBorders>
              <w:top w:val="single" w:sz="8" w:color="0000EE"/>
            </w:tcBorders>
            <w:gridSpan w:val="2"/>
          </w:tcPr>
          <w:p>
            <w:pPr>
              <w:spacing w:after="0"/>
              <w:rPr>
                <w:sz w:val="24"/>
                <w:szCs w:val="24"/>
                <w:color w:val="auto"/>
              </w:rPr>
            </w:pPr>
          </w:p>
        </w:tc>
        <w:tc>
          <w:tcPr>
            <w:tcW w:w="5520" w:type="dxa"/>
            <w:vAlign w:val="bottom"/>
            <w:gridSpan w:val="14"/>
          </w:tcPr>
          <w:p>
            <w:pPr>
              <w:jc w:val="center"/>
              <w:ind w:left="3672"/>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following balance sheet as of December 31, 2008,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2009 are not necessarily indicative of the results that may be expected for the full year.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92"/>
              </w:rPr>
              <w:t>March 31,</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(In thousands,</w:t>
            </w:r>
          </w:p>
        </w:tc>
        <w:tc>
          <w:tcPr>
            <w:tcW w:w="1340" w:type="dxa"/>
            <w:vAlign w:val="bottom"/>
            <w:gridSpan w:val="3"/>
          </w:tcPr>
          <w:p>
            <w:pPr>
              <w:jc w:val="right"/>
              <w:ind w:right="73"/>
              <w:spacing w:after="0" w:line="129" w:lineRule="exact"/>
              <w:rPr>
                <w:sz w:val="20"/>
                <w:szCs w:val="20"/>
                <w:color w:val="auto"/>
              </w:rPr>
            </w:pPr>
            <w:r>
              <w:rPr>
                <w:rFonts w:ascii="Arial" w:cs="Arial" w:eastAsia="Arial" w:hAnsi="Arial"/>
                <w:sz w:val="14"/>
                <w:szCs w:val="14"/>
                <w:b w:val="1"/>
                <w:bCs w:val="1"/>
                <w:color w:val="auto"/>
                <w:w w:val="94"/>
              </w:rPr>
              <w:t>except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3,568,470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3,567,035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3,693,544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3,673,685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(865,987)</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2,827,557</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2,827,427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22,460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$6,972 and $6,484, respectively</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3,090,962</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3,092,776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950,401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38,778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1,969,335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1,945,822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Commitments and contingencies (Note 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59,080,687 and 58,985,678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1,533,535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1,530,589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(454,629)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1,089,494</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1,114,602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32,133</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1,121,627</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1,146,954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3,090,962</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3,092,776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414"/>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127,330</w:t>
            </w:r>
          </w:p>
        </w:tc>
        <w:tc>
          <w:tcPr>
            <w:tcW w:w="16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0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11,873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87"/>
              </w:rPr>
              <w:t>Shareholders’ Equity of the Trust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1"/>
                <w:szCs w:val="11"/>
                <w:color w:val="auto"/>
              </w:rPr>
            </w:pPr>
          </w:p>
        </w:tc>
        <w:tc>
          <w:tcPr>
            <w:tcW w:w="15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0"/>
              <w:spacing w:after="0" w:line="148" w:lineRule="exact"/>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2"/>
                <w:szCs w:val="12"/>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Dividends in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2"/>
              </w:rPr>
              <w:t>Excess of Net</w:t>
            </w: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(In thousands, except</w:t>
            </w:r>
          </w:p>
        </w:tc>
        <w:tc>
          <w:tcPr>
            <w:tcW w:w="120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74"/>
              </w:rPr>
              <w:t>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399,896</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$9,997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58,985,678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$1,530,589</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(426,574)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$ 1,146,954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color w:val="auto"/>
              </w:rPr>
              <w:t>Net income/ Comprehensive income</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10,484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(38,404)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noncontrolling interests</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Common shares issued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BALANCE AT MARCH 31, 2009</w:t>
            </w:r>
          </w:p>
        </w:tc>
        <w:tc>
          <w:tcPr>
            <w:tcW w:w="600" w:type="dxa"/>
            <w:vAlign w:val="bottom"/>
          </w:tcPr>
          <w:p>
            <w:pPr>
              <w:ind w:left="20"/>
              <w:spacing w:after="0"/>
              <w:rPr>
                <w:sz w:val="20"/>
                <w:szCs w:val="20"/>
                <w:color w:val="auto"/>
              </w:rPr>
            </w:pPr>
            <w:r>
              <w:rPr>
                <w:rFonts w:ascii="Arial" w:cs="Arial" w:eastAsia="Arial" w:hAnsi="Arial"/>
                <w:sz w:val="18"/>
                <w:szCs w:val="18"/>
                <w:color w:val="auto"/>
                <w:w w:val="86"/>
              </w:rPr>
              <w:t>399,896</w:t>
            </w:r>
          </w:p>
        </w:tc>
        <w:tc>
          <w:tcPr>
            <w:tcW w:w="6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9,997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59,080,687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591</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1,533,535</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 (454,629)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32,133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1,121,627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293"/>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11,873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$ 31,318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28,592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Litigation provision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20,632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(915)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Decrease (increase) in accounts receivable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4,679</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Increase (decrease) in accounts payable and accrued expenses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2,820</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security deposits and other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1"/>
        </w:trPr>
        <w:tc>
          <w:tcPr>
            <w:tcW w:w="978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72,586</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(22,790)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(28,388)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(6,821)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 costs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Issuance of mortgage and other notes receivable, net</w:t>
            </w:r>
          </w:p>
        </w:tc>
        <w:tc>
          <w:tcPr>
            <w:tcW w:w="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(430)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(30,905)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(38,815)</w:t>
            </w: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Purchase and retirement of senior notes</w:t>
            </w:r>
          </w:p>
        </w:tc>
        <w:tc>
          <w:tcPr>
            <w:tcW w:w="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(6,145)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(6,510)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(38,480)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(1,608)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(34,444)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(36,642)</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7,237</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(23,037)</w:t>
            </w: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15,223</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22,460</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$ 27,654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March 31, 2009, we owned or had a majority interest in community and neighborhood shopping centers and mixed-use projects which are operated as 84 predominantly retail real estate properties.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REIT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Certain 2008 amounts have been reclassified to conform to current period presentation.</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FASB Statement No. 131, “Disclosures about Segments of an Enterprise and Related Information” (“SFAS No. 131”) requires disclosure of certain operating and financial data with respect to separate business activities within an enterprise. Our primary business is the ownership, management, and redevelopment of retail and mixed use properties. We review operating and financial information for each property on an individual basis and therefore, each property represents an individual operating segment. We evaluate financial performance using property operating income defined as total revenues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24,936</w:t>
            </w:r>
          </w:p>
        </w:tc>
        <w:tc>
          <w:tcPr>
            <w:tcW w:w="3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2"/>
        </w:trPr>
        <w:tc>
          <w:tcPr>
            <w:tcW w:w="9320" w:type="dxa"/>
            <w:vAlign w:val="bottom"/>
          </w:tcPr>
          <w:p>
            <w:pPr>
              <w:ind w:left="880"/>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23,569</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ind w:left="440"/>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color w:val="auto"/>
        </w:rPr>
        <w:t>NON-CASH FINANCING AND INVESTING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Decrease in valuation of interest rate swap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560" w:val="left"/>
          <w:tab w:leader="none" w:pos="1140" w:val="left"/>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(540)</w:t>
      </w:r>
    </w:p>
    <w:p>
      <w:pPr>
        <w:spacing w:after="0" w:line="171" w:lineRule="exact"/>
        <w:rPr>
          <w:sz w:val="20"/>
          <w:szCs w:val="20"/>
          <w:color w:val="auto"/>
        </w:rPr>
      </w:pPr>
    </w:p>
    <w:p>
      <w:pPr>
        <w:sectPr>
          <w:pgSz w:w="11900" w:h="16838" w:orient="portrait"/>
          <w:cols w:equalWidth="0" w:num="2">
            <w:col w:w="8600" w:space="720"/>
            <w:col w:w="2100"/>
          </w:cols>
          <w:pgMar w:left="240" w:top="459" w:right="239" w:bottom="1440" w:gutter="0" w:footer="0" w:header="0"/>
          <w:type w:val="continuous"/>
        </w:sectPr>
      </w:pPr>
    </w:p>
    <w:p>
      <w:pPr>
        <w:ind w:right="60"/>
        <w:spacing w:after="0" w:line="255"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4, 2007, the FASB issued Statement No. 141 (R), “Business Combinations” (“SFAS No. 141 (R)”), which we adopted effective January 1, 2009. SFAS No. 141 (R) broadens and clarifies the definition of a business which will result in significantly more of our acquisitions being treated as business combinations rather than asset acquisitions. SFAS 141 (R) is effective for business combinations for which the acquisition date is on or after January 1, 2009, and therefore, will only impact prospective acquisitions with no change to the accounting for acquisitions completed prior to or on December 31, 2008. The new standard requires us to expense as incurred all acquisition related transaction costs which could include broker fees, transfer taxes, legal, accounting, valuation, and other professional and consulting fees. For acquisitions prior to January 1, 2009, such acquisition costs were capitalized as part of the acquisition cost. While the adoption did not have a material impact on our financial statements for the three months ended March 31, 2009, the impact to our financial statements will vary significantly depending on the timing and number of acquisitions or potential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28"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On December 4, 2007, the FASB issued Statement No. 160, “Noncontrolling Interests in Consolidated Financial Statements—an amendment of ARB 51” (“SFAS No. 160”). The new standard significantly changes the accounting and reporting of minority interests in the consolidated financial statements. The new standard requires a noncontrolling interest, which was previously referred to as a minority interest, to be recognized as a component of equity rather than included in the mezzanine section of the balance sheet where it was previously presented. Effective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the noncontrolling interests” and shown after consolidated net income. This is a presentation only change for minority interest on both the balance sheet and statement of operations and has no impact to net income, total liabilities and shareholders’ equity,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SFAS No. 160 was adopted effective January 1, 2009 and has been applied prospectively except for the presentation changes to the balance sheet and income statement which have been applied retrospectively in the 2008 financial statements. While there was no additional impact on the financial statements during the three months ended March 31, 2009, the additional impact on the financial statements will vary depending on the level of transactions with entities involving noncontrolling interests.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adopted SFAS No. 161 effective January 1, 2009 and the adoption did not have an impact on our consolidated financial statements as we currently have no derivative instruments outstanding.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In June 2008, the FASB issued FSP EITF No. 03-6-1, “Determining Whether Instruments Granted in Share-Based Payment Transactions Are Participating Securities” (“FSP EITF No. 03-6-1”) which we adopted effective January 1, 2009. FSP EITF No. 03-6-1 and the impact of the adoption on our financial statements are further discussed in Note I to these financial statements.</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November 2008, the EITF issued Issue 08-6, “Equity Method Investment Accounting Considerations” (“EITF 08-6”), which clarified the accounting for certain transactions and impairment considerations involving equity method investments. EITF 08-6 clarified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in accordance with APB 18, “The Equity Method of Accounting for Investments in Common Stock”. The consensus was effective on a prospective basis beginning on January 1, 2009, and did not have a material impact on our financial position,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April 2009, FSP No. FAS 107-1 and APB 28-1, “Interim Disclosures about Fair Value of Financial Instruments” was issued which requires disclosure regarding the fair value of financial instruments for interim reporting periods as well as in annual financial statements. The FSP is effective for interim periods ending after June 15, 2009, and will require additional disclosure starting in our June 30, 2009,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2009, we had no acquisitions or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revenue from properties included in discontinued operations was $0.9 million for the three months ended March 31,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March 31, 2009, the Partnership owned seven retail real estate properties. We are the manager of the Partnership and its properties, earning fees for acquisitions, dispositions, management, leasing, and financing. We also have the opportunity to receive performance-based earnings through our Partnership interest.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center"/>
              <w:ind w:right="19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4,688</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4,060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628</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380" w:type="dxa"/>
            <w:vAlign w:val="bottom"/>
            <w:vMerge w:val="restart"/>
          </w:tcPr>
          <w:p>
            <w:pPr>
              <w:jc w:val="right"/>
              <w:ind w:right="4152"/>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89"/>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3"/>
              </w:rPr>
              <w:t>(In</w:t>
            </w:r>
          </w:p>
        </w:tc>
        <w:tc>
          <w:tcPr>
            <w:tcW w:w="114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Real estate, net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186,724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2,368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6,049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195,141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81,320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81,365</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6,773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Partners’ capital</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107,048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195,141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28,726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March 31, 2009, the maximum amount of borrowings outstanding under our $300 million revolving credit facility was $172.5 million and the weighted average amount of borrowings outstanding was $141.6 million. Our revolving credit facility had a weighted average interest rate, before amortization of debt fees, of 1.52% for the three months ended March 31, 2009.</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March 31, 2009, we were in compliance with all loan covenants.</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January 12, 2009, February 5, 2009 and February 27, 2009, we purchased and retired $5.0 million, $0.9 million and $0.2 million, respectively, of our 8.75% notes. The notes were repaid with funds borrowed on our $300 million revolving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recently issued a tentative ruling awarding damages to the plaintiff of approximately $14.4 million plus interest. A final judgment awarding damages and determining interest is not expected to be entered for a few weeks. We and the plaintiff have filed briefs with the court addressing various items raised in the court’s tentative ruling. The plaintiff has alleged in its brief that the damages award should be $15.5 million. Based on our calculations and estimates provided by the plaintiff, interest is estimated to be in a range of approximately $2.1 million to $8.4 million. We believe and have recently filed arguments supporting a lower damages amount and will file arguments supporting a lower interest amount towards the low end of the range. However, based on the tentative ruling and information currently available, our best estimate of damages is $14.3 million plus interest of $7.1 million for a total of $21.4 million. Accordingly, we have increased our accrual for this matter from $0.8 million at December 31, 2008, to $21.4 million at March 31, 2009. The increase in our accrual of $20.6 million is presented as a separate line item in our consolidated statement of operations. Other costs may be asserted by the plaintiff, however, we are unable to estimate the amount or a reasonable range of likely outcomes at this time. Furthermore, we continue to believe that the “Final Proposal” which included express language that it was subject to formal documentation was not a binding contract and that we should have no liability whatsoever. Accordingly, we intend to appeal the judgment once the final judgment on damages is entered.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2009, we entered into a settlement agreement with our insurance provider related to repairs we performed on certain condominium units at Santana Row as the result of defective work done by third party contractors. We recovered approximately $0.9 million, net of taxes and fees, which is included in “gain on sale of real estate from discontinued operations” as this is where the related expenses to repair the units were originally recognized.</w:t>
      </w:r>
    </w:p>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units for cash or the same number of our common shares, at our option. A total of 373,260 operating units are outstanding which have a total fair value of $17.2 million, based on our closing stock price on March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20" w:type="dxa"/>
            <w:vAlign w:val="bottom"/>
            <w:gridSpan w:val="10"/>
          </w:tcPr>
          <w:p>
            <w:pPr>
              <w:ind w:left="4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720" w:type="dxa"/>
            <w:vAlign w:val="bottom"/>
          </w:tcPr>
          <w:p>
            <w:pPr>
              <w:spacing w:after="0"/>
              <w:rPr>
                <w:sz w:val="12"/>
                <w:szCs w:val="12"/>
                <w:color w:val="auto"/>
              </w:rPr>
            </w:pPr>
          </w:p>
        </w:tc>
        <w:tc>
          <w:tcPr>
            <w:tcW w:w="124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$ 0.650</w:t>
            </w:r>
          </w:p>
        </w:tc>
        <w:tc>
          <w:tcPr>
            <w:tcW w:w="82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$0.650</w:t>
            </w: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$ 0.610</w:t>
            </w:r>
          </w:p>
        </w:tc>
        <w:tc>
          <w:tcPr>
            <w:tcW w:w="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$0.610</w:t>
            </w:r>
          </w:p>
        </w:tc>
        <w:tc>
          <w:tcPr>
            <w:tcW w:w="20" w:type="dxa"/>
            <w:vAlign w:val="bottom"/>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$ 0.339</w:t>
            </w:r>
          </w:p>
        </w:tc>
        <w:tc>
          <w:tcPr>
            <w:tcW w:w="82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$0.339</w:t>
            </w:r>
          </w:p>
        </w:tc>
        <w:tc>
          <w:tcPr>
            <w:tcW w:w="760" w:type="dxa"/>
            <w:vAlign w:val="bottom"/>
            <w:gridSpan w:val="3"/>
          </w:tcPr>
          <w:p>
            <w:pPr>
              <w:ind w:left="120"/>
              <w:spacing w:after="0"/>
              <w:rPr>
                <w:sz w:val="20"/>
                <w:szCs w:val="20"/>
                <w:color w:val="auto"/>
              </w:rPr>
            </w:pPr>
            <w:r>
              <w:rPr>
                <w:rFonts w:ascii="Arial" w:cs="Arial" w:eastAsia="Arial" w:hAnsi="Arial"/>
                <w:sz w:val="18"/>
                <w:szCs w:val="18"/>
                <w:color w:val="auto"/>
              </w:rPr>
              <w:t>$ 0.339</w:t>
            </w:r>
          </w:p>
        </w:tc>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$0.339</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center"/>
              <w:ind w:right="31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93,566</w:t>
            </w:r>
          </w:p>
        </w:tc>
        <w:tc>
          <w:tcPr>
            <w:tcW w:w="34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89,612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reimbursement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127,330</w:t>
            </w:r>
          </w:p>
        </w:tc>
        <w:tc>
          <w:tcPr>
            <w:tcW w:w="34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121,867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Minimum rents include $1.4 million and $1.5 million for the three months ended March 31, 2009 and 2008, respectively, to recognize minimum rents on a straight-line basis. In addition, minimum rents include $0.4 million and $0.6 million for the three months ended March 31, 2009 and 2008, respectively, to recognize income from the amortization of in-place leases in accordance with SFAS No. 141. Residential minimum rents consist of the rental amounts for residential units at Rollingwood Apartments, the Crest at Congressional Plaza Apartments, Santana Row, and Arlington East (Bethesda Row). The first rental units at Arlington East were delivered and became rent paying in late May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40" w:type="dxa"/>
            <w:vAlign w:val="bottom"/>
          </w:tcPr>
          <w:p>
            <w:pPr>
              <w:jc w:val="right"/>
              <w:ind w:right="4"/>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16"/>
              <w:spacing w:after="0" w:line="142" w:lineRule="exact"/>
              <w:rPr>
                <w:sz w:val="20"/>
                <w:szCs w:val="20"/>
                <w:color w:val="auto"/>
              </w:rPr>
            </w:pPr>
            <w:r>
              <w:rPr>
                <w:rFonts w:ascii="Arial" w:cs="Arial" w:eastAsia="Arial" w:hAnsi="Arial"/>
                <w:sz w:val="14"/>
                <w:szCs w:val="14"/>
                <w:b w:val="1"/>
                <w:bCs w:val="1"/>
                <w:color w:val="auto"/>
                <w:w w:val="74"/>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5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$ 1,722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5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2,148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5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7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$ 1,938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780" w:type="dxa"/>
            <w:vAlign w:val="bottom"/>
            <w:vMerge w:val="restart"/>
          </w:tcPr>
          <w:p>
            <w:pPr>
              <w:jc w:val="right"/>
              <w:ind w:right="4052"/>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I—EARNINGS PER SHARE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As part of our stock based compensation program, we issue restricted shares which vest over a three to six year period; these shares have non-forfeitable rights to dividends immediately after issuance. Prior to January 1, 2009, we excluded the unvested shares from the basic EPS calculation and included them in diluted earnings per share using the treasury stock method.</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January 1, 2009, we adopted FSP EITF No. 03-6-1 and have calculated earnings per share under the two-class method. The two-class method is an earnings allocation methodology whereby earnings per share for each class of common stock and participating securities is calculated according to dividends declared and participation rights in undistributed earnings. For each of the three months ended March 31, 2009 and 2008,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4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earnings per share.</w:t>
      </w:r>
    </w:p>
    <w:p>
      <w:pPr>
        <w:spacing w:after="0" w:line="107"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Earnings per share for prior periods have been restated to conform to the requirements of FSP EITF No. 03-6-1. The implementation did not result in a significant change to basic or diluted earnings per share for the periods presented. The following table provides a reconciliation between basic and diluted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92"/>
              </w:rPr>
              <w:t>March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(In thousands,</w:t>
            </w:r>
          </w:p>
        </w:tc>
        <w:tc>
          <w:tcPr>
            <w:tcW w:w="5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except</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10,958</w:t>
            </w:r>
          </w:p>
        </w:tc>
        <w:tc>
          <w:tcPr>
            <w:tcW w:w="2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share dividends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w w:val="94"/>
              </w:rPr>
              <w:t>Income from continuing operations available for common shareholders</w:t>
            </w:r>
          </w:p>
        </w:tc>
        <w:tc>
          <w:tcPr>
            <w:tcW w:w="3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10,219</w:t>
            </w:r>
          </w:p>
        </w:tc>
        <w:tc>
          <w:tcPr>
            <w:tcW w:w="28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Stock options</w:t>
            </w: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2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9,569</w:t>
            </w:r>
          </w:p>
        </w:tc>
        <w:tc>
          <w:tcPr>
            <w:tcW w:w="280" w:type="dxa"/>
            <w:vAlign w:val="bottom"/>
          </w:tcPr>
          <w:p>
            <w:pPr>
              <w:spacing w:after="0"/>
              <w:rPr>
                <w:sz w:val="24"/>
                <w:szCs w:val="24"/>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560" w:type="dxa"/>
            <w:vAlign w:val="bottom"/>
          </w:tcPr>
          <w:p>
            <w:pPr>
              <w:jc w:val="right"/>
              <w:ind w:right="299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J—SUBSEQUENT EVENTS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On April 1, 2009, we purchased and retired $5.0 million of the outstanding $168.9 million balance of our 8.75% notes. The notes were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4, 2009, we refinanced our existing $200 million term loan with a new $372 million term loan which bears interest at LIBOR, subject to a 1.50% floor, plus 300 basis points and will mature in July 2011. The $200 million term loan and the balance on our revolving credit facility were repaid with the proceeds from the new $372 million term loan.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2008 filed with the Securities and Exchange Commission on February 26, 2009.</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2008,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 In total, the real estate properties were 94.2% leased and 93.4% occupied at March 31, 2009. A joint venture in which we own a 30% interest owned seven retail real estate properties totaling approximately 1.0 million square feet as of March 31, 2009. In total, the joint venture properties in which we own an interest were 97.2% leased and occupied at March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Significant Debt, Equity and Other Transactions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January 12, 2009, February 5, 2009 and February 27, 2009, we purchased and retired $5.0 million, $0.9 million and $0.2 million, respectively, of our 8.75% notes. The notes were repaid with funds borrowed on our $300 million revolving credit facility.</w:t>
      </w:r>
    </w:p>
    <w:p>
      <w:pPr>
        <w:spacing w:after="0" w:line="13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On April 1, 2009, we purchased and retired $5.0 million of the outstanding $168.9 million balance of our 8.75% notes. The notes were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4, 2009, we refinanced our existing $200 million term loan with a new $372 million term loan which bears interest at LIBOR, subject to a 1.50% floor, plus 300 basis points and will mature in July 2011. The $200 million term loan and the balance on our revolving credit facility were repaid with the proceeds from the new $372 million term loan.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Provision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recently issued a tentative ruling awarding damages to the plaintiff of approximately $14.4 million plus interest. A final judgment awarding damages and determining interest is not expected to be entered for a few weeks. We and the plaintiff have filed briefs with the court addressing various items raised in the court’s tentative ruling. The plaintiff has alleged in its brief that the damages award should be $15.5 million. Based on our calculations and estimates provided by the plaintiff, interest is estimated to be in a range of approximately $2.1 million to $8.4 million. We believe and have recently filed arguments supporting a lower damages amount and will file arguments supporting a lower interest amount towards the low end of the range. However, based on the tentative ruling and information currently available, our best estimate of damages is $14.3 million plus interest of $7.1 million for a total of $21.4 million. Accordingly, we have increased our accrual for this matter from $0.8 million at December 31, 2008, to $21.4 million at March 31, 2009. The increase in our accrual of $20.6 million is presented as a</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separate line item in our consolidated statement of operations. Other costs may be asserted by the plaintiff, however, we are unable to estimate the amount or a reasonable range of likely outcomes at this time. Furthermore, we continue to believe that the “Final Proposal” which included express language that it was subject to formal documentation was not a binding contract and that we should have no liability whatsoever. Accordingly, we intend to appeal the judgment once the final judgment on damages is entered.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The infill nature and strong demographics of our properties provide a strategic advantage allowing us to maintain relatively high occupancy and increase rental rates. We seek to maintain a mix of strong national, regional, and local retailers. At March 31, 2009, no single tenant accounted for more than 2.6% of annualized base rent.</w:t>
      </w:r>
    </w:p>
    <w:p>
      <w:pPr>
        <w:spacing w:after="0" w:line="1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continue to see a positive impact from redevelopment of our shopping centers. In 2009 and 2010, we have redevelopment projects with projected costs of approximately $73 million and $16 million, respectively, stabilizing. As redevelopment properties are completed, spaces that were out of service and newly created spaces begin generating revenue. In addition, spaces that were not out of service and that have expiring leases may generate higher revenue because we generally receive higher rent on new leases at improved centers.</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 term opportunities.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current downturn in the economy may impact the success of our tenants’ retail operations and therefore the amount of rent and expense reimbursements we receive from our tenants. We have seen some tenants experiencing declining sales, vacating early, or filing for bankruptcy, as well as seeking rent relief from us as landlord. Any reduction in our tenants’ ability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decrease the negative impact of the economic environment, we are likely to see an increase in vacancy that will have a negative impact to our revenue and bad debt expense. We continue to monitor our tenants’ operating performance as well as trends in the retail industry to evaluate any future impact.</w:t>
      </w:r>
    </w:p>
    <w:p>
      <w:pPr>
        <w:spacing w:after="0" w:line="14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continue to maintain a strong balance sheet and a conservative capital structure. We seek to maintain a schedule of debt maturities such that the amount of debt maturing in any one year is manageable with respect to our overall borrowing capacity.</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31, 2009, the leasable square feet in our shopping centers was 93.4% occupied and 94.2%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MARCH 31,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Dollars</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(Dollar amounts</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127,330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121,867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131,201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126,369</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3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27,266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Real estate taxes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86,718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(24,353)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1,797</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Litigation provision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(20,632)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(28,592)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(25,389)</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(3,203)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other, net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(77,646)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2"/>
              </w:rPr>
              <w:t>(56,014)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(21,632)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420"/>
              <w:spacing w:after="0"/>
              <w:rPr>
                <w:sz w:val="20"/>
                <w:szCs w:val="20"/>
                <w:color w:val="auto"/>
              </w:rPr>
            </w:pPr>
            <w:r>
              <w:rPr>
                <w:rFonts w:ascii="Arial" w:cs="Arial" w:eastAsia="Arial" w:hAnsi="Arial"/>
                <w:sz w:val="18"/>
                <w:szCs w:val="18"/>
                <w:color w:val="auto"/>
              </w:rPr>
              <w:t>Income from continuing operations</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(19,746)</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31,318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(19,445)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the Trust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(19,502)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property revenue increased $4.8 million, or 3.8%, to $131.2 million in the three months ended March 31, 2009 compared to $126.4 million in the three months ended March 31, 2008. The percentage occupied at our shopping centers decreased to 93.4% at March 31, 2009 compared to 94.6% at March 31, 2008.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$5.5 million, or 4.5%,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$127.3 million in the three months ended March 31, 2009 compared to $121.9 million in the three months ended March 31, 2008 due primarily to the following:</w:t>
      </w:r>
    </w:p>
    <w:p>
      <w:pPr>
        <w:spacing w:after="0" w:line="107" w:lineRule="exact"/>
        <w:rPr>
          <w:sz w:val="20"/>
          <w:szCs w:val="20"/>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$2.8 million at redevelopment properties due primarily to increased rental revenue from newly created retail and residential spaces and increased cost reimbursements,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$1.9 million attributable to properties acquired in 2008,</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$1.3 million at same-center properties due to increased rental rates on new and renewal leases and increased cost reimbursements offset by lower percentage rent,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$0.6 million as a result of having demolished an operating property in 2008 for use in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property income decreased $0.8 million, or 23.1%, to $2.6 million in the three months ended March 31, 2009 compared to $3.4 million in the three months ended March 31, 2008. Included in other property income are items which, although recurring, tend to fluctuate more than rental income from period to period, such as lease termination fees. This decrease is due primarily to a decrease in lease and other termination fees at same-center properties partially offset by an increase in lease and other termination fees at redevelopment properties.</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Total property expenses increased $2.9 million, or 7.4%, to $42.6 million in the three months ended March 31, 2009 compared to $39.7 million in the three months ended March 31, 2008.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Rental expenses increased $1.4 million, or 5.3%, to $28.7 million in the three months ended March 31, 2009 compared to $27.3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2008. This increase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$1.5 million in bad debt expense at same-center properties,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$0.8 million in repairs and maintenance, due primarily to increased snow removal costs, and utilities at same-center and redevelopment properties,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$0.6 million attributable to properties acquired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2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$0.6 million in ground rent expense at same-center properties due to the acquisition of the fee interest in two land parcels at Bethesda Row in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$0.3 million in insurance expense at same-center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$0.3 million as a result of having demolished an operating property in 2008 for use in future development.</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22.1% in the three months ended March 31, 2009 from 21.8% in the three months ended March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Real estate tax expense increased $1.5 million, or 12.2%, to $13.9 million in the three months ended March 31, 2009 compared to $12.4 million in the three months ended March 31, 2008. This increase is due primarily to an increase of $1.3 million related to higher tax assessments at same-center and redevelopment properties and an increase of $0.3 million related to properties acquired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operating income increased $1.9 million, or 2.2% to $88.6 million in the three months ended March 31, 2009 compared to $86.7 million in the three months ended March 31, 2008. This increase is due primarily to growth in earnings at redevelopment properties and earnings attributable to properties acquired in 2008 partially offset by lower earnings in our same-center portfolio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Interest expense decreased $0.8 million, or 3.2%, to $23.6 million in the three months ended March 31, 2009 compared to $24.4 million in the three months ended March 31, 2008. This decrease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$3.0 million due to a lower overall weighted average borrowing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$1.8 million due to higher borrowings,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$0.4 million in capitalized interest due primarily to substantial completion of our Arlington East (Bethesda Row) and Linden Square projects.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Gross interest costs were $24.9 million and $26.1 million in the three months ended March 31, 2009 and 2008, respectively. Capitalized interest was $1.4 million and $1.8 million in the three months ended March 31,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General and administrative expense decreased $1.8 million, or 25.9%, to $5.1 million in the three months ended March 31, 2009 compared to $6.9 million in the three months ended March 31, 2008. The decrease is primarily due to lower personnel related costs and lower legal fees related to the litigation over a parcel of land adjacent to Santana Row.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$20.6 million litigation provision in the three months ended March 31, 2009 is due to increasing the accrual for litigation regarding a parcel of land located adjacent to Santana Row. See page 15 of this Form 10-Q for further discussion on the litigation.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Depreciation and amortization expense increased $3.2 million, or 12.6%, to $28.6 million in the three months ended March 31, 2009 from $25.4 million in the three months ended March 31, 2008. This increase is due primarily to capital improvements at same-center and redevelopment properties and 2008 acquisitions.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No properties were sold during the three months ended March 31, 2009. The reported operating income of $0.6 million for the three months ended March 31, 2008, represents the operating income for the period during which we owned properties sold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$0.9 million gain on sale of real estate from discontinued operations for the three months ended March 31, 2009 consists primarily of insurance proceeds received related to repairs we performed on certain condominium units at Santana Row as the result of defective work done by third party contractors in prior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4, 2007, the FASB issued Statement No. 141 (R), “Business Combinations” (“SFAS No. 141 (R)”), which we adopted effective January 1, 2009. SFAS No. 141 (R) broadens and clarifies the definition of a business which will result in significantly more of our acquisitions being treated as business combinations rather than asset acquisitions. SFAS 141 (R) is effective for business combinations for which the acquisition date is on or after January 1, 2009, and therefore, will only impact prospective acquisitions with no change to the accounting for acquisitions completed prior to or on December 31, 2008. The new standard requires us to expense as incurred all acquisition related transaction costs which could include broker fees, transfer taxes, legal, accounting, valuation, and other professional and consulting fees. For acquisitions prior to January 1, 2009, such acquisition costs were capitalized as part of the acquisition cost. While the adoption did not have a material impact on our financial statements for the three months ended March 31, 2009, the impact to our financial statements will vary significantly depending on the timing and number of acquisitions or potential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28"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On December 4, 2007, the FASB issued Statement No. 160, “Noncontrolling Interests in Consolidated Financial Statements—an amendment of ARB 51” (“SFAS No. 160”). The new standard significantly changes the accounting and reporting of minority interests in the consolidated financial statements. The new standard requires a noncontrolling interest, which was previously referred to as a minority interest, to be recognized as a component of equity rather than included in the mezzanine section of the balance sheet where it was previously presented. Effective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the noncontrolling interests” and shown after consolidated net income. This is a presentation only change for minority interest on both the balance sheet and statement of operations and has no impact to net income, total liabilities and shareholders’ equity,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SFAS No. 160 was adopted effective January 1, 2009 and has been applied prospectively except for the presentation changes to the balance sheet and income statement which have been applied retrospectively in the 2008 financial statements. While there was no additional impact on the financial statements during the three months ended March 31, 2009, the additional impact on the financial statements will vary depending on the level of transactions with entities involving noncontrolling interests.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adopted SFAS No. 161 effective January 1, 2009 and the adoption did not have an impact on our consolidated financial statements as we currently have no derivative instruments outstanding.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As part of our stock based compensation program, we issue restricted shares which vest over a three to six year period; these shares have non-forfeitable rights to dividends immediately after issuance. Prior to January 1, 2009, we excluded the unvested shares from the basic EPS calculation and included them using the treasury stock method in diluted earnings per share. Effective January 1, 2009, we adopted FSP EITF No. 03-6-1 and have calculated earnings per share for all periods presented under the two-class method. The two-class method is an earnings allocation methodology whereby earnings per share for each class of common stock and participating securities is calculated according to dividends declared and participation rights in undistributed earnings. The implementation did not result in a significant change to basic or diluted earnings per share for all periods presented.</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November 2008, the EITF issued Issue 08-6, “Equity Method Investment Accounting Considerations” (“EITF 08-6”), which clarified the accounting for certain transactions and impairment considerations involving equity method investments. EITF 08-6 clarified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in accordance with APB 18, “The Equity Method of Accounting for Investments in Common Stock”. The consensus was effective on a prospective basis beginning on January 1, 2009, and did not have a material impact on our financial position,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April 2009, FSP No. FAS 107-1 and APB 28-1, “Interim Disclosures about Fair Value of Financial Instruments” was issued which requires disclosure regarding the fair value of financial instruments for interim reporting periods as well as in annual financial statements. The FSP is effective for interim periods ending after June 15, 2009, and will require additional disclosure starting in our June 30, 2009,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March 31, 2009, we had approximately $369 million of debt maturing in 2009, of which $200 million matures in November 2009 and $169 million matures in December 2009. While the maturities do not occur until the end of 2009, we focused significant efforts to refinance the debt in advance of the maturities due to the current state of the capital markets. In April 2009, we closed on a ten year mortgage loan secured by Rollingwood Apartments for $24.1 million at a stated rate of 5.54% and an annual effective rate of 5.72%. On May 4, 2009, we closed on a $372 million term loan which bears interest at LIBOR, subject to a 1.50% floor, plus 300 basis points and matures in July 2011. We used the proceeds to repay our $200 million term loan and the outstanding balance on our revolving credit facility. We have also obtained commitments aggregating approximately $139 million for a five-year loan secured by four retail assets in Northern Virginia that is expected to bear interest at a stated rate of 7.50% and an annual effective rate of 7.72%. However, we can provide no assurance that we will be successful in closing the secured loan or that the terms of the loan will be the same as disclosed above.</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Due to the refinancing of our maturing debt several months in advance of the maturity, we will incur additional interest expense due to higher interest rates on such debt and due to a temporary increase in our debt outstanding until we can use the proceeds to retire maturing debt. Notwithstanding adverse market conditions, we currently believe that cash flows from operations, secured and unsecured refinancings, and our revolving credit facility will be sufficient to finance our operations and fund our capital expenditures.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overall capital requirements in 2009 include not only refinancing of the debt maturities as discussed above, but will also depend upon acquisition opportunities, the level of improvements and redevelopments of existing properties and the timing and cost of development of future phases of existing properties. While the amount of future expenditures will depend on numerous factors, we expect to incur similar levels of capital expenditures in 2009 compared to prior periods which will be funded on a short-term basis with the revolving credit facility and on a long-term basis, with longer term debt or equity. Although there is no intent at this time, if market conditions continue to deteriorate, we may also delay the timing of certain redevelopment projects as well as limit future acquisitions, reduce our operating expenditures, or re-evaluate our dividend policy.</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to the adverse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3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Cash and cash equivalents were $22.5 million at March 31, 2009, which is a $7.2 million increase from the balance of cash and cash equivalents at December 31, 2008. Cash and cash equivalents are not a good indicator of our liquidity. We have a $300.0 million unsecured revolving credit facility that matures July 27, 2010, subject to a one-year extension at our option, of which $141.0 million was outstanding at March 31, 2009. During the three months ended March 31, 2009, the maximum amount of borrowings outstanding under our revolving credit facility was $172.5 million and the weighted average amount of borrowings outstanding was $141.6 million. We expect to utilize our credit facility to fund short-term operating needs, including capital expenditures and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Debt Obligations – Fixed Rate Debt</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provides a summary of our fixed rate debt obligations, including both principal and interest payments, as of March 31, 2009. The table only incorporates debt obligations as of March 31, 2009, and does not incorporate any of second quarter 2009 refinancings discussed above. Therefore, the table provides limited predictive value for future principal and interest payments.</w:t>
      </w:r>
    </w:p>
    <w:p>
      <w:pPr>
        <w:spacing w:after="0" w:line="176" w:lineRule="exact"/>
        <w:rPr>
          <w:sz w:val="20"/>
          <w:szCs w:val="20"/>
          <w:color w:val="auto"/>
        </w:rPr>
      </w:pPr>
    </w:p>
    <w:p>
      <w:pPr>
        <w:ind w:left="7440"/>
        <w:spacing w:after="0"/>
        <w:rPr>
          <w:sz w:val="20"/>
          <w:szCs w:val="20"/>
          <w:color w:val="auto"/>
        </w:rPr>
      </w:pPr>
      <w:r>
        <w:rPr>
          <w:rFonts w:ascii="Arial" w:cs="Arial" w:eastAsia="Arial" w:hAnsi="Arial"/>
          <w:sz w:val="12"/>
          <w:szCs w:val="12"/>
          <w:b w:val="1"/>
          <w:bCs w:val="1"/>
          <w:color w:val="auto"/>
        </w:rPr>
        <w:t>Fixed Rate Debt - Principal and Interest Payments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38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8160" w:val="left"/>
          <w:tab w:leader="none" w:pos="8920" w:val="left"/>
          <w:tab w:leader="none" w:pos="9820" w:val="left"/>
          <w:tab w:leader="none" w:pos="1074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2010-2011</w:t>
      </w:r>
      <w:r>
        <w:rPr>
          <w:sz w:val="20"/>
          <w:szCs w:val="20"/>
          <w:color w:val="auto"/>
        </w:rPr>
        <w:tab/>
      </w:r>
      <w:r>
        <w:rPr>
          <w:rFonts w:ascii="Arial" w:cs="Arial" w:eastAsia="Arial" w:hAnsi="Arial"/>
          <w:sz w:val="14"/>
          <w:szCs w:val="14"/>
          <w:b w:val="1"/>
          <w:bCs w:val="1"/>
          <w:color w:val="auto"/>
        </w:rPr>
        <w:t>2012-2013</w:t>
      </w:r>
      <w:r>
        <w:rPr>
          <w:sz w:val="20"/>
          <w:szCs w:val="20"/>
          <w:color w:val="auto"/>
        </w:rPr>
        <w:tab/>
      </w:r>
      <w:r>
        <w:rPr>
          <w:rFonts w:ascii="Arial" w:cs="Arial" w:eastAsia="Arial" w:hAnsi="Arial"/>
          <w:sz w:val="12"/>
          <w:szCs w:val="12"/>
          <w:b w:val="1"/>
          <w:bCs w:val="1"/>
          <w:color w:val="auto"/>
        </w:rPr>
        <w:t>After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-6985</wp:posOffset>
            </wp:positionV>
            <wp:extent cx="2838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ind w:left="876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$ 1,815,388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$ 239,513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$ 267,362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$ 498,804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$ 809,709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20" w:type="dxa"/>
            <w:vAlign w:val="bottom"/>
          </w:tcPr>
          <w:p>
            <w:pPr>
              <w:jc w:val="right"/>
              <w:spacing w:after="0"/>
              <w:rPr>
                <w:sz w:val="20"/>
                <w:szCs w:val="20"/>
                <w:color w:val="auto"/>
              </w:rPr>
            </w:pPr>
            <w:r>
              <w:rPr>
                <w:rFonts w:ascii="Arial" w:cs="Arial" w:eastAsia="Arial" w:hAnsi="Arial"/>
                <w:sz w:val="18"/>
                <w:szCs w:val="18"/>
                <w:color w:val="auto"/>
              </w:rPr>
              <w:t>180,616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4,195</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11,180</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11,201</w:t>
            </w:r>
          </w:p>
        </w:tc>
        <w:tc>
          <w:tcPr>
            <w:tcW w:w="720" w:type="dxa"/>
            <w:vAlign w:val="bottom"/>
          </w:tcPr>
          <w:p>
            <w:pPr>
              <w:jc w:val="right"/>
              <w:spacing w:after="0"/>
              <w:rPr>
                <w:sz w:val="20"/>
                <w:szCs w:val="20"/>
                <w:color w:val="auto"/>
              </w:rPr>
            </w:pPr>
            <w:r>
              <w:rPr>
                <w:rFonts w:ascii="Arial" w:cs="Arial" w:eastAsia="Arial" w:hAnsi="Arial"/>
                <w:sz w:val="18"/>
                <w:szCs w:val="18"/>
                <w:color w:val="auto"/>
              </w:rPr>
              <w:t>154,040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fixed rate debt obligations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1,996,004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$ 243,708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$ 278,542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$ 510,005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$ 963,749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Debt Obligations – Variable Rate Debt</w:t>
      </w:r>
    </w:p>
    <w:p>
      <w:pPr>
        <w:spacing w:after="0" w:line="90"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At March 31, 2009, variable rate debt includes our $200 million term loan which bears interest at LIBOR plus 0.575% and $141 million on our revolving credit facility which bears interest at LIBOR plus 0.425%. Both of these borrowings were repaid in May 2009 with proceeds from our new $372 million term loan as discussed above. The remaining variable rate debt of $9.4 million has an interest rate of 0.549% at March 31, 2009, and matures in October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(30,905)</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(38,815)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(34,444)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(36,642)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4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vMerge w:val="continue"/>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(23,037)</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22,460</w:t>
            </w:r>
          </w:p>
        </w:tc>
        <w:tc>
          <w:tcPr>
            <w:tcW w:w="30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820" w:type="dxa"/>
            <w:vAlign w:val="bottom"/>
            <w:vMerge w:val="restart"/>
          </w:tcPr>
          <w:p>
            <w:pPr>
              <w:jc w:val="right"/>
              <w:ind w:right="343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Net cash provided by operating activities increased $20.2 million to $72.6 million during the three months ended March 31, 2009 from $52.4 million during the three months ended March 31, 2008. The increase was primarily attributable to a $16.0 million increase in cash provided by operating activities due primarily to higher accounts payable and accrued expenses balances and lower accounts receivable balances as well as $4.2 million lower net income before gain on sale of real estate, litigation provision, income from real estate partnership, depreciation and amortization, and other non-cash expenses.</w:t>
      </w:r>
    </w:p>
    <w:p>
      <w:pPr>
        <w:spacing w:after="0" w:line="11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Net cash used in investing activities decreased $7.9 million to $30.9 million during the three months ended March 31, 2009 from $38.8 million during the three months ended March 31, 2008. The decrease was primarily attributable to $6.6 million in lower capital expenditures and $0.6 million in lower leasing costs.</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cash used in financing activities decreased $2.2 million to $34.4 million during the three months ended March 31, 2009 from $36.6 million during the three months ended March 31, 2008. The decrease was primarily attributable to:</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$17.5 million increase in net borrowings on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$6.1 million purchase and retirement of a portion of our 8.75% senior notes which are due in December 2009</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$4.5 million increase in repayment of mortgages, capital leases and notes payable due substantially to the payoff in January 2009 of a loan secured by a portion of Mercer Mall,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$2.6 million increase in dividends paid to shareholders due to an increase in the dividend rate and increased number of shares outstanding,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 million decrease in the number of new common shares issued during the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March 31, 2009, the Partnership owned seven retail real estate properties. We are the manager of the Partnership and its properties, earning fees for acquisitions, management, leasing and financing. We also have the opportunity to receive performance-based earnings through our Partnership interest. At March 31, 2009, the Partnership had approximately $81.3 million of mortgages payable outstanding; our investment in the Partnership was $28.7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Original</w:t>
            </w:r>
          </w:p>
        </w:tc>
        <w:tc>
          <w:tcPr>
            <w:tcW w:w="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Stated 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as of</w:t>
            </w:r>
          </w:p>
        </w:tc>
        <w:tc>
          <w:tcPr>
            <w:tcW w:w="16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4"/>
                <w:szCs w:val="1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March 31, 2009</w:t>
            </w: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March 31, 2009</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2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32,976</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6,028</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6.870%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2012</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19,996</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5.370%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2013</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2013</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White Marsh Plaza (2)</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10,058</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6.040%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2013</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Melville Mall (3)</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24,291</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5.250%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2014</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59,752</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2015</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660" w:type="dxa"/>
            <w:vAlign w:val="bottom"/>
          </w:tcPr>
          <w:p>
            <w:pPr>
              <w:jc w:val="right"/>
              <w:spacing w:after="0"/>
              <w:rPr>
                <w:sz w:val="20"/>
                <w:szCs w:val="20"/>
                <w:color w:val="auto"/>
              </w:rPr>
            </w:pPr>
            <w:r>
              <w:rPr>
                <w:rFonts w:ascii="Arial" w:cs="Arial" w:eastAsia="Arial" w:hAnsi="Arial"/>
                <w:sz w:val="18"/>
                <w:szCs w:val="18"/>
                <w:color w:val="auto"/>
              </w:rPr>
              <w:t>44,300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41,191</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15,528</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660" w:type="dxa"/>
            <w:vAlign w:val="bottom"/>
          </w:tcPr>
          <w:p>
            <w:pPr>
              <w:jc w:val="right"/>
              <w:spacing w:after="0"/>
              <w:rPr>
                <w:sz w:val="20"/>
                <w:szCs w:val="20"/>
                <w:color w:val="auto"/>
              </w:rPr>
            </w:pPr>
            <w:r>
              <w:rPr>
                <w:rFonts w:ascii="Arial" w:cs="Arial" w:eastAsia="Arial" w:hAnsi="Arial"/>
                <w:sz w:val="18"/>
                <w:szCs w:val="18"/>
                <w:color w:val="auto"/>
              </w:rPr>
              <w:t>31,400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29,197</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25,663</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660" w:type="dxa"/>
            <w:vAlign w:val="bottom"/>
          </w:tcPr>
          <w:p>
            <w:pPr>
              <w:jc w:val="right"/>
              <w:spacing w:after="0"/>
              <w:rPr>
                <w:sz w:val="20"/>
                <w:szCs w:val="20"/>
                <w:color w:val="auto"/>
              </w:rPr>
            </w:pPr>
            <w:r>
              <w:rPr>
                <w:rFonts w:ascii="Arial" w:cs="Arial" w:eastAsia="Arial" w:hAnsi="Arial"/>
                <w:sz w:val="18"/>
                <w:szCs w:val="18"/>
                <w:color w:val="auto"/>
              </w:rPr>
              <w:t>32,000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29,754</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30,492</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Shoppers’ World</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5,833</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5.910%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31, 2021</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Mount Vernon (4)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11,556</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2028</w:t>
            </w:r>
          </w:p>
        </w:tc>
      </w:tr>
      <w:tr>
        <w:trPr>
          <w:trHeight w:val="223"/>
        </w:trPr>
        <w:tc>
          <w:tcPr>
            <w:tcW w:w="20" w:type="dxa"/>
            <w:vAlign w:val="bottom"/>
          </w:tcPr>
          <w:p>
            <w:pPr>
              <w:spacing w:after="0"/>
              <w:rPr>
                <w:sz w:val="19"/>
                <w:szCs w:val="19"/>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Chelsea</w:t>
            </w: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Acquired</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40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5.360%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2031</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383,575</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Net unamortized discount</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(408)</w:t>
            </w: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mortgage loans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383,167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330"/>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2,221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2,321</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2012</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loan (5)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LIBOR + 0.575%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6, 2009</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facility (6)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LIBOR + 0.425%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27, 2010</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Escondido (Municipal bonds) (7)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Total notes payable</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353,856</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 (8)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6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2013</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6.200%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r>
      <w:tr>
        <w:trPr>
          <w:trHeight w:val="223"/>
        </w:trPr>
        <w:tc>
          <w:tcPr>
            <w:tcW w:w="20" w:type="dxa"/>
            <w:vAlign w:val="bottom"/>
          </w:tcPr>
          <w:p>
            <w:pPr>
              <w:spacing w:after="0"/>
              <w:rPr>
                <w:sz w:val="19"/>
                <w:szCs w:val="19"/>
                <w:color w:val="auto"/>
              </w:rPr>
            </w:pPr>
          </w:p>
        </w:tc>
        <w:tc>
          <w:tcPr>
            <w:tcW w:w="580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6.820%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948,055</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Net unamortized premium</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senior notes and debentures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950,401</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329"/>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Capital lease obligations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63,195</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r>
      <w:tr>
        <w:trPr>
          <w:trHeight w:val="223"/>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1,750,619</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4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$81.3 million debt of the partnership with a discretionary fund created and advised by ING Clarion Partners.</w:t>
      </w:r>
    </w:p>
    <w:p>
      <w:pPr>
        <w:ind w:left="460" w:right="3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8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effective interest rate, before amortization of debt fees, was 2.14% for the three months ended March 31, 2009. On May 4, 2009, we refinanced our existing $200 million term loan with a new $372 million term loan which bears interest at LIBOR, subject to a 1.50% floor, plus 300 basis points and will mature in July 2011. The $200 million term loan was repaid with the proceeds from the new $372 million term loan.</w:t>
      </w:r>
    </w:p>
    <w:p>
      <w:pPr>
        <w:spacing w:after="0" w:line="2" w:lineRule="exact"/>
        <w:rPr>
          <w:rFonts w:ascii="Arial" w:cs="Arial" w:eastAsia="Arial" w:hAnsi="Arial"/>
          <w:sz w:val="16"/>
          <w:szCs w:val="16"/>
          <w:color w:val="auto"/>
        </w:rPr>
      </w:pPr>
    </w:p>
    <w:p>
      <w:pPr>
        <w:jc w:val="both"/>
        <w:ind w:left="460" w:right="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2009 was $172.5 million. The weighted average effective interest rate on borrowings under our revolving credit facility, before amortization of debt fees, was 1.52% for the three months ended March 31, 2009. This credit facility matures on July 27, 2010, subject to a one-year extension at our option.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jc w:val="both"/>
        <w:ind w:left="460" w:right="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January 12, 2009, February 5, 2009, and February 27, 2009, we purchased and retired $5.0 million, $0.9 million, and $0.2 million, respectively, on our 8.75% notes. On April 1, 2009, we purchased and retired $5.0 million of the outstanding $168.9 million balance of our 8.75% notes. The notes were repaid with funds borrowed on our $300 million revolving credit facility.</w:t>
      </w:r>
    </w:p>
    <w:p>
      <w:pPr>
        <w:spacing w:after="0" w:line="14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March 31, 2009,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or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Secured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Lease</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Unsecured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369,973(1)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2010</w:t>
            </w: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141,861(2)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150,880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14,662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175,727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191,889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251,455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56,459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403,600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711,514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383,575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63,195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1,301,911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1,748,681(3)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80" w:hanging="452"/>
        <w:spacing w:after="0" w:line="28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April 1, 2009, we purchased and retired $5.0 million of the outstanding $168.9 million balance of our 8.75% notes. The notes were repaid with funds borrowed on our $300 million revolving credit facility. On May 4, 2009, we refinanced our existing $200 million term loan with a new $372 million term loan which bears interest at LIBOR, subject to a 1.50% floor, plus 300 basis points and will mature in July 2011.</w:t>
      </w:r>
    </w:p>
    <w:p>
      <w:pPr>
        <w:spacing w:after="0" w:line="1"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March 31, 2009, there was $141.0 million drawn under this credit facility.</w:t>
      </w:r>
    </w:p>
    <w:p>
      <w:pPr>
        <w:ind w:left="460" w:right="5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March 31,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had no hedging instruments outstanding during the three months ended March 31, 2009. 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Effective January 1, 2009, we adopted FSP EITF No. 03-6-1 and have calculated FFO per share for all periods presented under the two-class method. The two-class method is an earnings allocation methodology whereby earnings per share for each class of common stock and participating securities is calculated according to dividends declared and participation rights in undistributed earnings. The implementation resulted in a decrease to the March 31, 2008 reported FFO per share from $0.94 to $0.93 as presented below. FFO per share for prior periods has been restated to conform to the requirements of FSP EITF No. 03-6-1.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b w:val="1"/>
                <w:bCs w:val="1"/>
                <w:color w:val="auto"/>
                <w:w w:val="92"/>
              </w:rPr>
              <w:t>March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(In thousands,</w:t>
            </w:r>
          </w:p>
        </w:tc>
        <w:tc>
          <w:tcPr>
            <w:tcW w:w="5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9"/>
              </w:rPr>
              <w:t>except</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(915)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3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tcPr>
          <w:p>
            <w:pPr>
              <w:ind w:left="440"/>
              <w:spacing w:after="0"/>
              <w:rPr>
                <w:sz w:val="20"/>
                <w:szCs w:val="20"/>
                <w:color w:val="auto"/>
              </w:rPr>
            </w:pPr>
            <w:r>
              <w:rPr>
                <w:rFonts w:ascii="Arial" w:cs="Arial" w:eastAsia="Arial" w:hAnsi="Arial"/>
                <w:sz w:val="18"/>
                <w:szCs w:val="18"/>
                <w:color w:val="auto"/>
              </w:rPr>
              <w:t>Funds from operations</w:t>
            </w: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40"/>
              <w:spacing w:after="0"/>
              <w:rPr>
                <w:sz w:val="20"/>
                <w:szCs w:val="20"/>
                <w:color w:val="auto"/>
              </w:rPr>
            </w:pPr>
            <w:r>
              <w:rPr>
                <w:rFonts w:ascii="Arial" w:cs="Arial" w:eastAsia="Arial" w:hAnsi="Arial"/>
                <w:sz w:val="18"/>
                <w:szCs w:val="18"/>
                <w:color w:val="auto"/>
              </w:rPr>
              <w:t>Funds from operations available for common shareholders (2)</w:t>
            </w: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37,761</w:t>
            </w:r>
          </w:p>
        </w:tc>
        <w:tc>
          <w:tcPr>
            <w:tcW w:w="28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(1)</w:t>
            </w:r>
          </w:p>
        </w:tc>
        <w:tc>
          <w:tcPr>
            <w:tcW w:w="3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w w:val="88"/>
              </w:rPr>
              <w:t>Funds from operations available for common shareholders, per diluted share (2)</w:t>
            </w:r>
          </w:p>
        </w:tc>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tcPr>
          <w:p>
            <w:pPr>
              <w:spacing w:after="0"/>
              <w:rPr>
                <w:sz w:val="18"/>
                <w:szCs w:val="18"/>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0.64</w:t>
            </w:r>
          </w:p>
        </w:tc>
        <w:tc>
          <w:tcPr>
            <w:tcW w:w="2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60" w:type="dxa"/>
            <w:vAlign w:val="bottom"/>
            <w:vMerge w:val="restart"/>
          </w:tcPr>
          <w:p>
            <w:pPr>
              <w:jc w:val="right"/>
              <w:ind w:right="2992"/>
              <w:spacing w:after="0"/>
              <w:rPr>
                <w:sz w:val="20"/>
                <w:szCs w:val="20"/>
                <w:color w:val="auto"/>
              </w:rPr>
            </w:pPr>
            <w:r>
              <w:rPr>
                <w:rFonts w:ascii="Arial" w:cs="Arial" w:eastAsia="Arial" w:hAnsi="Arial"/>
                <w:sz w:val="18"/>
                <w:szCs w:val="18"/>
                <w:color w:val="auto"/>
                <w:w w:val="79"/>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three months ended March 31, 2008, the weighted average common shares used to compute FFO per diluted share includes operating partnership units that were excluded from the computation of diluted EPS. Conversion of these operating partnership units is dilutive in the computation of FFO per diluted common share for the three months ended March 31, 2008, but is anti-dilutive for the three months ended March 31, 2009, as well as anti-dilutive for the computation of diluted EPS for the periods presented.</w:t>
      </w:r>
    </w:p>
    <w:p>
      <w:pPr>
        <w:spacing w:after="0" w:line="62" w:lineRule="exact"/>
        <w:rPr>
          <w:rFonts w:ascii="Arial" w:cs="Arial" w:eastAsia="Arial" w:hAnsi="Arial"/>
          <w:sz w:val="18"/>
          <w:szCs w:val="18"/>
          <w:color w:val="auto"/>
        </w:rPr>
      </w:pPr>
    </w:p>
    <w:p>
      <w:pPr>
        <w:ind w:left="460" w:right="70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FFO and FFO per diluted share for the three months ended March 31, 2009, include a $20.6 million charge for increasing the accrual for litigation regarding a parcel of land located adjacent to Santana Row. See page 15 of this Form 10-Q for further discussion on the litigation.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March 31, 2009,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March 31, 2009, we had $1.4 billion of fixed-rate debt outstanding. If interest rates on our fixed-rate debt instruments at March 31, 2009 had been 1.0% higher, the fair value of those debt instruments on that date would have decreased by approximately $41.5 million. If interest rates on our fixed-rate debt instruments at March 31, 2009 had been 1.0% lower, the fair value of those debt instruments on that date would have increased by approximately $44.1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March 31, 2009, we had $350.4 million of variable rate debt outstanding. Based upon this amount of variable rate debt, if interest rates increased 1.0%, our annual interest expense would increase by approximately $3.5 million, and our net income and cash flows for the year would decrease by approximately $3.5 million. Conversely, if interest rates decreased 1.0%, our annual interest expense would decrease by approximately $3.5 million, and our net income and cash flows for the year would increase by approximately $3.5 million.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2009. Based on this evaluation, our management, including our Chief Executive Officer and Chief Financial Officer, concluded that our disclosure controls and procedures were effective as of March 31, 2009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recently issued a tentative ruling awarding damages to the plaintiff of approximately $14.4 million plus interest. A final judgment awarding damages and determining interest is not expected to be entered for a few weeks. We and the plaintiff have filed briefs with the court addressing various items raised in the court’s tentative ruling. The plaintiff has alleged in its brief that the damages award should be $15.5 million. Based on our calculations and estimates provided by the plaintiff, interest is estimated to be in a range of approximately $2.1 million to $8.4 million. We believe and have recently filed arguments supporting a lower damages amount and will file arguments supporting a lower interest amount towards the low end of the range. However, based on the tentative ruling and information currently available, our best estimate of damages is $14.3 million plus interest of $7.1 million for a total of $21.4 million. Accordingly, we have increased our accrual for this matter from $0.8 million at December 31, 2008, to $21.4 million at March 31, 2009. The increase in our accrual of $20.6 million is presented as a separate line item in our consolidated statement of operations. Other costs may be asserted by the plaintiff, however, we are unable to estimate the amount or a reasonable range of likely outcomes at this time. Furthermore, we continue to believe that the “Final Proposal” which included express language that it was subject to formal documentation was not a binding contract and that we should have no liability whatsoever. Accordingly, we intend to appeal the judgment once the final judgment on damages is entered.</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2008 filed with the Securities and Exchange Commission on February 26, 2009. These factors include, but are not limited to, the following: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intend to hold our Annual Meeting of Shareholders on May 6, 2009.</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459" w:right="7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May 6,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May 6,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459" w:right="6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jc w:val="center"/>
              <w:ind w:right="101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24"/>
                <w:szCs w:val="24"/>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3.1</w:t>
            </w:r>
          </w:p>
        </w:tc>
        <w:tc>
          <w:tcPr>
            <w:tcW w:w="400" w:type="dxa"/>
            <w:vAlign w:val="bottom"/>
          </w:tcPr>
          <w:p>
            <w:pPr>
              <w:spacing w:after="0"/>
              <w:rPr>
                <w:sz w:val="17"/>
                <w:szCs w:val="17"/>
                <w:color w:val="auto"/>
              </w:rPr>
            </w:pPr>
          </w:p>
        </w:tc>
        <w:tc>
          <w:tcPr>
            <w:tcW w:w="10300" w:type="dxa"/>
            <w:vAlign w:val="bottom"/>
          </w:tcPr>
          <w:p>
            <w:pPr>
              <w:spacing w:after="0" w:line="201" w:lineRule="exact"/>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 Trust of</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Federal Realty Investment Trust dated May 6, 2004, as corrected by the Certificate of Correction of Articles of Amendment of Declaration of</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June 17, 2004 (previously filed as Exhibit 3.1 to the Trust’s Quarterly Report on Form 10-Q for the</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quarter ended June 30, 2005 (File No. 1-07533) (the “2005 2Q Form 10-Q”)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May 5, 2004 and</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February 17, 2006 (previously filed as Exhibit 3.2 to the Trust’s Annual Report on Form 10-K for the year ended December 31, 2005 (File No. 1-</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1"/>
              </w:rPr>
              <w:t>Trust Company (previously filed as Exhibit 4.5 to the Trust’s Annual Report on Form 10-K for the year ended December 31, 2003 (File No. 1-</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8"/>
              </w:rPr>
              <w:t>Second Amendment to Amended and Restated Rights Agreement, dated as of March 11, 2009, between the Trust and American Stock Transfer &amp;</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4"/>
              </w:rPr>
              <w:t>Trust Company (previously filed as Exhibit 4.3 to the Trust’s current Report on Form 8-K (File No. 001-07533) and incorporated herein by</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8"/>
              </w:rPr>
              <w:t>Indenture dated December 13, 1993 related to the Trust’s 7.48% Debentures due August 15, 2026; and 6.82% Medium Term Notes due August 1,</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4"/>
              </w:rPr>
              <w:t>2027; (previously filed as Exhibit 4(a) to the Trust’s Registration Statement on Form S-3 (File No. 33-51029), and amended on Form S-3</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4.50% Notes</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due 2011; 5.65% Notes due 2016; 6.00% Notes due 2012; 6.20% Notes due 2017; and 5.40% Notes due 2013 (previously filed as Exhibit 4(a) to</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4"/>
              </w:rPr>
              <w:t>the Trust’s Registration Statement on Form S-3 (File No. 333-63619) filed on September 17, 1998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7"/>
              </w:rPr>
              <w:t>Amended and Restated 1993 Long-Term Incentive Plan, as amended on October 6, 1997 and further amended on May 6, 1998 (previously filed as</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Exhibit 10.26 to the Trust’s Annual Report on Form 10-K for the year ended December 31, 1998 (File No. 1-07533) and incorporated herein by</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4"/>
              </w:rPr>
              <w:t>Fiscal Agency Agreement dated as of October 28, 1993 between the Trust and Citibank, N.A. (previously filed as an exhibit to the Trust’s</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8"/>
              </w:rPr>
              <w:t>Quarterly Report on Form 10-Q for the quarter ended September 30, 1993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Form of Severance Agreement between the Trust and Certain of its Officers dated December 31, 1994 (previously filed as a portion of Exhibit 10</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to the Trust’s Annual Report on Form 10-K for the year ended December 31, 1994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Donald C. Wood dated February 22, 1999 (previously filed as a portion of Exhibit 10 to the Trust’s</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Quarterly Report on Form 10-Q for the quarter ended March 31, 1999 (File No. 1-07533) (the “1999 1Q Form 10-Q”) and incorporated herein by</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8"/>
              </w:rPr>
              <w:t>Amendment to Executive Agreement between Federal Realty Investment Trust and Donald C. Wood dated February 16, 2005 (previously filed as</w:t>
            </w:r>
          </w:p>
        </w:tc>
      </w:tr>
      <w:tr>
        <w:trPr>
          <w:trHeight w:val="216"/>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Exhibit 10.12 to the Trust’s Annual Report on Form 10-K for the year ended December 31, 2004 (File No. 1-07533) (the “2004 Form 10-K”) and</w:t>
            </w:r>
          </w:p>
        </w:tc>
      </w:tr>
      <w:tr>
        <w:trPr>
          <w:trHeight w:val="222"/>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7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5"/>
              </w:rPr>
              <w:t>the Trust’s Annual Report on Form 10-K for the year ended December 31, 2000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2"/>
              </w:rPr>
              <w:t>Severance Agreement between the Trust and Jeffrey S. Berkes dated March 1, 2000 (previously filed as a portion of Exhibit 10 to the Trust’s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8"/>
              </w:rPr>
              <w:t>Amendment to Severance Agreement between Federal Realty Investment Trust and Jeffrey S. Berkes dated February 16, 2005 (previously filed as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4"/>
              </w:rPr>
              <w:t>Severance Agreement dated March 1, 2002 between the Trust and Larry E. Finger (previously filed as a portion of Exhibit 10 to the Trust’s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0"/>
              </w:rPr>
              <w:t>Amendment to Severance Agreement between Federal Realty Investment Trust and Larry E. Finger dated February 16, 2005 (previously filed as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Amendment to Stock Option Agreement dated August 15, 2002 between the Trust and Dawn M. Becker (previously filed as a portion of Exhibit 10</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to the Trust’s Quarterly Report on Form 10-Q for the quarter ended September 30, 2002 (File No. 1-075330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Health Coverage Continuation Agreement between Federal Realty Investment Trust and Donald C. Wood dated February 16, 2005 (previously</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Severance Agreement between the Trust and Dawn M. Becker dated April 19, 2000 (previously filed as Exhibit 10.26 to the Trust’s 2005 2Q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10-Q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Amendment to Severance Agreement between the Trust and Dawn M. Becker dated February 16, 2005 (previously filed as Exhibit 10.27 to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8"/>
              </w:rPr>
              <w:t>Form of Restricted Share Award Agreement for awards made under the Trust’s 2003 Long-Term Incentive Award Program for shares issued out of</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Form of Restricted Share Award Agreement for awards made under the Trust’s Annual Incentive Bonus Program for shares issued out of 2001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0"/>
              </w:rPr>
              <w:t>Form of Option Award Agreement for options awarded under 2001 Long-Term Incentive Plan (previously filed as Exhibit 10.30 to the 2004 Form</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 and</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0"/>
              </w:rPr>
              <w:t>various other financial institutions (previously filed as Exhibit 10.1 to the Trust’s Current Report on Form 8-K (File No. 1-07533), filed on July 31,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quarter ended March 31, 2008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8"/>
              </w:rPr>
              <w:t>Restricted Share Award Agreement between the Trust and Joseph M. Squeri dated October 1, 2007 (previously filed as Exhibit 10.23 to the Trust’s</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4"/>
              </w:rPr>
              <w:t>Annual Report on Form 10-K for the year ended December 31, 2007 (File No 1-07533) (the “2007 Form 10-K”) and incorporated herein by</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8"/>
              </w:rPr>
              <w:t>Severance Agreement between the Trust and Joseph M. Squeri dated October 1, 2007 (previously filed as Exhibit 10.24 to the 2007 Form 10-K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Credit Agreement dated as of November 9, 2007, by and among the Trust, Wachovia Capital Markets LLC, Wachovia Bank, National Association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8"/>
              </w:rPr>
              <w:t>and various other financial institutions (previously filed as Exhibit 10.25 to the 2007 Form 10-K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ind w:left="490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7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10.26</w:t>
            </w:r>
          </w:p>
        </w:tc>
        <w:tc>
          <w:tcPr>
            <w:tcW w:w="32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Change in Control Agreement between the Trust and Andrew P. Blocher dated February 12, 2007 (previously filed as Exhibit 10.27 to the Trust’s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8"/>
              </w:rPr>
              <w:t>Quarterly Report on Form 10-Q for the quarter ended September 30, 2008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Trust’s Annual Report on Form 10-K for the year ended December 31, 2008 (File No. 1-07533) (“the 2008 Form 10-K”) and incorporated herein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0"/>
              </w:rPr>
              <w:t>Second Amendment to Executive Agreement between the Trust and Donald C. Wood dated January 1, 2009 (previously filed as Exhibit 10.27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Exhibit 10.28 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Second Amendment to Severance Agreement between the Trust and Jeffrey S. Berkes dated January 1, 2009 (previously filed as Exhibit 10.29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Second Amendment to Severance Agreement between the Trust and Dawn M. Becker dated January 1, 2009 (previously filed as Exhibit 10.30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8"/>
              </w:rPr>
              <w:t>Amendment to Change in Control Agreement between the Trust and Andrew P. Blocher dated January 1, 2009 (previously filed as Exhibit 10.31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0"/>
              </w:rPr>
              <w:t>Amendment to Stock Option Agreements between the Trust and Andrew P. Blocher dated February 17, 2009 (previously filed as Exhibit 10.32 to</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Restricted Share Award Agreement between the Trust and Andrew P. Blocher dated February 17, 2009 (previously filed as Exhibit 10.33 to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Combined Incentive and Non-Qualified Stock Option Agreement between the Trust and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8"/>
              </w:rPr>
              <w:t>Andrew P. Blocher dated February 17, 2009 (previously filed as Exhibit 10.34 to the Trust’s 2008 Form 10-K and incorporated herein by reference)</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91"/>
              </w:rPr>
              <w:t>Severance Agreement between the Trust and Andrew P. Blocher dated February 17, 2009 (previously filed as Exhibit 10.35 to the Trust’s 2008</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10.37</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w w:val="89"/>
              </w:rPr>
              <w:t>Credit Agreement dated as of May 4, 2009, by and among the Trust, Wachovia Capital Markets LLC, PNC Capital Markets LLC, Wachovia Bank,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National Association, PNC Bank, National Association and various other financial institutions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720" w:type="dxa"/>
            <w:vAlign w:val="bottom"/>
          </w:tcPr>
          <w:p>
            <w:pPr>
              <w:spacing w:after="0"/>
              <w:rPr>
                <w:sz w:val="24"/>
                <w:szCs w:val="24"/>
                <w:color w:val="auto"/>
              </w:rPr>
            </w:pPr>
          </w:p>
        </w:tc>
        <w:tc>
          <w:tcPr>
            <w:tcW w:w="10700" w:type="dxa"/>
            <w:vAlign w:val="bottom"/>
            <w:gridSpan w:val="2"/>
          </w:tcPr>
          <w:p>
            <w:pPr>
              <w:ind w:left="490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May 4, 2009</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WACHOVIA CAPITAL MARKETS,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an Arranger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 Book Manager,</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Agent,</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Each of</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a Documentation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FINANCIAL INSTITUTIONS INITIALLY SIGNATORY HERETO</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AND THEIR ASSIGNEES PURSUANT TO SECTION 12.5.(b),</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2"/>
        </w:trPr>
        <w:tc>
          <w:tcPr>
            <w:tcW w:w="1580" w:type="dxa"/>
            <w:vAlign w:val="bottom"/>
          </w:tcPr>
          <w:p>
            <w:pPr>
              <w:spacing w:after="0"/>
              <w:rPr>
                <w:sz w:val="19"/>
                <w:szCs w:val="19"/>
                <w:color w:val="auto"/>
              </w:rPr>
            </w:pPr>
          </w:p>
        </w:tc>
        <w:tc>
          <w:tcPr>
            <w:tcW w:w="7340" w:type="dxa"/>
            <w:vAlign w:val="bottom"/>
          </w:tcPr>
          <w:p>
            <w:pPr>
              <w:ind w:left="3240"/>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19"/>
                <w:szCs w:val="19"/>
                <w:color w:val="auto"/>
              </w:rPr>
            </w:pPr>
          </w:p>
        </w:tc>
      </w:tr>
      <w:tr>
        <w:trPr>
          <w:trHeight w:val="419"/>
        </w:trPr>
        <w:tc>
          <w:tcPr>
            <w:tcW w:w="1580" w:type="dxa"/>
            <w:vAlign w:val="bottom"/>
          </w:tcPr>
          <w:p>
            <w:pPr>
              <w:spacing w:after="0"/>
              <w:rPr>
                <w:sz w:val="20"/>
                <w:szCs w:val="20"/>
                <w:color w:val="auto"/>
              </w:rPr>
            </w:pPr>
            <w:r>
              <w:rPr>
                <w:rFonts w:ascii="Arial" w:cs="Arial" w:eastAsia="Arial" w:hAnsi="Arial"/>
                <w:sz w:val="18"/>
                <w:szCs w:val="18"/>
                <w:color w:val="auto"/>
              </w:rPr>
              <w:t>Article I. Definitions</w:t>
            </w:r>
          </w:p>
        </w:tc>
        <w:tc>
          <w:tcPr>
            <w:tcW w:w="73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73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7340" w:type="dxa"/>
            <w:vAlign w:val="bottom"/>
          </w:tcPr>
          <w:p>
            <w:pPr>
              <w:ind w:left="100"/>
              <w:spacing w:after="0"/>
              <w:rPr>
                <w:sz w:val="20"/>
                <w:szCs w:val="20"/>
                <w:color w:val="auto"/>
              </w:rPr>
            </w:pPr>
            <w:r>
              <w:rPr>
                <w:rFonts w:ascii="Arial" w:cs="Arial" w:eastAsia="Arial" w:hAnsi="Arial"/>
                <w:sz w:val="18"/>
                <w:szCs w:val="18"/>
                <w:color w:val="auto"/>
              </w:rPr>
              <w:t>General; References to Times.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7340" w:type="dxa"/>
            <w:vAlign w:val="bottom"/>
          </w:tcPr>
          <w:p>
            <w:pPr>
              <w:ind w:left="100"/>
              <w:spacing w:after="0"/>
              <w:rPr>
                <w:sz w:val="20"/>
                <w:szCs w:val="20"/>
                <w:color w:val="auto"/>
              </w:rPr>
            </w:pPr>
            <w:r>
              <w:rPr>
                <w:rFonts w:ascii="Arial" w:cs="Arial" w:eastAsia="Arial" w:hAnsi="Arial"/>
                <w:sz w:val="18"/>
                <w:szCs w:val="18"/>
                <w:color w:val="auto"/>
              </w:rPr>
              <w:t>Financial Attributes of Non-Wholly Owned Subsidiaries.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 Credit Facility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7340" w:type="dxa"/>
            <w:vAlign w:val="bottom"/>
          </w:tcPr>
          <w:p>
            <w:pPr>
              <w:ind w:left="100"/>
              <w:spacing w:after="0"/>
              <w:rPr>
                <w:sz w:val="20"/>
                <w:szCs w:val="20"/>
                <w:color w:val="auto"/>
              </w:rPr>
            </w:pPr>
            <w:r>
              <w:rPr>
                <w:rFonts w:ascii="Arial" w:cs="Arial" w:eastAsia="Arial" w:hAnsi="Arial"/>
                <w:sz w:val="18"/>
                <w:szCs w:val="18"/>
                <w:color w:val="auto"/>
              </w:rPr>
              <w:t>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7340" w:type="dxa"/>
            <w:vAlign w:val="bottom"/>
          </w:tcPr>
          <w:p>
            <w:pPr>
              <w:ind w:left="100"/>
              <w:spacing w:after="0"/>
              <w:rPr>
                <w:sz w:val="20"/>
                <w:szCs w:val="20"/>
                <w:color w:val="auto"/>
              </w:rPr>
            </w:pPr>
            <w:r>
              <w:rPr>
                <w:rFonts w:ascii="Arial" w:cs="Arial" w:eastAsia="Arial" w:hAnsi="Arial"/>
                <w:sz w:val="18"/>
                <w:szCs w:val="18"/>
                <w:color w:val="auto"/>
              </w:rPr>
              <w:t>Rates and Payment of Interest on Loan.</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7340" w:type="dxa"/>
            <w:vAlign w:val="bottom"/>
          </w:tcPr>
          <w:p>
            <w:pPr>
              <w:ind w:left="100"/>
              <w:spacing w:after="0"/>
              <w:rPr>
                <w:sz w:val="20"/>
                <w:szCs w:val="20"/>
                <w:color w:val="auto"/>
              </w:rPr>
            </w:pPr>
            <w:r>
              <w:rPr>
                <w:rFonts w:ascii="Arial" w:cs="Arial" w:eastAsia="Arial" w:hAnsi="Arial"/>
                <w:sz w:val="18"/>
                <w:szCs w:val="18"/>
                <w:color w:val="auto"/>
              </w:rPr>
              <w:t>Number of Interest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7340" w:type="dxa"/>
            <w:vAlign w:val="bottom"/>
          </w:tcPr>
          <w:p>
            <w:pPr>
              <w:ind w:left="100"/>
              <w:spacing w:after="0"/>
              <w:rPr>
                <w:sz w:val="20"/>
                <w:szCs w:val="20"/>
                <w:color w:val="auto"/>
              </w:rPr>
            </w:pPr>
            <w:r>
              <w:rPr>
                <w:rFonts w:ascii="Arial" w:cs="Arial" w:eastAsia="Arial" w:hAnsi="Arial"/>
                <w:sz w:val="18"/>
                <w:szCs w:val="18"/>
                <w:color w:val="auto"/>
              </w:rPr>
              <w:t>Repayment of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734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7340" w:type="dxa"/>
            <w:vAlign w:val="bottom"/>
          </w:tcPr>
          <w:p>
            <w:pPr>
              <w:ind w:left="100"/>
              <w:spacing w:after="0"/>
              <w:rPr>
                <w:sz w:val="20"/>
                <w:szCs w:val="20"/>
                <w:color w:val="auto"/>
              </w:rPr>
            </w:pPr>
            <w:r>
              <w:rPr>
                <w:rFonts w:ascii="Arial" w:cs="Arial" w:eastAsia="Arial" w:hAnsi="Arial"/>
                <w:sz w:val="18"/>
                <w:szCs w:val="18"/>
                <w:color w:val="auto"/>
              </w:rPr>
              <w:t>Continuation.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7340" w:type="dxa"/>
            <w:vAlign w:val="bottom"/>
          </w:tcPr>
          <w:p>
            <w:pPr>
              <w:ind w:left="100"/>
              <w:spacing w:after="0"/>
              <w:rPr>
                <w:sz w:val="20"/>
                <w:szCs w:val="20"/>
                <w:color w:val="auto"/>
              </w:rPr>
            </w:pPr>
            <w:r>
              <w:rPr>
                <w:rFonts w:ascii="Arial" w:cs="Arial" w:eastAsia="Arial" w:hAnsi="Arial"/>
                <w:sz w:val="18"/>
                <w:szCs w:val="18"/>
                <w:color w:val="auto"/>
              </w:rPr>
              <w:t>Conversion.</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7340" w:type="dxa"/>
            <w:vAlign w:val="bottom"/>
          </w:tcPr>
          <w:p>
            <w:pPr>
              <w:ind w:left="100"/>
              <w:spacing w:after="0"/>
              <w:rPr>
                <w:sz w:val="20"/>
                <w:szCs w:val="20"/>
                <w:color w:val="auto"/>
              </w:rPr>
            </w:pPr>
            <w:r>
              <w:rPr>
                <w:rFonts w:ascii="Arial" w:cs="Arial" w:eastAsia="Arial" w:hAnsi="Arial"/>
                <w:sz w:val="18"/>
                <w:szCs w:val="18"/>
                <w:color w:val="auto"/>
              </w:rPr>
              <w:t>Notes.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7340" w:type="dxa"/>
            <w:vAlign w:val="bottom"/>
          </w:tcPr>
          <w:p>
            <w:pPr>
              <w:ind w:left="100"/>
              <w:spacing w:after="0"/>
              <w:rPr>
                <w:sz w:val="20"/>
                <w:szCs w:val="20"/>
                <w:color w:val="auto"/>
              </w:rPr>
            </w:pPr>
            <w:r>
              <w:rPr>
                <w:rFonts w:ascii="Arial" w:cs="Arial" w:eastAsia="Arial" w:hAnsi="Arial"/>
                <w:sz w:val="18"/>
                <w:szCs w:val="18"/>
                <w:color w:val="auto"/>
              </w:rPr>
              <w:t>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340" w:type="dxa"/>
            <w:vAlign w:val="bottom"/>
          </w:tcPr>
          <w:p>
            <w:pPr>
              <w:ind w:left="100"/>
              <w:spacing w:after="0"/>
              <w:rPr>
                <w:sz w:val="20"/>
                <w:szCs w:val="20"/>
                <w:color w:val="auto"/>
              </w:rPr>
            </w:pPr>
            <w:r>
              <w:rPr>
                <w:rFonts w:ascii="Arial" w:cs="Arial" w:eastAsia="Arial" w:hAnsi="Arial"/>
                <w:sz w:val="18"/>
                <w:szCs w:val="18"/>
                <w:color w:val="auto"/>
              </w:rPr>
              <w:t>Pro Rata Treatment.</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7340" w:type="dxa"/>
            <w:vAlign w:val="bottom"/>
          </w:tcPr>
          <w:p>
            <w:pPr>
              <w:ind w:left="100"/>
              <w:spacing w:after="0"/>
              <w:rPr>
                <w:sz w:val="20"/>
                <w:szCs w:val="20"/>
                <w:color w:val="auto"/>
              </w:rPr>
            </w:pPr>
            <w:r>
              <w:rPr>
                <w:rFonts w:ascii="Arial" w:cs="Arial" w:eastAsia="Arial" w:hAnsi="Arial"/>
                <w:sz w:val="18"/>
                <w:szCs w:val="18"/>
                <w:color w:val="auto"/>
              </w:rPr>
              <w:t>Sharing of Payments, Etc.</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7340" w:type="dxa"/>
            <w:vAlign w:val="bottom"/>
          </w:tcPr>
          <w:p>
            <w:pPr>
              <w:ind w:left="100"/>
              <w:spacing w:after="0"/>
              <w:rPr>
                <w:sz w:val="20"/>
                <w:szCs w:val="20"/>
                <w:color w:val="auto"/>
              </w:rPr>
            </w:pPr>
            <w:r>
              <w:rPr>
                <w:rFonts w:ascii="Arial" w:cs="Arial" w:eastAsia="Arial" w:hAnsi="Arial"/>
                <w:sz w:val="18"/>
                <w:szCs w:val="18"/>
                <w:color w:val="auto"/>
              </w:rPr>
              <w:t>Several Obligations.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7340" w:type="dxa"/>
            <w:vAlign w:val="bottom"/>
          </w:tcPr>
          <w:p>
            <w:pPr>
              <w:ind w:left="100"/>
              <w:spacing w:after="0"/>
              <w:rPr>
                <w:sz w:val="20"/>
                <w:szCs w:val="20"/>
                <w:color w:val="auto"/>
              </w:rPr>
            </w:pPr>
            <w:r>
              <w:rPr>
                <w:rFonts w:ascii="Arial" w:cs="Arial" w:eastAsia="Arial" w:hAnsi="Arial"/>
                <w:sz w:val="18"/>
                <w:szCs w:val="18"/>
                <w:color w:val="auto"/>
              </w:rPr>
              <w:t>Minimum Amounts.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7340" w:type="dxa"/>
            <w:vAlign w:val="bottom"/>
          </w:tcPr>
          <w:p>
            <w:pPr>
              <w:ind w:left="100"/>
              <w:spacing w:after="0"/>
              <w:rPr>
                <w:sz w:val="20"/>
                <w:szCs w:val="20"/>
                <w:color w:val="auto"/>
              </w:rPr>
            </w:pPr>
            <w:r>
              <w:rPr>
                <w:rFonts w:ascii="Arial" w:cs="Arial" w:eastAsia="Arial" w:hAnsi="Arial"/>
                <w:sz w:val="18"/>
                <w:szCs w:val="18"/>
                <w:color w:val="auto"/>
              </w:rPr>
              <w:t>Administrative and Other Fees.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7340" w:type="dxa"/>
            <w:vAlign w:val="bottom"/>
          </w:tcPr>
          <w:p>
            <w:pPr>
              <w:ind w:left="100"/>
              <w:spacing w:after="0"/>
              <w:rPr>
                <w:sz w:val="20"/>
                <w:szCs w:val="20"/>
                <w:color w:val="auto"/>
              </w:rPr>
            </w:pPr>
            <w:r>
              <w:rPr>
                <w:rFonts w:ascii="Arial" w:cs="Arial" w:eastAsia="Arial" w:hAnsi="Arial"/>
                <w:sz w:val="18"/>
                <w:szCs w:val="18"/>
                <w:color w:val="auto"/>
              </w:rPr>
              <w:t>Computations.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7340" w:type="dxa"/>
            <w:vAlign w:val="bottom"/>
          </w:tcPr>
          <w:p>
            <w:pPr>
              <w:ind w:left="100"/>
              <w:spacing w:after="0"/>
              <w:rPr>
                <w:sz w:val="20"/>
                <w:szCs w:val="20"/>
                <w:color w:val="auto"/>
              </w:rPr>
            </w:pPr>
            <w:r>
              <w:rPr>
                <w:rFonts w:ascii="Arial" w:cs="Arial" w:eastAsia="Arial" w:hAnsi="Arial"/>
                <w:sz w:val="18"/>
                <w:szCs w:val="18"/>
                <w:color w:val="auto"/>
              </w:rPr>
              <w:t>Usury.</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7340" w:type="dxa"/>
            <w:vAlign w:val="bottom"/>
          </w:tcPr>
          <w:p>
            <w:pPr>
              <w:ind w:left="100"/>
              <w:spacing w:after="0"/>
              <w:rPr>
                <w:sz w:val="20"/>
                <w:szCs w:val="20"/>
                <w:color w:val="auto"/>
              </w:rPr>
            </w:pPr>
            <w:r>
              <w:rPr>
                <w:rFonts w:ascii="Arial" w:cs="Arial" w:eastAsia="Arial" w:hAnsi="Arial"/>
                <w:sz w:val="18"/>
                <w:szCs w:val="18"/>
                <w:color w:val="auto"/>
              </w:rPr>
              <w:t>Agreement Regarding Interest and Charges.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3.10.</w:t>
            </w:r>
          </w:p>
        </w:tc>
        <w:tc>
          <w:tcPr>
            <w:tcW w:w="7340" w:type="dxa"/>
            <w:vAlign w:val="bottom"/>
          </w:tcPr>
          <w:p>
            <w:pPr>
              <w:ind w:left="100"/>
              <w:spacing w:after="0"/>
              <w:rPr>
                <w:sz w:val="20"/>
                <w:szCs w:val="20"/>
                <w:color w:val="auto"/>
              </w:rPr>
            </w:pPr>
            <w:r>
              <w:rPr>
                <w:rFonts w:ascii="Arial" w:cs="Arial" w:eastAsia="Arial" w:hAnsi="Arial"/>
                <w:sz w:val="18"/>
                <w:szCs w:val="18"/>
                <w:color w:val="auto"/>
              </w:rPr>
              <w:t>Statements of Account.</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3.11.</w:t>
            </w:r>
          </w:p>
        </w:tc>
        <w:tc>
          <w:tcPr>
            <w:tcW w:w="734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3.12.</w:t>
            </w:r>
          </w:p>
        </w:tc>
        <w:tc>
          <w:tcPr>
            <w:tcW w:w="7340" w:type="dxa"/>
            <w:vAlign w:val="bottom"/>
          </w:tcPr>
          <w:p>
            <w:pPr>
              <w:ind w:left="100"/>
              <w:spacing w:after="0"/>
              <w:rPr>
                <w:sz w:val="20"/>
                <w:szCs w:val="20"/>
                <w:color w:val="auto"/>
              </w:rPr>
            </w:pPr>
            <w:r>
              <w:rPr>
                <w:rFonts w:ascii="Arial" w:cs="Arial" w:eastAsia="Arial" w:hAnsi="Arial"/>
                <w:sz w:val="18"/>
                <w:szCs w:val="18"/>
                <w:color w:val="auto"/>
              </w:rPr>
              <w:t>Taxes.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IV. Yield Protection, Etc.</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340" w:type="dxa"/>
            <w:vAlign w:val="bottom"/>
          </w:tcPr>
          <w:p>
            <w:pPr>
              <w:ind w:left="100"/>
              <w:spacing w:after="0"/>
              <w:rPr>
                <w:sz w:val="20"/>
                <w:szCs w:val="20"/>
                <w:color w:val="auto"/>
              </w:rPr>
            </w:pPr>
            <w:r>
              <w:rPr>
                <w:rFonts w:ascii="Arial" w:cs="Arial" w:eastAsia="Arial" w:hAnsi="Arial"/>
                <w:sz w:val="18"/>
                <w:szCs w:val="18"/>
                <w:color w:val="auto"/>
              </w:rPr>
              <w:t>Additional Costs; Capital Adequacy.</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340" w:type="dxa"/>
            <w:vAlign w:val="bottom"/>
          </w:tcPr>
          <w:p>
            <w:pPr>
              <w:ind w:left="100"/>
              <w:spacing w:after="0"/>
              <w:rPr>
                <w:sz w:val="20"/>
                <w:szCs w:val="20"/>
                <w:color w:val="auto"/>
              </w:rPr>
            </w:pPr>
            <w:r>
              <w:rPr>
                <w:rFonts w:ascii="Arial" w:cs="Arial" w:eastAsia="Arial" w:hAnsi="Arial"/>
                <w:sz w:val="18"/>
                <w:szCs w:val="18"/>
                <w:color w:val="auto"/>
              </w:rPr>
              <w:t>Suspension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34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73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7340" w:type="dxa"/>
            <w:vAlign w:val="bottom"/>
          </w:tcPr>
          <w:p>
            <w:pPr>
              <w:ind w:left="100"/>
              <w:spacing w:after="0"/>
              <w:rPr>
                <w:sz w:val="20"/>
                <w:szCs w:val="20"/>
                <w:color w:val="auto"/>
              </w:rPr>
            </w:pPr>
            <w:r>
              <w:rPr>
                <w:rFonts w:ascii="Arial" w:cs="Arial" w:eastAsia="Arial" w:hAnsi="Arial"/>
                <w:sz w:val="18"/>
                <w:szCs w:val="18"/>
                <w:color w:val="auto"/>
              </w:rPr>
              <w:t>Treatment of Affected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7340" w:type="dxa"/>
            <w:vAlign w:val="bottom"/>
          </w:tcPr>
          <w:p>
            <w:pPr>
              <w:ind w:left="100"/>
              <w:spacing w:after="0"/>
              <w:rPr>
                <w:sz w:val="20"/>
                <w:szCs w:val="20"/>
                <w:color w:val="auto"/>
              </w:rPr>
            </w:pPr>
            <w:r>
              <w:rPr>
                <w:rFonts w:ascii="Arial" w:cs="Arial" w:eastAsia="Arial" w:hAnsi="Arial"/>
                <w:sz w:val="18"/>
                <w:szCs w:val="18"/>
                <w:color w:val="auto"/>
              </w:rPr>
              <w:t>Change of Lending Office.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7340" w:type="dxa"/>
            <w:vAlign w:val="bottom"/>
          </w:tcPr>
          <w:p>
            <w:pPr>
              <w:ind w:left="100"/>
              <w:spacing w:after="0"/>
              <w:rPr>
                <w:sz w:val="20"/>
                <w:szCs w:val="20"/>
                <w:color w:val="auto"/>
              </w:rPr>
            </w:pPr>
            <w:r>
              <w:rPr>
                <w:rFonts w:ascii="Arial" w:cs="Arial" w:eastAsia="Arial" w:hAnsi="Arial"/>
                <w:sz w:val="18"/>
                <w:szCs w:val="18"/>
                <w:color w:val="auto"/>
              </w:rPr>
              <w:t>Assumptions Concerning Funding of LIBOR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7340" w:type="dxa"/>
            <w:vAlign w:val="bottom"/>
          </w:tcPr>
          <w:p>
            <w:pPr>
              <w:ind w:left="100"/>
              <w:spacing w:after="0"/>
              <w:rPr>
                <w:sz w:val="20"/>
                <w:szCs w:val="20"/>
                <w:color w:val="auto"/>
              </w:rPr>
            </w:pPr>
            <w:r>
              <w:rPr>
                <w:rFonts w:ascii="Arial" w:cs="Arial" w:eastAsia="Arial" w:hAnsi="Arial"/>
                <w:sz w:val="18"/>
                <w:szCs w:val="18"/>
                <w:color w:val="auto"/>
              </w:rPr>
              <w:t>Affected Lenders.</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V.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5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7340" w:type="dxa"/>
            <w:vAlign w:val="bottom"/>
          </w:tcPr>
          <w:p>
            <w:pPr>
              <w:ind w:left="100"/>
              <w:spacing w:after="0"/>
              <w:rPr>
                <w:sz w:val="20"/>
                <w:szCs w:val="20"/>
                <w:color w:val="auto"/>
              </w:rPr>
            </w:pPr>
            <w:r>
              <w:rPr>
                <w:rFonts w:ascii="Arial" w:cs="Arial" w:eastAsia="Arial" w:hAnsi="Arial"/>
                <w:sz w:val="18"/>
                <w:szCs w:val="18"/>
                <w:color w:val="auto"/>
              </w:rPr>
              <w:t>Initial 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58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34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1580" w:type="dxa"/>
            <w:vAlign w:val="bottom"/>
          </w:tcPr>
          <w:p>
            <w:pPr>
              <w:spacing w:after="0"/>
              <w:rPr>
                <w:sz w:val="24"/>
                <w:szCs w:val="24"/>
                <w:color w:val="auto"/>
              </w:rPr>
            </w:pPr>
          </w:p>
        </w:tc>
        <w:tc>
          <w:tcPr>
            <w:tcW w:w="7340" w:type="dxa"/>
            <w:vAlign w:val="bottom"/>
          </w:tcPr>
          <w:p>
            <w:pPr>
              <w:ind w:left="4100"/>
              <w:spacing w:after="0"/>
              <w:rPr>
                <w:sz w:val="20"/>
                <w:szCs w:val="20"/>
                <w:color w:val="auto"/>
              </w:rPr>
            </w:pPr>
            <w:r>
              <w:rPr>
                <w:rFonts w:ascii="Arial" w:cs="Arial" w:eastAsia="Arial" w:hAnsi="Arial"/>
                <w:sz w:val="18"/>
                <w:szCs w:val="18"/>
                <w:color w:val="auto"/>
              </w:rPr>
              <w:t>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716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 Etc.</w:t>
            </w:r>
          </w:p>
        </w:tc>
        <w:tc>
          <w:tcPr>
            <w:tcW w:w="2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7160" w:type="dxa"/>
            <w:vAlign w:val="bottom"/>
          </w:tcPr>
          <w:p>
            <w:pPr>
              <w:ind w:left="100"/>
              <w:spacing w:after="0"/>
              <w:rPr>
                <w:sz w:val="20"/>
                <w:szCs w:val="20"/>
                <w:color w:val="auto"/>
              </w:rPr>
            </w:pPr>
            <w:r>
              <w:rPr>
                <w:rFonts w:ascii="Arial" w:cs="Arial" w:eastAsia="Arial" w:hAnsi="Arial"/>
                <w:sz w:val="18"/>
                <w:szCs w:val="18"/>
                <w:color w:val="auto"/>
              </w:rPr>
              <w:t>Preservation of Existence and Similar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160" w:type="dxa"/>
            <w:vAlign w:val="bottom"/>
          </w:tcPr>
          <w:p>
            <w:pPr>
              <w:ind w:left="100"/>
              <w:spacing w:after="0"/>
              <w:rPr>
                <w:sz w:val="20"/>
                <w:szCs w:val="20"/>
                <w:color w:val="auto"/>
              </w:rPr>
            </w:pPr>
            <w:r>
              <w:rPr>
                <w:rFonts w:ascii="Arial" w:cs="Arial" w:eastAsia="Arial" w:hAnsi="Arial"/>
                <w:sz w:val="18"/>
                <w:szCs w:val="18"/>
                <w:color w:val="auto"/>
              </w:rPr>
              <w:t>Compliance with Applicable Law and Material Contracts.</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7160" w:type="dxa"/>
            <w:vAlign w:val="bottom"/>
          </w:tcPr>
          <w:p>
            <w:pPr>
              <w:ind w:left="100"/>
              <w:spacing w:after="0"/>
              <w:rPr>
                <w:sz w:val="20"/>
                <w:szCs w:val="20"/>
                <w:color w:val="auto"/>
              </w:rPr>
            </w:pPr>
            <w:r>
              <w:rPr>
                <w:rFonts w:ascii="Arial" w:cs="Arial" w:eastAsia="Arial" w:hAnsi="Arial"/>
                <w:sz w:val="18"/>
                <w:szCs w:val="18"/>
                <w:color w:val="auto"/>
              </w:rPr>
              <w:t>Maintenance of Property.</w:t>
            </w:r>
          </w:p>
        </w:tc>
        <w:tc>
          <w:tcPr>
            <w:tcW w:w="2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16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71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7160" w:type="dxa"/>
            <w:vAlign w:val="bottom"/>
          </w:tcPr>
          <w:p>
            <w:pPr>
              <w:ind w:left="100"/>
              <w:spacing w:after="0"/>
              <w:rPr>
                <w:sz w:val="20"/>
                <w:szCs w:val="20"/>
                <w:color w:val="auto"/>
              </w:rPr>
            </w:pPr>
            <w:r>
              <w:rPr>
                <w:rFonts w:ascii="Arial" w:cs="Arial" w:eastAsia="Arial" w:hAnsi="Arial"/>
                <w:sz w:val="18"/>
                <w:szCs w:val="18"/>
                <w:color w:val="auto"/>
              </w:rPr>
              <w:t>Payment of Taxes and Claims.</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7.7.</w:t>
            </w:r>
          </w:p>
        </w:tc>
        <w:tc>
          <w:tcPr>
            <w:tcW w:w="7160" w:type="dxa"/>
            <w:vAlign w:val="bottom"/>
          </w:tcPr>
          <w:p>
            <w:pPr>
              <w:ind w:left="100"/>
              <w:spacing w:after="0"/>
              <w:rPr>
                <w:sz w:val="20"/>
                <w:szCs w:val="20"/>
                <w:color w:val="auto"/>
              </w:rPr>
            </w:pPr>
            <w:r>
              <w:rPr>
                <w:rFonts w:ascii="Arial" w:cs="Arial" w:eastAsia="Arial" w:hAnsi="Arial"/>
                <w:sz w:val="18"/>
                <w:szCs w:val="18"/>
                <w:color w:val="auto"/>
              </w:rPr>
              <w:t>Visits and Inspections.</w:t>
            </w:r>
          </w:p>
        </w:tc>
        <w:tc>
          <w:tcPr>
            <w:tcW w:w="2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7.8.</w:t>
            </w:r>
          </w:p>
        </w:tc>
        <w:tc>
          <w:tcPr>
            <w:tcW w:w="71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7.9.</w:t>
            </w:r>
          </w:p>
        </w:tc>
        <w:tc>
          <w:tcPr>
            <w:tcW w:w="716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7.10.</w:t>
            </w:r>
          </w:p>
        </w:tc>
        <w:tc>
          <w:tcPr>
            <w:tcW w:w="7160" w:type="dxa"/>
            <w:vAlign w:val="bottom"/>
          </w:tcPr>
          <w:p>
            <w:pPr>
              <w:ind w:left="100"/>
              <w:spacing w:after="0"/>
              <w:rPr>
                <w:sz w:val="20"/>
                <w:szCs w:val="20"/>
                <w:color w:val="auto"/>
              </w:rPr>
            </w:pPr>
            <w:r>
              <w:rPr>
                <w:rFonts w:ascii="Arial" w:cs="Arial" w:eastAsia="Arial" w:hAnsi="Arial"/>
                <w:sz w:val="18"/>
                <w:szCs w:val="18"/>
                <w:color w:val="auto"/>
              </w:rPr>
              <w:t>Books and Records.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7.11.</w:t>
            </w:r>
          </w:p>
        </w:tc>
        <w:tc>
          <w:tcPr>
            <w:tcW w:w="716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7.12.</w:t>
            </w:r>
          </w:p>
        </w:tc>
        <w:tc>
          <w:tcPr>
            <w:tcW w:w="7160" w:type="dxa"/>
            <w:vAlign w:val="bottom"/>
          </w:tcPr>
          <w:p>
            <w:pPr>
              <w:ind w:left="100"/>
              <w:spacing w:after="0"/>
              <w:rPr>
                <w:sz w:val="20"/>
                <w:szCs w:val="20"/>
                <w:color w:val="auto"/>
              </w:rPr>
            </w:pPr>
            <w:r>
              <w:rPr>
                <w:rFonts w:ascii="Arial" w:cs="Arial" w:eastAsia="Arial" w:hAnsi="Arial"/>
                <w:sz w:val="18"/>
                <w:szCs w:val="18"/>
                <w:color w:val="auto"/>
              </w:rPr>
              <w:t>New Subsidiaries/Guarantors.</w:t>
            </w:r>
          </w:p>
        </w:tc>
        <w:tc>
          <w:tcPr>
            <w:tcW w:w="2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7.13.</w:t>
            </w:r>
          </w:p>
        </w:tc>
        <w:tc>
          <w:tcPr>
            <w:tcW w:w="7160" w:type="dxa"/>
            <w:vAlign w:val="bottom"/>
          </w:tcPr>
          <w:p>
            <w:pPr>
              <w:ind w:left="100"/>
              <w:spacing w:after="0"/>
              <w:rPr>
                <w:sz w:val="20"/>
                <w:szCs w:val="20"/>
                <w:color w:val="auto"/>
              </w:rPr>
            </w:pPr>
            <w:r>
              <w:rPr>
                <w:rFonts w:ascii="Arial" w:cs="Arial" w:eastAsia="Arial" w:hAnsi="Arial"/>
                <w:sz w:val="18"/>
                <w:szCs w:val="18"/>
                <w:color w:val="auto"/>
              </w:rPr>
              <w:t>REIT Status.</w:t>
            </w:r>
          </w:p>
        </w:tc>
        <w:tc>
          <w:tcPr>
            <w:tcW w:w="2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7.14.</w:t>
            </w:r>
          </w:p>
        </w:tc>
        <w:tc>
          <w:tcPr>
            <w:tcW w:w="7160" w:type="dxa"/>
            <w:vAlign w:val="bottom"/>
          </w:tcPr>
          <w:p>
            <w:pPr>
              <w:ind w:left="100"/>
              <w:spacing w:after="0"/>
              <w:rPr>
                <w:sz w:val="20"/>
                <w:szCs w:val="20"/>
                <w:color w:val="auto"/>
              </w:rPr>
            </w:pPr>
            <w:r>
              <w:rPr>
                <w:rFonts w:ascii="Arial" w:cs="Arial" w:eastAsia="Arial" w:hAnsi="Arial"/>
                <w:sz w:val="18"/>
                <w:szCs w:val="18"/>
                <w:color w:val="auto"/>
              </w:rPr>
              <w:t>Exchange Listing.</w:t>
            </w:r>
          </w:p>
        </w:tc>
        <w:tc>
          <w:tcPr>
            <w:tcW w:w="2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VIII.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7160" w:type="dxa"/>
            <w:vAlign w:val="bottom"/>
          </w:tcPr>
          <w:p>
            <w:pPr>
              <w:ind w:left="100"/>
              <w:spacing w:after="0"/>
              <w:rPr>
                <w:sz w:val="20"/>
                <w:szCs w:val="20"/>
                <w:color w:val="auto"/>
              </w:rPr>
            </w:pPr>
            <w:r>
              <w:rPr>
                <w:rFonts w:ascii="Arial" w:cs="Arial" w:eastAsia="Arial" w:hAnsi="Arial"/>
                <w:sz w:val="18"/>
                <w:szCs w:val="18"/>
                <w:color w:val="auto"/>
              </w:rPr>
              <w:t>Quarterly Financial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160" w:type="dxa"/>
            <w:vAlign w:val="bottom"/>
          </w:tcPr>
          <w:p>
            <w:pPr>
              <w:ind w:left="100"/>
              <w:spacing w:after="0"/>
              <w:rPr>
                <w:sz w:val="20"/>
                <w:szCs w:val="20"/>
                <w:color w:val="auto"/>
              </w:rPr>
            </w:pPr>
            <w:r>
              <w:rPr>
                <w:rFonts w:ascii="Arial" w:cs="Arial" w:eastAsia="Arial" w:hAnsi="Arial"/>
                <w:sz w:val="18"/>
                <w:szCs w:val="18"/>
                <w:color w:val="auto"/>
              </w:rPr>
              <w:t>Year-End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716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716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7160" w:type="dxa"/>
            <w:vAlign w:val="bottom"/>
          </w:tcPr>
          <w:p>
            <w:pPr>
              <w:ind w:left="100"/>
              <w:spacing w:after="0"/>
              <w:rPr>
                <w:sz w:val="20"/>
                <w:szCs w:val="20"/>
                <w:color w:val="auto"/>
              </w:rPr>
            </w:pPr>
            <w:r>
              <w:rPr>
                <w:rFonts w:ascii="Arial" w:cs="Arial" w:eastAsia="Arial" w:hAnsi="Arial"/>
                <w:sz w:val="18"/>
                <w:szCs w:val="18"/>
                <w:color w:val="auto"/>
              </w:rPr>
              <w:t>Electronic Delivery of Certain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7160" w:type="dxa"/>
            <w:vAlign w:val="bottom"/>
          </w:tcPr>
          <w:p>
            <w:pPr>
              <w:ind w:left="100"/>
              <w:spacing w:after="0"/>
              <w:rPr>
                <w:sz w:val="20"/>
                <w:szCs w:val="20"/>
                <w:color w:val="auto"/>
              </w:rPr>
            </w:pPr>
            <w:r>
              <w:rPr>
                <w:rFonts w:ascii="Arial" w:cs="Arial" w:eastAsia="Arial" w:hAnsi="Arial"/>
                <w:sz w:val="18"/>
                <w:szCs w:val="18"/>
                <w:color w:val="auto"/>
              </w:rPr>
              <w:t>Public/Private Information.</w:t>
            </w:r>
          </w:p>
        </w:tc>
        <w:tc>
          <w:tcPr>
            <w:tcW w:w="2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7160" w:type="dxa"/>
            <w:vAlign w:val="bottom"/>
          </w:tcPr>
          <w:p>
            <w:pPr>
              <w:ind w:left="100"/>
              <w:spacing w:after="0"/>
              <w:rPr>
                <w:sz w:val="20"/>
                <w:szCs w:val="20"/>
                <w:color w:val="auto"/>
              </w:rPr>
            </w:pPr>
            <w:r>
              <w:rPr>
                <w:rFonts w:ascii="Arial" w:cs="Arial" w:eastAsia="Arial" w:hAnsi="Arial"/>
                <w:sz w:val="18"/>
                <w:szCs w:val="18"/>
                <w:color w:val="auto"/>
              </w:rPr>
              <w:t>Financial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716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716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7160" w:type="dxa"/>
            <w:vAlign w:val="bottom"/>
          </w:tcPr>
          <w:p>
            <w:pPr>
              <w:ind w:left="100"/>
              <w:spacing w:after="0"/>
              <w:rPr>
                <w:sz w:val="20"/>
                <w:szCs w:val="20"/>
                <w:color w:val="auto"/>
              </w:rPr>
            </w:pPr>
            <w:r>
              <w:rPr>
                <w:rFonts w:ascii="Arial" w:cs="Arial" w:eastAsia="Arial" w:hAnsi="Arial"/>
                <w:sz w:val="18"/>
                <w:szCs w:val="18"/>
                <w:color w:val="auto"/>
              </w:rPr>
              <w:t>Certain Permitted Investments.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7160" w:type="dxa"/>
            <w:vAlign w:val="bottom"/>
          </w:tcPr>
          <w:p>
            <w:pPr>
              <w:ind w:left="100"/>
              <w:spacing w:after="0"/>
              <w:rPr>
                <w:sz w:val="20"/>
                <w:szCs w:val="20"/>
                <w:color w:val="auto"/>
              </w:rPr>
            </w:pPr>
            <w:r>
              <w:rPr>
                <w:rFonts w:ascii="Arial" w:cs="Arial" w:eastAsia="Arial" w:hAnsi="Arial"/>
                <w:sz w:val="18"/>
                <w:szCs w:val="18"/>
                <w:color w:val="auto"/>
              </w:rPr>
              <w:t>Investments Generally.</w:t>
            </w:r>
          </w:p>
        </w:tc>
        <w:tc>
          <w:tcPr>
            <w:tcW w:w="2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7160" w:type="dxa"/>
            <w:vAlign w:val="bottom"/>
          </w:tcPr>
          <w:p>
            <w:pPr>
              <w:ind w:left="100"/>
              <w:spacing w:after="0"/>
              <w:rPr>
                <w:sz w:val="20"/>
                <w:szCs w:val="20"/>
                <w:color w:val="auto"/>
              </w:rPr>
            </w:pPr>
            <w:r>
              <w:rPr>
                <w:rFonts w:ascii="Arial" w:cs="Arial" w:eastAsia="Arial" w:hAnsi="Arial"/>
                <w:sz w:val="18"/>
                <w:szCs w:val="18"/>
                <w:color w:val="auto"/>
              </w:rPr>
              <w:t>Liens; Negative Pledges; Other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7160" w:type="dxa"/>
            <w:vAlign w:val="bottom"/>
          </w:tcPr>
          <w:p>
            <w:pPr>
              <w:ind w:left="100"/>
              <w:spacing w:after="0"/>
              <w:rPr>
                <w:sz w:val="20"/>
                <w:szCs w:val="20"/>
                <w:color w:val="auto"/>
              </w:rPr>
            </w:pPr>
            <w:r>
              <w:rPr>
                <w:rFonts w:ascii="Arial" w:cs="Arial" w:eastAsia="Arial" w:hAnsi="Arial"/>
                <w:sz w:val="18"/>
                <w:szCs w:val="18"/>
                <w:color w:val="auto"/>
              </w:rPr>
              <w:t>Merger, Consolidation, Sales of Assets and Other Arrangements.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9.8.</w:t>
            </w:r>
          </w:p>
        </w:tc>
        <w:tc>
          <w:tcPr>
            <w:tcW w:w="716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2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9.9.</w:t>
            </w:r>
          </w:p>
        </w:tc>
        <w:tc>
          <w:tcPr>
            <w:tcW w:w="7160" w:type="dxa"/>
            <w:vAlign w:val="bottom"/>
          </w:tcPr>
          <w:p>
            <w:pPr>
              <w:ind w:left="100"/>
              <w:spacing w:after="0"/>
              <w:rPr>
                <w:sz w:val="20"/>
                <w:szCs w:val="20"/>
                <w:color w:val="auto"/>
              </w:rPr>
            </w:pPr>
            <w:r>
              <w:rPr>
                <w:rFonts w:ascii="Arial" w:cs="Arial" w:eastAsia="Arial" w:hAnsi="Arial"/>
                <w:sz w:val="18"/>
                <w:szCs w:val="18"/>
                <w:color w:val="auto"/>
              </w:rPr>
              <w:t>Modifications of Organizational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9.10.</w:t>
            </w:r>
          </w:p>
        </w:tc>
        <w:tc>
          <w:tcPr>
            <w:tcW w:w="716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9.11.</w:t>
            </w:r>
          </w:p>
        </w:tc>
        <w:tc>
          <w:tcPr>
            <w:tcW w:w="7160" w:type="dxa"/>
            <w:vAlign w:val="bottom"/>
          </w:tcPr>
          <w:p>
            <w:pPr>
              <w:ind w:left="100"/>
              <w:spacing w:after="0"/>
              <w:rPr>
                <w:sz w:val="20"/>
                <w:szCs w:val="20"/>
                <w:color w:val="auto"/>
              </w:rPr>
            </w:pPr>
            <w:r>
              <w:rPr>
                <w:rFonts w:ascii="Arial" w:cs="Arial" w:eastAsia="Arial" w:hAnsi="Arial"/>
                <w:sz w:val="18"/>
                <w:szCs w:val="18"/>
                <w:color w:val="auto"/>
              </w:rPr>
              <w:t>ERISA Exemptions.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9.12.</w:t>
            </w:r>
          </w:p>
        </w:tc>
        <w:tc>
          <w:tcPr>
            <w:tcW w:w="7160" w:type="dxa"/>
            <w:vAlign w:val="bottom"/>
          </w:tcPr>
          <w:p>
            <w:pPr>
              <w:ind w:left="100"/>
              <w:spacing w:after="0"/>
              <w:rPr>
                <w:sz w:val="20"/>
                <w:szCs w:val="20"/>
                <w:color w:val="auto"/>
              </w:rPr>
            </w:pPr>
            <w:r>
              <w:rPr>
                <w:rFonts w:ascii="Arial" w:cs="Arial" w:eastAsia="Arial" w:hAnsi="Arial"/>
                <w:sz w:val="18"/>
                <w:szCs w:val="18"/>
                <w:color w:val="auto"/>
              </w:rPr>
              <w:t>Non-Controlled Properties.</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9.13.</w:t>
            </w:r>
          </w:p>
        </w:tc>
        <w:tc>
          <w:tcPr>
            <w:tcW w:w="7160" w:type="dxa"/>
            <w:vAlign w:val="bottom"/>
          </w:tcPr>
          <w:p>
            <w:pPr>
              <w:ind w:left="100"/>
              <w:spacing w:after="0"/>
              <w:rPr>
                <w:sz w:val="20"/>
                <w:szCs w:val="20"/>
                <w:color w:val="auto"/>
              </w:rPr>
            </w:pPr>
            <w:r>
              <w:rPr>
                <w:rFonts w:ascii="Arial" w:cs="Arial" w:eastAsia="Arial" w:hAnsi="Arial"/>
                <w:sz w:val="18"/>
                <w:szCs w:val="18"/>
                <w:color w:val="auto"/>
              </w:rPr>
              <w:t>OFAC.</w:t>
            </w:r>
          </w:p>
        </w:tc>
        <w:tc>
          <w:tcPr>
            <w:tcW w:w="2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Article X. Default</w:t>
            </w:r>
          </w:p>
        </w:tc>
        <w:tc>
          <w:tcPr>
            <w:tcW w:w="716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10.1.</w:t>
            </w:r>
          </w:p>
        </w:tc>
        <w:tc>
          <w:tcPr>
            <w:tcW w:w="716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10.2.</w:t>
            </w:r>
          </w:p>
        </w:tc>
        <w:tc>
          <w:tcPr>
            <w:tcW w:w="7160" w:type="dxa"/>
            <w:vAlign w:val="bottom"/>
          </w:tcPr>
          <w:p>
            <w:pPr>
              <w:ind w:left="100"/>
              <w:spacing w:after="0"/>
              <w:rPr>
                <w:sz w:val="20"/>
                <w:szCs w:val="20"/>
                <w:color w:val="auto"/>
              </w:rPr>
            </w:pPr>
            <w:r>
              <w:rPr>
                <w:rFonts w:ascii="Arial" w:cs="Arial" w:eastAsia="Arial" w:hAnsi="Arial"/>
                <w:sz w:val="18"/>
                <w:szCs w:val="18"/>
                <w:color w:val="auto"/>
              </w:rPr>
              <w:t>Remedies Upon Event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580" w:type="dxa"/>
            <w:vAlign w:val="bottom"/>
          </w:tcPr>
          <w:p>
            <w:pPr>
              <w:ind w:left="540"/>
              <w:spacing w:after="0"/>
              <w:rPr>
                <w:sz w:val="20"/>
                <w:szCs w:val="20"/>
                <w:color w:val="auto"/>
              </w:rPr>
            </w:pPr>
            <w:r>
              <w:rPr>
                <w:rFonts w:ascii="Arial" w:cs="Arial" w:eastAsia="Arial" w:hAnsi="Arial"/>
                <w:sz w:val="18"/>
                <w:szCs w:val="18"/>
                <w:color w:val="auto"/>
                <w:w w:val="97"/>
              </w:rPr>
              <w:t>Section 10.3.</w:t>
            </w:r>
          </w:p>
        </w:tc>
        <w:tc>
          <w:tcPr>
            <w:tcW w:w="7160" w:type="dxa"/>
            <w:vAlign w:val="bottom"/>
          </w:tcPr>
          <w:p>
            <w:pPr>
              <w:ind w:left="100"/>
              <w:spacing w:after="0"/>
              <w:rPr>
                <w:sz w:val="20"/>
                <w:szCs w:val="20"/>
                <w:color w:val="auto"/>
              </w:rPr>
            </w:pPr>
            <w:r>
              <w:rPr>
                <w:rFonts w:ascii="Arial" w:cs="Arial" w:eastAsia="Arial" w:hAnsi="Arial"/>
                <w:sz w:val="18"/>
                <w:szCs w:val="18"/>
                <w:color w:val="auto"/>
              </w:rPr>
              <w:t>Allocation of Proceeds.</w:t>
            </w:r>
          </w:p>
        </w:tc>
        <w:tc>
          <w:tcPr>
            <w:tcW w:w="26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6520" w:type="dxa"/>
            <w:vAlign w:val="bottom"/>
          </w:tcPr>
          <w:p>
            <w:pPr>
              <w:ind w:left="120"/>
              <w:spacing w:after="0"/>
              <w:rPr>
                <w:sz w:val="20"/>
                <w:szCs w:val="20"/>
                <w:color w:val="auto"/>
              </w:rPr>
            </w:pPr>
            <w:r>
              <w:rPr>
                <w:rFonts w:ascii="Arial" w:cs="Arial" w:eastAsia="Arial" w:hAnsi="Arial"/>
                <w:sz w:val="18"/>
                <w:szCs w:val="18"/>
                <w:color w:val="auto"/>
              </w:rPr>
              <w:t>Performance by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680" w:type="dxa"/>
            <w:vAlign w:val="bottom"/>
          </w:tcPr>
          <w:p>
            <w:pPr>
              <w:ind w:left="540"/>
              <w:spacing w:after="0"/>
              <w:rPr>
                <w:sz w:val="20"/>
                <w:szCs w:val="20"/>
                <w:color w:val="auto"/>
              </w:rPr>
            </w:pPr>
            <w:r>
              <w:rPr>
                <w:rFonts w:ascii="Arial" w:cs="Arial" w:eastAsia="Arial" w:hAnsi="Arial"/>
                <w:sz w:val="18"/>
                <w:szCs w:val="18"/>
                <w:color w:val="auto"/>
              </w:rPr>
              <w:t>Section 10.5.</w:t>
            </w:r>
          </w:p>
        </w:tc>
        <w:tc>
          <w:tcPr>
            <w:tcW w:w="6520" w:type="dxa"/>
            <w:vAlign w:val="bottom"/>
          </w:tcPr>
          <w:p>
            <w:pPr>
              <w:ind w:left="120"/>
              <w:spacing w:after="0"/>
              <w:rPr>
                <w:sz w:val="20"/>
                <w:szCs w:val="20"/>
                <w:color w:val="auto"/>
              </w:rPr>
            </w:pPr>
            <w:r>
              <w:rPr>
                <w:rFonts w:ascii="Arial" w:cs="Arial" w:eastAsia="Arial" w:hAnsi="Arial"/>
                <w:sz w:val="18"/>
                <w:szCs w:val="18"/>
                <w:color w:val="auto"/>
              </w:rPr>
              <w:t>Rights Cumulative.</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Article XI. The Agent</w:t>
            </w:r>
          </w:p>
        </w:tc>
        <w:tc>
          <w:tcPr>
            <w:tcW w:w="652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68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6520" w:type="dxa"/>
            <w:vAlign w:val="bottom"/>
          </w:tcPr>
          <w:p>
            <w:pPr>
              <w:ind w:left="120"/>
              <w:spacing w:after="0"/>
              <w:rPr>
                <w:sz w:val="20"/>
                <w:szCs w:val="20"/>
                <w:color w:val="auto"/>
              </w:rPr>
            </w:pPr>
            <w:r>
              <w:rPr>
                <w:rFonts w:ascii="Arial" w:cs="Arial" w:eastAsia="Arial" w:hAnsi="Arial"/>
                <w:sz w:val="18"/>
                <w:szCs w:val="18"/>
                <w:color w:val="auto"/>
              </w:rPr>
              <w:t>Authorization and Action.</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6520" w:type="dxa"/>
            <w:vAlign w:val="bottom"/>
          </w:tcPr>
          <w:p>
            <w:pPr>
              <w:ind w:left="120"/>
              <w:spacing w:after="0"/>
              <w:rPr>
                <w:sz w:val="20"/>
                <w:szCs w:val="20"/>
                <w:color w:val="auto"/>
              </w:rPr>
            </w:pPr>
            <w:r>
              <w:rPr>
                <w:rFonts w:ascii="Arial" w:cs="Arial" w:eastAsia="Arial" w:hAnsi="Arial"/>
                <w:sz w:val="18"/>
                <w:szCs w:val="18"/>
                <w:color w:val="auto"/>
              </w:rPr>
              <w:t>Agent’s Reliance, Etc.</w:t>
            </w:r>
          </w:p>
        </w:tc>
        <w:tc>
          <w:tcPr>
            <w:tcW w:w="3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652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6520" w:type="dxa"/>
            <w:vAlign w:val="bottom"/>
          </w:tcPr>
          <w:p>
            <w:pPr>
              <w:ind w:left="120"/>
              <w:spacing w:after="0"/>
              <w:rPr>
                <w:sz w:val="20"/>
                <w:szCs w:val="20"/>
                <w:color w:val="auto"/>
              </w:rPr>
            </w:pPr>
            <w:r>
              <w:rPr>
                <w:rFonts w:ascii="Arial" w:cs="Arial" w:eastAsia="Arial" w:hAnsi="Arial"/>
                <w:sz w:val="18"/>
                <w:szCs w:val="18"/>
                <w:color w:val="auto"/>
              </w:rPr>
              <w:t>Wachovia as Lender.</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6520" w:type="dxa"/>
            <w:vAlign w:val="bottom"/>
          </w:tcPr>
          <w:p>
            <w:pPr>
              <w:ind w:left="120"/>
              <w:spacing w:after="0"/>
              <w:rPr>
                <w:sz w:val="20"/>
                <w:szCs w:val="20"/>
                <w:color w:val="auto"/>
              </w:rPr>
            </w:pPr>
            <w:r>
              <w:rPr>
                <w:rFonts w:ascii="Arial" w:cs="Arial" w:eastAsia="Arial" w:hAnsi="Arial"/>
                <w:sz w:val="18"/>
                <w:szCs w:val="18"/>
                <w:color w:val="auto"/>
              </w:rPr>
              <w:t>Approvals of Lenders.</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6520" w:type="dxa"/>
            <w:vAlign w:val="bottom"/>
          </w:tcPr>
          <w:p>
            <w:pPr>
              <w:ind w:left="120"/>
              <w:spacing w:after="0"/>
              <w:rPr>
                <w:sz w:val="20"/>
                <w:szCs w:val="20"/>
                <w:color w:val="auto"/>
              </w:rPr>
            </w:pPr>
            <w:r>
              <w:rPr>
                <w:rFonts w:ascii="Arial" w:cs="Arial" w:eastAsia="Arial" w:hAnsi="Arial"/>
                <w:sz w:val="18"/>
                <w:szCs w:val="18"/>
                <w:color w:val="auto"/>
              </w:rPr>
              <w:t>Lender Credit Decision, Etc.</w:t>
            </w:r>
          </w:p>
        </w:tc>
        <w:tc>
          <w:tcPr>
            <w:tcW w:w="3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6520" w:type="dxa"/>
            <w:vAlign w:val="bottom"/>
          </w:tcPr>
          <w:p>
            <w:pPr>
              <w:ind w:left="120"/>
              <w:spacing w:after="0"/>
              <w:rPr>
                <w:sz w:val="20"/>
                <w:szCs w:val="20"/>
                <w:color w:val="auto"/>
              </w:rPr>
            </w:pPr>
            <w:r>
              <w:rPr>
                <w:rFonts w:ascii="Arial" w:cs="Arial" w:eastAsia="Arial" w:hAnsi="Arial"/>
                <w:sz w:val="18"/>
                <w:szCs w:val="18"/>
                <w:color w:val="auto"/>
              </w:rPr>
              <w:t>Indemnification of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11.8.</w:t>
            </w:r>
          </w:p>
        </w:tc>
        <w:tc>
          <w:tcPr>
            <w:tcW w:w="6520" w:type="dxa"/>
            <w:vAlign w:val="bottom"/>
          </w:tcPr>
          <w:p>
            <w:pPr>
              <w:ind w:left="120"/>
              <w:spacing w:after="0"/>
              <w:rPr>
                <w:sz w:val="20"/>
                <w:szCs w:val="20"/>
                <w:color w:val="auto"/>
              </w:rPr>
            </w:pPr>
            <w:r>
              <w:rPr>
                <w:rFonts w:ascii="Arial" w:cs="Arial" w:eastAsia="Arial" w:hAnsi="Arial"/>
                <w:sz w:val="18"/>
                <w:szCs w:val="18"/>
                <w:color w:val="auto"/>
              </w:rPr>
              <w:t>Successor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680" w:type="dxa"/>
            <w:vAlign w:val="bottom"/>
          </w:tcPr>
          <w:p>
            <w:pPr>
              <w:ind w:left="540"/>
              <w:spacing w:after="0"/>
              <w:rPr>
                <w:sz w:val="20"/>
                <w:szCs w:val="20"/>
                <w:color w:val="auto"/>
              </w:rPr>
            </w:pPr>
            <w:r>
              <w:rPr>
                <w:rFonts w:ascii="Arial" w:cs="Arial" w:eastAsia="Arial" w:hAnsi="Arial"/>
                <w:sz w:val="18"/>
                <w:szCs w:val="18"/>
                <w:color w:val="auto"/>
              </w:rPr>
              <w:t>Section 11.9.</w:t>
            </w:r>
          </w:p>
        </w:tc>
        <w:tc>
          <w:tcPr>
            <w:tcW w:w="6520" w:type="dxa"/>
            <w:vAlign w:val="bottom"/>
          </w:tcPr>
          <w:p>
            <w:pPr>
              <w:ind w:left="120"/>
              <w:spacing w:after="0"/>
              <w:rPr>
                <w:sz w:val="20"/>
                <w:szCs w:val="20"/>
                <w:color w:val="auto"/>
              </w:rPr>
            </w:pPr>
            <w:r>
              <w:rPr>
                <w:rFonts w:ascii="Arial" w:cs="Arial" w:eastAsia="Arial" w:hAnsi="Arial"/>
                <w:sz w:val="18"/>
                <w:szCs w:val="18"/>
                <w:color w:val="auto"/>
              </w:rPr>
              <w:t>Titled Agents.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168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6520" w:type="dxa"/>
            <w:vAlign w:val="bottom"/>
          </w:tcPr>
          <w:p>
            <w:pPr>
              <w:ind w:left="120"/>
              <w:spacing w:after="0"/>
              <w:rPr>
                <w:sz w:val="20"/>
                <w:szCs w:val="20"/>
                <w:color w:val="auto"/>
              </w:rPr>
            </w:pPr>
            <w:r>
              <w:rPr>
                <w:rFonts w:ascii="Arial" w:cs="Arial" w:eastAsia="Arial" w:hAnsi="Arial"/>
                <w:sz w:val="18"/>
                <w:szCs w:val="18"/>
                <w:color w:val="auto"/>
              </w:rPr>
              <w:t>Notices.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6520" w:type="dxa"/>
            <w:vAlign w:val="bottom"/>
          </w:tcPr>
          <w:p>
            <w:pPr>
              <w:ind w:left="120"/>
              <w:spacing w:after="0"/>
              <w:rPr>
                <w:sz w:val="20"/>
                <w:szCs w:val="20"/>
                <w:color w:val="auto"/>
              </w:rPr>
            </w:pPr>
            <w:r>
              <w:rPr>
                <w:rFonts w:ascii="Arial" w:cs="Arial" w:eastAsia="Arial" w:hAnsi="Arial"/>
                <w:sz w:val="18"/>
                <w:szCs w:val="18"/>
                <w:color w:val="auto"/>
              </w:rPr>
              <w:t>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6520" w:type="dxa"/>
            <w:vAlign w:val="bottom"/>
          </w:tcPr>
          <w:p>
            <w:pPr>
              <w:ind w:left="120"/>
              <w:spacing w:after="0"/>
              <w:rPr>
                <w:sz w:val="20"/>
                <w:szCs w:val="20"/>
                <w:color w:val="auto"/>
              </w:rPr>
            </w:pPr>
            <w:r>
              <w:rPr>
                <w:rFonts w:ascii="Arial" w:cs="Arial" w:eastAsia="Arial" w:hAnsi="Arial"/>
                <w:sz w:val="18"/>
                <w:szCs w:val="18"/>
                <w:color w:val="auto"/>
              </w:rPr>
              <w:t>Setoff.</w:t>
            </w:r>
          </w:p>
        </w:tc>
        <w:tc>
          <w:tcPr>
            <w:tcW w:w="3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6520" w:type="dxa"/>
            <w:vAlign w:val="bottom"/>
          </w:tcPr>
          <w:p>
            <w:pPr>
              <w:ind w:left="120"/>
              <w:spacing w:after="0"/>
              <w:rPr>
                <w:sz w:val="20"/>
                <w:szCs w:val="20"/>
                <w:color w:val="auto"/>
              </w:rPr>
            </w:pPr>
            <w:r>
              <w:rPr>
                <w:rFonts w:ascii="Arial" w:cs="Arial" w:eastAsia="Arial" w:hAnsi="Arial"/>
                <w:sz w:val="18"/>
                <w:szCs w:val="18"/>
                <w:color w:val="auto"/>
              </w:rPr>
              <w:t>Litigation; Jurisdiction; Other Matters; Waivers.</w:t>
            </w:r>
          </w:p>
        </w:tc>
        <w:tc>
          <w:tcPr>
            <w:tcW w:w="3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12.5.</w:t>
            </w:r>
          </w:p>
        </w:tc>
        <w:tc>
          <w:tcPr>
            <w:tcW w:w="652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3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12.6.</w:t>
            </w:r>
          </w:p>
        </w:tc>
        <w:tc>
          <w:tcPr>
            <w:tcW w:w="652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3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12.7.</w:t>
            </w:r>
          </w:p>
        </w:tc>
        <w:tc>
          <w:tcPr>
            <w:tcW w:w="6520" w:type="dxa"/>
            <w:vAlign w:val="bottom"/>
          </w:tcPr>
          <w:p>
            <w:pPr>
              <w:ind w:left="120"/>
              <w:spacing w:after="0"/>
              <w:rPr>
                <w:sz w:val="20"/>
                <w:szCs w:val="20"/>
                <w:color w:val="auto"/>
              </w:rPr>
            </w:pPr>
            <w:r>
              <w:rPr>
                <w:rFonts w:ascii="Arial" w:cs="Arial" w:eastAsia="Arial" w:hAnsi="Arial"/>
                <w:sz w:val="18"/>
                <w:szCs w:val="18"/>
                <w:color w:val="auto"/>
              </w:rPr>
              <w:t>Nonliability of Agent and Lenders.</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12.8.</w:t>
            </w:r>
          </w:p>
        </w:tc>
        <w:tc>
          <w:tcPr>
            <w:tcW w:w="65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rPr>
              <w:t>Section 12.9.</w:t>
            </w:r>
          </w:p>
        </w:tc>
        <w:tc>
          <w:tcPr>
            <w:tcW w:w="65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3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12.10.</w:t>
            </w:r>
          </w:p>
        </w:tc>
        <w:tc>
          <w:tcPr>
            <w:tcW w:w="6520" w:type="dxa"/>
            <w:vAlign w:val="bottom"/>
          </w:tcPr>
          <w:p>
            <w:pPr>
              <w:ind w:left="120"/>
              <w:spacing w:after="0"/>
              <w:rPr>
                <w:sz w:val="20"/>
                <w:szCs w:val="20"/>
                <w:color w:val="auto"/>
              </w:rPr>
            </w:pPr>
            <w:r>
              <w:rPr>
                <w:rFonts w:ascii="Arial" w:cs="Arial" w:eastAsia="Arial" w:hAnsi="Arial"/>
                <w:sz w:val="18"/>
                <w:szCs w:val="18"/>
                <w:color w:val="auto"/>
              </w:rPr>
              <w:t>Termination; Survival.</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12.11.</w:t>
            </w:r>
          </w:p>
        </w:tc>
        <w:tc>
          <w:tcPr>
            <w:tcW w:w="6520" w:type="dxa"/>
            <w:vAlign w:val="bottom"/>
          </w:tcPr>
          <w:p>
            <w:pPr>
              <w:ind w:left="120"/>
              <w:spacing w:after="0"/>
              <w:rPr>
                <w:sz w:val="20"/>
                <w:szCs w:val="20"/>
                <w:color w:val="auto"/>
              </w:rPr>
            </w:pPr>
            <w:r>
              <w:rPr>
                <w:rFonts w:ascii="Arial" w:cs="Arial" w:eastAsia="Arial" w:hAnsi="Arial"/>
                <w:sz w:val="18"/>
                <w:szCs w:val="18"/>
                <w:color w:val="auto"/>
              </w:rPr>
              <w:t>Severability of Provisions.</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12.12.</w:t>
            </w:r>
          </w:p>
        </w:tc>
        <w:tc>
          <w:tcPr>
            <w:tcW w:w="65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12.13.</w:t>
            </w:r>
          </w:p>
        </w:tc>
        <w:tc>
          <w:tcPr>
            <w:tcW w:w="652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12.14.</w:t>
            </w:r>
          </w:p>
        </w:tc>
        <w:tc>
          <w:tcPr>
            <w:tcW w:w="65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12.15.</w:t>
            </w:r>
          </w:p>
        </w:tc>
        <w:tc>
          <w:tcPr>
            <w:tcW w:w="6520" w:type="dxa"/>
            <w:vAlign w:val="bottom"/>
          </w:tcPr>
          <w:p>
            <w:pPr>
              <w:ind w:left="120"/>
              <w:spacing w:after="0"/>
              <w:rPr>
                <w:sz w:val="20"/>
                <w:szCs w:val="20"/>
                <w:color w:val="auto"/>
              </w:rPr>
            </w:pPr>
            <w:r>
              <w:rPr>
                <w:rFonts w:ascii="Arial" w:cs="Arial" w:eastAsia="Arial" w:hAnsi="Arial"/>
                <w:sz w:val="18"/>
                <w:szCs w:val="18"/>
                <w:color w:val="auto"/>
              </w:rPr>
              <w:t>Obligations with Respect to Loan Parties.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12.16.</w:t>
            </w:r>
          </w:p>
        </w:tc>
        <w:tc>
          <w:tcPr>
            <w:tcW w:w="6520" w:type="dxa"/>
            <w:vAlign w:val="bottom"/>
          </w:tcPr>
          <w:p>
            <w:pPr>
              <w:ind w:left="120"/>
              <w:spacing w:after="0"/>
              <w:rPr>
                <w:sz w:val="20"/>
                <w:szCs w:val="20"/>
                <w:color w:val="auto"/>
              </w:rPr>
            </w:pPr>
            <w:r>
              <w:rPr>
                <w:rFonts w:ascii="Arial" w:cs="Arial" w:eastAsia="Arial" w:hAnsi="Arial"/>
                <w:sz w:val="18"/>
                <w:szCs w:val="18"/>
                <w:color w:val="auto"/>
              </w:rPr>
              <w:t>Limitation of Liability.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12.17.</w:t>
            </w:r>
          </w:p>
        </w:tc>
        <w:tc>
          <w:tcPr>
            <w:tcW w:w="652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12.18.</w:t>
            </w:r>
          </w:p>
        </w:tc>
        <w:tc>
          <w:tcPr>
            <w:tcW w:w="652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1680" w:type="dxa"/>
            <w:vAlign w:val="bottom"/>
          </w:tcPr>
          <w:p>
            <w:pPr>
              <w:ind w:left="540"/>
              <w:spacing w:after="0"/>
              <w:rPr>
                <w:sz w:val="20"/>
                <w:szCs w:val="20"/>
                <w:color w:val="auto"/>
              </w:rPr>
            </w:pPr>
            <w:r>
              <w:rPr>
                <w:rFonts w:ascii="Arial" w:cs="Arial" w:eastAsia="Arial" w:hAnsi="Arial"/>
                <w:sz w:val="18"/>
                <w:szCs w:val="18"/>
                <w:color w:val="auto"/>
                <w:w w:val="97"/>
              </w:rPr>
              <w:t>Section 12.19.</w:t>
            </w:r>
          </w:p>
        </w:tc>
        <w:tc>
          <w:tcPr>
            <w:tcW w:w="6520" w:type="dxa"/>
            <w:vAlign w:val="bottom"/>
          </w:tcPr>
          <w:p>
            <w:pPr>
              <w:ind w:left="120"/>
              <w:spacing w:after="0"/>
              <w:rPr>
                <w:sz w:val="20"/>
                <w:szCs w:val="20"/>
                <w:color w:val="auto"/>
              </w:rPr>
            </w:pPr>
            <w:r>
              <w:rPr>
                <w:rFonts w:ascii="Arial" w:cs="Arial" w:eastAsia="Arial" w:hAnsi="Arial"/>
                <w:sz w:val="18"/>
                <w:szCs w:val="18"/>
                <w:color w:val="auto"/>
              </w:rPr>
              <w:t>Limitation of Liability of Trustees, Etc.</w:t>
            </w:r>
          </w:p>
        </w:tc>
        <w:tc>
          <w:tcPr>
            <w:tcW w:w="32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1680" w:type="dxa"/>
            <w:vAlign w:val="bottom"/>
          </w:tcPr>
          <w:p>
            <w:pPr>
              <w:spacing w:after="0"/>
              <w:rPr>
                <w:sz w:val="20"/>
                <w:szCs w:val="20"/>
                <w:color w:val="auto"/>
              </w:rPr>
            </w:pPr>
            <w:r>
              <w:rPr>
                <w:rFonts w:ascii="Arial" w:cs="Arial" w:eastAsia="Arial" w:hAnsi="Arial"/>
                <w:sz w:val="18"/>
                <w:szCs w:val="18"/>
                <w:color w:val="auto"/>
              </w:rPr>
              <w:t>SCHEDULE 1</w:t>
            </w:r>
          </w:p>
        </w:tc>
        <w:tc>
          <w:tcPr>
            <w:tcW w:w="6520" w:type="dxa"/>
            <w:vAlign w:val="bottom"/>
          </w:tcPr>
          <w:p>
            <w:pPr>
              <w:ind w:left="620"/>
              <w:spacing w:after="0"/>
              <w:rPr>
                <w:sz w:val="20"/>
                <w:szCs w:val="20"/>
                <w:color w:val="auto"/>
              </w:rPr>
            </w:pPr>
            <w:r>
              <w:rPr>
                <w:rFonts w:ascii="Arial" w:cs="Arial" w:eastAsia="Arial" w:hAnsi="Arial"/>
                <w:sz w:val="18"/>
                <w:szCs w:val="18"/>
                <w:color w:val="auto"/>
              </w:rPr>
              <w:t>Commitments</w:t>
            </w:r>
          </w:p>
        </w:tc>
        <w:tc>
          <w:tcPr>
            <w:tcW w:w="322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1.1(A)</w:t>
            </w:r>
          </w:p>
        </w:tc>
        <w:tc>
          <w:tcPr>
            <w:tcW w:w="6520" w:type="dxa"/>
            <w:vAlign w:val="bottom"/>
          </w:tcPr>
          <w:p>
            <w:pPr>
              <w:ind w:left="620"/>
              <w:spacing w:after="0"/>
              <w:rPr>
                <w:sz w:val="20"/>
                <w:szCs w:val="20"/>
                <w:color w:val="auto"/>
              </w:rPr>
            </w:pPr>
            <w:r>
              <w:rPr>
                <w:rFonts w:ascii="Arial" w:cs="Arial" w:eastAsia="Arial" w:hAnsi="Arial"/>
                <w:sz w:val="18"/>
                <w:szCs w:val="18"/>
                <w:color w:val="auto"/>
              </w:rPr>
              <w:t>List of Loan Parties</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6.1.(b)</w:t>
            </w:r>
          </w:p>
        </w:tc>
        <w:tc>
          <w:tcPr>
            <w:tcW w:w="6520" w:type="dxa"/>
            <w:vAlign w:val="bottom"/>
          </w:tcPr>
          <w:p>
            <w:pPr>
              <w:ind w:left="620"/>
              <w:spacing w:after="0"/>
              <w:rPr>
                <w:sz w:val="20"/>
                <w:szCs w:val="20"/>
                <w:color w:val="auto"/>
              </w:rPr>
            </w:pPr>
            <w:r>
              <w:rPr>
                <w:rFonts w:ascii="Arial" w:cs="Arial" w:eastAsia="Arial" w:hAnsi="Arial"/>
                <w:sz w:val="18"/>
                <w:szCs w:val="18"/>
                <w:color w:val="auto"/>
              </w:rPr>
              <w:t>Ownership Structure</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6.1.(f)</w:t>
            </w:r>
          </w:p>
        </w:tc>
        <w:tc>
          <w:tcPr>
            <w:tcW w:w="6520" w:type="dxa"/>
            <w:vAlign w:val="bottom"/>
          </w:tcPr>
          <w:p>
            <w:pPr>
              <w:ind w:left="620"/>
              <w:spacing w:after="0"/>
              <w:rPr>
                <w:sz w:val="20"/>
                <w:szCs w:val="20"/>
                <w:color w:val="auto"/>
              </w:rPr>
            </w:pPr>
            <w:r>
              <w:rPr>
                <w:rFonts w:ascii="Arial" w:cs="Arial" w:eastAsia="Arial" w:hAnsi="Arial"/>
                <w:sz w:val="18"/>
                <w:szCs w:val="18"/>
                <w:color w:val="auto"/>
              </w:rPr>
              <w:t>Title to Properties; Liens</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6.1.(g)</w:t>
            </w:r>
          </w:p>
        </w:tc>
        <w:tc>
          <w:tcPr>
            <w:tcW w:w="6520" w:type="dxa"/>
            <w:vAlign w:val="bottom"/>
          </w:tcPr>
          <w:p>
            <w:pPr>
              <w:ind w:left="620"/>
              <w:spacing w:after="0"/>
              <w:rPr>
                <w:sz w:val="20"/>
                <w:szCs w:val="20"/>
                <w:color w:val="auto"/>
              </w:rPr>
            </w:pPr>
            <w:r>
              <w:rPr>
                <w:rFonts w:ascii="Arial" w:cs="Arial" w:eastAsia="Arial" w:hAnsi="Arial"/>
                <w:sz w:val="18"/>
                <w:szCs w:val="18"/>
                <w:color w:val="auto"/>
              </w:rPr>
              <w:t>Indebtedness and Guaranties</w:t>
            </w:r>
          </w:p>
        </w:tc>
        <w:tc>
          <w:tcPr>
            <w:tcW w:w="32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6.1.(h)</w:t>
            </w:r>
          </w:p>
        </w:tc>
        <w:tc>
          <w:tcPr>
            <w:tcW w:w="6520" w:type="dxa"/>
            <w:vAlign w:val="bottom"/>
          </w:tcPr>
          <w:p>
            <w:pPr>
              <w:ind w:left="620"/>
              <w:spacing w:after="0"/>
              <w:rPr>
                <w:sz w:val="20"/>
                <w:szCs w:val="20"/>
                <w:color w:val="auto"/>
              </w:rPr>
            </w:pPr>
            <w:r>
              <w:rPr>
                <w:rFonts w:ascii="Arial" w:cs="Arial" w:eastAsia="Arial" w:hAnsi="Arial"/>
                <w:sz w:val="18"/>
                <w:szCs w:val="18"/>
                <w:color w:val="auto"/>
              </w:rPr>
              <w:t>Litigation</w:t>
            </w:r>
          </w:p>
        </w:tc>
        <w:tc>
          <w:tcPr>
            <w:tcW w:w="3220" w:type="dxa"/>
            <w:vAlign w:val="bottom"/>
          </w:tcPr>
          <w:p>
            <w:pPr>
              <w:spacing w:after="0"/>
              <w:rPr>
                <w:sz w:val="18"/>
                <w:szCs w:val="18"/>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SCHEDULE 6.1.(x)</w:t>
            </w:r>
          </w:p>
        </w:tc>
        <w:tc>
          <w:tcPr>
            <w:tcW w:w="6520" w:type="dxa"/>
            <w:vAlign w:val="bottom"/>
          </w:tcPr>
          <w:p>
            <w:pPr>
              <w:ind w:left="620"/>
              <w:spacing w:after="0"/>
              <w:rPr>
                <w:sz w:val="20"/>
                <w:szCs w:val="20"/>
                <w:color w:val="auto"/>
              </w:rPr>
            </w:pPr>
            <w:r>
              <w:rPr>
                <w:rFonts w:ascii="Arial" w:cs="Arial" w:eastAsia="Arial" w:hAnsi="Arial"/>
                <w:sz w:val="18"/>
                <w:szCs w:val="18"/>
                <w:color w:val="auto"/>
              </w:rPr>
              <w:t>Unencumbered Assets</w:t>
            </w:r>
          </w:p>
        </w:tc>
        <w:tc>
          <w:tcPr>
            <w:tcW w:w="32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Form of Assignment and Acceptance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-198120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151" w:lineRule="exact"/>
        <w:rPr>
          <w:sz w:val="20"/>
          <w:szCs w:val="20"/>
          <w:color w:val="auto"/>
        </w:rPr>
      </w:pPr>
    </w:p>
    <w:p>
      <w:pPr>
        <w:sectPr>
          <w:pgSz w:w="11900" w:h="16838" w:orient="portrait"/>
          <w:cols w:equalWidth="0" w:num="2">
            <w:col w:w="1580" w:space="720"/>
            <w:col w:w="7919"/>
          </w:cols>
          <w:pgMar w:left="240" w:top="280" w:right="1440" w:bottom="1440" w:gutter="0" w:footer="0" w:header="0"/>
        </w:sectPr>
      </w:pPr>
    </w:p>
    <w:p>
      <w:pPr>
        <w:ind w:left="5540"/>
        <w:spacing w:after="0"/>
        <w:rPr>
          <w:sz w:val="20"/>
          <w:szCs w:val="20"/>
          <w:color w:val="auto"/>
        </w:rPr>
      </w:pPr>
      <w:r>
        <w:rPr>
          <w:rFonts w:ascii="Arial" w:cs="Arial" w:eastAsia="Arial" w:hAnsi="Arial"/>
          <w:sz w:val="16"/>
          <w:szCs w:val="16"/>
          <w:color w:val="auto"/>
        </w:rPr>
        <w:t>- iv -</w:t>
      </w:r>
    </w:p>
    <w:p>
      <w:pPr>
        <w:sectPr>
          <w:pgSz w:w="11900" w:h="16838" w:orient="portrait"/>
          <w:cols w:equalWidth="0" w:num="1">
            <w:col w:w="10219"/>
          </w:cols>
          <w:pgMar w:left="240" w:top="280" w:right="1440" w:bottom="1440" w:gutter="0" w:footer="0" w:header="0"/>
          <w:type w:val="continuous"/>
        </w:sectPr>
      </w:pPr>
    </w:p>
    <w:bookmarkStart w:id="37" w:name="page38"/>
    <w:bookmarkEnd w:id="3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4, 2009, by and among FEDERAL REALTY INVESTMENT TRUST, a real estate investment trust formed under the laws of the State of Maryland (the “</w:t>
      </w:r>
      <w:r>
        <w:rPr>
          <w:rFonts w:ascii="Arial" w:cs="Arial" w:eastAsia="Arial" w:hAnsi="Arial"/>
          <w:sz w:val="18"/>
          <w:szCs w:val="18"/>
          <w:b w:val="1"/>
          <w:bCs w:val="1"/>
          <w:color w:val="auto"/>
        </w:rPr>
        <w:t>Borrower</w:t>
      </w:r>
      <w:r>
        <w:rPr>
          <w:rFonts w:ascii="Arial" w:cs="Arial" w:eastAsia="Arial" w:hAnsi="Arial"/>
          <w:sz w:val="18"/>
          <w:szCs w:val="18"/>
          <w:color w:val="auto"/>
        </w:rPr>
        <w:t>”), each of the financial institutions initially a signatory hereto together with their assignees pursuant to Section 12.5.(b), each of WACHOVIA CAPITAL MARKETS, LLC and PNC CAPITAL MARKETS LLC, as a Lead Arranger and Book Manager (each an “</w:t>
      </w:r>
      <w:r>
        <w:rPr>
          <w:rFonts w:ascii="Arial" w:cs="Arial" w:eastAsia="Arial" w:hAnsi="Arial"/>
          <w:sz w:val="18"/>
          <w:szCs w:val="18"/>
          <w:b w:val="1"/>
          <w:bCs w:val="1"/>
          <w:color w:val="auto"/>
        </w:rPr>
        <w:t>Arranger</w:t>
      </w:r>
      <w:r>
        <w:rPr>
          <w:rFonts w:ascii="Arial" w:cs="Arial" w:eastAsia="Arial" w:hAnsi="Arial"/>
          <w:sz w:val="18"/>
          <w:szCs w:val="18"/>
          <w:color w:val="auto"/>
        </w:rPr>
        <w:t>”), WACHOVIA BANK, NATIONAL ASSOCIATION, as Agent, PNC BANK, NATIONAL ASSOCIATION, as Syndication Agent (the “</w:t>
      </w:r>
      <w:r>
        <w:rPr>
          <w:rFonts w:ascii="Arial" w:cs="Arial" w:eastAsia="Arial" w:hAnsi="Arial"/>
          <w:sz w:val="18"/>
          <w:szCs w:val="18"/>
          <w:b w:val="1"/>
          <w:bCs w:val="1"/>
          <w:color w:val="auto"/>
        </w:rPr>
        <w:t>Syndication Agent</w:t>
      </w:r>
      <w:r>
        <w:rPr>
          <w:rFonts w:ascii="Arial" w:cs="Arial" w:eastAsia="Arial" w:hAnsi="Arial"/>
          <w:sz w:val="18"/>
          <w:szCs w:val="18"/>
          <w:color w:val="auto"/>
        </w:rPr>
        <w:t>”), and each of JPMORGAN CHASE BANK, N.A., REGIONS BANK and SUNTRUST BANK, as a Documentation Agent (each a “</w:t>
      </w:r>
      <w:r>
        <w:rPr>
          <w:rFonts w:ascii="Arial" w:cs="Arial" w:eastAsia="Arial" w:hAnsi="Arial"/>
          <w:sz w:val="18"/>
          <w:szCs w:val="18"/>
          <w:b w:val="1"/>
          <w:bCs w:val="1"/>
          <w:color w:val="auto"/>
        </w:rPr>
        <w:t>Documentation Agent</w:t>
      </w:r>
      <w:r>
        <w:rPr>
          <w:rFonts w:ascii="Arial" w:cs="Arial" w:eastAsia="Arial" w:hAnsi="Arial"/>
          <w:sz w:val="18"/>
          <w:szCs w:val="18"/>
          <w:color w:val="auto"/>
        </w:rPr>
        <w:t>”).</w:t>
      </w:r>
    </w:p>
    <w:p>
      <w:pPr>
        <w:spacing w:after="0" w:line="14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Lenders desire to make available to the Borrower a term loan facility in the aggregate principal amount of $372,000,000, all on the terms and conditions contained herein.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w:t>
      </w:r>
    </w:p>
    <w:p>
      <w:pPr>
        <w:spacing w:after="0" w:line="17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Eurodollar Rate</w:t>
      </w:r>
      <w:r>
        <w:rPr>
          <w:rFonts w:ascii="Arial" w:cs="Arial" w:eastAsia="Arial" w:hAnsi="Arial"/>
          <w:sz w:val="18"/>
          <w:szCs w:val="18"/>
          <w:color w:val="auto"/>
        </w:rPr>
        <w:t>” means, with respect to each Interest Period for any LIBOR Loan, the rate obtained by dividing (a) LIBOR for such Interest Period by (b) a percentage equal to 1 minus the stated maximum rate (stated as a decimal) of all reserves, if any, required to be maintained with respect to Eurocurrency funding (currently as referred to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 Notwithstanding the foregoing, “Adjusted Eurodollar Rate” shall not, in any event, be less than one and one-half percent (1.50%).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38" w:name="page39"/>
    <w:bookmarkEnd w:id="38"/>
    <w:p>
      <w:pPr>
        <w:ind w:right="2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(a) Excluded Subsidiaries, (b) Unconsolidated Affiliates and (c) the Specified Non-Wholly Owned Subsidiaries.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Agent to the Lenders from time to time.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with respect to the Borrower, any Person (other than the Agent or any Lender): (i) directly or indirectly controlling, controlled by, or under common control with, the Borrower; (ii) directly or indirectly owning or holding 10.0% or more (or 12.0% or more in the case of Morgan Stanley and its affiliates) of any Equity Interest in the Borrower; or (iii) 10.0% or more (or 12.0% or more in the case of Morgan Stanley and its affiliates) of whose voting stock or other Equity Interest is directly or indirectly owned or held by the Borrower; and (b) with respect to any other specified Person, another Person that directly, or indirectly through one or more intermediaries, controls or is controlled by or is under common control with the Person specified.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113"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Wachovia Bank, National Association, as contractual representative for the Lenders under the terms of this Agreement, and any of its successors.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constitutions, statutes, rules, regulations and orders of all governmental bodies and all orders and decrees of all courts, tribunals and arbitrators.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per annum determined, at any time, based on the range into which the Borrower’s Credit Rating then falls, in accordance with the levels in the table set forth below (each a “</w:t>
      </w:r>
      <w:r>
        <w:rPr>
          <w:rFonts w:ascii="Arial" w:cs="Arial" w:eastAsia="Arial" w:hAnsi="Arial"/>
          <w:sz w:val="16"/>
          <w:szCs w:val="16"/>
          <w:b w:val="1"/>
          <w:bCs w:val="1"/>
          <w:color w:val="auto"/>
        </w:rPr>
        <w:t>Level</w:t>
      </w:r>
      <w:r>
        <w:rPr>
          <w:rFonts w:ascii="Arial" w:cs="Arial" w:eastAsia="Arial" w:hAnsi="Arial"/>
          <w:sz w:val="16"/>
          <w:szCs w:val="16"/>
          <w:color w:val="auto"/>
        </w:rPr>
        <w:t>”).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unless such two Credit Ratings are separated by more than one Level, in which case the Applicable Margin shall be determined by the Level immediately below the higher of such two Credit Ratings. During any period for which the Borrower has received a Credit Rating from only one Rating Agency, then the Applicable Margin shall be determined based on such Credit Rating. During any period for which the Borrower has not received a Credit Rating from either Rating Agency, then the Applicable Margin shall be determined based on Level 5. As of the Agreement Date, and thereafter until changed as provided above, the Applicable Margin is determined based on Level 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39" w:name="page40"/>
    <w:bookmarkEnd w:id="39"/>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auto"/>
                <w:w w:val="88"/>
              </w:rPr>
              <w:t>Borrower’s Credit Rating</w:t>
            </w:r>
          </w:p>
        </w:tc>
        <w:tc>
          <w:tcPr>
            <w:tcW w:w="940" w:type="dxa"/>
            <w:vAlign w:val="bottom"/>
          </w:tcPr>
          <w:p>
            <w:pPr>
              <w:spacing w:after="0"/>
              <w:rPr>
                <w:sz w:val="14"/>
                <w:szCs w:val="14"/>
                <w:color w:val="auto"/>
              </w:rPr>
            </w:pPr>
          </w:p>
        </w:tc>
        <w:tc>
          <w:tcPr>
            <w:tcW w:w="23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9"/>
              </w:rPr>
              <w:t>Applicable Margin for</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Applicable Margin for</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9"/>
              </w:rPr>
              <w:t>Level</w:t>
            </w:r>
          </w:p>
        </w:tc>
        <w:tc>
          <w:tcPr>
            <w:tcW w:w="3900" w:type="dxa"/>
            <w:vAlign w:val="bottom"/>
          </w:tcPr>
          <w:p>
            <w:pPr>
              <w:spacing w:after="0"/>
              <w:rPr>
                <w:sz w:val="14"/>
                <w:szCs w:val="14"/>
                <w:color w:val="auto"/>
              </w:rPr>
            </w:pPr>
          </w:p>
        </w:tc>
        <w:tc>
          <w:tcPr>
            <w:tcW w:w="1480" w:type="dxa"/>
            <w:vAlign w:val="bottom"/>
          </w:tcPr>
          <w:p>
            <w:pPr>
              <w:ind w:left="280"/>
              <w:spacing w:after="0"/>
              <w:rPr>
                <w:sz w:val="20"/>
                <w:szCs w:val="20"/>
                <w:color w:val="auto"/>
              </w:rPr>
            </w:pPr>
            <w:r>
              <w:rPr>
                <w:rFonts w:ascii="Arial" w:cs="Arial" w:eastAsia="Arial" w:hAnsi="Arial"/>
                <w:sz w:val="14"/>
                <w:szCs w:val="14"/>
                <w:b w:val="1"/>
                <w:bCs w:val="1"/>
                <w:color w:val="auto"/>
              </w:rPr>
              <w:t>(S&amp;P/Moody’s)</w:t>
            </w:r>
          </w:p>
        </w:tc>
        <w:tc>
          <w:tcPr>
            <w:tcW w:w="940" w:type="dxa"/>
            <w:vAlign w:val="bottom"/>
          </w:tcPr>
          <w:p>
            <w:pPr>
              <w:spacing w:after="0"/>
              <w:rPr>
                <w:sz w:val="14"/>
                <w:szCs w:val="14"/>
                <w:color w:val="auto"/>
              </w:rPr>
            </w:pPr>
          </w:p>
        </w:tc>
        <w:tc>
          <w:tcPr>
            <w:tcW w:w="238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LIBOR Loans</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Base Rate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9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2.75%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39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BBB+/Baa1</w:t>
            </w:r>
          </w:p>
        </w:tc>
        <w:tc>
          <w:tcPr>
            <w:tcW w:w="3320" w:type="dxa"/>
            <w:vAlign w:val="bottom"/>
            <w:gridSpan w:val="3"/>
          </w:tcPr>
          <w:p>
            <w:pPr>
              <w:jc w:val="right"/>
              <w:ind w:right="940"/>
              <w:spacing w:after="0"/>
              <w:rPr>
                <w:sz w:val="20"/>
                <w:szCs w:val="20"/>
                <w:color w:val="auto"/>
              </w:rPr>
            </w:pPr>
            <w:r>
              <w:rPr>
                <w:rFonts w:ascii="Arial" w:cs="Arial" w:eastAsia="Arial" w:hAnsi="Arial"/>
                <w:sz w:val="18"/>
                <w:szCs w:val="18"/>
                <w:color w:val="auto"/>
              </w:rPr>
              <w:t>3.00%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BBB/Baa2</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3.25%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39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BBB-/Baa3</w:t>
            </w:r>
          </w:p>
        </w:tc>
        <w:tc>
          <w:tcPr>
            <w:tcW w:w="3320" w:type="dxa"/>
            <w:vAlign w:val="bottom"/>
            <w:gridSpan w:val="3"/>
          </w:tcPr>
          <w:p>
            <w:pPr>
              <w:jc w:val="right"/>
              <w:ind w:right="940"/>
              <w:spacing w:after="0"/>
              <w:rPr>
                <w:sz w:val="20"/>
                <w:szCs w:val="20"/>
                <w:color w:val="auto"/>
              </w:rPr>
            </w:pPr>
            <w:r>
              <w:rPr>
                <w:rFonts w:ascii="Arial" w:cs="Arial" w:eastAsia="Arial" w:hAnsi="Arial"/>
                <w:sz w:val="18"/>
                <w:szCs w:val="18"/>
                <w:color w:val="auto"/>
              </w:rPr>
              <w:t>3.50%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&lt; BBB-/Baa3</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4.25%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managed and controlled by (a) a Lender, (b) an Affiliate of a Lender or (c) an entity or an Affiliate of an entity that administers or manages a Lender.</w:t>
      </w:r>
    </w:p>
    <w:p>
      <w:pPr>
        <w:spacing w:after="0" w:line="120"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each of Wachovia Capital Markets, LLC and PNC Capital Markets LLC, together with their respective successors and permitted assigns.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 has the meaning given that term in Section 12.5.(b).</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 Agreement</w:t>
      </w:r>
      <w:r>
        <w:rPr>
          <w:rFonts w:ascii="Arial" w:cs="Arial" w:eastAsia="Arial" w:hAnsi="Arial"/>
          <w:sz w:val="18"/>
          <w:szCs w:val="18"/>
          <w:color w:val="auto"/>
        </w:rPr>
        <w:t>” means an Assignment and Acceptance Agreement among a Lender, an Assignee and the Agent, substantially in the form of Exhibit A.</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xml:space="preserve">” means, on any date of determination, the per annum rate of interest equal to the greatest of (a) the Prime Rate on such date, (b) the Federal Funds Rate on such date plus one-half of one percent (0.50%) or (c) the Adjusted Eurodollar Rate that would be applicable for a LIBOR Loan having a one-month Interest Period commencing on such date (or if such date is not a Business Day, on the immediately preceding Business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by which the Applicable Margin for LIBOR Loans exceeds the Applicable Margin for Base Rate Loans. Any change in the Base Rate resulting from a change in the Prime Rate, the Federal Funds Rate or the Adjusted Eurodollar Rate shall become effective as of 12:01 a.m. on the Business Day on which each such change occurs. The Base Rate is a reference rate used by the Lender acting as the Agent in determining interest rates on certain loans and is not intended to be the lowest rate of interest charged by the Lender acting as the Agent or any other Lender on any extension of credit to any debtor.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bearing interest at a rate based on the Base Rate.</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19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any day other than a Saturday, Sunday or other day on which banks in Charlotte, North Carolina or New York, New York are authorized or required to close and (b) with reference to a LIBOR Loan, any such day that is also a day on which dealings in Dollar deposits are carried out in the London interbank market.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63" w:right="259" w:bottom="1440" w:gutter="0" w:footer="0" w:header="0"/>
        </w:sectPr>
      </w:pPr>
    </w:p>
    <w:bookmarkStart w:id="40" w:name="page41"/>
    <w:bookmarkEnd w:id="40"/>
    <w:p>
      <w:pPr>
        <w:ind w:right="10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(a) portion of a Property developed with improvements utilized for the retail sale of 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jc w:val="both"/>
        <w:ind w:firstLine="8"/>
        <w:spacing w:after="0" w:line="254"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Multifamily Property, an amount equal to (i) $200 per apartment unit in such Multifamily Property times (ii) a fraction, the numerator of which is the number of days in such period and the denominator of which is 365. 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8.00%.</w:t>
      </w:r>
    </w:p>
    <w:p>
      <w:pPr>
        <w:spacing w:after="0" w:line="1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an obligation under a lease that is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132"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w:t>
      </w:r>
    </w:p>
    <w:p>
      <w:pPr>
        <w:spacing w:after="0" w:line="4" w:lineRule="exact"/>
        <w:rPr>
          <w:sz w:val="20"/>
          <w:szCs w:val="20"/>
          <w:color w:val="auto"/>
        </w:rPr>
      </w:pPr>
    </w:p>
    <w:p>
      <w:pPr>
        <w:ind w:right="60" w:firstLine="8"/>
        <w:spacing w:after="0" w:line="261" w:lineRule="auto"/>
        <w:tabs>
          <w:tab w:leader="none" w:pos="2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41" w:name="page42"/>
    <w:bookmarkEnd w:id="41"/>
    <w:p>
      <w:pPr>
        <w:ind w:right="3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each Lender, such Lender’s obligation to make a Loan pursuant to Section 2.1. in an amount up to, but not exceeding, the amount set forth for such Lender on Schedule 1 attached hereto as such Lender’s “Commitment Amount.”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17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Construction-in-Process</w:t>
      </w:r>
      <w:r>
        <w:rPr>
          <w:rFonts w:ascii="Arial" w:cs="Arial" w:eastAsia="Arial" w:hAnsi="Arial"/>
          <w:sz w:val="16"/>
          <w:szCs w:val="16"/>
          <w:color w:val="auto"/>
        </w:rPr>
        <w:t>” means cash expenditures for land and improvements (including indirect costs internally allocated and development costs) in accordance with GAAP on all Properties that are under development or will commence development within twelve months from any date of determination.</w:t>
      </w:r>
    </w:p>
    <w:p>
      <w:pPr>
        <w:spacing w:after="0" w:line="7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Budget</w:t>
      </w:r>
      <w:r>
        <w:rPr>
          <w:rFonts w:ascii="Arial" w:cs="Arial" w:eastAsia="Arial" w:hAnsi="Arial"/>
          <w:sz w:val="18"/>
          <w:szCs w:val="18"/>
          <w:color w:val="auto"/>
        </w:rPr>
        <w:t>” means the fully-budgeted costs for the acquisition and construction of a given parcel of real property (including, without limitation, the cost of acquiring such parcel of real property, reserves for construction interest and operating deficits, tenant improvements, leasing commissions, and infrastructure costs) as reasonably determined by the Borrower in good faith.</w:t>
      </w:r>
    </w:p>
    <w:p>
      <w:pPr>
        <w:spacing w:after="0" w:line="132"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2.6.</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2.7.</w:t>
      </w:r>
    </w:p>
    <w:p>
      <w:pPr>
        <w:spacing w:after="0" w:line="19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Percentage</w:t>
      </w:r>
      <w:r>
        <w:rPr>
          <w:rFonts w:ascii="Arial" w:cs="Arial" w:eastAsia="Arial" w:hAnsi="Arial"/>
          <w:sz w:val="18"/>
          <w:szCs w:val="18"/>
          <w:color w:val="auto"/>
        </w:rPr>
        <w:t>” means, as to each Lender, the ratio, expressed as a percentage, of (a) the unpaid principal amount of the Loan owing to such Lender to (b) the aggregate unpaid principal amount of all Loans.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the Borrower.</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as reasonably determined by the Agent, that (a) has failed to pay over to the Agent or any other Lender any amount required to be paid by it hereunder within one Business Day of the date when due, unless such amount is the subject of a good faith dispute, or (b) has (or has a parent corporation that has) (i) become or is insolvent 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42" w:name="page43"/>
    <w:bookmarkEnd w:id="42"/>
    <w:p>
      <w:pPr>
        <w:ind w:right="80" w:firstLine="8"/>
        <w:spacing w:after="0" w:line="268" w:lineRule="auto"/>
        <w:tabs>
          <w:tab w:leader="none" w:pos="258"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13"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08"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(a) that otherwise qualifies as an Eligible Property, except that it is not yet a Retail Property or Multifamily Property, but it is being developed to become one, and (b) that is either (i) Construction-in-Process or (ii) an Unstabilized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Pro Rata Share of EBITDA of its Unconsolidated Affiliates. EBITDA will be adjusted to remove all impact of straight lining of rents.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80" w:right="279" w:bottom="1440" w:gutter="0" w:footer="0" w:header="0"/>
        </w:sectPr>
      </w:pPr>
    </w:p>
    <w:bookmarkStart w:id="43" w:name="page44"/>
    <w:bookmarkEnd w:id="43"/>
    <w:p>
      <w:pPr>
        <w:ind w:right="2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in writing by the Requisite Lenders.</w:t>
      </w:r>
    </w:p>
    <w:p>
      <w:pPr>
        <w:spacing w:after="0" w:line="12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 a Lender, (b) an Affiliate of a Lender, (c) an Approved Fund, and (d) any other Person (other than a natural person) approved by (i) the Agent and (ii) unless an Event of Default shall exist, the Borrower (each such approval not to be unreasonably withheld or delayed); provided that notwithstanding the foregoing, “Eligible Assignee” shall not include the Borrower or any of the Borrower’s Affiliates or Subsidiaries.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or Multifamily Property;</w:t>
      </w:r>
    </w:p>
    <w:p>
      <w:pPr>
        <w:spacing w:after="0" w:line="44" w:lineRule="exact"/>
        <w:rPr>
          <w:sz w:val="20"/>
          <w:szCs w:val="20"/>
          <w:color w:val="auto"/>
        </w:rPr>
      </w:pPr>
    </w:p>
    <w:p>
      <w:pPr>
        <w:ind w:right="20" w:firstLine="8"/>
        <w:spacing w:after="0" w:line="300" w:lineRule="auto"/>
        <w:tabs>
          <w:tab w:leader="none" w:pos="249" w:val="left"/>
        </w:tabs>
        <w:numPr>
          <w:ilvl w:val="0"/>
          <w:numId w:val="21"/>
        </w:numPr>
        <w:rPr>
          <w:rFonts w:ascii="Arial" w:cs="Arial" w:eastAsia="Arial" w:hAnsi="Arial"/>
          <w:sz w:val="15"/>
          <w:szCs w:val="15"/>
          <w:color w:val="auto"/>
        </w:rPr>
      </w:pPr>
      <w:r>
        <w:rPr>
          <w:rFonts w:ascii="Arial" w:cs="Arial" w:eastAsia="Arial" w:hAnsi="Arial"/>
          <w:sz w:val="15"/>
          <w:szCs w:val="15"/>
          <w:color w:val="auto"/>
        </w:rPr>
        <w:t>neither such Property, nor any interest of the Borrower or any Subsidiary therein (and if such Property is owned by a Subsidiary, none of the Borrower’s direct or indirect ownership interests in such Subsidiary) is subject to any Lien other than Permitted Liens (excluding Permitted Liens of the type described in clauses</w:t>
      </w:r>
    </w:p>
    <w:p>
      <w:pPr>
        <w:ind w:right="60" w:firstLine="8"/>
        <w:spacing w:after="0" w:line="290"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and any applicable rule of common law and any judicial interpretation thereof relating primarily to the environment or Hazardous Materials.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44" w:name="page45"/>
    <w:bookmarkEnd w:id="44"/>
    <w:p>
      <w:pPr>
        <w:ind w:right="10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any Subsidiary (a) holding title to assets which are or are to become collateral for any Secured Indebtedness of such 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36"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Term Loan Agreement</w:t>
      </w:r>
      <w:r>
        <w:rPr>
          <w:rFonts w:ascii="Arial" w:cs="Arial" w:eastAsia="Arial" w:hAnsi="Arial"/>
          <w:sz w:val="16"/>
          <w:szCs w:val="16"/>
          <w:color w:val="auto"/>
        </w:rPr>
        <w:t>” means that certain Credit Agreement dated as of November 9, 2007 by and among the Borrower, the financial institutions party thereto as “Lenders”, Wachovia Bank, National Association, as Agent, and the other parties thereto.</w:t>
      </w:r>
    </w:p>
    <w:p>
      <w:pPr>
        <w:spacing w:after="0" w:line="74" w:lineRule="exact"/>
        <w:rPr>
          <w:sz w:val="20"/>
          <w:szCs w:val="20"/>
          <w:color w:val="auto"/>
        </w:rPr>
      </w:pPr>
    </w:p>
    <w:p>
      <w:pPr>
        <w:jc w:val="both"/>
        <w:ind w:right="2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a security listed on a national securities exchange or the NASDAQ National Market, the price of such 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4" w:right="279" w:bottom="1440" w:gutter="0" w:footer="0" w:header="0"/>
        </w:sectPr>
      </w:pPr>
    </w:p>
    <w:bookmarkStart w:id="45" w:name="page46"/>
    <w:bookmarkEnd w:id="45"/>
    <w:p>
      <w:pPr>
        <w:ind w:right="3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3.6. and any other fees payable by the Borrower hereunder or under any other Loan Document.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for any period, the sum of (a) Interest Expense of the Borrower and its Subsidiaries determined on a consolidated basis for such 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139"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From Operations</w:t>
      </w:r>
      <w:r>
        <w:rPr>
          <w:rFonts w:ascii="Arial" w:cs="Arial" w:eastAsia="Arial" w:hAnsi="Arial"/>
          <w:sz w:val="18"/>
          <w:szCs w:val="18"/>
          <w:color w:val="auto"/>
        </w:rPr>
        <w:t>” means, for a given period, income of the Borrower and its Subsidiaries available for common shareholders before depreciation and amortization of real 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3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13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state or local government (whether domestic or foreign), any political subdivision thereof or any other 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Ground Lease</w:t>
      </w:r>
      <w:r>
        <w:rPr>
          <w:rFonts w:ascii="Arial" w:cs="Arial" w:eastAsia="Arial" w:hAnsi="Arial"/>
          <w:sz w:val="18"/>
          <w:szCs w:val="18"/>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74" w:right="299" w:bottom="1440" w:gutter="0" w:footer="0" w:header="0"/>
        </w:sectPr>
      </w:pPr>
    </w:p>
    <w:bookmarkStart w:id="46" w:name="page47"/>
    <w:bookmarkEnd w:id="4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34"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is a party to the Guaranty as a “Guarantor” and in any event shall include each Material Subsidiary (unless an Excluded Subsidiary or a Subsidiary that owns any Non-Controlled Property.)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H.</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 Person, at the time of computation thereof, all of the following (without duplication): (a) all obligations of such Person in respect of money borrowed; (b) accounts payable; (c) all obligations of such Person, whether or not for money borrowed (i) represented by notes payable, or drafts accepted, in each case representing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(d) Capitalized Lease Obligations of such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in an amount equal to the Derivatives Termination Value thereof;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Share of such Indebtedness or the amount of the recourse portion of the Indebtedness, shall be included as Indebtedness of such Person). All Loans shall constitute Indebtedness of the Borrower.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Pro Rata Share of Interest Expense of Unconsolidated Affiliates for such period.</w:t>
      </w:r>
    </w:p>
    <w:p>
      <w:pPr>
        <w:spacing w:after="0" w:line="132" w:lineRule="exact"/>
        <w:rPr>
          <w:sz w:val="20"/>
          <w:szCs w:val="20"/>
          <w:color w:val="auto"/>
        </w:rPr>
      </w:pPr>
    </w:p>
    <w:p>
      <w:pPr>
        <w:ind w:right="1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Period</w:t>
      </w:r>
      <w:r>
        <w:rPr>
          <w:rFonts w:ascii="Arial" w:cs="Arial" w:eastAsia="Arial" w:hAnsi="Arial"/>
          <w:sz w:val="15"/>
          <w:szCs w:val="15"/>
          <w:color w:val="auto"/>
        </w:rPr>
        <w:t>” means with respect to any LIBOR Loan, each period commencing on the date such LIBOR Loan is made, or in the case of the Continuation of a LIBOR Loan the last day of the preceding Interest Period for such Loan, and ending 1, 3 or 6 months thereafter, as the Borrower may select in the Notice of Borrowing, a Notice of Continuation or a Notice of Conversion, as the case may be, except that each Interest Period that commences on the last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Day of a calendar month, or on a day for which there is no corresponding day in the appropriate subsequent calendar month, shall end on the last Business Day of the appropriate subsequent calendar month. Notwithstanding the foregoing: (i) if any Interest Period would otherwise end after the Termination Date, such Interest Period shall end on the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each financial institution from time to time party hereto as a “Lender”,” together with its respective successors and permitted assigns.</w:t>
      </w:r>
    </w:p>
    <w:p>
      <w:pPr>
        <w:spacing w:after="0" w:line="19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such other office of such Lender of which such Lender may notify the Agent in writing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any LIBOR Loan for any Interest Period therefor, the rate per annum (rounded upwards, if necessary, to the nearest 1/100 of 1%) appearing on Reuters Screen LIBOR01 Page (or any successor page) as the London interbank offered rate for deposits in Dollars at approximately 11:00 a.m. (London time) two Business Days prior to the first day of such Interest Period for a term comparable to such Interest Period. If for any reason such rate is not available, LIBOR shall be, for any Interest Period, the rate per annum reasonably determined by the Agent as the rate of interest at which Dollar deposits in the approximate amount of the LIBOR Loan comprising part of such borrowing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LIBOR Loan</w:t>
      </w:r>
      <w:r>
        <w:rPr>
          <w:rFonts w:ascii="Arial" w:cs="Arial" w:eastAsia="Arial" w:hAnsi="Arial"/>
          <w:sz w:val="18"/>
          <w:szCs w:val="18"/>
          <w:color w:val="auto"/>
        </w:rPr>
        <w:t>” means a Loan bearing interest at a rate based on LIBOR.</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as applied to the property of any Person means: (a) any security interest, encumbrance, mortgage, deed to secure debt, deed of trust, 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by a Lender to the Borrower pursuant to Section 2.1.</w:t>
      </w:r>
    </w:p>
    <w:p>
      <w:pPr>
        <w:spacing w:after="0" w:line="171"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w:t>
      </w:r>
      <w:r>
        <w:rPr>
          <w:rFonts w:ascii="Arial" w:cs="Arial" w:eastAsia="Arial" w:hAnsi="Arial"/>
          <w:sz w:val="16"/>
          <w:szCs w:val="16"/>
          <w:color w:val="auto"/>
        </w:rPr>
        <w:t>” means this Agreement, each Note, the Guaranty and each other document or instrument (other than a Derivatives Contract) now or hereafter executed and delivered by a Loan Party in connection with, pursuant to or relating to this Agreement.</w:t>
      </w:r>
    </w:p>
    <w:p>
      <w:pPr>
        <w:spacing w:after="0" w:line="74"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Party</w:t>
      </w:r>
      <w:r>
        <w:rPr>
          <w:rFonts w:ascii="Arial" w:cs="Arial" w:eastAsia="Arial" w:hAnsi="Arial"/>
          <w:sz w:val="15"/>
          <w:szCs w:val="15"/>
          <w:color w:val="auto"/>
        </w:rPr>
        <w:t xml:space="preserve">” means each of the Borrower and each other Person who guarantees all or a portion of the Obligations and/or who pledges any collateral security to secure all or a portion of the Obligations. </w:t>
      </w:r>
      <w:r>
        <w:rPr>
          <w:rFonts w:ascii="Arial" w:cs="Arial" w:eastAsia="Arial" w:hAnsi="Arial"/>
          <w:sz w:val="15"/>
          <w:szCs w:val="15"/>
          <w:u w:val="single" w:color="auto"/>
          <w:color w:val="auto"/>
        </w:rPr>
        <w:t>Schedule 1.1.(A</w:t>
      </w:r>
      <w:r>
        <w:rPr>
          <w:rFonts w:ascii="Arial" w:cs="Arial" w:eastAsia="Arial" w:hAnsi="Arial"/>
          <w:sz w:val="15"/>
          <w:szCs w:val="15"/>
          <w:color w:val="auto"/>
        </w:rPr>
        <w:t>) sets forth the Loan Parties in addition to the Borrower as of the Agreement Date.</w:t>
      </w:r>
    </w:p>
    <w:p>
      <w:pPr>
        <w:spacing w:after="0" w:line="5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Default</w:t>
      </w:r>
      <w:r>
        <w:rPr>
          <w:rFonts w:ascii="Arial" w:cs="Arial" w:eastAsia="Arial" w:hAnsi="Arial"/>
          <w:sz w:val="18"/>
          <w:szCs w:val="18"/>
          <w:color w:val="auto"/>
        </w:rPr>
        <w:t>” means a Default resulting from the occurrence of any of the events described in Section 10.1.(a), Section 10.1.(b), Section 10.1.(f) or Section 10.1.(g).</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right="160" w:firstLine="8"/>
        <w:spacing w:after="0" w:line="261"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redeemable at the option of the holder thereof, in whole or in part (other than an Equity Interest which is redeemable solely in exchange for common stock or other equivalent common Equity</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50" w:name="page51"/>
    <w:bookmarkEnd w:id="50"/>
    <w:p>
      <w:pPr>
        <w:jc w:val="both"/>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in each case on or prior to the date on which all Loans are scheduled to be due and payable in full.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7, L.P.; FR Pike 7 Limited Partnership; Federal Realty Partners L.P.; FR Leesburg Plaza, LP; and NVI-Avenue, LLC.</w:t>
      </w:r>
    </w:p>
    <w:p>
      <w:pPr>
        <w:spacing w:after="0" w:line="13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w:t>
      </w:r>
    </w:p>
    <w:p>
      <w:pPr>
        <w:spacing w:after="0" w:line="103"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or other arrangement (other than Loan Documents),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10.1.(e)(i).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means any Subsidiary to which more than two percent of Adjusted Total Asset Value is attributable on an individual basis.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74"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secured by a first priority Mortgage of which the Borrower, a Guarantor or one of their respective Subsidiaries is the holder and retains the rights of collection of all payments thereunder.</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32" w:lineRule="exact"/>
        <w:rPr>
          <w:sz w:val="20"/>
          <w:szCs w:val="20"/>
          <w:color w:val="auto"/>
        </w:rPr>
      </w:pPr>
    </w:p>
    <w:p>
      <w:pPr>
        <w:jc w:val="center"/>
        <w:ind w:right="4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Multifamily Property</w:t>
      </w:r>
      <w:r>
        <w:rPr>
          <w:rFonts w:ascii="Arial" w:cs="Arial" w:eastAsia="Arial" w:hAnsi="Arial"/>
          <w:sz w:val="18"/>
          <w:szCs w:val="18"/>
          <w:color w:val="auto"/>
        </w:rPr>
        <w:t>” means a Property improved with, and from which at least 80% of the rental income is derived from, residential apartments. - 14 -</w:t>
      </w:r>
    </w:p>
    <w:p>
      <w:pPr>
        <w:sectPr>
          <w:pgSz w:w="11900" w:h="16838" w:orient="portrait"/>
          <w:cols w:equalWidth="0" w:num="1">
            <w:col w:w="11420"/>
          </w:cols>
          <w:pgMar w:left="240" w:top="280" w:right="239" w:bottom="1440" w:gutter="0" w:footer="0" w:header="0"/>
        </w:sectPr>
      </w:pPr>
    </w:p>
    <w:bookmarkStart w:id="51" w:name="page52"/>
    <w:bookmarkEnd w:id="51"/>
    <w:p>
      <w:pPr>
        <w:jc w:val="both"/>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or “</w:t>
      </w:r>
      <w:r>
        <w:rPr>
          <w:rFonts w:ascii="Arial" w:cs="Arial" w:eastAsia="Arial" w:hAnsi="Arial"/>
          <w:sz w:val="16"/>
          <w:szCs w:val="16"/>
          <w:b w:val="1"/>
          <w:bCs w:val="1"/>
          <w:color w:val="auto"/>
        </w:rPr>
        <w:t>NOI</w:t>
      </w:r>
      <w:r>
        <w:rPr>
          <w:rFonts w:ascii="Arial" w:cs="Arial" w:eastAsia="Arial" w:hAnsi="Arial"/>
          <w:sz w:val="16"/>
          <w:szCs w:val="16"/>
          <w:color w:val="auto"/>
        </w:rPr>
        <w:t>”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113"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means with respect to any Equity Issuance by a Person, the aggregate amount of all cash and the Fair Market Value of all other property (other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03"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Non-Controlled Property</w:t>
      </w:r>
      <w:r>
        <w:rPr>
          <w:rFonts w:ascii="Arial" w:cs="Arial" w:eastAsia="Arial" w:hAnsi="Arial"/>
          <w:sz w:val="16"/>
          <w:szCs w:val="16"/>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given that term in Section 2.8.</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in the form of Exhibit B to be delivered to the Agent pursuant to Section 2.1.(b) evidencing the Borrower’s request for the borrowing of the Loans.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74" w:right="259" w:bottom="1440" w:gutter="0" w:footer="0" w:header="0"/>
        </w:sectPr>
      </w:pPr>
    </w:p>
    <w:bookmarkStart w:id="52" w:name="page53"/>
    <w:bookmarkEnd w:id="52"/>
    <w:p>
      <w:pPr>
        <w:ind w:right="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in the form of Exhibit C to be delivered to the Agent pursuant to Section 2.6. evidencing the Borrower’s request for the Continuation of a LIBOR Loan.</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in the form of Exhibit D to be delivered to the Agent pursuant to Section 2.7. evidencing the Borrower’s request for the Conversion of a Loan from one Type to another Type.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individually and collectively: (a) the aggregate principal balance of, and all accrued and unpaid interest on, all Loans and (b)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39" w:lineRule="exact"/>
        <w:rPr>
          <w:sz w:val="20"/>
          <w:szCs w:val="20"/>
          <w:color w:val="auto"/>
        </w:rPr>
      </w:pPr>
    </w:p>
    <w:p>
      <w:pPr>
        <w:ind w:right="3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Occupancy Rate</w:t>
      </w:r>
      <w:r>
        <w:rPr>
          <w:rFonts w:ascii="Arial" w:cs="Arial" w:eastAsia="Arial" w:hAnsi="Arial"/>
          <w:sz w:val="16"/>
          <w:szCs w:val="16"/>
          <w:color w:val="auto"/>
        </w:rPr>
        <w:t xml:space="preserve">” means, with respect to a Property at any time, the ratio, expressed as a percentage, of (a) the net rentable square footage of such Property for which the Borrower or a Subsidiary is collecting rent, or for which a lease has been signed but the term has not yet 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means the Office of Foreign Assets Control of the United States Department of the Treasury, and any successor Governmental Authority for such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15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12.5.(d).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171" w:lineRule="exact"/>
        <w:rPr>
          <w:sz w:val="20"/>
          <w:szCs w:val="20"/>
          <w:color w:val="auto"/>
        </w:rPr>
      </w:pPr>
    </w:p>
    <w:p>
      <w:pPr>
        <w:ind w:right="2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74" w:right="279" w:bottom="1440" w:gutter="0" w:footer="0" w:header="0"/>
        </w:sectPr>
      </w:pPr>
    </w:p>
    <w:bookmarkStart w:id="53" w:name="page54"/>
    <w:bookmarkEnd w:id="5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6.1.(f); and (h) Liens securing Indebtedness permitted by Section 9.6.</w:t>
      </w:r>
    </w:p>
    <w:p>
      <w:pPr>
        <w:spacing w:after="0" w:line="11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unincorporated organization, or a government or any agency or political subdivision thereof.</w:t>
      </w:r>
    </w:p>
    <w:p>
      <w:pPr>
        <w:spacing w:after="0" w:line="120"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03"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other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3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Interests 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10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 Interests</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0"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means the rate of interest per annum announced publicly by the Lender then acting as the Agent as its prime rate from time to time. The Prime Rate is not necessarily the best or the lowest rate of interest offered by the Lender acting as the Agent or any other Lender.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80" w:right="259" w:bottom="1440" w:gutter="0" w:footer="0" w:header="0"/>
        </w:sectPr>
      </w:pPr>
    </w:p>
    <w:bookmarkStart w:id="54" w:name="page55"/>
    <w:bookmarkEnd w:id="54"/>
    <w:p>
      <w:pPr>
        <w:ind w:right="4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office of the Agent located at One Wachovia Center, Charlotte, North Carolina, or such other office of the Agent as the Agent may designate from time to time.</w:t>
      </w:r>
    </w:p>
    <w:p>
      <w:pPr>
        <w:spacing w:after="0" w:line="12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2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means, with respect to any Subsidiary that is not a Wholly Owned Subsidiary or any Unconsolidated Affiliate, the greater of (a) the nominal direct and indirect ownership interest (expressed as a percentage) in such Subsidiary or Unconsolidated Affiliate or (b) the relative direct and indirect economic interest (calculated as a percentage) in such Subsidiary or Unconsolidated Affiliate determined in accordance with the organizational document of such Subsidiary or Unconsolidated Affiliate.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12.5.(c).</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Change</w:t>
      </w:r>
      <w:r>
        <w:rPr>
          <w:rFonts w:ascii="Arial" w:cs="Arial" w:eastAsia="Arial" w:hAnsi="Arial"/>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198" w:lineRule="exact"/>
        <w:rPr>
          <w:sz w:val="20"/>
          <w:szCs w:val="20"/>
          <w:color w:val="auto"/>
        </w:rPr>
      </w:pPr>
    </w:p>
    <w:p>
      <w:pPr>
        <w:ind w:right="200" w:firstLine="45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Lenders</w:t>
      </w:r>
      <w:r>
        <w:rPr>
          <w:rFonts w:ascii="Arial" w:cs="Arial" w:eastAsia="Arial" w:hAnsi="Arial"/>
          <w:sz w:val="18"/>
          <w:szCs w:val="18"/>
          <w:color w:val="auto"/>
        </w:rPr>
        <w:t xml:space="preserve">” means, as of any date, Lenders holding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principal amount of the aggregate outstanding Loans. Loans held by Defaulting Lenders shall be disregarded when determining the Requisite Lenders. At all times during which Wachovia is acting as the Agent and the Credit Percentage of Wachovia is not less than thirteen percent (13.00%), Requisite Lenders shall, in any event, include Wachovia for the following purposes: (a) any amendment to the financial covenants set forth in Section 9.1. or to any of the definitions related thereto, (b) any waivers of any Defaults or Events of Default resulting from a breach of the financial covenants set forth in Section 9.1., or (c) any amendment to, or waivers of any Defaults or Events of Default resulting from a breach of, Section 10.1.(m).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4" w:right="259" w:bottom="1440" w:gutter="0" w:footer="0" w:header="0"/>
        </w:sectPr>
      </w:pPr>
    </w:p>
    <w:bookmarkStart w:id="55" w:name="page56"/>
    <w:bookmarkEnd w:id="55"/>
    <w:p>
      <w:pPr>
        <w:ind w:right="12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operations officer, and in the case of the Borrower, the Senior Vice President-Capital Markets &amp; Investor Relations or the Vice President-Chief Accounting Officer of the Borrower.</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10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(a) any Property identified as a “Retail Property” on Schedule 6.1.(x) and (b) any Property, a substantial use of which, is the retail sale of goods and services.</w:t>
      </w:r>
    </w:p>
    <w:p>
      <w:pPr>
        <w:spacing w:after="0" w:line="12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Entity</w:t>
      </w:r>
      <w:r>
        <w:rPr>
          <w:rFonts w:ascii="Arial" w:cs="Arial" w:eastAsia="Arial" w:hAnsi="Arial"/>
          <w:sz w:val="18"/>
          <w:szCs w:val="18"/>
          <w:color w:val="auto"/>
        </w:rPr>
        <w:t>” means (a) a country or a government of a country, (b) an agency of the government of a country, (c) an organization directly or indirectly controlled by a country or its government, (d) a Person resident in, or determined to be resident in, a country that is subject to a country sanctions program administered and enforced by OFAC described or referenced at http://www.ustreas.gov/offices/enforcement/ofac/ or as otherwise officially published by OFAC from time to time.</w:t>
      </w:r>
    </w:p>
    <w:p>
      <w:pPr>
        <w:spacing w:after="0" w:line="136" w:lineRule="exact"/>
        <w:rPr>
          <w:sz w:val="20"/>
          <w:szCs w:val="20"/>
          <w:color w:val="auto"/>
        </w:rPr>
      </w:pPr>
    </w:p>
    <w:p>
      <w:pPr>
        <w:ind w:right="1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named on the list of Specially Designated Nationals maintained by OFAC available at or through http://www.ustreas.gov/offices/enforcement/ofac/ or as otherwise officially published from time to time.</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xml:space="preserve">” means, with respect to any Person, (a) all Indebtedness of such Person that is secured in any manner by any Lien on any Property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Pro Rata Share of the Secured Indebtedness of any of such Person’s Unconsolidated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 together with all rules and regulations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$10,000,000 of Total Asset Value is attributable on an individual basis.</w:t>
      </w:r>
    </w:p>
    <w:p>
      <w:pPr>
        <w:spacing w:after="0" w:line="19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when used with respect to any Person, that (a) the fair value and the fair salable value of its assets (excluding any Indebtedness due from 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4"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Non-Wholly Owned Subsidiaries</w:t>
      </w:r>
      <w:r>
        <w:rPr>
          <w:rFonts w:ascii="Arial" w:cs="Arial" w:eastAsia="Arial" w:hAnsi="Arial"/>
          <w:sz w:val="16"/>
          <w:szCs w:val="16"/>
          <w:color w:val="auto"/>
        </w:rPr>
        <w:t>” means Congressional Plaza Associates, LLC; FRIT Escondido Promenade, LLC; and Street Retail West 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L.P.</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completed Property that has achieved an Occupancy Rate of at least 85%.</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for any Person, any corporation, partnership or other entity of which at least a majority of the Equity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means, as of a given date, the stockholders’ equity of the Borrower and Subsidiaries determined on a consolidated basis plus</w:t>
      </w:r>
    </w:p>
    <w:p>
      <w:pPr>
        <w:spacing w:after="0" w:line="44" w:lineRule="exact"/>
        <w:rPr>
          <w:sz w:val="20"/>
          <w:szCs w:val="20"/>
          <w:color w:val="auto"/>
        </w:rPr>
      </w:pPr>
    </w:p>
    <w:p>
      <w:pPr>
        <w:ind w:right="120" w:firstLine="8"/>
        <w:spacing w:after="0" w:line="254"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that term in Section 3.12.(a).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July 27,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Titled Agents</w:t>
      </w:r>
      <w:r>
        <w:rPr>
          <w:rFonts w:ascii="Arial" w:cs="Arial" w:eastAsia="Arial" w:hAnsi="Arial"/>
          <w:sz w:val="15"/>
          <w:szCs w:val="15"/>
          <w:color w:val="auto"/>
        </w:rPr>
        <w:t>” means each of the Arrangers, the Syndication Agent, and the Documentation Agents and their respective successors and permitted assigns.</w:t>
      </w:r>
    </w:p>
    <w:p>
      <w:pPr>
        <w:spacing w:after="0" w:line="206" w:lineRule="exact"/>
        <w:rPr>
          <w:sz w:val="20"/>
          <w:szCs w:val="20"/>
          <w:color w:val="auto"/>
        </w:rPr>
      </w:pPr>
    </w:p>
    <w:p>
      <w:pPr>
        <w:ind w:right="3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 Value</w:t>
      </w:r>
      <w:r>
        <w:rPr>
          <w:rFonts w:ascii="Arial" w:cs="Arial" w:eastAsia="Arial" w:hAnsi="Arial"/>
          <w:sz w:val="16"/>
          <w:szCs w:val="16"/>
          <w:color w:val="auto"/>
        </w:rPr>
        <w:t>” means the sum of all of the following of the Borrower and its Subsidiaries on a consolidated basis determined in accordance with GAAP applied on a consistent basis: (a) cash and cash equivalents, plus (b) accounts receivable (other than accounts receivable owing by Affiliates of the Borrower and its Subsidiaries), plus (c) with respect to each Stabilized Property owned by the Borrower or any Subsidiary, (i) EBITDA attributable to such Property for the fiscal quarter most recently ended (adjusted for acquisitions and dispositions) times (ii) 4, divided by (iii) the Capitalization Rate, plus (d) the GAAP book value of Properties acquired during the most recent quarter, plus (e) Construction-in-Process until the earlier of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57" w:name="page58"/>
    <w:bookmarkEnd w:id="57"/>
    <w:p>
      <w:pPr>
        <w:ind w:right="40" w:firstLine="8"/>
        <w:spacing w:after="0" w:line="255"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one year anniversary date of project completion or (ii) the second quarter after the project achieves an Occupancy Rate of 85%, plus (f)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all Indebtedness of the Borrower and its Subsidiaries determined on a consolidated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Loan, refers to whether such Loan is a LIBOR Loan or Base Rate Loan.</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32" w:lineRule="exact"/>
        <w:rPr>
          <w:sz w:val="20"/>
          <w:szCs w:val="20"/>
          <w:color w:val="auto"/>
        </w:rPr>
      </w:pPr>
    </w:p>
    <w:p>
      <w:pPr>
        <w:jc w:val="both"/>
        <w:ind w:right="4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Adjusted NOI</w:t>
      </w:r>
      <w:r>
        <w:rPr>
          <w:rFonts w:ascii="Arial" w:cs="Arial" w:eastAsia="Arial" w:hAnsi="Arial"/>
          <w:sz w:val="18"/>
          <w:szCs w:val="18"/>
          <w:color w:val="auto"/>
        </w:rPr>
        <w:t>” means, for any period, NOI from (a) Wholly Owned Properties; (b) Controlled Properties; and (c) Non-Controlled Properties, all of which have been owned for the entire period and as adjusted for any non-recurring items during the reporting period. For purposes of this definition, Non-Controlled Properties are limited to the following properties: Congressional Plaza, Congressional Plaza Apartments, Escondido Promenade, Galaxy Building (Hollywood) and 7001 Hollywood Boulevard (Peterson).</w:t>
      </w:r>
    </w:p>
    <w:p>
      <w:pPr>
        <w:spacing w:after="0" w:line="13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Asset Value</w:t>
      </w:r>
      <w:r>
        <w:rPr>
          <w:rFonts w:ascii="Arial" w:cs="Arial" w:eastAsia="Arial" w:hAnsi="Arial"/>
          <w:sz w:val="18"/>
          <w:szCs w:val="18"/>
          <w:color w:val="auto"/>
        </w:rPr>
        <w:t>” means (a) the Unencumbered Adjusted NOI for the fiscal quarter most recently ending times 4 divided by the 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until the earlier of (i) the one year anniversary date of project completion or (ii) the second quarter after the project achieves an Occupancy Rate of 85%. For purposes of this definition, to the extent the Unencumbered Asset Value attributable to Controlled Properties, Non-Controlled Properties and Development Properties would exceed 20% of the Unencumbered Asset Value, such excess shall be excluded.</w:t>
      </w:r>
    </w:p>
    <w:p>
      <w:pPr>
        <w:spacing w:after="0" w:line="13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Unfunded Liabilities</w:t>
      </w:r>
      <w:r>
        <w:rPr>
          <w:rFonts w:ascii="Arial" w:cs="Arial" w:eastAsia="Arial" w:hAnsi="Arial"/>
          <w:sz w:val="16"/>
          <w:szCs w:val="16"/>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80" w:right="259" w:bottom="1440" w:gutter="0" w:footer="0" w:header="0"/>
        </w:sectPr>
      </w:pPr>
    </w:p>
    <w:bookmarkStart w:id="58" w:name="page59"/>
    <w:bookmarkEnd w:id="5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valuation date for such Plan, but only to the extent that such excess represents a potential liability of a member of the ERISA Group to the PBGC or any other Person under Title IV of ERISA.</w:t>
      </w:r>
    </w:p>
    <w:p>
      <w:pPr>
        <w:spacing w:after="0" w:line="12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consists of land on which no development (other than paving or other improvements that are not material and are temporary in nature) has occurred and for which no development is planned in the 12 months following any date of determination.</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Indebtedness which is not Secured Indebtedness. Indebtedness of the Borrower or a Subsidiary that is secured solely by Equity Interests of a Subsidiary or Unconsolidated Affiliate shall be considered to be Unsecured Indebtedness.</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Unstabilized Property</w:t>
      </w:r>
      <w:r>
        <w:rPr>
          <w:rFonts w:ascii="Arial" w:cs="Arial" w:eastAsia="Arial" w:hAnsi="Arial"/>
          <w:sz w:val="18"/>
          <w:szCs w:val="18"/>
          <w:color w:val="auto"/>
        </w:rPr>
        <w:t>” means a Property (a) the improvements on which were completed within twelve months prior to any date of determination; and (b) which has not achieved an Occupancy Rate of 85%.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Wachovia</w:t>
      </w:r>
      <w:r>
        <w:rPr>
          <w:rFonts w:ascii="Arial" w:cs="Arial" w:eastAsia="Arial" w:hAnsi="Arial"/>
          <w:sz w:val="18"/>
          <w:szCs w:val="18"/>
          <w:color w:val="auto"/>
        </w:rPr>
        <w:t>” means Wachovia Bank, National Association, together with its successors and permitted assigns.</w:t>
      </w:r>
    </w:p>
    <w:p>
      <w:pPr>
        <w:spacing w:after="0" w:line="171" w:lineRule="exact"/>
        <w:rPr>
          <w:sz w:val="20"/>
          <w:szCs w:val="20"/>
          <w:color w:val="auto"/>
        </w:rPr>
      </w:pPr>
    </w:p>
    <w:p>
      <w:pPr>
        <w:jc w:val="both"/>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Guarantor that is a Wholly Owned Subsidiary.</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securities or other ownership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Times.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80" w:right="239" w:bottom="1440" w:gutter="0" w:footer="0" w:header="0"/>
        </w:sectPr>
      </w:pPr>
    </w:p>
    <w:bookmarkStart w:id="59" w:name="page60"/>
    <w:bookmarkEnd w:id="59"/>
    <w:p>
      <w:pPr>
        <w:ind w:right="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Loans.</w:t>
      </w:r>
    </w:p>
    <w:p>
      <w:pPr>
        <w:spacing w:after="0" w:line="96" w:lineRule="exact"/>
        <w:rPr>
          <w:sz w:val="20"/>
          <w:szCs w:val="20"/>
          <w:color w:val="auto"/>
        </w:rPr>
      </w:pPr>
    </w:p>
    <w:p>
      <w:pPr>
        <w:ind w:right="260" w:firstLine="464"/>
        <w:spacing w:after="0" w:line="332"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Subject to the terms and conditions hereof, on the Effective Date each Lender severally and not jointly agrees to make a Loan to the Borrower in a principal amount not to exceed the amount of such Lender’s Commitment. Once repaid, the principal amount of a Loan may not be reborrowed.</w:t>
      </w:r>
    </w:p>
    <w:p>
      <w:pPr>
        <w:spacing w:after="0" w:line="85" w:lineRule="exact"/>
        <w:rPr>
          <w:rFonts w:ascii="Arial" w:cs="Arial" w:eastAsia="Arial" w:hAnsi="Arial"/>
          <w:sz w:val="16"/>
          <w:szCs w:val="16"/>
          <w:color w:val="auto"/>
        </w:rPr>
      </w:pPr>
    </w:p>
    <w:p>
      <w:pPr>
        <w:ind w:right="240" w:firstLine="464"/>
        <w:spacing w:after="0" w:line="332"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Requesting</w:t>
      </w:r>
      <w:r>
        <w:rPr>
          <w:rFonts w:ascii="Arial" w:cs="Arial" w:eastAsia="Arial" w:hAnsi="Arial"/>
          <w:sz w:val="16"/>
          <w:szCs w:val="16"/>
          <w:color w:val="auto"/>
        </w:rPr>
        <w:t>. The Borrower shall give the Agent notice pursuant to the Notice of Borrowing of the borrowing of the Loans no later than 11:00 a.m. on the date three Business Days prior to the anticipated Effective Date. Such Notice of Borrowing shall be irrevocable once given and binding on the Borrower.</w:t>
      </w:r>
    </w:p>
    <w:p>
      <w:pPr>
        <w:spacing w:after="0" w:line="85" w:lineRule="exact"/>
        <w:rPr>
          <w:rFonts w:ascii="Arial" w:cs="Arial" w:eastAsia="Arial" w:hAnsi="Arial"/>
          <w:sz w:val="16"/>
          <w:szCs w:val="16"/>
          <w:color w:val="auto"/>
        </w:rPr>
      </w:pPr>
    </w:p>
    <w:p>
      <w:pPr>
        <w:ind w:firstLine="464"/>
        <w:spacing w:after="0" w:line="298"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Disbursements of Loan Proceeds</w:t>
      </w:r>
      <w:r>
        <w:rPr>
          <w:rFonts w:ascii="Arial" w:cs="Arial" w:eastAsia="Arial" w:hAnsi="Arial"/>
          <w:sz w:val="16"/>
          <w:szCs w:val="16"/>
          <w:color w:val="auto"/>
        </w:rPr>
        <w:t>. No later than 1:00 p.m. on the Effective Date, each Lender will make available for the account of its applicable Lending Office to the Agent at the Principal Office, in immediately available funds, the proceeds of the Loan to be made by such Lender. Subject to satisfaction of the applicable conditions set forth in Article V. for such borrowing, the Agent will make the proceeds of such borrowing available to the Borrower no later than 2:00 p.m. on such date and at the account specified by the Borrower in the Notice of Borrowing.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Rates and Payment of Interest on Loan.</w:t>
      </w:r>
    </w:p>
    <w:p>
      <w:pPr>
        <w:spacing w:after="0" w:line="96" w:lineRule="exact"/>
        <w:rPr>
          <w:sz w:val="20"/>
          <w:szCs w:val="20"/>
          <w:color w:val="auto"/>
        </w:rPr>
      </w:pPr>
    </w:p>
    <w:p>
      <w:pPr>
        <w:ind w:firstLine="464"/>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during such periods as such Loan is a Base Rate Loan, at the Base Rate (as in effect from time to time) plus the Applicable Margin; and</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00"/>
          </w:cols>
          <w:pgMar w:left="240" w:top="280" w:right="259" w:bottom="1440" w:gutter="0" w:footer="0" w:header="0"/>
        </w:sectPr>
      </w:pPr>
    </w:p>
    <w:bookmarkStart w:id="60" w:name="page61"/>
    <w:bookmarkEnd w:id="60"/>
    <w:p>
      <w:pPr>
        <w:ind w:left="460" w:right="540" w:firstLine="443"/>
        <w:spacing w:after="0" w:line="268" w:lineRule="auto"/>
        <w:tabs>
          <w:tab w:leader="none" w:pos="1157"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such periods as such Loan is a LIBOR Loan, at the Adjusted Eurodollar Rate for such Loan for the Interest Period therefor plus the Applicable Margin.</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Notwithstanding the foregoing, during the continuance of an Event of Default, the Borrower shall pay to the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43" w:lineRule="exact"/>
        <w:rPr>
          <w:sz w:val="20"/>
          <w:szCs w:val="20"/>
          <w:color w:val="auto"/>
        </w:rPr>
      </w:pPr>
    </w:p>
    <w:p>
      <w:pPr>
        <w:ind w:firstLine="464"/>
        <w:spacing w:after="0" w:line="290"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Accrued and unpaid interest on each Loan shall be payable (i) in the case of a Base Rate Loan, monthly in arrears on the first day of each calendar month, (ii) in the case of a LIBOR Loan, in arrears on the last day of each Interest Period therefor, and, if such Interest Period is longer than three months, at three-month intervals following the first day of such Interest Period, and (iii) in the case of any Loan, in arrears upon 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18" w:lineRule="exact"/>
        <w:rPr>
          <w:rFonts w:ascii="Arial" w:cs="Arial" w:eastAsia="Arial" w:hAnsi="Arial"/>
          <w:sz w:val="16"/>
          <w:szCs w:val="16"/>
          <w:color w:val="auto"/>
        </w:rPr>
      </w:pPr>
    </w:p>
    <w:p>
      <w:pPr>
        <w:ind w:right="140" w:firstLine="464"/>
        <w:spacing w:after="0" w:line="291"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Ratings Change</w:t>
      </w:r>
      <w:r>
        <w:rPr>
          <w:rFonts w:ascii="Arial" w:cs="Arial" w:eastAsia="Arial" w:hAnsi="Arial"/>
          <w:sz w:val="16"/>
          <w:szCs w:val="16"/>
          <w:color w:val="auto"/>
        </w:rPr>
        <w:t>.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 any incremental interest expense with respect to the Loans the interest rate on which included the Applicable Margin and (ii) if the initial change in the Applicable Margin was a decrease, then the Borrower shall promptly pay to the Agent for the ratable benefit of the Lenders for the period during which the increase existed determined as if such decrease had not occurred additional interest with respect to the Loans the interest rate on which included the Applicable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Number of Interest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may be no more than 6 different Interest Periods for LIBOR Loans outstanding at the same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8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2.4. Repayment of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repay the entire outstanding principal amount of, and all accrued but unpaid interest on, the Loans on the Termination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Prepayments.</w:t>
      </w:r>
    </w:p>
    <w:p>
      <w:pPr>
        <w:spacing w:after="0" w:line="96" w:lineRule="exact"/>
        <w:rPr>
          <w:sz w:val="20"/>
          <w:szCs w:val="20"/>
          <w:color w:val="auto"/>
        </w:rPr>
      </w:pPr>
    </w:p>
    <w:p>
      <w:pPr>
        <w:ind w:right="100" w:firstLine="464"/>
        <w:spacing w:after="0" w:line="268"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Subject to Section 4.4., the Borrower may prepay the Loans, in whole or in part, at any time without premium or penalty. The Borrower shall give the Agent at least one Business Day’s prior written notice of the prepayment of the Loans.</w:t>
      </w:r>
    </w:p>
    <w:p>
      <w:pPr>
        <w:spacing w:after="0" w:line="131"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Derivatives Contracts</w:t>
      </w:r>
      <w:r>
        <w:rPr>
          <w:rFonts w:ascii="Arial" w:cs="Arial" w:eastAsia="Arial" w:hAnsi="Arial"/>
          <w:sz w:val="18"/>
          <w:szCs w:val="18"/>
          <w:color w:val="auto"/>
        </w:rPr>
        <w:t>. No repayment or prepayment pursuant to this Section shall affect any of the Borrower’s obligations under any Derivatives Contract between the Borrower and any Lender (or any Affiliate of any Lender).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Continuation.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2.7. or the Borrower’s failure to comply with any of the terms of such Section.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Conversion.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62" w:name="page63"/>
    <w:bookmarkEnd w:id="6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Notes.</w:t>
      </w:r>
    </w:p>
    <w:p>
      <w:pPr>
        <w:spacing w:after="0" w:line="96" w:lineRule="exact"/>
        <w:rPr>
          <w:sz w:val="20"/>
          <w:szCs w:val="20"/>
          <w:color w:val="auto"/>
        </w:rPr>
      </w:pPr>
    </w:p>
    <w:p>
      <w:pPr>
        <w:ind w:right="60" w:firstLine="464"/>
        <w:spacing w:after="0" w:line="256"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Loan made by each Lender shall, in addition to this Agreement, also be evidenced by a promissory note of the Borrower substantially in the form of Exhibit E (each a “</w:t>
      </w:r>
      <w:r>
        <w:rPr>
          <w:rFonts w:ascii="Arial" w:cs="Arial" w:eastAsia="Arial" w:hAnsi="Arial"/>
          <w:sz w:val="18"/>
          <w:szCs w:val="18"/>
          <w:b w:val="1"/>
          <w:bCs w:val="1"/>
          <w:color w:val="auto"/>
        </w:rPr>
        <w:t>Note</w:t>
      </w:r>
      <w:r>
        <w:rPr>
          <w:rFonts w:ascii="Arial" w:cs="Arial" w:eastAsia="Arial" w:hAnsi="Arial"/>
          <w:sz w:val="18"/>
          <w:szCs w:val="18"/>
          <w:color w:val="auto"/>
        </w:rPr>
        <w:t>”), payable to the order of such Lender in a principal amount equal to the amount of its Commitment and otherwise duly completed, unless the Agent receives notice from any Lender that it does not desire to receive a Note, in which case the Loan made by such Lender shall not be evidenced by a Note.</w:t>
      </w:r>
    </w:p>
    <w:p>
      <w:pPr>
        <w:spacing w:after="0" w:line="143" w:lineRule="exact"/>
        <w:rPr>
          <w:rFonts w:ascii="Arial" w:cs="Arial" w:eastAsia="Arial" w:hAnsi="Arial"/>
          <w:sz w:val="18"/>
          <w:szCs w:val="18"/>
          <w:color w:val="auto"/>
        </w:rPr>
      </w:pPr>
    </w:p>
    <w:p>
      <w:pPr>
        <w:ind w:right="160" w:firstLine="464"/>
        <w:spacing w:after="0" w:line="256"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43" w:lineRule="exact"/>
        <w:rPr>
          <w:rFonts w:ascii="Arial" w:cs="Arial" w:eastAsia="Arial" w:hAnsi="Arial"/>
          <w:sz w:val="18"/>
          <w:szCs w:val="18"/>
          <w:color w:val="auto"/>
        </w:rPr>
      </w:pPr>
    </w:p>
    <w:p>
      <w:pPr>
        <w:ind w:right="120" w:firstLine="464"/>
        <w:spacing w:after="0" w:line="298"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of (i) written notice from a Lender that the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80" w:right="259" w:bottom="1440" w:gutter="0" w:footer="0" w:header="0"/>
        </w:sectPr>
      </w:pPr>
    </w:p>
    <w:bookmarkStart w:id="63" w:name="page64"/>
    <w:bookmarkEnd w:id="6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may, at the time of making each payment under this Agreement or any Note, specify to the Agent the amounts payable by the Borrower hereunder to which such payment is to be applied.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to the extent otherwise provided herein:</w:t>
      </w:r>
    </w:p>
    <w:p>
      <w:pPr>
        <w:spacing w:after="0" w:line="171" w:lineRule="exact"/>
        <w:rPr>
          <w:sz w:val="20"/>
          <w:szCs w:val="20"/>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making of the Loans under Section 2.1. shall be made, pro rata according to amounts of the Lenders’ respective Commitments;</w:t>
      </w:r>
    </w:p>
    <w:p>
      <w:pPr>
        <w:spacing w:after="0" w:line="171"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payment or prepayment of principal of Loans by the Borrower shall be made for the account of the Lenders pro rata in accordance with the respective unpaid principal amounts of the Loans held by them;</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payment of interest on the Loans by the Borrower shall be made for the account of the Lenders pro rata in accordance with the amounts of interest on such Loans then due and payable to the respective Lenders; and</w:t>
      </w:r>
    </w:p>
    <w:p>
      <w:pPr>
        <w:spacing w:after="0" w:line="131" w:lineRule="exact"/>
        <w:rPr>
          <w:rFonts w:ascii="Arial" w:cs="Arial" w:eastAsia="Arial" w:hAnsi="Arial"/>
          <w:sz w:val="18"/>
          <w:szCs w:val="18"/>
          <w:color w:val="auto"/>
        </w:rPr>
      </w:pPr>
    </w:p>
    <w:p>
      <w:pPr>
        <w:jc w:val="both"/>
        <w:ind w:right="60" w:firstLine="464"/>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Conversion and Continuation of the Loans of a particular Type (other than Conversions provided for by Section 4.5.) shall be made pro rata among the Lenders according to the amounts of their respective Loans and the then current Interest Period for each Lender’s portion of each Loan of such Type shall be coterminous.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a Lender shall obtain payment of any principal of, or interest on, the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60"/>
          </w:cols>
          <w:pgMar w:left="240" w:top="280" w:right="299" w:bottom="1440" w:gutter="0" w:footer="0" w:header="0"/>
        </w:sectPr>
      </w:pPr>
    </w:p>
    <w:bookmarkStart w:id="64" w:name="page65"/>
    <w:bookmarkEnd w:id="64"/>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Minimum Amounts.</w:t>
      </w:r>
    </w:p>
    <w:p>
      <w:pPr>
        <w:spacing w:after="0" w:line="96" w:lineRule="exact"/>
        <w:rPr>
          <w:sz w:val="20"/>
          <w:szCs w:val="20"/>
          <w:color w:val="auto"/>
        </w:rPr>
      </w:pPr>
    </w:p>
    <w:p>
      <w:pPr>
        <w:ind w:right="400" w:firstLine="464"/>
        <w:spacing w:after="0" w:line="332"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Base Rate Loans shall be in an aggregate minimum amount of $1,000,000 and integral multiples of $500,000 in excess thereof. LIBOR Loans shall be in an aggregate minimum amount of $1,000,000 and integral multiples of $1,000,000 in excess of that amount.</w:t>
      </w:r>
    </w:p>
    <w:p>
      <w:pPr>
        <w:spacing w:after="0" w:line="8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Prepayments</w:t>
      </w:r>
      <w:r>
        <w:rPr>
          <w:rFonts w:ascii="Arial" w:cs="Arial" w:eastAsia="Arial" w:hAnsi="Arial"/>
          <w:sz w:val="18"/>
          <w:szCs w:val="18"/>
          <w:color w:val="auto"/>
        </w:rPr>
        <w:t>. Each voluntary prepayment of the Loans shall be in an aggregate minimum amount of $1,000,000 and integral multiples of $100,000 in excess thereof (or, if less, the aggregate principal amount of Loans then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Administrative and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agrees to pay the administrative and other fees of the Agent as may be agreed to in writing by the Borrower and the Agent from time to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Computations.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80"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3.8. Usury.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Agreement Regarding Interest and Charges.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parties hereto hereby agree and stipulate that the only charge imposed upon the Borrower for the use of money in connection with this Agreement is and shall be the interest specifically described in Section 2.2.(a)(i) and (ii). Notwithstanding the foregoing, the parties hereto further agree and stipulate that all agency fees, syndication fees, closing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Statements of Account.</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Agent will account to the Borrower monthly with a statement of Loans,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Defaulting Lenders.</w:t>
      </w:r>
    </w:p>
    <w:p>
      <w:pPr>
        <w:spacing w:after="0" w:line="96" w:lineRule="exact"/>
        <w:rPr>
          <w:sz w:val="20"/>
          <w:szCs w:val="20"/>
          <w:color w:val="auto"/>
        </w:rPr>
      </w:pPr>
    </w:p>
    <w:p>
      <w:pPr>
        <w:ind w:firstLine="464"/>
        <w:spacing w:after="0" w:line="294"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If a Lender shall become a Defaulting Lender,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period such Lender remains a Defaulting Lender. If a Lender is a Defaulting Lender because it has failed to make timely payment to the Agent of any amount required to be paid to the Agent hereunder</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80"/>
          </w:cols>
          <w:pgMar w:left="240" w:top="274" w:right="279" w:bottom="1440" w:gutter="0" w:footer="0" w:header="0"/>
        </w:sectPr>
      </w:pPr>
    </w:p>
    <w:bookmarkStart w:id="66" w:name="page67"/>
    <w:bookmarkEnd w:id="66"/>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and (iii) to bring an action or suit against such Defaulting Lender in a court of competent jurisdiction to recover the defaulted amount and any related interest.</w:t>
      </w:r>
    </w:p>
    <w:p>
      <w:pPr>
        <w:spacing w:after="0" w:line="144" w:lineRule="exact"/>
        <w:rPr>
          <w:sz w:val="20"/>
          <w:szCs w:val="20"/>
          <w:color w:val="auto"/>
        </w:rPr>
      </w:pPr>
    </w:p>
    <w:p>
      <w:pPr>
        <w:ind w:firstLine="464"/>
        <w:spacing w:after="0" w:line="308" w:lineRule="auto"/>
        <w:tabs>
          <w:tab w:leader="none" w:pos="705"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Purchase of Defaulting Lender’s Loan</w:t>
      </w:r>
      <w:r>
        <w:rPr>
          <w:rFonts w:ascii="Arial" w:cs="Arial" w:eastAsia="Arial" w:hAnsi="Arial"/>
          <w:sz w:val="15"/>
          <w:szCs w:val="15"/>
          <w:color w:val="auto"/>
        </w:rPr>
        <w:t>. The Borrower may, by giving written notice thereof to the Agent, such Defaulting Lender and the other Lenders demand that such Defaulting Lender assign the unpaid principal balance of its Loan to an Eligible Assignee subject to and in accordance with the provisions of Section 12.5.(b). No party hereto shall have any obligation whatsoever to initiate any such replacement or to assist in finding an Eligible Assignee. Upon any such purchase or assignment, the Defaulting Lender’s interest in the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 12.5.(b) shall pay to the Agent an assignment fee in the amount of $7,000. A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3.12. Taxes.</w:t>
      </w:r>
    </w:p>
    <w:p>
      <w:pPr>
        <w:spacing w:after="0" w:line="96" w:lineRule="exact"/>
        <w:rPr>
          <w:sz w:val="20"/>
          <w:szCs w:val="20"/>
          <w:color w:val="auto"/>
        </w:rPr>
      </w:pPr>
    </w:p>
    <w:p>
      <w:pPr>
        <w:ind w:right="40" w:firstLine="464"/>
        <w:spacing w:after="0" w:line="287"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Taxes Generally</w:t>
      </w:r>
      <w:r>
        <w:rPr>
          <w:rFonts w:ascii="Arial" w:cs="Arial" w:eastAsia="Arial" w:hAnsi="Arial"/>
          <w:sz w:val="16"/>
          <w:szCs w:val="16"/>
          <w:color w:val="auto"/>
        </w:rPr>
        <w:t>.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 (i) franchise taxes, (ii) any taxes (other than withholding taxes) with respect to the 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 (iii) 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 (v) any taxes arising after the Agreement Date solely as a result of or attributable to a Lender changing its designated Lending Office after the date such Lender becomes a party hereto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41" w:lineRule="exact"/>
        <w:rPr>
          <w:rFonts w:ascii="Arial" w:cs="Arial" w:eastAsia="Arial" w:hAnsi="Arial"/>
          <w:sz w:val="16"/>
          <w:szCs w:val="16"/>
          <w:color w:val="auto"/>
        </w:rPr>
      </w:pPr>
    </w:p>
    <w:p>
      <w:pPr>
        <w:ind w:left="460" w:right="480" w:firstLine="443"/>
        <w:spacing w:after="0" w:line="268" w:lineRule="auto"/>
        <w:tabs>
          <w:tab w:leader="none" w:pos="11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 directly to the relevant Governmental Authority the full amount required to be so withheld or deducted prior to the date the same would become delinquent;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80" w:right="239" w:bottom="1440" w:gutter="0" w:footer="0" w:header="0"/>
        </w:sectPr>
      </w:pPr>
    </w:p>
    <w:bookmarkStart w:id="67" w:name="page68"/>
    <w:bookmarkEnd w:id="67"/>
    <w:p>
      <w:pPr>
        <w:ind w:left="460" w:right="980" w:firstLine="443"/>
        <w:spacing w:after="0" w:line="268"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forward to the Agent an official receipt or other documentation satisfactory to the Agent evidencing such payment to such Governmental Authority; and</w:t>
      </w:r>
    </w:p>
    <w:p>
      <w:pPr>
        <w:spacing w:after="0" w:line="50" w:lineRule="exact"/>
        <w:rPr>
          <w:rFonts w:ascii="Arial" w:cs="Arial" w:eastAsia="Arial" w:hAnsi="Arial"/>
          <w:sz w:val="18"/>
          <w:szCs w:val="18"/>
          <w:color w:val="auto"/>
        </w:rPr>
      </w:pPr>
    </w:p>
    <w:p>
      <w:pPr>
        <w:ind w:left="460" w:right="200" w:firstLine="443"/>
        <w:spacing w:after="0" w:line="335" w:lineRule="auto"/>
        <w:tabs>
          <w:tab w:leader="none" w:pos="1205" w:val="left"/>
        </w:tabs>
        <w:numPr>
          <w:ilvl w:val="1"/>
          <w:numId w:val="37"/>
        </w:numPr>
        <w:rPr>
          <w:rFonts w:ascii="Arial" w:cs="Arial" w:eastAsia="Arial" w:hAnsi="Arial"/>
          <w:sz w:val="15"/>
          <w:szCs w:val="15"/>
          <w:color w:val="auto"/>
        </w:rPr>
      </w:pPr>
      <w:r>
        <w:rPr>
          <w:rFonts w:ascii="Arial" w:cs="Arial" w:eastAsia="Arial" w:hAnsi="Arial"/>
          <w:sz w:val="15"/>
          <w:szCs w:val="15"/>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88" w:lineRule="exact"/>
        <w:rPr>
          <w:rFonts w:ascii="Arial" w:cs="Arial" w:eastAsia="Arial" w:hAnsi="Arial"/>
          <w:sz w:val="15"/>
          <w:szCs w:val="15"/>
          <w:color w:val="auto"/>
        </w:rPr>
      </w:pPr>
    </w:p>
    <w:p>
      <w:pPr>
        <w:jc w:val="both"/>
        <w:ind w:right="140" w:firstLine="464"/>
        <w:spacing w:after="0" w:line="303" w:lineRule="auto"/>
        <w:tabs>
          <w:tab w:leader="none" w:pos="705"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Tax Indemnification</w:t>
      </w:r>
      <w:r>
        <w:rPr>
          <w:rFonts w:ascii="Arial" w:cs="Arial" w:eastAsia="Arial" w:hAnsi="Arial"/>
          <w:sz w:val="15"/>
          <w:szCs w:val="15"/>
          <w:color w:val="auto"/>
        </w:rPr>
        <w:t>.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For purposes of this Section, a distribution hereunder by the Agent or any Lender to or for the account of any Lender shall be deemed a payment by the Borrower.</w:t>
      </w:r>
    </w:p>
    <w:p>
      <w:pPr>
        <w:spacing w:after="0" w:line="199" w:lineRule="exact"/>
        <w:rPr>
          <w:rFonts w:ascii="Arial" w:cs="Arial" w:eastAsia="Arial" w:hAnsi="Arial"/>
          <w:sz w:val="15"/>
          <w:szCs w:val="15"/>
          <w:color w:val="auto"/>
        </w:rPr>
      </w:pPr>
    </w:p>
    <w:p>
      <w:pPr>
        <w:ind w:firstLine="464"/>
        <w:spacing w:after="0" w:line="286"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Tax Forms</w:t>
      </w:r>
      <w:r>
        <w:rPr>
          <w:rFonts w:ascii="Arial" w:cs="Arial" w:eastAsia="Arial" w:hAnsi="Arial"/>
          <w:sz w:val="16"/>
          <w:szCs w:val="16"/>
          <w:color w:val="auto"/>
        </w:rPr>
        <w:t>.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 shall, to the extent it may lawfully do so, (x) deliver further copies of such forms or other appropriate certifications on or before the date that any such forms expire or become obsolete 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the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w:t>
      </w:r>
    </w:p>
    <w:p>
      <w:pPr>
        <w:spacing w:after="0" w:line="110" w:lineRule="exact"/>
        <w:rPr>
          <w:rFonts w:ascii="Arial" w:cs="Arial" w:eastAsia="Arial" w:hAnsi="Arial"/>
          <w:sz w:val="16"/>
          <w:szCs w:val="16"/>
          <w:color w:val="auto"/>
        </w:rPr>
      </w:pPr>
    </w:p>
    <w:p>
      <w:pPr>
        <w:ind w:left="5620" w:hanging="96"/>
        <w:spacing w:after="0"/>
        <w:tabs>
          <w:tab w:leader="none" w:pos="5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00"/>
          </w:cols>
          <w:pgMar w:left="240" w:top="280" w:right="259" w:bottom="1440" w:gutter="0" w:footer="0" w:header="0"/>
        </w:sectPr>
      </w:pPr>
    </w:p>
    <w:bookmarkStart w:id="68" w:name="page69"/>
    <w:bookmarkEnd w:id="6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 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repayment of all Obligations and the resignation or replacement of the Agent.</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right="60" w:firstLine="464"/>
        <w:spacing w:after="0" w:line="286"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 (such increases in costs and reductions in amounts receivable being herein called “</w:t>
      </w:r>
      <w:r>
        <w:rPr>
          <w:rFonts w:ascii="Arial" w:cs="Arial" w:eastAsia="Arial" w:hAnsi="Arial"/>
          <w:sz w:val="16"/>
          <w:szCs w:val="16"/>
          <w:b w:val="1"/>
          <w:bCs w:val="1"/>
          <w:color w:val="auto"/>
        </w:rPr>
        <w:t>Additional Costs</w:t>
      </w:r>
      <w:r>
        <w:rPr>
          <w:rFonts w:ascii="Arial" w:cs="Arial" w:eastAsia="Arial" w:hAnsi="Arial"/>
          <w:sz w:val="16"/>
          <w:szCs w:val="16"/>
          <w:color w:val="auto"/>
        </w:rPr>
        <w:t>”), to the extent resulting from any Regulatory Change that: (i) changes the basis of taxation of any amounts payable to such Lender under this Agreement or any of the other Loan Documents in respect of its Loan (other than taxes, fees, duties, levies, imposts, charges, deductions, withholdings or other charges which are excluded from the definition of Taxes pursuant to the first sentence of Section 3.12.(a) or payable as a result of failing to deliver forms required by 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120"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80" w:right="259" w:bottom="1440" w:gutter="0" w:footer="0" w:header="0"/>
        </w:sectPr>
      </w:pPr>
    </w:p>
    <w:bookmarkStart w:id="69" w:name="page70"/>
    <w:bookmarkEnd w:id="69"/>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(with a copy to the Agent), the obligation of such Lender to Continue, or to Convert any other Type of Loans into, LIBOR Loans hereunder shall be suspended until such Regulatory Change ceases to be in effect (in which case the provisions of Section 4.5. shall apply).</w:t>
      </w:r>
    </w:p>
    <w:p>
      <w:pPr>
        <w:spacing w:after="0" w:line="85" w:lineRule="exact"/>
        <w:rPr>
          <w:sz w:val="20"/>
          <w:szCs w:val="20"/>
          <w:color w:val="auto"/>
        </w:rPr>
      </w:pPr>
    </w:p>
    <w:p>
      <w:pPr>
        <w:ind w:firstLine="464"/>
        <w:spacing w:after="0" w:line="288"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Anything herein to the contrary notwithstanding, if, on or prior to the determination of any Adjusted Eurodollar Rate for any Interest Period:</w:t>
      </w:r>
    </w:p>
    <w:p>
      <w:pPr>
        <w:spacing w:after="0" w:line="113" w:lineRule="exact"/>
        <w:rPr>
          <w:sz w:val="20"/>
          <w:szCs w:val="20"/>
          <w:color w:val="auto"/>
        </w:rPr>
      </w:pPr>
    </w:p>
    <w:p>
      <w:pPr>
        <w:ind w:left="460" w:right="600" w:firstLine="443"/>
        <w:spacing w:after="0" w:line="332"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Agent reasonably determines (which determination shall be conclusive) that the Adjusted Eurodollar Rate will not adequately and fairly reflect the cost to the Lenders of maintaining LIBOR Loans for such Interest Period;</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then the Agent shall give the Borrower and each Lender prompt notice thereof and, so long as such condition remains in effect, the Lenders shall be under no obligation to, and shall not, Continue LIBOR Loans or Convert Loans into LIBOR Loans and the Borrower shall, on the last day of each current Interest Period for each outstanding LIBOR Loan, either repay such Loan or Convert such Loan into a Base Rate Loan.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Notwithstanding any other provision of this Agreement, if any Lender shall reasonably determine (which determination shall be conclusive and binding) that it has become unlawful after the Agreement Date for such Lender to honor its obligation to maintain LIBOR Loans hereunder, then such Lender shall promptly notify the Borrower thereof (with a copy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280" w:right="259" w:bottom="1440" w:gutter="0" w:footer="0" w:header="0"/>
        </w:sectPr>
      </w:pPr>
    </w:p>
    <w:bookmarkStart w:id="70" w:name="page71"/>
    <w:bookmarkEnd w:id="7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and such Lender’s obligation to Continue, or to Convert Loans of any other Type into, LIBOR Loans shall be suspended until such time as such Lender may again maintain LIBOR Loans (in which case the provisions of Section 4.5. shall be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96"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ind w:left="460" w:right="180" w:firstLine="443"/>
        <w:spacing w:after="0" w:line="332"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right="280" w:firstLine="443"/>
        <w:spacing w:after="0" w:line="306" w:lineRule="auto"/>
        <w:tabs>
          <w:tab w:leader="none" w:pos="11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failure by the Borrower for any reason (including, without limitation, the failure of any of the applicable conditions precedent specified in Article V. to be satisfied) to borrow a LIBOR Loan from such Lender on the requested date for such borrowing, or to Convert a Base Rate Loan into a LIBOR Loan or Continue a LIBOR Loan on the requested date of such Conversion or Continuation.</w:t>
      </w:r>
    </w:p>
    <w:p>
      <w:pPr>
        <w:spacing w:after="0" w:line="10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obligation of any Lender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4.1.(b)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62" w:lineRule="exact"/>
        <w:rPr>
          <w:sz w:val="20"/>
          <w:szCs w:val="20"/>
          <w:color w:val="auto"/>
        </w:rPr>
      </w:pPr>
    </w:p>
    <w:p>
      <w:pPr>
        <w:ind w:left="460" w:right="500" w:firstLine="443"/>
        <w:spacing w:after="0" w:line="268"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Loans that would otherwise be Continued by such Lender as LIBOR Loans shall be Continued instead as Base Rate Loans, and all Base Rate Loans of such Lender that would otherwise be Converted into LIBOR Loans shall remain as Base Rate Loans.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80" w:right="239" w:bottom="1440" w:gutter="0" w:footer="0" w:header="0"/>
        </w:sectPr>
      </w:pPr>
    </w:p>
    <w:bookmarkStart w:id="71" w:name="page72"/>
    <w:bookmarkEnd w:id="7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of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 respective unpaid principal amount of the Loans held by each of the Lenders.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Change of Lending Office.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Assumptions Concerning Funding of LIBOR Loans.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Affected Lenders.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(a) a Lender requests compensation pursuant to Section 3.12. or 4.1., and the Requisite Lenders are not also doing the same, or (b) the obligation of any Lender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and upon such demand the Affected Lender shall promptly, assign its Loan to an Eligible Assignee subject to and in accordance with the provisions of Section 12.5.(b)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280" w:right="259" w:bottom="1440" w:gutter="0" w:footer="0" w:header="0"/>
        </w:sectPr>
      </w:pPr>
    </w:p>
    <w:bookmarkStart w:id="72" w:name="page73"/>
    <w:bookmarkEnd w:id="72"/>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its rights under this Section shall be at the Borrower’s sole cost and expenses and at no cost or expense to the Agent, the Affected Lender or any of the other Lenders. Subject to the proviso to Section 4.1.(c), the terms of this Section shall not in any way limit the Borrower’s obligation to pay to any Affected Lender compensation owing to such Affected Lender pursuant to Section 3.12. or 4.1. for periods up to the date of replacement.</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of the Lenders to make the Loans on the Effective Date is subject to the following conditions precedent:</w:t>
      </w:r>
    </w:p>
    <w:p>
      <w:pPr>
        <w:spacing w:after="0" w:line="171"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Agent shall have received each of the following, in form and substance satisfactory to the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Notes executed by the Borrower and complying with the applicable provisions of Section 2.8. executed by the Borrower;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Guaranty executed by each Guarantor existing as of the Effective Date;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opinion of counsel to the Loan Parties, addressed to the Agent and the Lenders, in substantially the form set forth in Exhibit 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declaration of trust of the Borrower certified as of a recent date by the Secretary of State of the state of its incorporation;</w:t>
      </w:r>
    </w:p>
    <w:p>
      <w:pPr>
        <w:spacing w:after="0" w:line="90" w:lineRule="exact"/>
        <w:rPr>
          <w:rFonts w:ascii="Arial" w:cs="Arial" w:eastAsia="Arial" w:hAnsi="Arial"/>
          <w:sz w:val="18"/>
          <w:szCs w:val="18"/>
          <w:color w:val="auto"/>
        </w:rPr>
      </w:pPr>
    </w:p>
    <w:p>
      <w:pPr>
        <w:jc w:val="both"/>
        <w:ind w:left="460" w:firstLine="443"/>
        <w:spacing w:after="0" w:line="256" w:lineRule="auto"/>
        <w:tabs>
          <w:tab w:leader="none" w:pos="11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 where the failure to be so qualified could reasonably be expected to have a Material Adverse Effect;</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2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the Notice of Borrowing and Notices of Continuation and Notices of Conversion;</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293"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300"/>
          </w:cols>
          <w:pgMar w:left="240" w:top="280" w:right="359" w:bottom="1440" w:gutter="0" w:footer="0" w:header="0"/>
        </w:sectPr>
      </w:pPr>
    </w:p>
    <w:bookmarkStart w:id="73" w:name="page74"/>
    <w:bookmarkEnd w:id="73"/>
    <w:p>
      <w:pPr>
        <w:ind w:left="-443" w:right="80" w:firstLine="443"/>
        <w:spacing w:after="0" w:line="268" w:lineRule="auto"/>
        <w:tabs>
          <w:tab w:leader="none" w:pos="293"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50" w:lineRule="exact"/>
        <w:rPr>
          <w:rFonts w:ascii="Arial" w:cs="Arial" w:eastAsia="Arial" w:hAnsi="Arial"/>
          <w:sz w:val="18"/>
          <w:szCs w:val="18"/>
          <w:color w:val="auto"/>
        </w:rPr>
      </w:pPr>
    </w:p>
    <w:p>
      <w:pPr>
        <w:ind w:left="-443" w:right="40" w:firstLine="443"/>
        <w:spacing w:after="0" w:line="255" w:lineRule="auto"/>
        <w:tabs>
          <w:tab w:leader="none" w:pos="2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each Guarantor issued as of a recent date by (or other comparable evidence from) the Secretary of State of the state of formation of each such Guarantor and certificates of qualification to transact business or other comparable certificates issued by (or other comparable evidence from)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61" w:lineRule="exact"/>
        <w:rPr>
          <w:rFonts w:ascii="Arial" w:cs="Arial" w:eastAsia="Arial" w:hAnsi="Arial"/>
          <w:sz w:val="18"/>
          <w:szCs w:val="18"/>
          <w:color w:val="auto"/>
        </w:rPr>
      </w:pPr>
    </w:p>
    <w:p>
      <w:pPr>
        <w:ind w:left="-443" w:right="120" w:firstLine="443"/>
        <w:spacing w:after="0" w:line="332" w:lineRule="auto"/>
        <w:tabs>
          <w:tab w:leader="none" w:pos="29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4" w:lineRule="exact"/>
        <w:rPr>
          <w:rFonts w:ascii="Arial" w:cs="Arial" w:eastAsia="Arial" w:hAnsi="Arial"/>
          <w:sz w:val="16"/>
          <w:szCs w:val="16"/>
          <w:color w:val="auto"/>
        </w:rPr>
      </w:pPr>
    </w:p>
    <w:p>
      <w:pPr>
        <w:ind w:left="-443" w:firstLine="443"/>
        <w:spacing w:after="0" w:line="294" w:lineRule="auto"/>
        <w:tabs>
          <w:tab w:leader="none" w:pos="3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(ii) all corporate, partnership, member or other necessary action taken by such Guarantor to authorize the execution, delivery and performance of the Loan Documents to which it is a party and (iii) the articles of incorporation, articles of organization, certificate of limited partnership or other comparable organizational instrument (if any) of such Guarantor;</w:t>
      </w:r>
    </w:p>
    <w:p>
      <w:pPr>
        <w:spacing w:after="0" w:line="34" w:lineRule="exact"/>
        <w:rPr>
          <w:rFonts w:ascii="Arial" w:cs="Arial" w:eastAsia="Arial" w:hAnsi="Arial"/>
          <w:sz w:val="16"/>
          <w:szCs w:val="16"/>
          <w:color w:val="auto"/>
        </w:rPr>
      </w:pPr>
    </w:p>
    <w:p>
      <w:pPr>
        <w:ind w:left="-443" w:firstLine="443"/>
        <w:spacing w:after="0" w:line="268" w:lineRule="auto"/>
        <w:tabs>
          <w:tab w:leader="none" w:pos="39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Fees then due and payable under Section 3.6., and any other Fees payable to the Agent, the Titled Agents and the Lenders on or prior to the Effective Date;</w:t>
      </w:r>
    </w:p>
    <w:p>
      <w:pPr>
        <w:spacing w:after="0" w:line="50" w:lineRule="exact"/>
        <w:rPr>
          <w:rFonts w:ascii="Arial" w:cs="Arial" w:eastAsia="Arial" w:hAnsi="Arial"/>
          <w:sz w:val="18"/>
          <w:szCs w:val="18"/>
          <w:color w:val="auto"/>
        </w:rPr>
      </w:pPr>
    </w:p>
    <w:p>
      <w:pPr>
        <w:ind w:left="377" w:hanging="377"/>
        <w:spacing w:after="0"/>
        <w:tabs>
          <w:tab w:leader="none" w:pos="3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 of payment in full of all Indebtedness owed by the Borrower under the Existing Term Loan Agreement;</w:t>
      </w:r>
    </w:p>
    <w:p>
      <w:pPr>
        <w:spacing w:after="0" w:line="90" w:lineRule="exact"/>
        <w:rPr>
          <w:rFonts w:ascii="Arial" w:cs="Arial" w:eastAsia="Arial" w:hAnsi="Arial"/>
          <w:sz w:val="18"/>
          <w:szCs w:val="18"/>
          <w:color w:val="auto"/>
        </w:rPr>
      </w:pPr>
    </w:p>
    <w:p>
      <w:pPr>
        <w:ind w:left="-443" w:right="40" w:firstLine="443"/>
        <w:spacing w:after="0" w:line="268" w:lineRule="auto"/>
        <w:tabs>
          <w:tab w:leader="none" w:pos="3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Compliance Certificate calculated as of December 31, 2008 (giving pro forma effect to the financing contemplated by this Agreement and the use of the proceeds of the Loans to be funded on the Effective Date);</w:t>
      </w:r>
    </w:p>
    <w:p>
      <w:pPr>
        <w:spacing w:after="0" w:line="50" w:lineRule="exact"/>
        <w:rPr>
          <w:rFonts w:ascii="Arial" w:cs="Arial" w:eastAsia="Arial" w:hAnsi="Arial"/>
          <w:sz w:val="18"/>
          <w:szCs w:val="18"/>
          <w:color w:val="auto"/>
        </w:rPr>
      </w:pPr>
    </w:p>
    <w:p>
      <w:pPr>
        <w:ind w:left="377" w:hanging="377"/>
        <w:spacing w:after="0"/>
        <w:tabs>
          <w:tab w:leader="none" w:pos="3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Notice of Borrowing; and</w:t>
      </w:r>
    </w:p>
    <w:p>
      <w:pPr>
        <w:spacing w:after="0" w:line="157" w:lineRule="exact"/>
        <w:rPr>
          <w:rFonts w:ascii="Arial" w:cs="Arial" w:eastAsia="Arial" w:hAnsi="Arial"/>
          <w:sz w:val="18"/>
          <w:szCs w:val="18"/>
          <w:color w:val="auto"/>
        </w:rPr>
      </w:pPr>
    </w:p>
    <w:p>
      <w:pPr>
        <w:ind w:left="4717" w:hanging="96"/>
        <w:spacing w:after="0"/>
        <w:tabs>
          <w:tab w:leader="none" w:pos="47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497"/>
          </w:cols>
          <w:pgMar w:left="1143" w:top="280" w:right="259" w:bottom="1440" w:gutter="0" w:footer="0" w:header="0"/>
        </w:sectPr>
      </w:pPr>
    </w:p>
    <w:bookmarkStart w:id="74" w:name="page75"/>
    <w:bookmarkEnd w:id="74"/>
    <w:p>
      <w:pPr>
        <w:ind w:left="880" w:hanging="437"/>
        <w:spacing w:after="0"/>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other documents, agreements and instruments as the Agent on behalf of the Lenders may reasonably request; and</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good faith judgment of the Agent and the Lenders:</w:t>
      </w:r>
    </w:p>
    <w:p>
      <w:pPr>
        <w:spacing w:after="0" w:line="90" w:lineRule="exact"/>
        <w:rPr>
          <w:rFonts w:ascii="Arial" w:cs="Arial" w:eastAsia="Arial" w:hAnsi="Arial"/>
          <w:sz w:val="18"/>
          <w:szCs w:val="18"/>
          <w:color w:val="auto"/>
        </w:rPr>
      </w:pPr>
    </w:p>
    <w:p>
      <w:pPr>
        <w:ind w:right="200" w:firstLine="443"/>
        <w:spacing w:after="0" w:line="306" w:lineRule="auto"/>
        <w:tabs>
          <w:tab w:leader="none" w:pos="648"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25" w:lineRule="exact"/>
        <w:rPr>
          <w:rFonts w:ascii="Arial" w:cs="Arial" w:eastAsia="Arial" w:hAnsi="Arial"/>
          <w:sz w:val="16"/>
          <w:szCs w:val="16"/>
          <w:color w:val="auto"/>
        </w:rPr>
      </w:pPr>
    </w:p>
    <w:p>
      <w:pPr>
        <w:ind w:firstLine="443"/>
        <w:spacing w:after="0" w:line="306" w:lineRule="auto"/>
        <w:tabs>
          <w:tab w:leader="none" w:pos="6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25" w:lineRule="exact"/>
        <w:rPr>
          <w:rFonts w:ascii="Arial" w:cs="Arial" w:eastAsia="Arial" w:hAnsi="Arial"/>
          <w:sz w:val="16"/>
          <w:szCs w:val="16"/>
          <w:color w:val="auto"/>
        </w:rPr>
      </w:pPr>
    </w:p>
    <w:p>
      <w:pPr>
        <w:ind w:firstLine="443"/>
        <w:spacing w:after="0" w:line="305" w:lineRule="auto"/>
        <w:tabs>
          <w:tab w:leader="none" w:pos="745"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spacing w:after="0" w:line="295" w:lineRule="auto"/>
        <w:rPr>
          <w:rFonts w:ascii="Arial" w:cs="Arial" w:eastAsia="Arial" w:hAnsi="Arial"/>
          <w:sz w:val="15"/>
          <w:szCs w:val="15"/>
          <w:color w:val="auto"/>
        </w:rPr>
      </w:pPr>
      <w:r>
        <w:rPr>
          <w:rFonts w:ascii="Arial" w:cs="Arial" w:eastAsia="Arial" w:hAnsi="Arial"/>
          <w:sz w:val="16"/>
          <w:szCs w:val="16"/>
          <w:color w:val="auto"/>
        </w:rPr>
        <w:t>(1) 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34" w:lineRule="exact"/>
        <w:rPr>
          <w:rFonts w:ascii="Arial" w:cs="Arial" w:eastAsia="Arial" w:hAnsi="Arial"/>
          <w:sz w:val="15"/>
          <w:szCs w:val="15"/>
          <w:color w:val="auto"/>
        </w:rPr>
      </w:pPr>
    </w:p>
    <w:p>
      <w:pPr>
        <w:ind w:right="720" w:firstLine="443"/>
        <w:spacing w:after="0" w:line="268" w:lineRule="auto"/>
        <w:tabs>
          <w:tab w:leader="none" w:pos="7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 and</w:t>
      </w:r>
    </w:p>
    <w:p>
      <w:pPr>
        <w:spacing w:after="0" w:line="131" w:lineRule="exact"/>
        <w:rPr>
          <w:rFonts w:ascii="Arial" w:cs="Arial" w:eastAsia="Arial" w:hAnsi="Arial"/>
          <w:sz w:val="18"/>
          <w:szCs w:val="18"/>
          <w:color w:val="auto"/>
        </w:rPr>
      </w:pPr>
    </w:p>
    <w:p>
      <w:pPr>
        <w:ind w:left="240" w:hanging="236"/>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Default or Event of Default shall exist as of the date of the making of such Loans or would exist immediately after giving effect thereto; and</w:t>
      </w:r>
    </w:p>
    <w:p>
      <w:pPr>
        <w:spacing w:after="0" w:line="194" w:lineRule="exact"/>
        <w:rPr>
          <w:rFonts w:ascii="Arial" w:cs="Arial" w:eastAsia="Arial" w:hAnsi="Arial"/>
          <w:sz w:val="16"/>
          <w:szCs w:val="16"/>
          <w:color w:val="auto"/>
        </w:rPr>
      </w:pPr>
    </w:p>
    <w:p>
      <w:pPr>
        <w:ind w:left="-460" w:right="20" w:firstLine="464"/>
        <w:spacing w:after="0" w:line="323" w:lineRule="auto"/>
        <w:tabs>
          <w:tab w:leader="none" w:pos="245"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representations and warranties made or deemed made by the Borrower and each other Loan Party in the Loan Documents to which any of them is a party shall be true and correct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84" w:lineRule="exact"/>
        <w:rPr>
          <w:rFonts w:ascii="Arial" w:cs="Arial" w:eastAsia="Arial" w:hAnsi="Arial"/>
          <w:sz w:val="15"/>
          <w:szCs w:val="15"/>
          <w:color w:val="auto"/>
        </w:rPr>
      </w:pPr>
    </w:p>
    <w:p>
      <w:pPr>
        <w:ind w:left="5160" w:hanging="96"/>
        <w:spacing w:after="0"/>
        <w:tabs>
          <w:tab w:leader="none" w:pos="51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40"/>
          </w:cols>
          <w:pgMar w:left="700" w:top="280"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order to induce the Agent and each Lender to enter into this Agreement and to make Loans, the Borrower represents and warrants to the Agent and each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 as follows:</w:t>
      </w:r>
    </w:p>
    <w:p>
      <w:pPr>
        <w:spacing w:after="0" w:line="165" w:lineRule="exact"/>
        <w:rPr>
          <w:sz w:val="20"/>
          <w:szCs w:val="20"/>
          <w:color w:val="auto"/>
        </w:rPr>
      </w:pPr>
    </w:p>
    <w:p>
      <w:pPr>
        <w:ind w:firstLine="464"/>
        <w:spacing w:after="0" w:line="254"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44" w:lineRule="exact"/>
        <w:rPr>
          <w:rFonts w:ascii="Arial" w:cs="Arial" w:eastAsia="Arial" w:hAnsi="Arial"/>
          <w:sz w:val="18"/>
          <w:szCs w:val="18"/>
          <w:color w:val="auto"/>
        </w:rPr>
      </w:pPr>
    </w:p>
    <w:p>
      <w:pPr>
        <w:ind w:right="20" w:firstLine="464"/>
        <w:spacing w:after="0" w:line="286"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xml:space="preserve">. As of the Agreement Date, Part I of </w:t>
      </w:r>
      <w:r>
        <w:rPr>
          <w:rFonts w:ascii="Arial" w:cs="Arial" w:eastAsia="Arial" w:hAnsi="Arial"/>
          <w:sz w:val="16"/>
          <w:szCs w:val="16"/>
          <w:u w:val="single" w:color="auto"/>
          <w:color w:val="auto"/>
        </w:rPr>
        <w:t>Schedule 6.1.(b</w:t>
      </w:r>
      <w:r>
        <w:rPr>
          <w:rFonts w:ascii="Arial" w:cs="Arial" w:eastAsia="Arial" w:hAnsi="Arial"/>
          <w:sz w:val="16"/>
          <w:szCs w:val="16"/>
          <w:color w:val="auto"/>
        </w:rPr>
        <w:t>) is a true, complete and correct list of all Subsidiaries of the Borrower setting forth for each such 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 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4" w:lineRule="exact"/>
        <w:rPr>
          <w:rFonts w:ascii="Arial" w:cs="Arial" w:eastAsia="Arial" w:hAnsi="Arial"/>
          <w:sz w:val="16"/>
          <w:szCs w:val="16"/>
          <w:color w:val="auto"/>
        </w:rPr>
      </w:pPr>
    </w:p>
    <w:p>
      <w:pPr>
        <w:ind w:right="40" w:firstLine="464"/>
        <w:spacing w:after="0" w:line="255"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 Etc</w:t>
      </w:r>
      <w:r>
        <w:rPr>
          <w:rFonts w:ascii="Arial" w:cs="Arial" w:eastAsia="Arial" w:hAnsi="Arial"/>
          <w:sz w:val="18"/>
          <w:szCs w:val="18"/>
          <w:color w:val="auto"/>
        </w:rPr>
        <w:t>.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274" w:right="259" w:bottom="1440" w:gutter="0" w:footer="0" w:header="0"/>
        </w:sectPr>
      </w:pPr>
    </w:p>
    <w:bookmarkStart w:id="76" w:name="page77"/>
    <w:bookmarkEnd w:id="7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43" w:lineRule="exact"/>
        <w:rPr>
          <w:sz w:val="20"/>
          <w:szCs w:val="20"/>
          <w:color w:val="auto"/>
        </w:rPr>
      </w:pPr>
    </w:p>
    <w:p>
      <w:pPr>
        <w:jc w:val="both"/>
        <w:ind w:firstLine="464"/>
        <w:spacing w:after="0" w:line="284" w:lineRule="auto"/>
        <w:tabs>
          <w:tab w:leader="none" w:pos="70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 Etc</w:t>
      </w:r>
      <w:r>
        <w:rPr>
          <w:rFonts w:ascii="Arial" w:cs="Arial" w:eastAsia="Arial" w:hAnsi="Arial"/>
          <w:sz w:val="16"/>
          <w:szCs w:val="16"/>
          <w:color w:val="auto"/>
        </w:rPr>
        <w:t>.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w:t>
      </w:r>
    </w:p>
    <w:p>
      <w:pPr>
        <w:spacing w:after="0" w:line="1" w:lineRule="exact"/>
        <w:rPr>
          <w:rFonts w:ascii="Arial" w:cs="Arial" w:eastAsia="Arial" w:hAnsi="Arial"/>
          <w:sz w:val="16"/>
          <w:szCs w:val="16"/>
          <w:color w:val="auto"/>
        </w:rPr>
      </w:pPr>
    </w:p>
    <w:p>
      <w:pPr>
        <w:ind w:right="500" w:firstLine="8"/>
        <w:spacing w:after="0" w:line="281" w:lineRule="auto"/>
        <w:tabs>
          <w:tab w:leader="none" w:pos="2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conflict with, result in a breach of or constitute a default under the organizational documents of the Borrower or any other Loan Party, or any indenture, agreement or other instrument to which the Borrower or any other Loan Party is a party or by which it or any of its respective properties may be bound; or</w:t>
      </w:r>
    </w:p>
    <w:p>
      <w:pPr>
        <w:spacing w:after="0" w:line="1" w:lineRule="exact"/>
        <w:rPr>
          <w:rFonts w:ascii="Arial" w:cs="Arial" w:eastAsia="Arial" w:hAnsi="Arial"/>
          <w:sz w:val="16"/>
          <w:szCs w:val="16"/>
          <w:color w:val="auto"/>
        </w:rPr>
      </w:pPr>
    </w:p>
    <w:p>
      <w:pPr>
        <w:ind w:right="20" w:firstLine="8"/>
        <w:spacing w:after="0" w:line="261" w:lineRule="auto"/>
        <w:tabs>
          <w:tab w:leader="none" w:pos="3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upon or with respect to any property now owned or hereafter acquired by the Borrower or any other Loan Party.</w:t>
      </w:r>
    </w:p>
    <w:p>
      <w:pPr>
        <w:spacing w:after="0" w:line="137" w:lineRule="exact"/>
        <w:rPr>
          <w:rFonts w:ascii="Arial" w:cs="Arial" w:eastAsia="Arial" w:hAnsi="Arial"/>
          <w:sz w:val="18"/>
          <w:szCs w:val="18"/>
          <w:color w:val="auto"/>
        </w:rPr>
      </w:pPr>
    </w:p>
    <w:p>
      <w:pPr>
        <w:jc w:val="both"/>
        <w:ind w:right="120" w:firstLine="464"/>
        <w:spacing w:after="0" w:line="256"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The Borrower, each Subsidiary and each other Loan Party is in compliance with each Governmental Approval applicable to it and in compliance with all other Applicable Laws (including without 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143" w:lineRule="exact"/>
        <w:rPr>
          <w:rFonts w:ascii="Arial" w:cs="Arial" w:eastAsia="Arial" w:hAnsi="Arial"/>
          <w:sz w:val="18"/>
          <w:szCs w:val="18"/>
          <w:color w:val="auto"/>
        </w:rPr>
      </w:pPr>
    </w:p>
    <w:p>
      <w:pPr>
        <w:jc w:val="both"/>
        <w:ind w:right="120" w:firstLine="464"/>
        <w:spacing w:after="0" w:line="306" w:lineRule="auto"/>
        <w:tabs>
          <w:tab w:leader="none" w:pos="676"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As of the Agreement Date, Part I of Schedule 6.1.(f)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106" w:lineRule="exact"/>
        <w:rPr>
          <w:rFonts w:ascii="Arial" w:cs="Arial" w:eastAsia="Arial" w:hAnsi="Arial"/>
          <w:sz w:val="16"/>
          <w:szCs w:val="16"/>
          <w:color w:val="auto"/>
        </w:rPr>
      </w:pPr>
    </w:p>
    <w:p>
      <w:pPr>
        <w:ind w:right="80" w:firstLine="464"/>
        <w:spacing w:after="0" w:line="298" w:lineRule="auto"/>
        <w:tabs>
          <w:tab w:leader="none" w:pos="70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Existing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6.1.(g</w:t>
      </w:r>
      <w:r>
        <w:rPr>
          <w:rFonts w:ascii="Arial" w:cs="Arial" w:eastAsia="Arial" w:hAnsi="Arial"/>
          <w:sz w:val="16"/>
          <w:szCs w:val="16"/>
          <w:color w:val="auto"/>
        </w:rPr>
        <w:t>) is, as of December 31, 2008, a complete and correct listing of all Indebtedness of the Borrower and its Subsidiaries, including without limitation, Guarantees of the Borrower and its Subsidiaries, and indicating whether such Indebtedness is Secured Indebtedness or Unsecured Indebtedness. Except as set forth on such Schedule, from December 31, 2008 through the Agreement Date, neither the Borrower nor any of its Subsidiaries has incurred any Indebtedness having an outstanding principal balance in excess of $1,000,000 in the aggregate.</w:t>
      </w:r>
    </w:p>
    <w:p>
      <w:pPr>
        <w:spacing w:after="0" w:line="112" w:lineRule="exact"/>
        <w:rPr>
          <w:rFonts w:ascii="Arial" w:cs="Arial" w:eastAsia="Arial" w:hAnsi="Arial"/>
          <w:sz w:val="16"/>
          <w:szCs w:val="16"/>
          <w:color w:val="auto"/>
        </w:rPr>
      </w:pPr>
    </w:p>
    <w:p>
      <w:pPr>
        <w:ind w:right="320" w:firstLine="464"/>
        <w:spacing w:after="0" w:line="306" w:lineRule="auto"/>
        <w:tabs>
          <w:tab w:leader="none" w:pos="70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6.1.(h</w:t>
      </w:r>
      <w:r>
        <w:rPr>
          <w:rFonts w:ascii="Arial" w:cs="Arial" w:eastAsia="Arial" w:hAnsi="Arial"/>
          <w:sz w:val="16"/>
          <w:szCs w:val="16"/>
          <w:color w:val="auto"/>
        </w:rPr>
        <w:t>),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280" w:right="259" w:bottom="1440" w:gutter="0" w:footer="0" w:header="0"/>
        </w:sectPr>
      </w:pPr>
    </w:p>
    <w:bookmarkStart w:id="77" w:name="page78"/>
    <w:bookmarkEnd w:id="7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40" w:lineRule="exact"/>
        <w:rPr>
          <w:sz w:val="20"/>
          <w:szCs w:val="20"/>
          <w:color w:val="auto"/>
        </w:rPr>
      </w:pPr>
    </w:p>
    <w:p>
      <w:pPr>
        <w:ind w:right="60" w:firstLine="464"/>
        <w:spacing w:after="0" w:line="291" w:lineRule="auto"/>
        <w:tabs>
          <w:tab w:leader="none" w:pos="666"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120" w:lineRule="exact"/>
        <w:rPr>
          <w:rFonts w:ascii="Arial" w:cs="Arial" w:eastAsia="Arial" w:hAnsi="Arial"/>
          <w:sz w:val="16"/>
          <w:szCs w:val="16"/>
          <w:color w:val="auto"/>
        </w:rPr>
      </w:pPr>
    </w:p>
    <w:p>
      <w:pPr>
        <w:ind w:right="120" w:firstLine="464"/>
        <w:spacing w:after="0" w:line="312" w:lineRule="auto"/>
        <w:tabs>
          <w:tab w:leader="none" w:pos="666"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Borrower has furnished to the Agent copies of the audited consolidated balance sheet of the Borrower and its consolidated Subsidiaries for the fiscal year ending December 31, 2008, and the related audited consolidated statements of operations, cash flows and shareholders’ equity for the fiscal year ending on such dates, with the opinion thereon of Grant Thornton LLP.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105" w:lineRule="exact"/>
        <w:rPr>
          <w:rFonts w:ascii="Arial" w:cs="Arial" w:eastAsia="Arial" w:hAnsi="Arial"/>
          <w:sz w:val="15"/>
          <w:szCs w:val="15"/>
          <w:color w:val="auto"/>
        </w:rPr>
      </w:pPr>
    </w:p>
    <w:p>
      <w:pPr>
        <w:ind w:right="260" w:firstLine="464"/>
        <w:spacing w:after="0" w:line="259"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2008,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140" w:lineRule="exact"/>
        <w:rPr>
          <w:rFonts w:ascii="Arial" w:cs="Arial" w:eastAsia="Arial" w:hAnsi="Arial"/>
          <w:sz w:val="18"/>
          <w:szCs w:val="18"/>
          <w:color w:val="auto"/>
        </w:rPr>
      </w:pPr>
    </w:p>
    <w:p>
      <w:pPr>
        <w:ind w:right="220" w:firstLine="464"/>
        <w:spacing w:after="0" w:line="302" w:lineRule="auto"/>
        <w:tabs>
          <w:tab w:leader="none" w:pos="666"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w:t>
      </w:r>
    </w:p>
    <w:p>
      <w:pPr>
        <w:spacing w:after="0" w:line="2" w:lineRule="exact"/>
        <w:rPr>
          <w:rFonts w:ascii="Arial" w:cs="Arial" w:eastAsia="Arial" w:hAnsi="Arial"/>
          <w:sz w:val="15"/>
          <w:szCs w:val="15"/>
          <w:color w:val="auto"/>
        </w:rPr>
      </w:pPr>
    </w:p>
    <w:p>
      <w:pPr>
        <w:ind w:right="60" w:firstLine="8"/>
        <w:spacing w:after="0" w:line="261" w:lineRule="auto"/>
        <w:tabs>
          <w:tab w:leader="none" w:pos="2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failed to make any contribution or payment to any Plan or Multiemployer Plan or in respect of any Benefit Arrangement, or made any amendment to any Plan or Benefit Arrangement, which has resulted</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80" w:right="239" w:bottom="1440" w:gutter="0" w:footer="0" w:header="0"/>
        </w:sectPr>
      </w:pPr>
    </w:p>
    <w:bookmarkStart w:id="78" w:name="page79"/>
    <w:bookmarkEnd w:id="7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32" w:lineRule="exact"/>
        <w:rPr>
          <w:sz w:val="20"/>
          <w:szCs w:val="20"/>
          <w:color w:val="auto"/>
        </w:rPr>
      </w:pPr>
    </w:p>
    <w:p>
      <w:pPr>
        <w:ind w:firstLine="464"/>
        <w:spacing w:after="0" w:line="256" w:lineRule="auto"/>
        <w:tabs>
          <w:tab w:leader="none" w:pos="75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w:t>
      </w:r>
      <w:r>
        <w:rPr>
          <w:rFonts w:ascii="Arial" w:cs="Arial" w:eastAsia="Arial" w:hAnsi="Arial"/>
          <w:sz w:val="18"/>
          <w:szCs w:val="18"/>
          <w:color w:val="auto"/>
        </w:rPr>
        <w:t>.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43" w:lineRule="exact"/>
        <w:rPr>
          <w:rFonts w:ascii="Arial" w:cs="Arial" w:eastAsia="Arial" w:hAnsi="Arial"/>
          <w:sz w:val="18"/>
          <w:szCs w:val="18"/>
          <w:color w:val="auto"/>
        </w:rPr>
      </w:pPr>
    </w:p>
    <w:p>
      <w:pPr>
        <w:ind w:right="40" w:firstLine="464"/>
        <w:spacing w:after="0" w:line="286"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Absence of Defaults</w:t>
      </w:r>
      <w:r>
        <w:rPr>
          <w:rFonts w:ascii="Arial" w:cs="Arial" w:eastAsia="Arial" w:hAnsi="Arial"/>
          <w:sz w:val="16"/>
          <w:szCs w:val="16"/>
          <w:color w:val="auto"/>
        </w:rPr>
        <w:t>. Neither the Borrower, any Subsidiary nor any other Loan Party is in default under its articles of incorporation, bylaws, partnership agreement or other similar organizational documents, and no event has occurred, which has not been remedied, cured or waived, which in any such case:</w:t>
      </w:r>
    </w:p>
    <w:p>
      <w:pPr>
        <w:ind w:right="140" w:firstLine="8"/>
        <w:spacing w:after="0" w:line="292" w:lineRule="auto"/>
        <w:tabs>
          <w:tab w:leader="none" w:pos="2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constitutes a Default or an Event of Default; or (ii) constitutes, or which with the passage of time, the giving of notice, a determination of materiality, the satisfaction of any condition, or any combination of the foregoing, would constitute, a default or event of default by the Borrower, any Subsidiary or any other Loan Party under any material agreement (other than this Agreement) or judgment, decree or order to which the Borrower or any Subsidiary or other Loan Party is a party or by which the Borrower or any Subsidiary or other Loan Party or any of their respective properties may be bound where such default or event of default, individually or in the aggregate, could reasonably be expected to have a Material Adverse Effect.</w:t>
      </w:r>
    </w:p>
    <w:p>
      <w:pPr>
        <w:spacing w:after="0" w:line="116" w:lineRule="exact"/>
        <w:rPr>
          <w:rFonts w:ascii="Arial" w:cs="Arial" w:eastAsia="Arial" w:hAnsi="Arial"/>
          <w:sz w:val="16"/>
          <w:szCs w:val="16"/>
          <w:color w:val="auto"/>
        </w:rPr>
      </w:pPr>
    </w:p>
    <w:p>
      <w:pPr>
        <w:ind w:right="20" w:firstLine="464"/>
        <w:spacing w:after="0" w:line="286" w:lineRule="auto"/>
        <w:tabs>
          <w:tab w:leader="none" w:pos="705"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(ii) 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127" w:lineRule="exact"/>
        <w:rPr>
          <w:rFonts w:ascii="Arial" w:cs="Arial" w:eastAsia="Arial" w:hAnsi="Arial"/>
          <w:sz w:val="16"/>
          <w:szCs w:val="16"/>
          <w:color w:val="auto"/>
        </w:rPr>
      </w:pPr>
    </w:p>
    <w:p>
      <w:pPr>
        <w:ind w:right="880" w:firstLine="464"/>
        <w:spacing w:after="0" w:line="268"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Investment Company; Etc</w:t>
      </w:r>
      <w:r>
        <w:rPr>
          <w:rFonts w:ascii="Arial" w:cs="Arial" w:eastAsia="Arial" w:hAnsi="Arial"/>
          <w:sz w:val="18"/>
          <w:szCs w:val="18"/>
          <w:color w:val="auto"/>
        </w:rPr>
        <w:t>. Neither the Borrower nor any Subsidiary nor any other Loan Party is (i) an “investment company” or a company “controlled” by an “investment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280" w:right="239" w:bottom="1440" w:gutter="0" w:footer="0" w:header="0"/>
        </w:sectPr>
      </w:pPr>
    </w:p>
    <w:bookmarkStart w:id="79" w:name="page80"/>
    <w:bookmarkEnd w:id="7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within the meaning of the Investment Company Act of 1940, as amended, or (ii)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40" w:lineRule="exact"/>
        <w:rPr>
          <w:sz w:val="20"/>
          <w:szCs w:val="20"/>
          <w:color w:val="auto"/>
        </w:rPr>
      </w:pPr>
    </w:p>
    <w:p>
      <w:pPr>
        <w:ind w:firstLine="464"/>
        <w:spacing w:after="0" w:line="259"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40" w:lineRule="exact"/>
        <w:rPr>
          <w:rFonts w:ascii="Arial" w:cs="Arial" w:eastAsia="Arial" w:hAnsi="Arial"/>
          <w:sz w:val="18"/>
          <w:szCs w:val="18"/>
          <w:color w:val="auto"/>
        </w:rPr>
      </w:pPr>
    </w:p>
    <w:p>
      <w:pPr>
        <w:ind w:firstLine="464"/>
        <w:spacing w:after="0" w:line="332" w:lineRule="auto"/>
        <w:tabs>
          <w:tab w:leader="none" w:pos="67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85" w:lineRule="exact"/>
        <w:rPr>
          <w:rFonts w:ascii="Arial" w:cs="Arial" w:eastAsia="Arial" w:hAnsi="Arial"/>
          <w:sz w:val="16"/>
          <w:szCs w:val="16"/>
          <w:color w:val="auto"/>
        </w:rPr>
      </w:pPr>
    </w:p>
    <w:p>
      <w:pPr>
        <w:ind w:right="60" w:firstLine="464"/>
        <w:spacing w:after="0" w:line="287" w:lineRule="auto"/>
        <w:tabs>
          <w:tab w:leader="none" w:pos="68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right="380" w:firstLine="464"/>
        <w:spacing w:after="0" w:line="332" w:lineRule="auto"/>
        <w:tabs>
          <w:tab w:leader="none" w:pos="66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85"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140"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Accuracy and Completeness of Information</w:t>
      </w:r>
      <w:r>
        <w:rPr>
          <w:rFonts w:ascii="Arial" w:cs="Arial" w:eastAsia="Arial" w:hAnsi="Arial"/>
          <w:sz w:val="18"/>
          <w:szCs w:val="18"/>
          <w:color w:val="auto"/>
        </w:rPr>
        <w:t>. None of the written information, reports or other papers or data (excluding financial projections and other forward looking</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20"/>
          </w:cols>
          <w:pgMar w:left="240" w:top="280" w:right="239" w:bottom="1440" w:gutter="0" w:footer="0" w:header="0"/>
        </w:sectPr>
      </w:pPr>
    </w:p>
    <w:bookmarkStart w:id="80" w:name="page81"/>
    <w:bookmarkEnd w:id="8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127" w:lineRule="exact"/>
        <w:rPr>
          <w:sz w:val="20"/>
          <w:szCs w:val="20"/>
          <w:color w:val="auto"/>
        </w:rPr>
      </w:pPr>
    </w:p>
    <w:p>
      <w:pPr>
        <w:ind w:firstLine="464"/>
        <w:spacing w:after="0" w:line="268" w:lineRule="auto"/>
        <w:tabs>
          <w:tab w:leader="none" w:pos="7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xml:space="preserve">. As of the Agreement Date, </w:t>
      </w:r>
      <w:r>
        <w:rPr>
          <w:rFonts w:ascii="Arial" w:cs="Arial" w:eastAsia="Arial" w:hAnsi="Arial"/>
          <w:sz w:val="16"/>
          <w:szCs w:val="16"/>
          <w:u w:val="single" w:color="auto"/>
          <w:color w:val="auto"/>
        </w:rPr>
        <w:t>Schedule 6.1.(x</w:t>
      </w:r>
      <w:r>
        <w:rPr>
          <w:rFonts w:ascii="Arial" w:cs="Arial" w:eastAsia="Arial" w:hAnsi="Arial"/>
          <w:sz w:val="16"/>
          <w:szCs w:val="16"/>
          <w:color w:val="auto"/>
        </w:rPr>
        <w:t>)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06" w:lineRule="exact"/>
        <w:rPr>
          <w:rFonts w:ascii="Arial" w:cs="Arial" w:eastAsia="Arial" w:hAnsi="Arial"/>
          <w:sz w:val="16"/>
          <w:szCs w:val="16"/>
          <w:color w:val="auto"/>
        </w:rPr>
      </w:pPr>
    </w:p>
    <w:p>
      <w:pPr>
        <w:ind w:right="340" w:firstLine="464"/>
        <w:spacing w:after="0" w:line="259"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Foreign Assets Control</w:t>
      </w:r>
      <w:r>
        <w:rPr>
          <w:rFonts w:ascii="Arial" w:cs="Arial" w:eastAsia="Arial" w:hAnsi="Arial"/>
          <w:sz w:val="18"/>
          <w:szCs w:val="18"/>
          <w:color w:val="auto"/>
        </w:rPr>
        <w:t>. None of the Borrower, any Subsidiary or any Affiliate of the Borrower is in violation of any of the country or list based economic and trade sanctions administered and enforced by OFAC that are described or referenced at http://www.ustreas.gov/offices/enforcement/ofac/ or as otherwise officially published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80"/>
          </w:cols>
          <w:pgMar w:left="240" w:top="280" w:right="279" w:bottom="1440" w:gutter="0" w:footer="0" w:header="0"/>
        </w:sectPr>
      </w:pPr>
    </w:p>
    <w:bookmarkStart w:id="81" w:name="page82"/>
    <w:bookmarkEnd w:id="8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warranties made under this Agreement and the other Loan Documents shall be deemed to be made at and as of the Agreement Date, the Effective Date and the date of the making of the Loans,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All such representations and warranties shall survive the effectiveness of this Agreement, the execution and delivery of the Loan Documents and the making of the Loans.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w:t>
      </w:r>
    </w:p>
    <w:p>
      <w:pPr>
        <w:spacing w:after="0" w:line="38" w:lineRule="exact"/>
        <w:rPr>
          <w:sz w:val="20"/>
          <w:szCs w:val="20"/>
          <w:color w:val="auto"/>
        </w:rPr>
      </w:pPr>
    </w:p>
    <w:p>
      <w:pPr>
        <w:ind w:right="180" w:firstLine="8"/>
        <w:spacing w:after="0" w:line="331" w:lineRule="auto"/>
        <w:tabs>
          <w:tab w:leader="none" w:pos="239"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76" w:lineRule="exact"/>
        <w:rPr>
          <w:rFonts w:ascii="Arial" w:cs="Arial" w:eastAsia="Arial" w:hAnsi="Arial"/>
          <w:sz w:val="15"/>
          <w:szCs w:val="15"/>
          <w:color w:val="auto"/>
        </w:rPr>
      </w:pPr>
    </w:p>
    <w:p>
      <w:pPr>
        <w:ind w:left="5620" w:hanging="96"/>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360"/>
          </w:cols>
          <w:pgMar w:left="240" w:top="280"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its Subsidiaries and the other Loan Parties to, carry on their respective businesses as described in Section 6.1.(t).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Visits and Inspections.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274"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7.8. 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Borrower shall use the proceeds of the Loans to repay in full all Indebtedness, including all accrued but unpaid interest, owing under the Existing Term Loan Agreement on the Effective Date and for general corporate purposes only. No part of the proceeds of any Loan will be used (a) for the purpose of buying or carrying “margin stock” within the meaning of Regulation U of the Board of Governors of the Federal Reserve System or to extend credit to others for the purpose of purchasing or carrying any such margin stock or (b) to fund any operations in, finance any investments or activities in, or make any payments to, a Sanctioned Person or Sanctioned Entity.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shall, and shall cause all of its Subsidiaries and the other Loan Parties to, comply with all Environmental Laws the failure with which to comply could reasonably be expected to have a Material Adverse Effect.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the matters referred to in such notices, individually or in the 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Books and Records.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Further Assurances.</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 to carry out the provisions and purposes of this Agreement and the other Loan Documents.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7.12. New Subsidiaries/Guarantors.</w:t>
      </w:r>
    </w:p>
    <w:p>
      <w:pPr>
        <w:spacing w:after="0" w:line="96" w:lineRule="exact"/>
        <w:rPr>
          <w:sz w:val="20"/>
          <w:szCs w:val="20"/>
          <w:color w:val="auto"/>
        </w:rPr>
      </w:pPr>
    </w:p>
    <w:p>
      <w:pPr>
        <w:ind w:firstLine="464"/>
        <w:spacing w:after="0" w:line="289"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Requirement to Become Guarantor</w:t>
      </w:r>
      <w:r>
        <w:rPr>
          <w:rFonts w:ascii="Arial" w:cs="Arial" w:eastAsia="Arial" w:hAnsi="Arial"/>
          <w:sz w:val="16"/>
          <w:szCs w:val="16"/>
          <w:color w:val="auto"/>
        </w:rPr>
        <w:t xml:space="preserve">.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5.1.(a)(iv), (ix) through (xii) and (xvi) if such Material Subsidiary had been one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Borrower shall send to each Lender copies of each of the foregoing items once the Agent has received all such items with respect to a Material Subsidiary.</w:t>
      </w:r>
    </w:p>
    <w:p>
      <w:pPr>
        <w:spacing w:after="0" w:line="118"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Other Guarantors</w:t>
      </w:r>
      <w:r>
        <w:rPr>
          <w:rFonts w:ascii="Arial" w:cs="Arial" w:eastAsia="Arial" w:hAnsi="Arial"/>
          <w:sz w:val="18"/>
          <w:szCs w:val="18"/>
          <w:color w:val="auto"/>
        </w:rPr>
        <w:t>. The Borrower may, at its option, cause any Subsidiary that is not already a Guarantor to become a Guarantor by executing and delivering to the Agent the items required to be delivered under the immediately preceding subsection (a).</w:t>
      </w:r>
    </w:p>
    <w:p>
      <w:pPr>
        <w:spacing w:after="0" w:line="131" w:lineRule="exact"/>
        <w:rPr>
          <w:rFonts w:ascii="Arial" w:cs="Arial" w:eastAsia="Arial" w:hAnsi="Arial"/>
          <w:sz w:val="18"/>
          <w:szCs w:val="18"/>
          <w:color w:val="auto"/>
        </w:rPr>
      </w:pPr>
    </w:p>
    <w:p>
      <w:pPr>
        <w:ind w:firstLine="464"/>
        <w:spacing w:after="0" w:line="288"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Release of a Guarantor</w:t>
      </w:r>
      <w:r>
        <w:rPr>
          <w:rFonts w:ascii="Arial" w:cs="Arial" w:eastAsia="Arial" w:hAnsi="Arial"/>
          <w:sz w:val="16"/>
          <w:szCs w:val="16"/>
          <w:color w:val="auto"/>
        </w:rPr>
        <w:t>.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9.7.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(or such shorter period as may be acceptable to the Agent)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 REIT.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7.14. Exchange Listing.</w:t>
      </w:r>
    </w:p>
    <w:p>
      <w:pPr>
        <w:spacing w:after="0" w:line="9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74"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soon as available and in any event within 5 days after the same is required to be filed with the Securities and Exchange Commission (but in no event later than 50 days after the end of each of the first, second and third fiscal quarters of the Borrower, commencing with the fiscal quarter of the Borrower ended March 31, 2009),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 which shall be in a form acceptable to the Securities and Exchange Commission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As soon as available and in any event within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 (b) independent certified public accountants of recognized national standing acceptable to the Agent, whose certificate shall be unqualified and who shall have authorized the Borrower to deliver such financial statements and certification thereof to the Agent and the Lenders pursuant to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the time financial statements are furnished pursuant to Sections 8.1. and 8.2., and, if the Requisite Lenders reasonably believe that an Event of Default specified in Section 10.1.(a), Section 10.1.(b), Section 10.1.(f) or Section 10.1.(g) or a Default under Section 10.1.(g)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274" w:right="259" w:bottom="1440" w:gutter="0" w:footer="0" w:header="0"/>
        </w:sectPr>
      </w:pPr>
    </w:p>
    <w:bookmarkStart w:id="86" w:name="page87"/>
    <w:bookmarkEnd w:id="8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occur, within 5 Business Days of the Agent’s request with respect to any other fiscal period, a certificate substantially in the form of Exhibit G (a “</w:t>
      </w:r>
      <w:r>
        <w:rPr>
          <w:rFonts w:ascii="Arial" w:cs="Arial" w:eastAsia="Arial" w:hAnsi="Arial"/>
          <w:sz w:val="16"/>
          <w:szCs w:val="16"/>
          <w:b w:val="1"/>
          <w:bCs w:val="1"/>
          <w:color w:val="auto"/>
        </w:rPr>
        <w:t>Compliance</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w:t>
      </w:r>
      <w:r>
        <w:rPr>
          <w:rFonts w:ascii="Arial" w:cs="Arial" w:eastAsia="Arial" w:hAnsi="Arial"/>
          <w:sz w:val="16"/>
          <w:szCs w:val="16"/>
          <w:color w:val="auto"/>
        </w:rPr>
        <w:t>”) executed by the chief financial officer or chief accounting officer of the Borrower: (a) setting forth in reasonable detail as at the end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accounting period, fiscal year, or other fiscal period, as the case may be, the calculations required to establish whether or not the Borrower was in compliance with the covenants contained in Sections 9.1. and 9.4.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Agent, setting forth</w:t>
      </w:r>
    </w:p>
    <w:p>
      <w:pPr>
        <w:spacing w:after="0" w:line="1" w:lineRule="exact"/>
        <w:rPr>
          <w:sz w:val="20"/>
          <w:szCs w:val="20"/>
          <w:color w:val="auto"/>
        </w:rPr>
      </w:pPr>
    </w:p>
    <w:p>
      <w:pPr>
        <w:ind w:right="20" w:firstLine="8"/>
        <w:spacing w:after="0" w:line="295"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statement of Funds From Operations for the fiscal period then ending; (y)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Agent; and (z) a listing of all Properties acquired by the Borrower or any Subsidiary since the delivery of the previous such list, including their net operating income, cost and related mortgage debt, if 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96" w:lineRule="exact"/>
        <w:rPr>
          <w:sz w:val="20"/>
          <w:szCs w:val="20"/>
          <w:color w:val="auto"/>
        </w:rPr>
      </w:pPr>
    </w:p>
    <w:p>
      <w:pPr>
        <w:ind w:firstLine="464"/>
        <w:spacing w:after="0" w:line="286"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Projections</w:t>
      </w:r>
      <w:r>
        <w:rPr>
          <w:rFonts w:ascii="Arial" w:cs="Arial" w:eastAsia="Arial" w:hAnsi="Arial"/>
          <w:sz w:val="16"/>
          <w:szCs w:val="16"/>
          <w:color w:val="auto"/>
        </w:rPr>
        <w:t>. No later than December 31 of each year, projected consolidated financial statements of Borrower and its consolidated Subsidiaries, for the next fiscal year, to include projected balance sheets, statements of income and loss and statements of cash flow, together with calculations required to establish whether or not the Borrower is projected to be in compliance with the financial covenants set forth in Section 9.1. In addition, within 15 Business Days of Agent’s request, the Borrower shall deliver such projected consolidated financial statements for the four fiscal-quarter period commencing with the fiscal quarter in which such request was made; provided, that the Borrower shall not be required to provide projections pursuant to this sentence more than once during any fiscal quarter. In each case, such projected consolidated financial statements shall be prepared on a quarterly basis, all in reasonable detail, and in form and content acceptable to the Agent, and shall be accompanied by such supporting information as the Agent may reasonably request. Such projected consolidated financial statements shall represent the reasonable best estimate by the Borrower of the future financial performance of the Borrower and its Subsidiaries for the periods set forth therein and shall be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27"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Management Reports</w:t>
      </w:r>
      <w:r>
        <w:rPr>
          <w:rFonts w:ascii="Arial" w:cs="Arial" w:eastAsia="Arial" w:hAnsi="Arial"/>
          <w:sz w:val="18"/>
          <w:szCs w:val="18"/>
          <w:color w:val="auto"/>
        </w:rPr>
        <w:t>. Promptly upon receipt thereof, copies of all management reports, if any, submitted to the Borrower or its Board of Trustees by its independent public accountants;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00"/>
          </w:cols>
          <w:pgMar w:left="240" w:top="274" w:right="259" w:bottom="1440" w:gutter="0" w:footer="0" w:header="0"/>
        </w:sectPr>
      </w:pPr>
    </w:p>
    <w:bookmarkStart w:id="87" w:name="page88"/>
    <w:bookmarkEnd w:id="87"/>
    <w:p>
      <w:pPr>
        <w:ind w:left="-8" w:right="20" w:firstLine="464"/>
        <w:spacing w:after="0" w:line="256" w:lineRule="auto"/>
        <w:tabs>
          <w:tab w:leader="none" w:pos="687"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Filings</w:t>
      </w:r>
      <w:r>
        <w:rPr>
          <w:rFonts w:ascii="Arial" w:cs="Arial" w:eastAsia="Arial" w:hAnsi="Arial"/>
          <w:sz w:val="18"/>
          <w:szCs w:val="18"/>
          <w:color w:val="auto"/>
        </w:rPr>
        <w:t>.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43" w:lineRule="exact"/>
        <w:rPr>
          <w:rFonts w:ascii="Arial" w:cs="Arial" w:eastAsia="Arial" w:hAnsi="Arial"/>
          <w:sz w:val="18"/>
          <w:szCs w:val="18"/>
          <w:color w:val="auto"/>
        </w:rPr>
      </w:pPr>
    </w:p>
    <w:p>
      <w:pPr>
        <w:ind w:left="-8" w:right="240" w:firstLine="464"/>
        <w:spacing w:after="0" w:line="259" w:lineRule="auto"/>
        <w:tabs>
          <w:tab w:leader="none" w:pos="697"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Shareholder Information</w:t>
      </w:r>
      <w:r>
        <w:rPr>
          <w:rFonts w:ascii="Arial" w:cs="Arial" w:eastAsia="Arial" w:hAnsi="Arial"/>
          <w:sz w:val="18"/>
          <w:szCs w:val="18"/>
          <w:color w:val="auto"/>
        </w:rPr>
        <w:t>.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40" w:lineRule="exact"/>
        <w:rPr>
          <w:rFonts w:ascii="Arial" w:cs="Arial" w:eastAsia="Arial" w:hAnsi="Arial"/>
          <w:sz w:val="18"/>
          <w:szCs w:val="18"/>
          <w:color w:val="auto"/>
        </w:rPr>
      </w:pPr>
    </w:p>
    <w:p>
      <w:pPr>
        <w:ind w:left="-8" w:right="20" w:firstLine="464"/>
        <w:spacing w:after="0" w:line="283" w:lineRule="auto"/>
        <w:tabs>
          <w:tab w:leader="none" w:pos="687"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w:t>
      </w:r>
    </w:p>
    <w:p>
      <w:pPr>
        <w:spacing w:after="0" w:line="1" w:lineRule="exact"/>
        <w:rPr>
          <w:rFonts w:ascii="Arial" w:cs="Arial" w:eastAsia="Arial" w:hAnsi="Arial"/>
          <w:sz w:val="16"/>
          <w:szCs w:val="16"/>
          <w:color w:val="auto"/>
        </w:rPr>
      </w:pPr>
    </w:p>
    <w:p>
      <w:pPr>
        <w:ind w:left="-8" w:right="100" w:firstLine="8"/>
        <w:spacing w:after="0" w:line="290" w:lineRule="auto"/>
        <w:tabs>
          <w:tab w:leader="none" w:pos="28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118" w:lineRule="exact"/>
        <w:rPr>
          <w:rFonts w:ascii="Arial" w:cs="Arial" w:eastAsia="Arial" w:hAnsi="Arial"/>
          <w:sz w:val="16"/>
          <w:szCs w:val="16"/>
          <w:color w:val="auto"/>
        </w:rPr>
      </w:pPr>
    </w:p>
    <w:p>
      <w:pPr>
        <w:ind w:left="-8" w:firstLine="464"/>
        <w:spacing w:after="0" w:line="255" w:lineRule="auto"/>
        <w:tabs>
          <w:tab w:leader="none" w:pos="668"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 could reasonably be expected to have a Material Adverse Effect, and prompt notice of the receipt of notice that any United States income tax returns of the Borrower or any of its Subsidiaries are being audited;</w:t>
      </w:r>
    </w:p>
    <w:p>
      <w:pPr>
        <w:spacing w:after="0" w:line="142" w:lineRule="exact"/>
        <w:rPr>
          <w:rFonts w:ascii="Arial" w:cs="Arial" w:eastAsia="Arial" w:hAnsi="Arial"/>
          <w:sz w:val="18"/>
          <w:szCs w:val="18"/>
          <w:color w:val="auto"/>
        </w:rPr>
      </w:pPr>
    </w:p>
    <w:p>
      <w:pPr>
        <w:ind w:left="-8" w:right="400" w:firstLine="464"/>
        <w:spacing w:after="0" w:line="268" w:lineRule="auto"/>
        <w:tabs>
          <w:tab w:leader="none" w:pos="69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 A copy of any amendment to the declaration of trust, bylaws or other organizational documents of the Borrower within 15 Business Days after the effectiveness thereof;</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62"/>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372"/>
          </w:cols>
          <w:pgMar w:left="248" w:top="280" w:right="279" w:bottom="1440" w:gutter="0" w:footer="0" w:header="0"/>
        </w:sectPr>
      </w:pPr>
    </w:p>
    <w:bookmarkStart w:id="88" w:name="page89"/>
    <w:bookmarkEnd w:id="88"/>
    <w:p>
      <w:pPr>
        <w:ind w:firstLine="464"/>
        <w:spacing w:after="0" w:line="306"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Management or Financial Condition</w:t>
      </w:r>
      <w:r>
        <w:rPr>
          <w:rFonts w:ascii="Arial" w:cs="Arial" w:eastAsia="Arial" w:hAnsi="Arial"/>
          <w:sz w:val="16"/>
          <w:szCs w:val="16"/>
          <w:color w:val="auto"/>
        </w:rPr>
        <w:t>. Prompt notice of any change in the chief executive officer, chief financial officer, chief investment officer or general counsel of the Borrower, any Subsidiary or any other Loan Party and any change in the business, assets, liabilities, financial condition or results of operations of the Borrower, any Subsidiary or any other Loan Party which has had or could reasonably be expected to have a Material Adverse Effect;</w:t>
      </w:r>
    </w:p>
    <w:p>
      <w:pPr>
        <w:spacing w:after="0" w:line="106" w:lineRule="exact"/>
        <w:rPr>
          <w:rFonts w:ascii="Arial" w:cs="Arial" w:eastAsia="Arial" w:hAnsi="Arial"/>
          <w:sz w:val="16"/>
          <w:szCs w:val="16"/>
          <w:color w:val="auto"/>
        </w:rPr>
      </w:pPr>
    </w:p>
    <w:p>
      <w:pPr>
        <w:ind w:right="60" w:firstLine="464"/>
        <w:spacing w:after="0" w:line="256" w:lineRule="auto"/>
        <w:tabs>
          <w:tab w:leader="none" w:pos="66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Notice of the occurrence of any of the following promptly upon a Responsible Officer of the Borrower obtaining knowledge thereof: (i) 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right="220" w:firstLine="464"/>
        <w:spacing w:after="0" w:line="268" w:lineRule="auto"/>
        <w:tabs>
          <w:tab w:leader="none" w:pos="66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Prompt notice of any order, judgment or decree in excess of $5,000,000 having been entered against the Borrower, any Subsidiary or any other Loan Party of any of their respective properties or assets;</w:t>
      </w:r>
    </w:p>
    <w:p>
      <w:pPr>
        <w:spacing w:after="0" w:line="131" w:lineRule="exact"/>
        <w:rPr>
          <w:rFonts w:ascii="Arial" w:cs="Arial" w:eastAsia="Arial" w:hAnsi="Arial"/>
          <w:sz w:val="18"/>
          <w:szCs w:val="18"/>
          <w:color w:val="auto"/>
        </w:rPr>
      </w:pPr>
    </w:p>
    <w:p>
      <w:pPr>
        <w:ind w:right="560"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 of Violations of Law</w:t>
      </w:r>
      <w:r>
        <w:rPr>
          <w:rFonts w:ascii="Arial" w:cs="Arial" w:eastAsia="Arial" w:hAnsi="Arial"/>
          <w:sz w:val="18"/>
          <w:szCs w:val="18"/>
          <w:color w:val="auto"/>
        </w:rPr>
        <w:t>.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Material Subsidiary</w:t>
      </w:r>
      <w:r>
        <w:rPr>
          <w:rFonts w:ascii="Arial" w:cs="Arial" w:eastAsia="Arial" w:hAnsi="Arial"/>
          <w:sz w:val="18"/>
          <w:szCs w:val="18"/>
          <w:color w:val="auto"/>
        </w:rPr>
        <w:t>. Prompt notice of any Person becoming a Material Subsidiary;</w:t>
      </w:r>
    </w:p>
    <w:p>
      <w:pPr>
        <w:spacing w:after="0" w:line="171" w:lineRule="exact"/>
        <w:rPr>
          <w:rFonts w:ascii="Arial" w:cs="Arial" w:eastAsia="Arial" w:hAnsi="Arial"/>
          <w:sz w:val="18"/>
          <w:szCs w:val="18"/>
          <w:color w:val="auto"/>
        </w:rPr>
      </w:pPr>
    </w:p>
    <w:p>
      <w:pPr>
        <w:ind w:right="120" w:firstLine="464"/>
        <w:spacing w:after="0" w:line="268" w:lineRule="auto"/>
        <w:tabs>
          <w:tab w:leader="none" w:pos="75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Material Asset Sales</w:t>
      </w:r>
      <w:r>
        <w:rPr>
          <w:rFonts w:ascii="Arial" w:cs="Arial" w:eastAsia="Arial" w:hAnsi="Arial"/>
          <w:sz w:val="18"/>
          <w:szCs w:val="18"/>
          <w:color w:val="auto"/>
        </w:rPr>
        <w:t>. Prompt notice of the sale, transfer or other disposition of any material assets of the Borrower, any Subsidiary or any other Loan Party to any Person other than the Borrower, any Subsidiary or any other Loan Party;</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Patriot Act Information</w:t>
      </w:r>
      <w:r>
        <w:rPr>
          <w:rFonts w:ascii="Arial" w:cs="Arial" w:eastAsia="Arial" w:hAnsi="Arial"/>
          <w:sz w:val="18"/>
          <w:szCs w:val="18"/>
          <w:color w:val="auto"/>
        </w:rPr>
        <w:t>. From time to time and promptly upon each request, information identifying the Borrower as a Lender may request in order to comply with the USA Patriot Act (Title III of Pub. L. 107-56 (signed into law October 26, 2001));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90" w:lineRule="exact"/>
        <w:rPr>
          <w:sz w:val="20"/>
          <w:szCs w:val="20"/>
          <w:color w:val="auto"/>
        </w:rPr>
      </w:pPr>
    </w:p>
    <w:p>
      <w:pPr>
        <w:jc w:val="both"/>
        <w:ind w:right="60" w:firstLine="464"/>
        <w:spacing w:after="0" w:line="262"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 may deliver documents, materials and other information required to be delivered pursuant to Article VIII. (collectively, “</w:t>
      </w:r>
      <w:r>
        <w:rPr>
          <w:rFonts w:ascii="Arial" w:cs="Arial" w:eastAsia="Arial" w:hAnsi="Arial"/>
          <w:sz w:val="18"/>
          <w:szCs w:val="18"/>
          <w:b w:val="1"/>
          <w:bCs w:val="1"/>
          <w:color w:val="auto"/>
        </w:rPr>
        <w:t>Information</w:t>
      </w:r>
      <w:r>
        <w:rPr>
          <w:rFonts w:ascii="Arial" w:cs="Arial" w:eastAsia="Arial" w:hAnsi="Arial"/>
          <w:sz w:val="18"/>
          <w:szCs w:val="18"/>
          <w:color w:val="auto"/>
        </w:rPr>
        <w:t>”) in an electronic format acceptable to the Agent by e-mailing any such Information to an e-mail address of the Agent as specified by the Agent from time to time. The Agent shall promptly post such Information on</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360"/>
          </w:cols>
          <w:pgMar w:left="240" w:top="280" w:right="299" w:bottom="1440" w:gutter="0" w:footer="0" w:header="0"/>
        </w:sectPr>
      </w:pPr>
    </w:p>
    <w:bookmarkStart w:id="89" w:name="page90"/>
    <w:bookmarkEnd w:id="89"/>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behalf on an internet or intranet website to which each Lender and the Agent has access, whether a commercial, third-party website (such as Intralinks or SyndTrak) or a website sponsored by the Agent (the “</w:t>
      </w:r>
      <w:r>
        <w:rPr>
          <w:rFonts w:ascii="Arial" w:cs="Arial" w:eastAsia="Arial" w:hAnsi="Arial"/>
          <w:sz w:val="16"/>
          <w:szCs w:val="16"/>
          <w:b w:val="1"/>
          <w:bCs w:val="1"/>
          <w:color w:val="auto"/>
        </w:rPr>
        <w:t>Platform</w:t>
      </w:r>
      <w:r>
        <w:rPr>
          <w:rFonts w:ascii="Arial" w:cs="Arial" w:eastAsia="Arial" w:hAnsi="Arial"/>
          <w:sz w:val="16"/>
          <w:szCs w:val="16"/>
          <w:color w:val="auto"/>
        </w:rPr>
        <w:t>”). Such Information shall only be deemed to have been delivered to the Lenders on the date on which such information is so posted. The Agent shall promptly notify each Lender by e-mail or otherwise when Information is posted to the Platform.</w:t>
      </w:r>
    </w:p>
    <w:p>
      <w:pPr>
        <w:spacing w:after="0" w:line="107" w:lineRule="exact"/>
        <w:rPr>
          <w:sz w:val="20"/>
          <w:szCs w:val="20"/>
          <w:color w:val="auto"/>
        </w:rPr>
      </w:pPr>
    </w:p>
    <w:p>
      <w:pPr>
        <w:ind w:right="20" w:firstLine="464"/>
        <w:spacing w:after="0" w:line="289"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addition, the Borrower may deliver Information required to be delivered pursuant to Sections 8.1., 8.2., and 8.4.(c) and (d) by posting any such Information to the Borrower’s internet website (as of the Agreement Date, www.federalrealty.com). Any such Information provided in such manner shall only be deemed to have been delivered to the Agent or a Lender (i) on the date on which the Agent or such Lender, as applicable, receives notice from the Borrower that such Information has been posted to the Borrower’s internet website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w:t>
      </w:r>
    </w:p>
    <w:p>
      <w:pPr>
        <w:spacing w:after="0" w:line="118" w:lineRule="exact"/>
        <w:rPr>
          <w:rFonts w:ascii="Arial" w:cs="Arial" w:eastAsia="Arial" w:hAnsi="Arial"/>
          <w:sz w:val="16"/>
          <w:szCs w:val="16"/>
          <w:color w:val="auto"/>
        </w:rPr>
      </w:pPr>
    </w:p>
    <w:p>
      <w:pPr>
        <w:ind w:right="200" w:firstLine="464"/>
        <w:spacing w:after="0" w:line="306"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Borrower shall deliver paper copies of Information to the Agent or any Lender that requests the Borrower to deliver such paper copies until a written request to cease delivering paper copies is given to the Borrower by the Agent or such Lender and (ii) in every instance the Borrower shall be required to provide to the Agent a paper original of the Compliance Certificate required by Section 8.3.</w:t>
      </w:r>
    </w:p>
    <w:p>
      <w:pPr>
        <w:spacing w:after="0" w:line="106" w:lineRule="exact"/>
        <w:rPr>
          <w:rFonts w:ascii="Arial" w:cs="Arial" w:eastAsia="Arial" w:hAnsi="Arial"/>
          <w:sz w:val="16"/>
          <w:szCs w:val="16"/>
          <w:color w:val="auto"/>
        </w:rPr>
      </w:pPr>
    </w:p>
    <w:p>
      <w:pPr>
        <w:ind w:right="140" w:firstLine="464"/>
        <w:spacing w:after="0" w:line="288"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Borrower acknowledges and agrees that the Agent may make Information, as well as any other written information, reports, data, certificates, documents, instruments, agreements and other materials relating to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w:t>
      </w:r>
      <w:r>
        <w:rPr>
          <w:rFonts w:ascii="Arial" w:cs="Arial" w:eastAsia="Arial" w:hAnsi="Arial"/>
          <w:sz w:val="16"/>
          <w:szCs w:val="16"/>
          <w:b w:val="1"/>
          <w:bCs w:val="1"/>
          <w:color w:val="auto"/>
        </w:rPr>
        <w:t>Communications</w:t>
      </w:r>
      <w:r>
        <w:rPr>
          <w:rFonts w:ascii="Arial" w:cs="Arial" w:eastAsia="Arial" w:hAnsi="Arial"/>
          <w:sz w:val="16"/>
          <w:szCs w:val="16"/>
          <w:color w:val="auto"/>
        </w:rPr>
        <w:t>”) available to the Lenders by posting the same on the Platform. The Borrower acknowledges that (i) the distribution of material through an electronic medium, such as the Platform,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The provisions of the immediately preceding clause (i) are not intended to limit the Lenders’ obligations under Section 12.8.</w:t>
      </w:r>
    </w:p>
    <w:p>
      <w:pPr>
        <w:spacing w:after="0" w:line="119"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Agent shall have no obligation to request the delivery or to maintain copies of any of the Information or other materials referred to above, and in no event shall have any responsibility to monitor compliance by the Borrower with any such requests. Each Lender shall be solely responsible for requesting delivery to it or maintaining its copies of such Information or other materials.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80"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8.6. Public/Private Information.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Borrower will cooperate with the Agent in connection with the publication of certain materials and/or information provided by or on behalf of the Borrower to the Agent and the Lenders (collectively, “Information Materials”) pursuant to this Article and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Agent and Borrower acknowledge and agree that Borrower is obligated to file reports under the Securities Exchange Act of 1934 (the “1934 Act”). All Information Materials filed with or furnished to the Securities and Exchange Commission by the Borrower pursuant to the 1934 Act or filed by the Borrower with the Securities and Exchange Commission pursuant to the Securities Act, distributed by the Borrower by press release through a widely disseminated news or wire service, or otherwise expressly designated by Borrower as Public Information are hereby designated as Public Information, and all other Information Materials are hereby designated as Private Information.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permit:</w:t>
      </w:r>
    </w:p>
    <w:p>
      <w:pPr>
        <w:spacing w:after="0" w:line="171" w:lineRule="exact"/>
        <w:rPr>
          <w:sz w:val="20"/>
          <w:szCs w:val="20"/>
          <w:color w:val="auto"/>
        </w:rPr>
      </w:pPr>
    </w:p>
    <w:p>
      <w:pPr>
        <w:ind w:left="700" w:hanging="236"/>
        <w:spacing w:after="0"/>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The ratio of (i) Total Indebtedness to (ii) Total Asset Value, to exceed 0.60 to 1.0 at any time.</w:t>
      </w:r>
    </w:p>
    <w:p>
      <w:pPr>
        <w:spacing w:after="0" w:line="171" w:lineRule="exact"/>
        <w:rPr>
          <w:rFonts w:ascii="Arial" w:cs="Arial" w:eastAsia="Arial" w:hAnsi="Arial"/>
          <w:sz w:val="18"/>
          <w:szCs w:val="18"/>
          <w:color w:val="auto"/>
        </w:rPr>
      </w:pPr>
    </w:p>
    <w:p>
      <w:pPr>
        <w:ind w:right="20" w:firstLine="464"/>
        <w:spacing w:after="0" w:line="332"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ratio of (i) Adjusted EBITDA of the Borrower and its Subsidiaries determined on a consolidated basis for the fiscal quarter of the Borrower most recently ending to (ii) Fixed Charges for such period, to be less than 1.850 to 1.00 at the end of any fiscal quarter.</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1"/>
          <w:numId w:val="66"/>
        </w:numPr>
        <w:rPr>
          <w:rFonts w:ascii="Arial" w:cs="Arial" w:eastAsia="Arial" w:hAnsi="Arial"/>
          <w:sz w:val="15"/>
          <w:szCs w:val="15"/>
          <w:color w:val="auto"/>
        </w:rPr>
      </w:pPr>
      <w:r>
        <w:rPr>
          <w:rFonts w:ascii="Arial" w:cs="Arial" w:eastAsia="Arial" w:hAnsi="Arial"/>
          <w:sz w:val="15"/>
          <w:szCs w:val="15"/>
          <w:u w:val="single" w:color="auto"/>
          <w:color w:val="auto"/>
        </w:rPr>
        <w:t>Maximum Secured Indebtedness Ratio</w:t>
      </w:r>
      <w:r>
        <w:rPr>
          <w:rFonts w:ascii="Arial" w:cs="Arial" w:eastAsia="Arial" w:hAnsi="Arial"/>
          <w:sz w:val="15"/>
          <w:szCs w:val="15"/>
          <w:color w:val="auto"/>
        </w:rPr>
        <w:t>. The ratio of (i) Secured Indebtedness of the Borrower and its Subsidiaries determined on a consolidated basis to</w:t>
      </w:r>
    </w:p>
    <w:p>
      <w:pPr>
        <w:spacing w:after="0" w:line="49" w:lineRule="exact"/>
        <w:rPr>
          <w:rFonts w:ascii="Arial" w:cs="Arial" w:eastAsia="Arial" w:hAnsi="Arial"/>
          <w:sz w:val="15"/>
          <w:szCs w:val="15"/>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Asset Value, to be greater than 0.350 to 1.00 at any time.</w:t>
      </w:r>
    </w:p>
    <w:p>
      <w:pPr>
        <w:spacing w:after="0" w:line="164" w:lineRule="exact"/>
        <w:rPr>
          <w:rFonts w:ascii="Arial" w:cs="Arial" w:eastAsia="Arial" w:hAnsi="Arial"/>
          <w:sz w:val="18"/>
          <w:szCs w:val="18"/>
          <w:color w:val="auto"/>
        </w:rPr>
      </w:pPr>
    </w:p>
    <w:p>
      <w:pPr>
        <w:ind w:right="740" w:firstLine="464"/>
        <w:spacing w:after="0" w:line="268" w:lineRule="auto"/>
        <w:tabs>
          <w:tab w:leader="none" w:pos="70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Minimum Unencumbered Leverage Ratio</w:t>
      </w:r>
      <w:r>
        <w:rPr>
          <w:rFonts w:ascii="Arial" w:cs="Arial" w:eastAsia="Arial" w:hAnsi="Arial"/>
          <w:sz w:val="18"/>
          <w:szCs w:val="18"/>
          <w:color w:val="auto"/>
        </w:rPr>
        <w:t>. The ratio of (i) Unencumbered Asset Value to (ii) Unsecured Indebtedness of the Borrower and its Subsidiaries determined on a consolidated basis, to be less than 1.60 to 1.00 at the any time.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380"/>
          </w:cols>
          <w:pgMar w:left="240" w:top="274" w:right="279" w:bottom="1440" w:gutter="0" w:footer="0" w:header="0"/>
        </w:sectPr>
      </w:pPr>
    </w:p>
    <w:bookmarkStart w:id="91" w:name="page92"/>
    <w:bookmarkEnd w:id="91"/>
    <w:p>
      <w:pPr>
        <w:ind w:right="480" w:firstLine="464"/>
        <w:spacing w:after="0" w:line="332"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Net Worth</w:t>
      </w:r>
      <w:r>
        <w:rPr>
          <w:rFonts w:ascii="Arial" w:cs="Arial" w:eastAsia="Arial" w:hAnsi="Arial"/>
          <w:sz w:val="16"/>
          <w:szCs w:val="16"/>
          <w:color w:val="auto"/>
        </w:rPr>
        <w:t xml:space="preserve">. Tangible Net Worth at any time to be less than (i) $1,500,000,000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75% of the Net Proceeds of all Equity Issuances effected by the Borrower or any Subsidiary after March 31, 2009 (other than Equity Issuances to the Borrower or any Subsidiary).</w:t>
      </w:r>
    </w:p>
    <w:p>
      <w:pPr>
        <w:spacing w:after="0" w:line="85" w:lineRule="exact"/>
        <w:rPr>
          <w:rFonts w:ascii="Arial" w:cs="Arial" w:eastAsia="Arial" w:hAnsi="Arial"/>
          <w:sz w:val="16"/>
          <w:szCs w:val="16"/>
          <w:color w:val="auto"/>
        </w:rPr>
      </w:pPr>
    </w:p>
    <w:p>
      <w:pPr>
        <w:ind w:right="240" w:firstLine="464"/>
        <w:spacing w:after="0" w:line="268" w:lineRule="auto"/>
        <w:tabs>
          <w:tab w:leader="none" w:pos="67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Assets Owned by Borrower and Guarantors</w:t>
      </w:r>
      <w:r>
        <w:rPr>
          <w:rFonts w:ascii="Arial" w:cs="Arial" w:eastAsia="Arial" w:hAnsi="Arial"/>
          <w:sz w:val="18"/>
          <w:szCs w:val="18"/>
          <w:color w:val="auto"/>
        </w:rPr>
        <w:t>. The amount of Adjusted Total Asset Value attributable to assets directly owned by the Borrower and the Guarantors to be less than 95.0% of Adjusted Total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Restricted Payments.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Borrower shall not, and shall not permit any of its Subsidiaries to, declare or make any Restricted Payment if an Event of Default or a Major Default exists or a Default or Event of Default would result from the making of such Restricted Payment, except that the Borrower may, subject to the immediately following sentence, declare and make cash distributions to its shareholders during any fiscal year in an aggregate amount not to exceed the minimum amount necessary for the Borrower to remain in compliance with Section 7.13. If an Event of Default specified in Section 10.1.(a), Section 10.1.(b), Section 10.1.(f) or Section 10.1.(g) shall exist, or if as a result of the occurrence of any other Event of Default any of the Obligations have been accelerated pursuant to Section 10.2. (a), the Borrower shall not, and shall not permit any Subsidiary to, make any Restricted Payments to any Person other than to the Borrower or any Subsidiary.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Indebtedness.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Certain Permitted Investments.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Borrower shall not, and shall not permit any Subsidiary to, make any Investment in or otherwise own the following items which would cause the aggregate value of such holdings of the Borrower and such other Subsidiaries to exceed the following percentages of Total Asset Value at any time:</w:t>
      </w:r>
    </w:p>
    <w:p>
      <w:pPr>
        <w:spacing w:after="0" w:line="85" w:lineRule="exact"/>
        <w:rPr>
          <w:sz w:val="20"/>
          <w:szCs w:val="20"/>
          <w:color w:val="auto"/>
        </w:rPr>
      </w:pPr>
    </w:p>
    <w:p>
      <w:pPr>
        <w:ind w:right="180" w:firstLine="464"/>
        <w:spacing w:after="0" w:line="306"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Investments in Unconsolidated Affiliates and other Persons that are not Subsidiaries and Investments in Subsidiaries that own Non-Controlled Properties, such that the aggregate value of such Investments determined in a manner consistent with the definition of Total Asset Value or, if not contemplated under the definition of Total Asset Value, as determined in accordance with GAAP, exceeds 15% of Total Asset Value;</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380"/>
          </w:cols>
          <w:pgMar w:left="240" w:top="280" w:right="279" w:bottom="1440" w:gutter="0" w:footer="0" w:header="0"/>
        </w:sectPr>
      </w:pPr>
    </w:p>
    <w:bookmarkStart w:id="92" w:name="page93"/>
    <w:bookmarkEnd w:id="92"/>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Mortgage Receivables such that the aggregate book value exceeds 7.5% of Total Asset Value;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Construction Budget for all real property under construction such that the aggregate exceeds 15% of Total Asset Value.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Unimproved Land such that the aggregate value of such Unimproved Land, calculated on the basis of cost, exceeds 5% of Total Asset Value.</w:t>
      </w:r>
    </w:p>
    <w:p>
      <w:pPr>
        <w:spacing w:after="0" w:line="194" w:lineRule="exact"/>
        <w:rPr>
          <w:rFonts w:ascii="Arial" w:cs="Arial" w:eastAsia="Arial" w:hAnsi="Arial"/>
          <w:sz w:val="16"/>
          <w:szCs w:val="16"/>
          <w:color w:val="auto"/>
        </w:rPr>
      </w:pPr>
    </w:p>
    <w:p>
      <w:pPr>
        <w:ind w:right="480" w:firstLine="464"/>
        <w:spacing w:after="0" w:line="268"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in Persons (other than Investments in Subsidiaries and Unconsolidated Affiliates) such that the aggregate value of such Investments, calculated on the basis of cost, exceeds 5% of Total Asset Value.</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to the foregoing limitations, the aggregate value of the Investments and other items subject to the limitations in the preceding clauses (a) through (e) shall not exceed 30% of Total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Investments Generally.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132" w:lineRule="exact"/>
        <w:rPr>
          <w:sz w:val="20"/>
          <w:szCs w:val="20"/>
          <w:color w:val="auto"/>
        </w:rPr>
      </w:pPr>
    </w:p>
    <w:p>
      <w:pPr>
        <w:ind w:left="700" w:hanging="23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6.1.(b);</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permitted under Section 9.4.;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Section 9.3.;</w:t>
      </w:r>
    </w:p>
    <w:p>
      <w:pPr>
        <w:spacing w:after="0" w:line="131" w:lineRule="exact"/>
        <w:rPr>
          <w:rFonts w:ascii="Arial" w:cs="Arial" w:eastAsia="Arial" w:hAnsi="Arial"/>
          <w:sz w:val="18"/>
          <w:szCs w:val="18"/>
          <w:color w:val="auto"/>
        </w:rPr>
      </w:pPr>
    </w:p>
    <w:p>
      <w:pPr>
        <w:ind w:right="60" w:firstLine="464"/>
        <w:spacing w:after="0" w:line="259" w:lineRule="auto"/>
        <w:tabs>
          <w:tab w:leader="none" w:pos="6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360"/>
          </w:cols>
          <w:pgMar w:left="240" w:top="280" w:right="299" w:bottom="1440" w:gutter="0" w:footer="0" w:header="0"/>
        </w:sectPr>
      </w:pPr>
    </w:p>
    <w:bookmarkStart w:id="93" w:name="page94"/>
    <w:bookmarkEnd w:id="93"/>
    <w:p>
      <w:pPr>
        <w:ind w:right="16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Liens; Negative Pledges; Other Matters.</w:t>
      </w:r>
    </w:p>
    <w:p>
      <w:pPr>
        <w:spacing w:after="0" w:line="96" w:lineRule="exact"/>
        <w:rPr>
          <w:sz w:val="20"/>
          <w:szCs w:val="20"/>
          <w:color w:val="auto"/>
        </w:rPr>
      </w:pPr>
    </w:p>
    <w:p>
      <w:pPr>
        <w:ind w:right="40" w:firstLine="464"/>
        <w:spacing w:after="0" w:line="298"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enter into, assume or otherwise be bound by any Negative Pledge except for a Negative Pledge contained in any agreement (i) evidencing Indebtedness which the Borrower or such Subsidiary may create, incur, assume, or permit or suffer to exist under Section 9.3.; (ii) which Indebtedness is secured by a Lien permitted to exist hereunder and (iii) which prohibits the creation of any other Lien on only the property securing such Indebtedness as of the date such agreement was entered into.</w:t>
      </w:r>
    </w:p>
    <w:p>
      <w:pPr>
        <w:spacing w:after="0" w:line="112"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 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Merger, Consolidation, Sales of Assets and Other Arrangements.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07" w:lineRule="exact"/>
        <w:rPr>
          <w:sz w:val="20"/>
          <w:szCs w:val="20"/>
          <w:color w:val="auto"/>
        </w:rPr>
      </w:pPr>
    </w:p>
    <w:p>
      <w:pPr>
        <w:jc w:val="both"/>
        <w:ind w:right="100" w:firstLine="464"/>
        <w:spacing w:after="0" w:line="259"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380"/>
          </w:cols>
          <w:pgMar w:left="240" w:top="280" w:right="27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 Sections 5.1.(a)(ix) through (xii) 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124" w:lineRule="exact"/>
        <w:rPr>
          <w:sz w:val="20"/>
          <w:szCs w:val="20"/>
          <w:color w:val="auto"/>
        </w:rPr>
      </w:pPr>
    </w:p>
    <w:p>
      <w:pPr>
        <w:ind w:right="16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Borrower, its Subsidiaries and the other Loan Parties may lease and sublease their respective assets, as lessor or sublessor (as the case may be), in the ordinary course of their business;</w:t>
      </w:r>
    </w:p>
    <w:p>
      <w:pPr>
        <w:spacing w:after="0" w:line="131" w:lineRule="exact"/>
        <w:rPr>
          <w:rFonts w:ascii="Arial" w:cs="Arial" w:eastAsia="Arial" w:hAnsi="Arial"/>
          <w:sz w:val="18"/>
          <w:szCs w:val="18"/>
          <w:color w:val="auto"/>
        </w:rPr>
      </w:pPr>
    </w:p>
    <w:p>
      <w:pPr>
        <w:ind w:right="40" w:firstLine="464"/>
        <w:spacing w:after="0" w:line="256"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 and</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Borrower and each Subsidiary may transfer property as security for Indebtedness permitted by Section 9.3.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change its fiscal year from that in effect as of the Agreement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360"/>
          </w:cols>
          <w:pgMar w:left="240" w:top="280" w:right="2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9.9. Modifications of Organizational Documents.</w:t>
      </w:r>
    </w:p>
    <w:p>
      <w:pPr>
        <w:spacing w:after="0" w:line="96"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Transactions with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of its Subsidiaries or any other Loan Party to, permit to exist or enter into, any transaction (including the purchase, sale, lease or exchange of any property or the rendering of any service) with any Affiliate, except (a) compensation, bonus and benefit arrangements with employees and trustees as permitted by Applicable Law; (b) 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9.11. ERISA Exemptions.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Borrower shall not, and shall not permit any Subsidiary to, permit any of its respective assets to become or be deemed to be “plan assets” within the meaning of ERISA,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Non-Controlled Properties.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9.13. OFAC.</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Borrower shall not, and shall not permit any Subsidiary or any Affiliate of the Borrower to, violate any of the country or list based economic and trade sanctions administered and enforced by OFAC that are described or referenced at http://www.ustreas.gov/offices/enforcement/ofac/ or as otherwise published from time to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274" w:right="2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32" w:lineRule="exact"/>
        <w:rPr>
          <w:sz w:val="20"/>
          <w:szCs w:val="20"/>
          <w:color w:val="auto"/>
        </w:rPr>
      </w:pPr>
    </w:p>
    <w:p>
      <w:pPr>
        <w:ind w:right="180" w:firstLine="464"/>
        <w:spacing w:after="0" w:line="268" w:lineRule="auto"/>
        <w:tabs>
          <w:tab w:leader="none" w:pos="69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w:t>
      </w:r>
      <w:r>
        <w:rPr>
          <w:rFonts w:ascii="Arial" w:cs="Arial" w:eastAsia="Arial" w:hAnsi="Arial"/>
          <w:sz w:val="18"/>
          <w:szCs w:val="18"/>
          <w:color w:val="auto"/>
        </w:rPr>
        <w:t>. The Borrower shall fail to pay when due (whether upon demand, at maturity, by reason of acceleration or otherwise) the principal of any of the Loans.</w:t>
      </w:r>
    </w:p>
    <w:p>
      <w:pPr>
        <w:spacing w:after="0" w:line="131" w:lineRule="exact"/>
        <w:rPr>
          <w:rFonts w:ascii="Arial" w:cs="Arial" w:eastAsia="Arial" w:hAnsi="Arial"/>
          <w:sz w:val="18"/>
          <w:szCs w:val="18"/>
          <w:color w:val="auto"/>
        </w:rPr>
      </w:pPr>
    </w:p>
    <w:p>
      <w:pPr>
        <w:ind w:right="140" w:firstLine="464"/>
        <w:spacing w:after="0" w:line="256" w:lineRule="auto"/>
        <w:tabs>
          <w:tab w:leader="none" w:pos="70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Default in Payment of Interest and Other Obligations</w:t>
      </w:r>
      <w:r>
        <w:rPr>
          <w:rFonts w:ascii="Arial" w:cs="Arial" w:eastAsia="Arial" w:hAnsi="Arial"/>
          <w:sz w:val="18"/>
          <w:szCs w:val="18"/>
          <w:color w:val="auto"/>
        </w:rPr>
        <w:t>.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143" w:lineRule="exact"/>
        <w:rPr>
          <w:rFonts w:ascii="Arial" w:cs="Arial" w:eastAsia="Arial" w:hAnsi="Arial"/>
          <w:sz w:val="18"/>
          <w:szCs w:val="18"/>
          <w:color w:val="auto"/>
        </w:rPr>
      </w:pPr>
    </w:p>
    <w:p>
      <w:pPr>
        <w:ind w:firstLine="464"/>
        <w:spacing w:after="0" w:line="283" w:lineRule="auto"/>
        <w:tabs>
          <w:tab w:leader="none" w:pos="695"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Default in Performance</w:t>
      </w:r>
      <w:r>
        <w:rPr>
          <w:rFonts w:ascii="Arial" w:cs="Arial" w:eastAsia="Arial" w:hAnsi="Arial"/>
          <w:sz w:val="16"/>
          <w:szCs w:val="16"/>
          <w:color w:val="auto"/>
        </w:rPr>
        <w:t>. (i) The Borrower shall fail to perform or observe any term, covenant, condition or agreement contained in Section 8.4.(i) or Article IX. or (ii) the Borrower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30 days after the earlier of (x) the date upon which a Responsible Officer of the Borrower or such other Loan Party obtains knowledge of such failure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date upon which the Borrower has received written notice of such failure from the Agent.</w:t>
      </w:r>
    </w:p>
    <w:p>
      <w:pPr>
        <w:spacing w:after="0" w:line="164"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98" w:lineRule="auto"/>
        <w:tabs>
          <w:tab w:leader="none" w:pos="1108" w:val="left"/>
        </w:tabs>
        <w:numPr>
          <w:ilvl w:val="2"/>
          <w:numId w:val="77"/>
        </w:numPr>
        <w:rPr>
          <w:rFonts w:ascii="Arial" w:cs="Arial" w:eastAsia="Arial" w:hAnsi="Arial"/>
          <w:sz w:val="16"/>
          <w:szCs w:val="16"/>
          <w:color w:val="auto"/>
        </w:rPr>
      </w:pPr>
      <w:r>
        <w:rPr>
          <w:rFonts w:ascii="Arial" w:cs="Arial" w:eastAsia="Arial" w:hAnsi="Arial"/>
          <w:sz w:val="16"/>
          <w:szCs w:val="16"/>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3"/>
          <w:numId w:val="77"/>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380"/>
          </w:cols>
          <w:pgMar w:left="240" w:top="274" w:right="279" w:bottom="1440" w:gutter="0" w:footer="0" w:header="0"/>
        </w:sectPr>
      </w:pPr>
    </w:p>
    <w:bookmarkStart w:id="97" w:name="page98"/>
    <w:bookmarkEnd w:id="97"/>
    <w:p>
      <w:pPr>
        <w:ind w:left="460" w:right="100" w:firstLine="443"/>
        <w:spacing w:after="0" w:line="259" w:lineRule="auto"/>
        <w:tabs>
          <w:tab w:leader="none" w:pos="1157"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59" w:lineRule="exact"/>
        <w:rPr>
          <w:rFonts w:ascii="Arial" w:cs="Arial" w:eastAsia="Arial" w:hAnsi="Arial"/>
          <w:sz w:val="18"/>
          <w:szCs w:val="18"/>
          <w:color w:val="auto"/>
        </w:rPr>
      </w:pPr>
    </w:p>
    <w:p>
      <w:pPr>
        <w:ind w:left="460" w:right="40" w:firstLine="443"/>
        <w:spacing w:after="0" w:line="306" w:lineRule="auto"/>
        <w:tabs>
          <w:tab w:leader="none" w:pos="12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16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62" w:lineRule="exact"/>
        <w:rPr>
          <w:sz w:val="20"/>
          <w:szCs w:val="20"/>
          <w:color w:val="auto"/>
        </w:rPr>
      </w:pPr>
    </w:p>
    <w:p>
      <w:pPr>
        <w:ind w:right="40" w:firstLine="464"/>
        <w:spacing w:after="0" w:line="289" w:lineRule="auto"/>
        <w:tabs>
          <w:tab w:leader="none" w:pos="67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18" w:lineRule="exact"/>
        <w:rPr>
          <w:rFonts w:ascii="Arial" w:cs="Arial" w:eastAsia="Arial" w:hAnsi="Arial"/>
          <w:sz w:val="16"/>
          <w:szCs w:val="16"/>
          <w:color w:val="auto"/>
        </w:rPr>
      </w:pPr>
    </w:p>
    <w:p>
      <w:pPr>
        <w:ind w:firstLine="464"/>
        <w:spacing w:after="0" w:line="290"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380"/>
          </w:cols>
          <w:pgMar w:left="240" w:top="280" w:right="279" w:bottom="1440" w:gutter="0" w:footer="0" w:header="0"/>
        </w:sectPr>
      </w:pPr>
    </w:p>
    <w:bookmarkStart w:id="98" w:name="page99"/>
    <w:bookmarkEnd w:id="98"/>
    <w:p>
      <w:pPr>
        <w:ind w:left="-464" w:right="20" w:firstLine="464"/>
        <w:spacing w:after="0" w:line="256" w:lineRule="auto"/>
        <w:tabs>
          <w:tab w:leader="none" w:pos="24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 Enforceability</w:t>
      </w:r>
      <w:r>
        <w:rPr>
          <w:rFonts w:ascii="Arial" w:cs="Arial" w:eastAsia="Arial" w:hAnsi="Arial"/>
          <w:sz w:val="18"/>
          <w:szCs w:val="18"/>
          <w:color w:val="auto"/>
        </w:rPr>
        <w: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143" w:lineRule="exact"/>
        <w:rPr>
          <w:rFonts w:ascii="Arial" w:cs="Arial" w:eastAsia="Arial" w:hAnsi="Arial"/>
          <w:sz w:val="18"/>
          <w:szCs w:val="18"/>
          <w:color w:val="auto"/>
        </w:rPr>
      </w:pPr>
    </w:p>
    <w:p>
      <w:pPr>
        <w:ind w:left="-464" w:right="160" w:firstLine="464"/>
        <w:spacing w:after="0" w:line="291" w:lineRule="auto"/>
        <w:tabs>
          <w:tab w:leader="none" w:pos="20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shall be entered against the Borrower, any Subsidiary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Borrower, such Subsidiaries and such other Loan Parties, $25,000,000 or (B) in the case of an injunction or other non-monetary judgment, such judgment could reasonably be expected to have a Material Adverse Effect.</w:t>
      </w:r>
    </w:p>
    <w:p>
      <w:pPr>
        <w:spacing w:after="0" w:line="120" w:lineRule="exact"/>
        <w:rPr>
          <w:rFonts w:ascii="Arial" w:cs="Arial" w:eastAsia="Arial" w:hAnsi="Arial"/>
          <w:sz w:val="16"/>
          <w:szCs w:val="16"/>
          <w:color w:val="auto"/>
        </w:rPr>
      </w:pPr>
    </w:p>
    <w:p>
      <w:pPr>
        <w:ind w:left="-464" w:right="20" w:firstLine="464"/>
        <w:spacing w:after="0" w:line="291" w:lineRule="auto"/>
        <w:tabs>
          <w:tab w:leader="none" w:pos="20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A warrant, writ of attachment, execution or similar process shall be issued against any property of the Borrower, any Subsidiary or any other Loan Party which exceeds, individually or together with all other such warrants, writs, executions and processes, $25,000,000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20" w:lineRule="exact"/>
        <w:rPr>
          <w:rFonts w:ascii="Arial" w:cs="Arial" w:eastAsia="Arial" w:hAnsi="Arial"/>
          <w:sz w:val="16"/>
          <w:szCs w:val="16"/>
          <w:color w:val="auto"/>
        </w:rPr>
      </w:pPr>
    </w:p>
    <w:p>
      <w:pPr>
        <w:ind w:left="-464" w:firstLine="464"/>
        <w:spacing w:after="0" w:line="288" w:lineRule="auto"/>
        <w:tabs>
          <w:tab w:leader="none" w:pos="24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Any member of the ERISA Group shall fail to pay when due an amount or amounts aggregating in excess of $25,000,000 which it shall have become liable to pay under Title IV of ERISA; or notice of intent to terminate a Plan or Plans having Unfunded Liabilities in excess of $25,000,000 in the aggregate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$25,000,000 in the aggregate; or a condition shall exist by reason of which the PBGC would be entitled to obtain a decree adjudicating that any Plan or Plans having Unfunded Liabilities in excess of $25,000,000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$25,000,000.</w:t>
      </w:r>
    </w:p>
    <w:p>
      <w:pPr>
        <w:spacing w:after="0" w:line="106" w:lineRule="exact"/>
        <w:rPr>
          <w:rFonts w:ascii="Arial" w:cs="Arial" w:eastAsia="Arial" w:hAnsi="Arial"/>
          <w:sz w:val="16"/>
          <w:szCs w:val="16"/>
          <w:color w:val="auto"/>
        </w:rPr>
      </w:pPr>
    </w:p>
    <w:p>
      <w:pPr>
        <w:ind w:left="5156" w:hanging="96"/>
        <w:spacing w:after="0"/>
        <w:tabs>
          <w:tab w:leader="none" w:pos="51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936"/>
          </w:cols>
          <w:pgMar w:left="704" w:top="280" w:right="259" w:bottom="1440" w:gutter="0" w:footer="0" w:header="0"/>
        </w:sectPr>
      </w:pPr>
    </w:p>
    <w:bookmarkStart w:id="99" w:name="page100"/>
    <w:bookmarkEnd w:id="99"/>
    <w:p>
      <w:pPr>
        <w:ind w:left="680" w:hanging="216"/>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Documents</w:t>
      </w:r>
      <w:r>
        <w:rPr>
          <w:rFonts w:ascii="Arial" w:cs="Arial" w:eastAsia="Arial" w:hAnsi="Arial"/>
          <w:sz w:val="18"/>
          <w:szCs w:val="18"/>
          <w:color w:val="auto"/>
        </w:rPr>
        <w:t>. An Event of Default (as defined therein) shall occur under any of the other Loan Documents.</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right="20" w:firstLine="443"/>
        <w:spacing w:after="0" w:line="301" w:lineRule="auto"/>
        <w:tabs>
          <w:tab w:leader="none" w:pos="1108"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or becomes the “beneficial owner” (as defined in Rules 13d-3 and 13d-5 under the Exchange Act, except that a Person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28" w:lineRule="exact"/>
        <w:rPr>
          <w:rFonts w:ascii="Arial" w:cs="Arial" w:eastAsia="Arial" w:hAnsi="Arial"/>
          <w:sz w:val="16"/>
          <w:szCs w:val="16"/>
          <w:color w:val="auto"/>
        </w:rPr>
      </w:pPr>
    </w:p>
    <w:p>
      <w:pPr>
        <w:ind w:left="460" w:right="220" w:firstLine="443"/>
        <w:spacing w:after="0" w:line="255" w:lineRule="auto"/>
        <w:tabs>
          <w:tab w:leader="none" w:pos="1157" w:val="left"/>
        </w:tabs>
        <w:numPr>
          <w:ilvl w:val="1"/>
          <w:numId w:val="81"/>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171" w:lineRule="exact"/>
        <w:rPr>
          <w:sz w:val="20"/>
          <w:szCs w:val="20"/>
          <w:color w:val="auto"/>
        </w:rPr>
      </w:pPr>
    </w:p>
    <w:p>
      <w:pPr>
        <w:ind w:left="700" w:hanging="23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20" w:firstLine="443"/>
        <w:spacing w:after="0" w:line="298" w:lineRule="auto"/>
        <w:tabs>
          <w:tab w:leader="none" w:pos="1108"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Automatic</w:t>
      </w:r>
      <w:r>
        <w:rPr>
          <w:rFonts w:ascii="Arial" w:cs="Arial" w:eastAsia="Arial" w:hAnsi="Arial"/>
          <w:sz w:val="16"/>
          <w:szCs w:val="16"/>
          <w:color w:val="auto"/>
        </w:rPr>
        <w:t>. Upon the occurrence of an Event of Default specified in Sections 10.1.(f) or 10.1.(g), (A) the principal of, and all accrued interest on, the Loans and the Notes at the time outstanding and (B) all of the other Obligations of the Borrower, including, but not limited to, the other amounts owed to the Lenders and the Agent under this Agreement, the Notes or any of the other Loan Documents shall become immediately and automatically due and payable by the Borrower without presentment, demand, protest, or other notice of any kind, all of which are expressly waived by the Borrower.</w:t>
      </w:r>
    </w:p>
    <w:p>
      <w:pPr>
        <w:spacing w:after="0" w:line="31" w:lineRule="exact"/>
        <w:rPr>
          <w:rFonts w:ascii="Arial" w:cs="Arial" w:eastAsia="Arial" w:hAnsi="Arial"/>
          <w:sz w:val="16"/>
          <w:szCs w:val="16"/>
          <w:color w:val="auto"/>
        </w:rPr>
      </w:pPr>
    </w:p>
    <w:p>
      <w:pPr>
        <w:ind w:left="460" w:firstLine="443"/>
        <w:spacing w:after="0" w:line="255" w:lineRule="auto"/>
        <w:tabs>
          <w:tab w:leader="none" w:pos="115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If any other Event of Default shall exist, the Agent shall, at the direction of the Requisite Lenders, declare (A) the principal of, and accrued interest on, the Loans and the Notes at the time outstanding and (B)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20"/>
          </w:cols>
          <w:pgMar w:left="240" w:top="280" w:right="239" w:bottom="1440" w:gutter="0" w:footer="0" w:header="0"/>
        </w:sectPr>
      </w:pPr>
    </w:p>
    <w:bookmarkStart w:id="100" w:name="page101"/>
    <w:bookmarkEnd w:id="100"/>
    <w:p>
      <w:pPr>
        <w:ind w:right="140"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Documents</w:t>
      </w:r>
      <w:r>
        <w:rPr>
          <w:rFonts w:ascii="Arial" w:cs="Arial" w:eastAsia="Arial" w:hAnsi="Arial"/>
          <w:sz w:val="18"/>
          <w:szCs w:val="18"/>
          <w:color w:val="auto"/>
        </w:rPr>
        <w:t>. The Requisite Lenders may direct the Agent to, and the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Agent to, and the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jc w:val="both"/>
        <w:ind w:right="360" w:firstLine="464"/>
        <w:spacing w:after="0" w:line="298"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Allocation of Proceeds.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140" w:lineRule="exact"/>
        <w:rPr>
          <w:sz w:val="20"/>
          <w:szCs w:val="20"/>
          <w:color w:val="auto"/>
        </w:rPr>
      </w:pPr>
    </w:p>
    <w:p>
      <w:pPr>
        <w:ind w:left="1140" w:hanging="237"/>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amounts due to the Agent in respect of fees and expenses due under Section 12.2.;</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amounts due to the Lenders in respect of fees and expenses due under Section 12.2., pro rata in the amount then due each Lender;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of interest on all the Loans, to be applied for the ratable benefit of the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of principal of all the Loans, to be applied for the ratable benefit of the Lenders;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amounts due the Agent and the Lenders from the Borrower or the other Loan Parties pursuant to Sections 11.7. and 12.9.;</w:t>
      </w:r>
    </w:p>
    <w:p>
      <w:pPr>
        <w:spacing w:after="0" w:line="90" w:lineRule="exact"/>
        <w:rPr>
          <w:rFonts w:ascii="Arial" w:cs="Arial" w:eastAsia="Arial" w:hAnsi="Arial"/>
          <w:sz w:val="18"/>
          <w:szCs w:val="18"/>
          <w:color w:val="auto"/>
        </w:rPr>
      </w:pPr>
    </w:p>
    <w:p>
      <w:pPr>
        <w:ind w:left="460" w:right="860" w:firstLine="443"/>
        <w:spacing w:after="0" w:line="268" w:lineRule="auto"/>
        <w:tabs>
          <w:tab w:leader="none" w:pos="11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and owing by the Borrower and the other Loan Parties under any of the Loan Documents, if any, to be applied for the ratable benefit of the Lenders;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20"/>
          </w:cols>
          <w:pgMar w:left="240" w:top="280"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10.4. Performance by Agent.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Rights Cumulative.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Authorization and Action.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At the request of a Lender, the Agent will forward to such Lender copies or, where appropriate, originals of the documents delivered to the Agent pursuant to this Agreement or the other Loan Documents. The Agent will also furnish to any Lender, upon request of such Lender, a copy of any certificate or notice furnished to the Agent by the Borrower, any other Loan Party or any other Affiliate of the Borrower, pursuant to this Agreement or any other Loan Document not already delivered to such Lender pursuant to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274" w:right="259" w:bottom="1440" w:gutter="0" w:footer="0" w:header="0"/>
        </w:sectPr>
      </w:pPr>
    </w:p>
    <w:bookmarkStart w:id="102" w:name="page103"/>
    <w:bookmarkEnd w:id="10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Agent’s Reliance,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00"/>
          </w:cols>
          <w:pgMar w:left="240" w:top="280"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11.3. Notice of Defaults.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Wachovia as Lender.</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Approvals of Lenders.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 (d) shall include the Agent’s recommended course of action or determination in respect thereof. Each Lender shall reply promptly, but in any event within 10 Business Days (or such lesser or greater period as may be specifically required under the Loan Documents) of receipt of such communication. Except as otherwise provided in this Agreement, unless a Lender shall give written notice to the Agent that it specifically objects to the recommendation or 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27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11.6. Lender Credit Decision,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Indemnification of Agent.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Lender agrees to indemnify the Agent (to the extent not reimbursed by the Borrower and without limiting the obligation of the Borrower to do so) pro rata in accordance with such Lender’s respective Credit Percentage, from and against any and all liabilities, obligations, losses, damages, penalties, actions, judgments, suits, reasonable out-of-pocket costs and expenses, or disbursements of any kind or nature whatsoever which may at any time be imposed on, incurred by, or asserted against the Agent (in its capacity as Agent but not as a Lender) in any way relating to or arising out of the Loan Documents, any transaction contemplated hereby or thereby or any action taken or omitted by the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provided, however, that no Lender shall be liable for any portion of such Indemnifiable Amounts to the extent resulting from the Agent’s gross negligence or willful misconduct as determined by a court of competent jurisdiction in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74" w:right="239" w:bottom="1440" w:gutter="0" w:footer="0" w:header="0"/>
        </w:sectPr>
      </w:pPr>
    </w:p>
    <w:bookmarkStart w:id="105" w:name="page106"/>
    <w:bookmarkEnd w:id="10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Agent.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Agent may resign at any time as Agent under the Loan Documents by giving written notice thereof to the Lenders and the Borrower. The Agent may be removed as Agent under the Loan Documents for good cause by all of the Lenders (other than the Lender then acting as Agent) upon 30 days’ prior written notice to the Agent.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 retiring or removed Agent, and the retiring or removed Agent shall be discharged from its duties and obligations under the Loan Documents. After any Agent’s resignation or removal hereunder as Agent, the provisions of this Article XI. shall continue to inure to its benefit as to any actions taken or omitted to be taken by it while it was Agent under the Loan Documents.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280"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11.9. Titled Agents.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“Arranger,” “Book Manager”, “Syndication Agent” and “Documentation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herein, communications provided for hereunder shall be in writing and shall be mailed, telecopied or delivered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(301) 998-8318</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(301) 998-3701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(301) 998-8100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(301) 998-3715</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380"/>
          </w:cols>
          <w:pgMar w:left="240" w:top="274" w:right="279" w:bottom="1440" w:gutter="0" w:footer="0" w:header="0"/>
        </w:sectPr>
      </w:pPr>
    </w:p>
    <w:bookmarkStart w:id="107" w:name="page108"/>
    <w:bookmarkEnd w:id="10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Wendelin A. White, P.C.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Pillsbury Winthrop Shaw Pittman LLP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(202) 663-8360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(202) 663-8007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S. College Street, NC0172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Rex E. Rudy</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(704) 383-6506</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Telecopy:</w:t>
        <w:tab/>
        <w:t>(704) 383-6205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such Lender’s address or telecopy number, as applicable, as set forth in its Administrative Questionnaire;</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Borrower agrees (a) to pay or reimburse the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 in connection with the use of IntraLinks, Inc., SyndTrak or other similar information transmission systems in connection with the Loan Documents, (b) to pay or reimburse the Agent and the Lenders for all their costs and expenses incurred in connection with the enforcement or preservation of any rights under the Loan Documents, including the reasonable fees and disbursements of counsel to the Agent and one separate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280" w:right="259" w:bottom="1440" w:gutter="0" w:footer="0" w:header="0"/>
        </w:sectPr>
      </w:pPr>
    </w:p>
    <w:bookmarkStart w:id="108" w:name="page109"/>
    <w:bookmarkEnd w:id="10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counsel for the Lenders and any payments in indemnification or otherwise payable by the 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 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Setoff.</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Agent, each Lender and each affiliate of the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such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Litigation; Jurisdiction; Other Matters; Waivers.</w:t>
      </w:r>
    </w:p>
    <w:p>
      <w:pPr>
        <w:spacing w:after="0" w:line="96" w:lineRule="exact"/>
        <w:rPr>
          <w:sz w:val="20"/>
          <w:szCs w:val="20"/>
          <w:color w:val="auto"/>
        </w:rPr>
      </w:pPr>
    </w:p>
    <w:p>
      <w:pPr>
        <w:ind w:right="20" w:firstLine="464"/>
        <w:spacing w:after="0" w:line="294"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 ANY COURT OR TRIBUNAL IN WHICH AN ACTION MAY BE COMMENCED BY OR</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320"/>
          </w:cols>
          <w:pgMar w:left="240" w:top="280" w:right="339" w:bottom="1440" w:gutter="0" w:footer="0" w:header="0"/>
        </w:sectPr>
      </w:pPr>
    </w:p>
    <w:bookmarkStart w:id="109" w:name="page110"/>
    <w:bookmarkEnd w:id="109"/>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ANY PARTY HERETO ARISING OUT OF THIS AGREEMENT, THE NOTES, OR ANY OTHER LOAN DOCUMENT OR BY REASON OF ANY OTHER SUIT, CAUSE OF ACTION OR DISPUTE WHATSOEVER BETWEEN OR AMONG THE BORROWER, THE AGENT OR ANY OF THE LENDERS OF ANY KIND OR NATURE RELATING TO ANY OF THE LOAN DOCUMENTS.</w:t>
      </w:r>
    </w:p>
    <w:p>
      <w:pPr>
        <w:spacing w:after="0" w:line="140" w:lineRule="exact"/>
        <w:rPr>
          <w:sz w:val="20"/>
          <w:szCs w:val="20"/>
          <w:color w:val="auto"/>
        </w:rPr>
      </w:pPr>
    </w:p>
    <w:p>
      <w:pPr>
        <w:ind w:firstLine="464"/>
        <w:spacing w:after="0" w:line="286"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THE BORROWER, THE AGENT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AGENT OR ANY OF THE LENDERS PERTAINING DIRECTLY OR INDIRECTLY TO THIS AGREEMENT, THE LOANS,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27" w:lineRule="exact"/>
        <w:rPr>
          <w:rFonts w:ascii="Arial" w:cs="Arial" w:eastAsia="Arial" w:hAnsi="Arial"/>
          <w:sz w:val="16"/>
          <w:szCs w:val="16"/>
          <w:color w:val="auto"/>
        </w:rPr>
      </w:pPr>
    </w:p>
    <w:p>
      <w:pPr>
        <w:ind w:right="80" w:firstLine="464"/>
        <w:spacing w:after="0" w:line="306"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Successors and Assigns.</w:t>
      </w:r>
    </w:p>
    <w:p>
      <w:pPr>
        <w:spacing w:after="0" w:line="96" w:lineRule="exact"/>
        <w:rPr>
          <w:sz w:val="20"/>
          <w:szCs w:val="20"/>
          <w:color w:val="auto"/>
        </w:rPr>
      </w:pPr>
    </w:p>
    <w:p>
      <w:pPr>
        <w:jc w:val="both"/>
        <w:ind w:right="200" w:firstLine="464"/>
        <w:spacing w:after="0" w:line="303" w:lineRule="auto"/>
        <w:tabs>
          <w:tab w:leader="none" w:pos="695"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Successors and Assigns Generally</w:t>
      </w:r>
      <w:r>
        <w:rPr>
          <w:rFonts w:ascii="Arial" w:cs="Arial" w:eastAsia="Arial" w:hAnsi="Arial"/>
          <w:sz w:val="15"/>
          <w:szCs w:val="15"/>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Agent and each Lender and no Lender may assign or otherwise transfer any of its rights or obligations hereunder except</w:t>
      </w:r>
    </w:p>
    <w:p>
      <w:pPr>
        <w:spacing w:after="0" w:line="1" w:lineRule="exact"/>
        <w:rPr>
          <w:rFonts w:ascii="Arial" w:cs="Arial" w:eastAsia="Arial" w:hAnsi="Arial"/>
          <w:sz w:val="15"/>
          <w:szCs w:val="15"/>
          <w:color w:val="auto"/>
        </w:rPr>
      </w:pPr>
    </w:p>
    <w:p>
      <w:pPr>
        <w:ind w:right="120" w:firstLine="8"/>
        <w:spacing w:after="0" w:line="302" w:lineRule="auto"/>
        <w:tabs>
          <w:tab w:leader="none" w:pos="2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any other attempted assignment or transfer by any party hereto shall be null and void). Nothing in this Agreement, expressed or</w:t>
      </w:r>
    </w:p>
    <w:p>
      <w:pPr>
        <w:spacing w:after="0" w:line="95" w:lineRule="exact"/>
        <w:rPr>
          <w:rFonts w:ascii="Arial" w:cs="Arial" w:eastAsia="Arial" w:hAnsi="Arial"/>
          <w:sz w:val="16"/>
          <w:szCs w:val="16"/>
          <w:color w:val="auto"/>
        </w:rPr>
      </w:pPr>
    </w:p>
    <w:p>
      <w:pPr>
        <w:ind w:left="5620" w:hanging="96"/>
        <w:spacing w:after="0"/>
        <w:tabs>
          <w:tab w:leader="none" w:pos="56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280" w:right="239" w:bottom="1440" w:gutter="0" w:footer="0" w:header="0"/>
        </w:sectPr>
      </w:pPr>
    </w:p>
    <w:bookmarkStart w:id="110" w:name="page111"/>
    <w:bookmarkEnd w:id="11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implied, shall be construed to confer upon any Person (other than the parties hereto, their respective successors and assigns permitted hereby, Participants to the extent provided in the immediately following subsection (d) and, to the extent expressly contemplated hereby, the Affiliates and the partners, directors, officers, employees, agents and advisors of the Agent and the Lenders and of their respective Affiliates) any legal or equitable right, remedy or claim under or by reason of this Agreement.</w:t>
      </w:r>
    </w:p>
    <w:p>
      <w:pPr>
        <w:spacing w:after="0" w:line="137" w:lineRule="exact"/>
        <w:rPr>
          <w:sz w:val="20"/>
          <w:szCs w:val="20"/>
          <w:color w:val="auto"/>
        </w:rPr>
      </w:pPr>
    </w:p>
    <w:p>
      <w:pPr>
        <w:ind w:right="560" w:firstLine="464"/>
        <w:spacing w:after="0" w:line="262"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may at any time assign to one or more Eligible Assignees (an “</w:t>
      </w:r>
      <w:r>
        <w:rPr>
          <w:rFonts w:ascii="Arial" w:cs="Arial" w:eastAsia="Arial" w:hAnsi="Arial"/>
          <w:sz w:val="18"/>
          <w:szCs w:val="18"/>
          <w:b w:val="1"/>
          <w:bCs w:val="1"/>
          <w:color w:val="auto"/>
        </w:rPr>
        <w:t>Assignee</w:t>
      </w:r>
      <w:r>
        <w:rPr>
          <w:rFonts w:ascii="Arial" w:cs="Arial" w:eastAsia="Arial" w:hAnsi="Arial"/>
          <w:sz w:val="18"/>
          <w:szCs w:val="18"/>
          <w:color w:val="auto"/>
        </w:rPr>
        <w:t xml:space="preserve">”) all or a portion of its rights and obligations under this Agreement (including all or a portion of the Loan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38" w:lineRule="exact"/>
        <w:rPr>
          <w:rFonts w:ascii="Arial" w:cs="Arial" w:eastAsia="Arial" w:hAnsi="Arial"/>
          <w:sz w:val="18"/>
          <w:szCs w:val="18"/>
          <w:color w:val="auto"/>
        </w:rPr>
      </w:pPr>
    </w:p>
    <w:p>
      <w:pPr>
        <w:ind w:left="1120" w:hanging="217"/>
        <w:spacing w:after="0"/>
        <w:tabs>
          <w:tab w:leader="none" w:pos="11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560" w:firstLine="421"/>
        <w:spacing w:after="0" w:line="268" w:lineRule="auto"/>
        <w:tabs>
          <w:tab w:leader="none" w:pos="1627"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the case of an assignment of all of the Loan at the time owing to it or in the case of an assignment to a Lender or an Affiliate of a Lender, no minimum amount need be assigned; and</w:t>
      </w:r>
    </w:p>
    <w:p>
      <w:pPr>
        <w:spacing w:after="0" w:line="50" w:lineRule="exact"/>
        <w:rPr>
          <w:rFonts w:ascii="Arial" w:cs="Arial" w:eastAsia="Arial" w:hAnsi="Arial"/>
          <w:sz w:val="18"/>
          <w:szCs w:val="18"/>
          <w:color w:val="auto"/>
        </w:rPr>
      </w:pPr>
    </w:p>
    <w:p>
      <w:pPr>
        <w:ind w:left="920" w:right="160" w:firstLine="421"/>
        <w:spacing w:after="0" w:line="255" w:lineRule="auto"/>
        <w:tabs>
          <w:tab w:leader="none" w:pos="1618"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any case not described in the immediately preceding subsection (A), the principal outstanding balance of the Loan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shall exist, the Borrower otherwise consents (each such consent not to be unreasonably withheld or delayed).</w:t>
      </w:r>
    </w:p>
    <w:p>
      <w:pPr>
        <w:spacing w:after="0" w:line="61" w:lineRule="exact"/>
        <w:rPr>
          <w:rFonts w:ascii="Arial" w:cs="Arial" w:eastAsia="Arial" w:hAnsi="Arial"/>
          <w:sz w:val="18"/>
          <w:szCs w:val="18"/>
          <w:color w:val="auto"/>
        </w:rPr>
      </w:pPr>
    </w:p>
    <w:p>
      <w:pPr>
        <w:ind w:left="460" w:right="200" w:firstLine="443"/>
        <w:spacing w:after="0" w:line="268" w:lineRule="auto"/>
        <w:tabs>
          <w:tab w:leader="none" w:pos="115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assigned.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clause (i)(B) of this subsection (b),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920" w:right="320" w:firstLine="421"/>
        <w:spacing w:after="0" w:line="332" w:lineRule="auto"/>
        <w:tabs>
          <w:tab w:leader="none" w:pos="1627"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(x) an Event of Default shall exist at the time of such assignment or (y) such assignment is to a Person who is a Lender or an Affiliate of a Lender; and</w:t>
      </w:r>
    </w:p>
    <w:p>
      <w:pPr>
        <w:spacing w:after="0" w:line="4" w:lineRule="exact"/>
        <w:rPr>
          <w:rFonts w:ascii="Arial" w:cs="Arial" w:eastAsia="Arial" w:hAnsi="Arial"/>
          <w:sz w:val="16"/>
          <w:szCs w:val="16"/>
          <w:color w:val="auto"/>
        </w:rPr>
      </w:pPr>
    </w:p>
    <w:p>
      <w:pPr>
        <w:ind w:left="920" w:right="140" w:firstLine="421"/>
        <w:spacing w:after="0" w:line="268" w:lineRule="auto"/>
        <w:tabs>
          <w:tab w:leader="none" w:pos="1618"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consent of the Agent (such consent not to be unreasonably withheld or delayed) shall be required for assignments in respect of a Loan to a Person who is not a Lender or an Affiliate of a Lender.</w:t>
      </w:r>
    </w:p>
    <w:p>
      <w:pPr>
        <w:spacing w:after="0" w:line="50" w:lineRule="exact"/>
        <w:rPr>
          <w:rFonts w:ascii="Arial" w:cs="Arial" w:eastAsia="Arial" w:hAnsi="Arial"/>
          <w:sz w:val="18"/>
          <w:szCs w:val="18"/>
          <w:color w:val="auto"/>
        </w:rPr>
      </w:pPr>
    </w:p>
    <w:p>
      <w:pPr>
        <w:ind w:left="460" w:firstLine="443"/>
        <w:spacing w:after="0" w:line="259" w:lineRule="auto"/>
        <w:tabs>
          <w:tab w:leader="none" w:pos="119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The parties to each assignment shall execute and deliver to the Agent an Assignment and Acceptance, together with a processing and recordation fee of $3,500 for each assignment, and the Assignee, if it is not a Lender, shall deliver to the Agent an Administrative Details Form.</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3"/>
          <w:numId w:val="89"/>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20"/>
          </w:cols>
          <w:pgMar w:left="240" w:top="280" w:right="239" w:bottom="1440" w:gutter="0" w:footer="0" w:header="0"/>
        </w:sectPr>
      </w:pPr>
    </w:p>
    <w:bookmarkStart w:id="111" w:name="page112"/>
    <w:bookmarkEnd w:id="111"/>
    <w:p>
      <w:pPr>
        <w:ind w:left="1160" w:hanging="257"/>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Assignment to Borrower</w:t>
      </w:r>
      <w:r>
        <w:rPr>
          <w:rFonts w:ascii="Arial" w:cs="Arial" w:eastAsia="Arial" w:hAnsi="Arial"/>
          <w:sz w:val="16"/>
          <w:szCs w:val="16"/>
          <w:color w:val="auto"/>
        </w:rPr>
        <w:t>. No such assignment shall be made to the Borrower or any of the Borrower’s Affiliates or Subsidiaries.</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Subject to acceptance and recording thereof by the Agent pursuant to the immediately following subsection (c),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only Sections 4.4., 12.2. and 12.9. and the other provisions of this Agreement and the other Loan Documents as provided in Section 12.10. solely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20" w:lineRule="exact"/>
        <w:rPr>
          <w:sz w:val="20"/>
          <w:szCs w:val="20"/>
          <w:color w:val="auto"/>
        </w:rPr>
      </w:pPr>
    </w:p>
    <w:p>
      <w:pPr>
        <w:ind w:right="20" w:firstLine="464"/>
        <w:spacing w:after="0" w:line="291"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Agent, acting solely for this purpose as an agent of the Borrower, shall maintain at the Principal Office a copy of each Assignment and Acceptance delivered to it and a register for the recordation of the names and addresses of the Lenders, and principal amounts of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and the Borrower, the Agent and the Lenders may treat each Person whose name is recorded in the Register pursuant to the terms hereof as a Lender hereunder for all purposes of this Agreement, notwithstanding notice to the contrary, in the absence of manifest error. The Register shall be available for inspection by the Borrower and any Lender, at any reasonable time and from time to time upon reasonable prior notice.</w:t>
      </w:r>
    </w:p>
    <w:p>
      <w:pPr>
        <w:spacing w:after="0" w:line="120" w:lineRule="exact"/>
        <w:rPr>
          <w:rFonts w:ascii="Arial" w:cs="Arial" w:eastAsia="Arial" w:hAnsi="Arial"/>
          <w:sz w:val="16"/>
          <w:szCs w:val="16"/>
          <w:color w:val="auto"/>
        </w:rPr>
      </w:pPr>
    </w:p>
    <w:p>
      <w:pPr>
        <w:ind w:firstLine="464"/>
        <w:spacing w:after="0" w:line="254"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Agent, sell participations to any Person (other than a natural person or the Borrower or any of the Borrower’s Affiliates or Subsidiaries) (each, a “</w:t>
      </w:r>
      <w:r>
        <w:rPr>
          <w:rFonts w:ascii="Arial" w:cs="Arial" w:eastAsia="Arial" w:hAnsi="Arial"/>
          <w:sz w:val="18"/>
          <w:szCs w:val="18"/>
          <w:b w:val="1"/>
          <w:bCs w:val="1"/>
          <w:color w:val="auto"/>
        </w:rPr>
        <w:t>Participant</w:t>
      </w:r>
      <w:r>
        <w:rPr>
          <w:rFonts w:ascii="Arial" w:cs="Arial" w:eastAsia="Arial" w:hAnsi="Arial"/>
          <w:sz w:val="18"/>
          <w:szCs w:val="18"/>
          <w:color w:val="auto"/>
        </w:rPr>
        <w:t>”) in all or a portion of such Lender’s rights and/or obligations under this Agreement (including all or a portion of the Loan owing to it); provided that (i) such Lender’s obligations under this Agreement shall remain unchanged, (ii) such Lender shall remain solely responsible to the other parties hereto for the performance of such obligations, (iii) the Borrower, the Agent and the Lenders shall continue to deal solely and directly with such Lender in connection with such Lender’s rights and obligations under this Agreement and (iv) unless the Borrower and the Agent</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400"/>
          </w:cols>
          <w:pgMar w:left="240" w:top="280" w:right="259" w:bottom="1440" w:gutter="0" w:footer="0" w:header="0"/>
        </w:sectPr>
      </w:pPr>
    </w:p>
    <w:bookmarkStart w:id="112" w:name="page113"/>
    <w:bookmarkEnd w:id="112"/>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agree, after giving effect to the grant of a participating interest in a Lender’s Loan, the amount of its Loan in which it has not granted any participating interests must be equal to at least $5,000,000.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of any provision of any Loan Document described in Section 12.6.(b) that adversely affects such Participant. Subject to the immediately following subsection (e), the Borrower agrees that each Participant shall be entitled to the benefits of only Sections 3.12., 4.1., 4.4. to the same extent as if it were a Lender and had acquired its interest by assignment pursuant to paragraph (b) of this Section. Upon request from the Agent, a Lender shall notify the Agent and the Borrower of the sale of any participation hereunder.</w:t>
      </w:r>
    </w:p>
    <w:p>
      <w:pPr>
        <w:spacing w:after="0" w:line="118" w:lineRule="exact"/>
        <w:rPr>
          <w:sz w:val="20"/>
          <w:szCs w:val="20"/>
          <w:color w:val="auto"/>
        </w:rPr>
      </w:pPr>
    </w:p>
    <w:p>
      <w:pPr>
        <w:ind w:firstLine="464"/>
        <w:spacing w:after="0" w:line="294"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A Participant shall not be entitled to receive any greater payment under Sections 3.12., 4.1. and 4.4. than the applicable Lender would have been entitled to receive with respect to the participation sold to such Participant, unless the sale of the participation to such Participant is made with the Borrower’s prior written consent. A Participant that is organized under the laws of a jurisdiction outside the United States of America shall not be entitled to the benefits of Section 3.12. unless the Borrower is notified of the participation sold to such Participant and such Participant agrees, for the benefit of the Borrower and the Agent, to comply with Section 3.12.(c) as though it were a Lender.</w:t>
      </w:r>
    </w:p>
    <w:p>
      <w:pPr>
        <w:spacing w:after="0" w:line="115" w:lineRule="exact"/>
        <w:rPr>
          <w:rFonts w:ascii="Arial" w:cs="Arial" w:eastAsia="Arial" w:hAnsi="Arial"/>
          <w:sz w:val="16"/>
          <w:szCs w:val="16"/>
          <w:color w:val="auto"/>
        </w:rPr>
      </w:pPr>
    </w:p>
    <w:p>
      <w:pPr>
        <w:ind w:right="20" w:firstLine="464"/>
        <w:spacing w:after="0" w:line="255" w:lineRule="auto"/>
        <w:tabs>
          <w:tab w:leader="none" w:pos="67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substitute any such pledgee or assignee for such Lender as a party hereto, or allow any pledgee or assignee other than the Federal Reserve Bank to exercise any rights of a Lender under the Loan Documents other than to receive payments to which the assigning or pledging Lender is entitled.</w:t>
      </w:r>
    </w:p>
    <w:p>
      <w:pPr>
        <w:spacing w:after="0" w:line="142"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Registration</w:t>
      </w:r>
      <w:r>
        <w:rPr>
          <w:rFonts w:ascii="Arial" w:cs="Arial" w:eastAsia="Arial" w:hAnsi="Arial"/>
          <w:sz w:val="18"/>
          <w:szCs w:val="18"/>
          <w:color w:val="auto"/>
        </w:rPr>
        <w:t>. 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Amendments.</w:t>
      </w:r>
    </w:p>
    <w:p>
      <w:pPr>
        <w:spacing w:after="0" w:line="96" w:lineRule="exact"/>
        <w:rPr>
          <w:sz w:val="20"/>
          <w:szCs w:val="20"/>
          <w:color w:val="auto"/>
        </w:rPr>
      </w:pPr>
    </w:p>
    <w:p>
      <w:pPr>
        <w:ind w:right="220" w:firstLine="464"/>
        <w:spacing w:after="0" w:line="298"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400"/>
          </w:cols>
          <w:pgMar w:left="240" w:top="280" w:right="259" w:bottom="1440" w:gutter="0" w:footer="0" w:header="0"/>
        </w:sectPr>
      </w:pPr>
    </w:p>
    <w:bookmarkStart w:id="113" w:name="page114"/>
    <w:bookmarkEnd w:id="113"/>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 retroactively or prospectively) with, but only with, the written consent of the Requisite Lenders (and, in the case of an amendment to any Loan Document, the written consent of each Loan Party a party thereto).</w:t>
      </w:r>
    </w:p>
    <w:p>
      <w:pPr>
        <w:spacing w:after="0" w:line="132" w:lineRule="exact"/>
        <w:rPr>
          <w:sz w:val="20"/>
          <w:szCs w:val="20"/>
          <w:color w:val="auto"/>
        </w:rPr>
      </w:pPr>
    </w:p>
    <w:p>
      <w:pPr>
        <w:ind w:right="12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the foregoing, without the prior written consent of each Lender adversely affected thereby, no amendment, waiver or consent shall do any of the following:</w:t>
      </w:r>
    </w:p>
    <w:p>
      <w:pPr>
        <w:spacing w:after="0" w:line="131" w:lineRule="exact"/>
        <w:rPr>
          <w:rFonts w:ascii="Arial" w:cs="Arial" w:eastAsia="Arial" w:hAnsi="Arial"/>
          <w:sz w:val="18"/>
          <w:szCs w:val="18"/>
          <w:color w:val="auto"/>
        </w:rPr>
      </w:pPr>
    </w:p>
    <w:p>
      <w:pPr>
        <w:ind w:left="1120" w:hanging="217"/>
        <w:spacing w:after="0"/>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subject the Lenders to any additional obligations;</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reduce the amount of any Fees payable hereunder or postpone any date fixed for payment thereof;</w:t>
      </w:r>
    </w:p>
    <w:p>
      <w:pPr>
        <w:spacing w:after="0" w:line="90" w:lineRule="exact"/>
        <w:rPr>
          <w:rFonts w:ascii="Arial" w:cs="Arial" w:eastAsia="Arial" w:hAnsi="Arial"/>
          <w:sz w:val="18"/>
          <w:szCs w:val="18"/>
          <w:color w:val="auto"/>
        </w:rPr>
      </w:pPr>
    </w:p>
    <w:p>
      <w:pPr>
        <w:ind w:left="460" w:right="160" w:firstLine="443"/>
        <w:spacing w:after="0" w:line="259" w:lineRule="auto"/>
        <w:tabs>
          <w:tab w:leader="none" w:pos="1196" w:val="left"/>
        </w:tabs>
        <w:numPr>
          <w:ilvl w:val="1"/>
          <w:numId w:val="94"/>
        </w:numPr>
        <w:rPr>
          <w:rFonts w:ascii="Arial" w:cs="Arial" w:eastAsia="Arial" w:hAnsi="Arial"/>
          <w:sz w:val="18"/>
          <w:szCs w:val="18"/>
          <w:color w:val="auto"/>
        </w:rPr>
      </w:pPr>
      <w:r>
        <w:rPr>
          <w:rFonts w:ascii="Arial" w:cs="Arial" w:eastAsia="Arial" w:hAnsi="Arial"/>
          <w:sz w:val="18"/>
          <w:szCs w:val="18"/>
          <w:color w:val="auto"/>
        </w:rPr>
        <w:t>modify the definition of the term “Termination Date” or otherwise postpone any date fixed for any payment of any principal of, or interest on, any Loans or any other Obligations (including the waiver of any Default or Event of Default as a result of the nonpayment of any such Obligations as and when due);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amend or otherwise modify the provisions of Section 3.2.;</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1"/>
          <w:numId w:val="94"/>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otherwise permitted under Section 7.12. (c)); or</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increase the number of Interest Periods permitted with respect to Loans under Section 2.3.</w:t>
      </w:r>
    </w:p>
    <w:p>
      <w:pPr>
        <w:spacing w:after="0" w:line="17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w:t>
      </w:r>
    </w:p>
    <w:p>
      <w:pPr>
        <w:spacing w:after="0" w:line="131"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Except as otherwise provided in Section 11.5.,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12.7. Nonliability of Agent and Lenders.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relationship between the Borrower and the Lenders and the Agent shall be solely that of borrower and lender. Neither the Agent nor any Lender shall have any fiduciary responsibilities to the Borrower or any other Loan Party,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Confidentiality.</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Agent and each Lender shall use reasonable efforts to assure that information about Borrower, the other Loan Parties and other Subsidiaries, and the Properties thereof 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the Agent or such Lender, as applicable, and the Borrower, but in any event the Agent 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Loan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 of rights hereunder or under any of the other Loan Documents; (f) 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 (y) becomes available to the Agent or any Lender on a nonconfidential basis from a source other than the Borrower or any Affiliate unless the Agent or such Lender has actual knowledge that such information became nonconfidential as a result of a breach of a confidential arrangement with the Borrower or such Loan Party. Notwithstanding the foregoing, the Agent and each Lender may disclose any such confidential information, without notice to the Borrower or any other Loan Party, to Governmental Authorities in connection with any regulatory examination of the Agent or such Lender or in accordance with the regulatory compliance policy of the Agent or such Lender.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274"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12.9. Indemnification.</w:t>
      </w:r>
    </w:p>
    <w:p>
      <w:pPr>
        <w:spacing w:after="0" w:line="96" w:lineRule="exact"/>
        <w:rPr>
          <w:sz w:val="20"/>
          <w:szCs w:val="20"/>
          <w:color w:val="auto"/>
        </w:rPr>
      </w:pPr>
    </w:p>
    <w:p>
      <w:pPr>
        <w:ind w:firstLine="464"/>
        <w:spacing w:after="0" w:line="283"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Agent, each of the Lenders, any affiliate of the Agent or any Lender,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 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hereunder; (iii) any actual or proposed use by the Borrower of the proceeds of the Loans;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Borrower and the Subsidiaries; (vii) the fact that the Agent and the Lenders are material creditors of the Borrower and are alleged to influence directly or indirectly the business decisions or affairs of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or threatens to violate a sanction enforced by the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126" w:lineRule="exact"/>
        <w:rPr>
          <w:rFonts w:ascii="Arial" w:cs="Arial" w:eastAsia="Arial" w:hAnsi="Arial"/>
          <w:sz w:val="16"/>
          <w:szCs w:val="16"/>
          <w:color w:val="auto"/>
        </w:rPr>
      </w:pPr>
    </w:p>
    <w:p>
      <w:pPr>
        <w:ind w:left="5620" w:hanging="96"/>
        <w:spacing w:after="0"/>
        <w:tabs>
          <w:tab w:leader="none" w:pos="5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00"/>
          </w:cols>
          <w:pgMar w:left="240" w:top="274" w:right="259" w:bottom="1440" w:gutter="0" w:footer="0" w:header="0"/>
        </w:sectPr>
      </w:pPr>
    </w:p>
    <w:bookmarkStart w:id="116" w:name="page117"/>
    <w:bookmarkEnd w:id="116"/>
    <w:p>
      <w:pPr>
        <w:ind w:left="-464" w:right="20" w:firstLine="464"/>
        <w:spacing w:after="0" w:line="288" w:lineRule="auto"/>
        <w:tabs>
          <w:tab w:leader="none" w:pos="241"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119" w:lineRule="exact"/>
        <w:rPr>
          <w:rFonts w:ascii="Arial" w:cs="Arial" w:eastAsia="Arial" w:hAnsi="Arial"/>
          <w:sz w:val="16"/>
          <w:szCs w:val="16"/>
          <w:color w:val="auto"/>
        </w:rPr>
      </w:pPr>
    </w:p>
    <w:p>
      <w:pPr>
        <w:ind w:left="-464" w:right="580" w:firstLine="464"/>
        <w:spacing w:after="0" w:line="268" w:lineRule="auto"/>
        <w:tabs>
          <w:tab w:leader="none" w:pos="23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31" w:lineRule="exact"/>
        <w:rPr>
          <w:rFonts w:ascii="Arial" w:cs="Arial" w:eastAsia="Arial" w:hAnsi="Arial"/>
          <w:sz w:val="18"/>
          <w:szCs w:val="18"/>
          <w:color w:val="auto"/>
        </w:rPr>
      </w:pPr>
    </w:p>
    <w:p>
      <w:pPr>
        <w:jc w:val="both"/>
        <w:ind w:left="-464" w:firstLine="464"/>
        <w:spacing w:after="0" w:line="298" w:lineRule="auto"/>
        <w:tabs>
          <w:tab w:leader="none" w:pos="24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12" w:lineRule="exact"/>
        <w:rPr>
          <w:rFonts w:ascii="Arial" w:cs="Arial" w:eastAsia="Arial" w:hAnsi="Arial"/>
          <w:sz w:val="16"/>
          <w:szCs w:val="16"/>
          <w:color w:val="auto"/>
        </w:rPr>
      </w:pPr>
    </w:p>
    <w:p>
      <w:pPr>
        <w:ind w:left="-464" w:right="20" w:firstLine="464"/>
        <w:spacing w:after="0" w:line="286" w:lineRule="auto"/>
        <w:tabs>
          <w:tab w:leader="none" w:pos="23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13" w:lineRule="exact"/>
        <w:rPr>
          <w:rFonts w:ascii="Arial" w:cs="Arial" w:eastAsia="Arial" w:hAnsi="Arial"/>
          <w:sz w:val="16"/>
          <w:szCs w:val="16"/>
          <w:color w:val="auto"/>
        </w:rPr>
      </w:pPr>
    </w:p>
    <w:p>
      <w:pPr>
        <w:ind w:left="5156" w:hanging="96"/>
        <w:spacing w:after="0"/>
        <w:tabs>
          <w:tab w:leader="none" w:pos="5156" w:val="left"/>
        </w:tabs>
        <w:numPr>
          <w:ilvl w:val="1"/>
          <w:numId w:val="96"/>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0896"/>
          </w:cols>
          <w:pgMar w:left="704" w:top="280" w:right="299" w:bottom="1440" w:gutter="0" w:footer="0" w:header="0"/>
        </w:sectPr>
      </w:pPr>
    </w:p>
    <w:bookmarkStart w:id="117" w:name="page118"/>
    <w:bookmarkEnd w:id="117"/>
    <w:p>
      <w:pPr>
        <w:ind w:right="240" w:firstLine="464"/>
        <w:spacing w:after="0" w:line="268" w:lineRule="auto"/>
        <w:tabs>
          <w:tab w:leader="none" w:pos="676"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Termination; Survival.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such time as (a) the outstanding principal balance of the Loans and (b) all other Obligations (other than obligations which survive as provided in the following sentence) have been paid and satisfied in full, this Agreement shall terminate. The indemnities to which the Agent and the Lenders are entitled under the provisions of Sections 3.12., 4.1., 4.4., 11.7., 12.2. and 12.9. and any other provision of this Agreement and the other Loan Documents, and the provisions of Section 12.4., shall continue in full force and effect and shall protect the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Severability of Provisions.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GOVERNING LAW.</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Patriot Act.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Lenders and the Agent each hereby notifies the Borrower that pursuant to the requirements of the USA Patriot Act (Title III of Pub. L. 107-56 (signed into law October 26, 2001)), it is required to obtain, verify and record information that identifies the Borrower and the other Loan Parties, which information includes the name and address of the Borrower and the other Loan Parties and other information that will allow such Lender or the Agent, as applicable, to identify the Borrower and the other Loan Parties in accordance with such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60"/>
          </w:cols>
          <w:pgMar w:left="240" w:top="280" w:right="2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12.14. Counterparts.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Limitation of Liability.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Entire Agreement.</w:t>
      </w:r>
    </w:p>
    <w:p>
      <w:pPr>
        <w:spacing w:after="0" w:line="9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Construction.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Borrower and each Lender.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360"/>
          </w:cols>
          <w:pgMar w:left="240" w:top="274" w:right="2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12.19. Limitation of Liability of Trustees, Etc.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240"/>
          </w:cols>
          <w:pgMar w:left="240" w:top="274" w:right="419" w:bottom="1440" w:gutter="0" w:footer="0" w:header="0"/>
        </w:sectPr>
      </w:pPr>
    </w:p>
    <w:bookmarkStart w:id="120" w:name="page121"/>
    <w:bookmarkEnd w:id="120"/>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3040" w:type="dxa"/>
            <w:vAlign w:val="bottom"/>
          </w:tcPr>
          <w:p>
            <w:pPr>
              <w:ind w:left="24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040" w:type="dxa"/>
            <w:vAlign w:val="bottom"/>
          </w:tcPr>
          <w:p>
            <w:pPr>
              <w:ind w:left="24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3040" w:type="dxa"/>
            <w:vAlign w:val="bottom"/>
          </w:tcPr>
          <w:p>
            <w:pPr>
              <w:ind w:left="24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President-Chief Financial Officer and</w:t>
            </w:r>
          </w:p>
        </w:tc>
      </w:tr>
      <w:tr>
        <w:trPr>
          <w:trHeight w:val="222"/>
        </w:trPr>
        <w:tc>
          <w:tcPr>
            <w:tcW w:w="30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r>
        <w:trPr>
          <w:trHeight w:val="378"/>
        </w:trPr>
        <w:tc>
          <w:tcPr>
            <w:tcW w:w="3040" w:type="dxa"/>
            <w:vAlign w:val="bottom"/>
          </w:tcPr>
          <w:p>
            <w:pPr>
              <w:jc w:val="center"/>
              <w:ind w:right="332"/>
              <w:spacing w:after="0"/>
              <w:rPr>
                <w:sz w:val="20"/>
                <w:szCs w:val="20"/>
                <w:color w:val="auto"/>
              </w:rPr>
            </w:pPr>
            <w:r>
              <w:rPr>
                <w:rFonts w:ascii="Arial" w:cs="Arial" w:eastAsia="Arial" w:hAnsi="Arial"/>
                <w:sz w:val="18"/>
                <w:szCs w:val="18"/>
                <w:color w:val="auto"/>
                <w:w w:val="88"/>
              </w:rPr>
              <w:t>[Signatures Continued on Next Page]</w:t>
            </w:r>
          </w:p>
        </w:tc>
        <w:tc>
          <w:tcPr>
            <w:tcW w:w="3980" w:type="dxa"/>
            <w:vAlign w:val="bottom"/>
          </w:tcPr>
          <w:p>
            <w:pPr>
              <w:spacing w:after="0"/>
              <w:rPr>
                <w:sz w:val="24"/>
                <w:szCs w:val="24"/>
                <w:color w:val="auto"/>
              </w:rPr>
            </w:pPr>
          </w:p>
        </w:tc>
      </w:tr>
      <w:tr>
        <w:trPr>
          <w:trHeight w:val="365"/>
        </w:trPr>
        <w:tc>
          <w:tcPr>
            <w:tcW w:w="3040" w:type="dxa"/>
            <w:vAlign w:val="bottom"/>
          </w:tcPr>
          <w:p>
            <w:pPr>
              <w:jc w:val="right"/>
              <w:ind w:right="1452"/>
              <w:spacing w:after="0"/>
              <w:rPr>
                <w:sz w:val="20"/>
                <w:szCs w:val="20"/>
                <w:color w:val="auto"/>
              </w:rPr>
            </w:pPr>
            <w:r>
              <w:rPr>
                <w:rFonts w:ascii="Arial" w:cs="Arial" w:eastAsia="Arial" w:hAnsi="Arial"/>
                <w:sz w:val="18"/>
                <w:szCs w:val="18"/>
                <w:color w:val="auto"/>
              </w:rPr>
              <w:t>- 84 -</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21" w:name="page122"/>
    <w:bookmarkEnd w:id="121"/>
    <w:p>
      <w:pPr>
        <w:jc w:val="center"/>
        <w:ind w:right="1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May 4, 2009 with Federal Realty Investment Trust]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and 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Amit Khimji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Amit Khimji</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0020"/>
          </w:cols>
          <w:pgMar w:left="1440" w:top="274" w:right="4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Credit Agreement dated as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May 4, 2009 with Federal Realty Investment Trust]</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R. Lynch,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R. Lynch, III</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Kimberly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Kimberly Turner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T. Horstman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Gregory T. Horstman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REGIONS BANK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Cathy 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Cathy A. Casey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Edwards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9019"/>
          </w:cols>
          <w:pgMar w:left="1440" w:top="274" w:right="1440" w:bottom="1440" w:gutter="0" w:footer="0" w:header="0"/>
        </w:sectPr>
      </w:pPr>
    </w:p>
    <w:bookmarkStart w:id="123" w:name="page124"/>
    <w:bookmarkEnd w:id="1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ROYAL BANK OF CANADA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LePage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 LePage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CHEVY CHASE BANK, F.S.B.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H. Denecke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Frederick H. Denecke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CITICORP NORTH AMERICA, INC.</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Gouger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Daniel Gouger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COMERICA BANK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J.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Adam J. Sheets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RAYMOND JAMES BANK, FSB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a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M. Armstrong</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0220"/>
          </w:cols>
          <w:pgMar w:left="1440" w:top="280"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460" w:type="dxa"/>
            <w:vAlign w:val="bottom"/>
            <w:gridSpan w:val="2"/>
          </w:tcPr>
          <w:p>
            <w:pPr>
              <w:ind w:left="1240"/>
              <w:spacing w:after="0"/>
              <w:rPr>
                <w:sz w:val="20"/>
                <w:szCs w:val="20"/>
                <w:color w:val="auto"/>
              </w:rPr>
            </w:pPr>
            <w:r>
              <w:rPr>
                <w:rFonts w:ascii="Arial" w:cs="Arial" w:eastAsia="Arial" w:hAnsi="Arial"/>
                <w:sz w:val="18"/>
                <w:szCs w:val="18"/>
                <w:color w:val="auto"/>
              </w:rPr>
              <w:t>SCHEDULE 1</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60" w:type="dxa"/>
            <w:vAlign w:val="bottom"/>
            <w:gridSpan w:val="2"/>
          </w:tcPr>
          <w:p>
            <w:pPr>
              <w:ind w:left="1280"/>
              <w:spacing w:after="0"/>
              <w:rPr>
                <w:sz w:val="20"/>
                <w:szCs w:val="20"/>
                <w:color w:val="auto"/>
              </w:rPr>
            </w:pPr>
            <w:r>
              <w:rPr>
                <w:rFonts w:ascii="Arial" w:cs="Arial" w:eastAsia="Arial" w:hAnsi="Arial"/>
                <w:sz w:val="18"/>
                <w:szCs w:val="18"/>
                <w:color w:val="auto"/>
              </w:rPr>
              <w:t>Commitments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62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88"/>
              </w:rPr>
              <w:t>Commitment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Bank, National Association</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Chevy Chase Bank, F.S.B.</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Citicorp North America Inc.</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Comerica Bank</w:t>
            </w:r>
          </w:p>
        </w:tc>
        <w:tc>
          <w:tcPr>
            <w:tcW w:w="646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Bank, FSB</w:t>
            </w:r>
          </w:p>
        </w:tc>
        <w:tc>
          <w:tcPr>
            <w:tcW w:w="6460" w:type="dxa"/>
            <w:vAlign w:val="bottom"/>
            <w:gridSpan w:val="2"/>
            <w:shd w:val="clear" w:color="auto" w:fill="CCEEFF"/>
          </w:tcPr>
          <w:p>
            <w:pPr>
              <w:ind w:left="6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60" w:type="dxa"/>
            <w:vAlign w:val="bottom"/>
            <w:gridSpan w:val="2"/>
          </w:tcPr>
          <w:p>
            <w:pPr>
              <w:ind w:left="6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372,000,000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5" w:name="page126"/>
    <w:bookmarkEnd w:id="12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FORM OF ASSIGNMENT AND ACCEPTANCE AGREEMENT</w:t>
      </w:r>
    </w:p>
    <w:p>
      <w:pPr>
        <w:sectPr>
          <w:pgSz w:w="11900" w:h="16838" w:orient="portrait"/>
          <w:cols w:equalWidth="0" w:num="1">
            <w:col w:w="11400"/>
          </w:cols>
          <w:pgMar w:left="240" w:top="280" w:right="259" w:bottom="1440" w:gutter="0" w:footer="0" w:header="0"/>
        </w:sectPr>
      </w:pPr>
    </w:p>
    <w:p>
      <w:pPr>
        <w:spacing w:after="0" w:line="194" w:lineRule="exact"/>
        <w:rPr>
          <w:sz w:val="20"/>
          <w:szCs w:val="20"/>
          <w:color w:val="auto"/>
        </w:rPr>
      </w:pPr>
    </w:p>
    <w:p>
      <w:pPr>
        <w:ind w:left="460"/>
        <w:spacing w:after="0"/>
        <w:tabs>
          <w:tab w:leader="none" w:pos="6120" w:val="left"/>
          <w:tab w:leader="none" w:pos="6600" w:val="left"/>
        </w:tabs>
        <w:rPr>
          <w:sz w:val="20"/>
          <w:szCs w:val="20"/>
          <w:color w:val="auto"/>
        </w:rPr>
      </w:pPr>
      <w:r>
        <w:rPr>
          <w:rFonts w:ascii="Arial" w:cs="Arial" w:eastAsia="Arial" w:hAnsi="Arial"/>
          <w:sz w:val="18"/>
          <w:szCs w:val="18"/>
          <w:color w:val="auto"/>
        </w:rPr>
        <w:t>THIS ASSIGNMENT AND ACCEPTANCE AGREEMENT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“Agreement”) by and among</w:t>
      </w:r>
    </w:p>
    <w:p>
      <w:pPr>
        <w:spacing w:after="0" w:line="15"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color w:val="auto"/>
        </w:rPr>
        <w:t>“Assignor”),</w:t>
      </w:r>
      <w:r>
        <w:rPr>
          <w:sz w:val="20"/>
          <w:szCs w:val="20"/>
          <w:color w:val="auto"/>
        </w:rPr>
        <w:tab/>
      </w:r>
      <w:r>
        <w:rPr>
          <w:rFonts w:ascii="Arial" w:cs="Arial" w:eastAsia="Arial" w:hAnsi="Arial"/>
          <w:sz w:val="16"/>
          <w:szCs w:val="16"/>
          <w:color w:val="auto"/>
        </w:rPr>
        <w:t>(the “Assignee”), and WACHOVIA BANK, NATIONAL ASSOCIATION, as Agent (the “Agent”).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421" w:lineRule="exact"/>
        <w:rPr>
          <w:sz w:val="20"/>
          <w:szCs w:val="20"/>
          <w:color w:val="auto"/>
        </w:rPr>
      </w:pPr>
    </w:p>
    <w:p>
      <w:pPr>
        <w:sectPr>
          <w:pgSz w:w="11900" w:h="16838" w:orient="portrait"/>
          <w:cols w:equalWidth="0" w:num="2">
            <w:col w:w="10100" w:space="720"/>
            <w:col w:w="580"/>
          </w:cols>
          <w:pgMar w:left="240" w:top="280" w:right="259" w:bottom="1440" w:gutter="0" w:footer="0" w:header="0"/>
          <w:type w:val="continuous"/>
        </w:sectPr>
      </w:pPr>
    </w:p>
    <w:p>
      <w:pPr>
        <w:ind w:firstLine="456"/>
        <w:spacing w:after="0" w:line="259" w:lineRule="auto"/>
        <w:rPr>
          <w:sz w:val="20"/>
          <w:szCs w:val="20"/>
          <w:color w:val="auto"/>
        </w:rPr>
      </w:pPr>
      <w:r>
        <w:rPr>
          <w:rFonts w:ascii="Arial" w:cs="Arial" w:eastAsia="Arial" w:hAnsi="Arial"/>
          <w:sz w:val="18"/>
          <w:szCs w:val="18"/>
          <w:color w:val="auto"/>
        </w:rPr>
        <w:t>WHEREAS, the Assignor is a Lender under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Assignor desires to assign to the Assignee, among other things, all or a portion of the Assignor’s rights under the Credit Agreement, all on the terms and conditions set forth herein;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Agent consents to such assignment on the terms and conditions set forth herein;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Subject to the terms and conditions of this Agreement and in consideration of the payment to be made by the Assignee to the Assignor pursuant to</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2 of this Agreement, effective as of , 200 (the “Assignment Date”), the Assignor hereby irrevocably sells, transfers and assigns to the Assignee, without recourse, a $ interest (such interest being the “Assigned Loan”) in and to the Assignor’s Loan and all of the other rights and obligations of the Assignor under the Credit Agreement, such Assignor’s Note and the other Loan Documents (representing % in respect of the aggregate amount of all</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Lenders’ outstanding Loans), all voting rights of the Assignor associated with the Assigned Loan, all rights to receive interest on the Assigned Loan and all Fees with respect to the Assigned Loan and all other rights and obligations of the Assignor under the Credit Agreement and the other Loan Documents with respect to the Assigned Loan, all as if the Assignee were an original Lender under and signatory to the Credit Agreement holding a Loan equal to the amount of the Assigned Loan. The Assignee, subject to the terms and conditions hereof, hereby assumes all obligations of the Assignor with respect to the Assigned Loan as if the Assignee were an original Lender under and signatory to the Credit Agreement having a Loan equal to the Assigned Loan, which obligations shall include, but shall not be limited to, the obligation of the Assignor to indemnify the Agent as provided therein (the foregoing obligation, together with all other obligations more particularly set forth in the Credit Agreement and the other Loan Documents, collectively, the “Assigned Obligations”). The Assignor shall have no further duties or obligations with respect to, and shall have no further interest in, the Assigned Obligations or the Assigned Loan from and after the Assignment Date.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type w:val="continuous"/>
        </w:sectPr>
      </w:pPr>
    </w:p>
    <w:bookmarkStart w:id="126" w:name="page127"/>
    <w:bookmarkEnd w:id="126"/>
    <w:p>
      <w:pPr>
        <w:ind w:firstLine="464"/>
        <w:spacing w:after="0" w:line="284"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assignment by the Assignor to the Assignee hereunder is without recourse to the Assignor. The Assignee makes and confirms to the Agent, the Assignor, and the other Lenders all of the representations, warranties and covenants of a Lender under Article XI. of the Credit Agreement. Not in limitation of the foregoing, the Assignee acknowledges and agrees that, except as set forth in Section 4 below, the Assignor is making no representations or warranties with respect to, and the Assignee hereby releases and discharges the Assignor for any responsibility or liability for: (i) the present or future solvency or financial condition of the Borrower, any Subsidiary or any other Loan Party, (ii) any representations, warranties, statements or information made or furnished by the Borrower, any Subsidiary or any other Loan Party in connection with the Credit Agreement or otherwise, (iii) the validity, efficacy, sufficiency, or enforceability of the Credit Agreement, any other Loan Document or any other document or instrument executed in connection therewith, or the collectibility of the Assigned Obligations, (iv) the perfection, priority or validity of any Lien with respect to any collateral at any time securing the Obligations or the Assigned Obligations under the Notes or the Credit Agreement and (v) the performance or failure to perform by the Borrower or any other Loan Party of any obligation under the Credit Agreement or any other Loan Document to which it is a party. Further, the Assignee acknowledges that it has, independently and without reliance upon the Agent, or on any affiliate or subsidiary thereof, the Assignor or any other Lender and based on the financial statements supplied by the Borrower and such other documents and information as it has deemed appropriate, made its own credit and legal analysis and decision to become a Lender under the Credit Agreement. The Assignee also acknowledges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or any other Loan Documents or pursuant to any other obligation. Except as expressly provided in the Credit Agreement, the Agent shall have no duty or responsibility whatsoever, either initially or on a continuing basis, to provide the Assignee with any credit or other information with respect to the Borrower or any other Loan Party or to notify the Assignee of any Default or Event of Default. The Assignee has not relied on the Agent as to any legal or factual matter in connection therewith or in connection with the transactions contemplated thereunder.</w:t>
      </w:r>
    </w:p>
    <w:p>
      <w:pPr>
        <w:spacing w:after="0" w:line="13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Payment by Assignee</w:t>
      </w:r>
      <w:r>
        <w:rPr>
          <w:rFonts w:ascii="Arial" w:cs="Arial" w:eastAsia="Arial" w:hAnsi="Arial"/>
          <w:sz w:val="18"/>
          <w:szCs w:val="18"/>
          <w:color w:val="auto"/>
        </w:rPr>
        <w:t>. In consideration of the assignment made pursuant to Section 1 of this Agreement, the Assignee agrees to pay to the Assignor on the Assignment Date, such amount as they may agree.</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Payments by Assignor</w:t>
      </w:r>
      <w:r>
        <w:rPr>
          <w:rFonts w:ascii="Arial" w:cs="Arial" w:eastAsia="Arial" w:hAnsi="Arial"/>
          <w:sz w:val="18"/>
          <w:szCs w:val="18"/>
          <w:color w:val="auto"/>
        </w:rPr>
        <w:t>. The Assignor agrees to pay to the Agent on the Assignment Date the administration fee, if any, payable under the applicable provisions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 of Assignor</w:t>
      </w:r>
      <w:r>
        <w:rPr>
          <w:rFonts w:ascii="Arial" w:cs="Arial" w:eastAsia="Arial" w:hAnsi="Arial"/>
          <w:sz w:val="16"/>
          <w:szCs w:val="16"/>
          <w:color w:val="auto"/>
        </w:rPr>
        <w:t>. The Assignor hereby represents and warrants to the Assignee that (a) as of the Assignment Date</w:t>
      </w:r>
    </w:p>
    <w:p>
      <w:pPr>
        <w:spacing w:after="0" w:line="38" w:lineRule="exact"/>
        <w:rPr>
          <w:sz w:val="20"/>
          <w:szCs w:val="20"/>
          <w:color w:val="auto"/>
        </w:rPr>
      </w:pPr>
    </w:p>
    <w:p>
      <w:pPr>
        <w:ind w:right="660" w:firstLine="8"/>
        <w:spacing w:after="0" w:line="261" w:lineRule="auto"/>
        <w:tabs>
          <w:tab w:leader="none" w:pos="2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Assignor is a Lender under the Credit Agreement and that the Assignor is not in default of its obligations under the Credit Agreement; and (ii) the outstanding balance of Loan owing to the Assignor (without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127" w:name="page128"/>
    <w:bookmarkEnd w:id="127"/>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reduction by any assignments thereof which have not yet become effective) is $ which is free and clear of any adverse claim created by the Assignor.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(b) it is the legal and beneficial owner of the Assigned Loan</w:t>
      </w:r>
    </w:p>
    <w:p>
      <w:pPr>
        <w:spacing w:after="0" w:line="410" w:lineRule="exact"/>
        <w:rPr>
          <w:sz w:val="20"/>
          <w:szCs w:val="20"/>
          <w:color w:val="auto"/>
        </w:rPr>
      </w:pPr>
    </w:p>
    <w:p>
      <w:pPr>
        <w:sectPr>
          <w:pgSz w:w="11900" w:h="16838" w:orient="portrait"/>
          <w:cols w:equalWidth="0" w:num="2">
            <w:col w:w="5760" w:space="720"/>
            <w:col w:w="4900"/>
          </w:cols>
          <w:pgMar w:left="240" w:top="280" w:right="279" w:bottom="1440" w:gutter="0" w:footer="0" w:header="0"/>
        </w:sectPr>
      </w:pPr>
    </w:p>
    <w:p>
      <w:pPr>
        <w:ind w:right="140" w:firstLine="456"/>
        <w:spacing w:after="0" w:line="302"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Representations, Warranties and Agreements of Assignee</w:t>
      </w:r>
      <w:r>
        <w:rPr>
          <w:rFonts w:ascii="Arial" w:cs="Arial" w:eastAsia="Arial" w:hAnsi="Arial"/>
          <w:sz w:val="15"/>
          <w:szCs w:val="15"/>
          <w:color w:val="auto"/>
        </w:rPr>
        <w:t>. The Assignee (a) represents and warrants that it is (i) legally authorized to enter into this Agreement, (ii) an “accredited investor” (as such term is used in Regulation D of the Securities Act) and (iii) an Eligible Assignee; (b) confirms that it has received a copy of the Credit Agreement, together with copies of the most recent financial statements delivered in connection therewith or pursuant thereto and such other documents and information (including without limitation the Loan Documents) as it has deemed appropriate to make its own credit analysis and decision to enter into this Agreement; (c) appoints and authorizes the Agent to take such action as contractual representative on its behalf and to exercise such powers under the Loan Documents as are delegated to the Agent by the terms thereof together with such powers as are reasonably incidental thereto; and</w:t>
      </w:r>
    </w:p>
    <w:p>
      <w:pPr>
        <w:spacing w:after="0" w:line="1" w:lineRule="exact"/>
        <w:rPr>
          <w:sz w:val="20"/>
          <w:szCs w:val="20"/>
          <w:color w:val="auto"/>
        </w:rPr>
      </w:pPr>
    </w:p>
    <w:p>
      <w:pPr>
        <w:ind w:right="20" w:firstLine="8"/>
        <w:spacing w:after="0" w:line="255"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agrees that, if not already a Lender and to the extent of the Assigned Loan, it will become a party to and shall be bound by the Credit Agreement and the other Loan Documents to which the other Lenders are a party on the Assignment Date and will perform in accordance therewith all of the obligations which are required to be performed by it as a Lender.</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Recording and Acknowledgment by the Agent</w:t>
      </w:r>
      <w:r>
        <w:rPr>
          <w:rFonts w:ascii="Arial" w:cs="Arial" w:eastAsia="Arial" w:hAnsi="Arial"/>
          <w:sz w:val="18"/>
          <w:szCs w:val="18"/>
          <w:color w:val="auto"/>
        </w:rPr>
        <w:t>. Following the execution of this Agreement, the Assignor will deliver to the Agent (a) a duly executed copy of this Agreement for acknowledgment and recording by the Agent and (b) the Assignor’s Note. Upon such acknowledgment and recording, from and after the Assignment Date, the Agent shall make all payments in respect of the interest assigned hereby (including payments of principal, interest, Fees and other amounts) to the Assignee. The Assignor and Assignee shall make all appropriate adjustments in payments under the Credit Agreement for periods prior to the Assignment Date directly between themselves.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Addresses</w:t>
      </w:r>
      <w:r>
        <w:rPr>
          <w:rFonts w:ascii="Arial" w:cs="Arial" w:eastAsia="Arial" w:hAnsi="Arial"/>
          <w:sz w:val="18"/>
          <w:szCs w:val="18"/>
          <w:color w:val="auto"/>
        </w:rPr>
        <w:t>. The Assignee specifies as its address for notices and its Lending Office for all Loans, the offices set forth on Schedule 1 attached hereto.</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Instructions</w:t>
      </w:r>
      <w:r>
        <w:rPr>
          <w:rFonts w:ascii="Arial" w:cs="Arial" w:eastAsia="Arial" w:hAnsi="Arial"/>
          <w:sz w:val="18"/>
          <w:szCs w:val="18"/>
          <w:color w:val="auto"/>
        </w:rPr>
        <w:t>. All payments to be made to the Assignee under this Agreement by the Assignor, and all payments to be made to the Assignee under the Credit Agreement, shall be made as provided in the Credit Agreement in accordance with the following instructions set forth on Schedule 1 attached hereto or as the Assignee may otherwise notify the Agent.</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Effectiveness of Assignment</w:t>
      </w:r>
      <w:r>
        <w:rPr>
          <w:rFonts w:ascii="Arial" w:cs="Arial" w:eastAsia="Arial" w:hAnsi="Arial"/>
          <w:sz w:val="18"/>
          <w:szCs w:val="18"/>
          <w:color w:val="auto"/>
        </w:rPr>
        <w:t>. This Agreement, and the assignment and assumption contemplated herein, shall not be effective until (a) this Agreement is executed and delivered by each of the Assignor, the Assignee, the Agent, and if required under Section 12.5.(b) of the Credit Agreement, the Borrower, and (b) the payment to the Assignor of the amounts, if any, owing by the Assignee pursuant to Section 2 hereof and (c) the payment to the Agent of the amounts, if any, owing by the Assignor pursuant to Section 3 hereof. Upon recording and acknowledgment of this Agreement by the Agent, from and after the Assignment Date, (i) the Assignee shall be a party to the Credit Agreement and, to the extent provided in this Agreement, have the rights and obligations of a Lender thereunder to the extent of the Assigned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type w:val="continuous"/>
        </w:sectPr>
      </w:pPr>
    </w:p>
    <w:bookmarkStart w:id="128" w:name="page129"/>
    <w:bookmarkEnd w:id="128"/>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Loan and (ii) the Assignor shall, to the extent provided in this Agreement, relinquish its rights (except as otherwise provided in Section 12.10. of the Credit Agreement) and be released from its obligations under the Credit Agreement with respect to the Assigned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Assignor does not assign its entire interest under the Loan Documents, it shall remain a Lender entitled to all of the benefits and subject to all of the obligations thereunder with respect to its Loan.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amended, changed, waived or modified except by a writing executed by the Assignee and the Assignor;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amendment, waiver or consent which shall affect the rights or duties of the Agent under this Agreement shall not be effective unless signed by the Agent.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Assignor and the Assignee with respect to the subject matter hereof and supersedes all other prior arrangements and understandings relating to the subject matter hereof.</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are used herein with the respective meanings given them in the Credit Agreement.</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[Include this Section only if Borrower’s consent is required under Section 12.5.(b) </w:t>
      </w:r>
      <w:r>
        <w:rPr>
          <w:rFonts w:ascii="Arial" w:cs="Arial" w:eastAsia="Arial" w:hAnsi="Arial"/>
          <w:sz w:val="16"/>
          <w:szCs w:val="16"/>
          <w:color w:val="auto"/>
        </w:rPr>
        <w:t>Section 17.</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Agreements of the Borrower</w:t>
      </w:r>
      <w:r>
        <w:rPr>
          <w:rFonts w:ascii="Arial" w:cs="Arial" w:eastAsia="Arial" w:hAnsi="Arial"/>
          <w:sz w:val="16"/>
          <w:szCs w:val="16"/>
          <w:color w:val="auto"/>
        </w:rPr>
        <w:t>. The Borrower hereby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Assignee shall be a Lender under the Credit Agreement having a Loan equal to the Assigned Loan. The Borrower agrees that the Assignee shall have all of the rights and remedies of a Lender under the Credit Agreement and the other Loan Documents as if the Assignee were an original Lender under and signatory to the Credit Agreement, including, but not limited to, the right of a Lender to receive payments of principal and interest with respect to the Assigned Obligations, and to receive Fees payable to the Lenders as provided in the Credit Agreement. Further, the Assignee shall be entitled to the indemnification provisions from the Borrower in favor of the Lenders as provided in the Credit Agreement and the other Loan Documents. The Borrower further agrees, upon the execution and delivery of this Agreement, to execute in favor of the Assignee, and if applicable the Assignor, new Notes, as appropriate. Upon receipt by the Assignor of the amounts due the Assignor under Section 2, the Assignor agrees to surrender to the Borrower such Assignor’s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129" w:name="page130"/>
    <w:bookmarkEnd w:id="12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Assignment and Acceptance Agreement as of the date and year first written above.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[Signatures Continued on Following Page]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80"/>
          </w:cols>
          <w:pgMar w:left="240" w:top="280"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signature of the Borrower only if required under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12.5.(b) of the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349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19"/>
          </w:cols>
          <w:pgMar w:left="240" w:top="280" w:right="1440" w:bottom="1440" w:gutter="0" w:footer="0" w:header="0"/>
        </w:sectPr>
      </w:pPr>
    </w:p>
    <w:bookmarkStart w:id="131" w:name="page132"/>
    <w:bookmarkEnd w:id="131"/>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Information Concerning the Assignee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4850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165735</wp:posOffset>
            </wp:positionV>
            <wp:extent cx="44850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320040</wp:posOffset>
            </wp:positionV>
            <wp:extent cx="44850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48500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474345</wp:posOffset>
            </wp:positionV>
            <wp:extent cx="44850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280" w:right="1440"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jc w:val="center"/>
        <w:ind w:left="5160"/>
        <w:spacing w:after="0"/>
        <w:tabs>
          <w:tab w:leader="none" w:pos="200" w:val="left"/>
        </w:tabs>
        <w:rPr>
          <w:sz w:val="20"/>
          <w:szCs w:val="20"/>
          <w:color w:val="auto"/>
        </w:rPr>
      </w:pPr>
      <w:r>
        <w:rPr>
          <w:rFonts w:ascii="Arial" w:cs="Arial" w:eastAsia="Arial" w:hAnsi="Arial"/>
          <w:sz w:val="18"/>
          <w:szCs w:val="18"/>
          <w:color w:val="auto"/>
        </w:rPr>
        <w:t>May</w:t>
        <w:tab/>
        <w:t>,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32" w:lineRule="exact"/>
        <w:rPr>
          <w:sz w:val="20"/>
          <w:szCs w:val="20"/>
          <w:color w:val="auto"/>
        </w:rPr>
      </w:pPr>
    </w:p>
    <w:p>
      <w:pPr>
        <w:ind w:left="900" w:right="32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Pursuant to Section 2.1.(b) of the Credit Agreement, the Borrower hereby requests that the Lenders make Loans to the Borrower in an aggregate principal amount equal to $372,000,000.</w:t>
      </w:r>
    </w:p>
    <w:p>
      <w:pPr>
        <w:spacing w:after="0" w:line="51" w:lineRule="exact"/>
        <w:rPr>
          <w:sz w:val="20"/>
          <w:szCs w:val="20"/>
          <w:color w:val="auto"/>
        </w:rPr>
      </w:pPr>
    </w:p>
    <w:p>
      <w:pPr>
        <w:ind w:left="460"/>
        <w:spacing w:after="0"/>
        <w:tabs>
          <w:tab w:leader="none" w:pos="880" w:val="left"/>
          <w:tab w:leader="none" w:pos="69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The Borrower requests that such Loans be made available to the Borrower on May</w:t>
      </w:r>
      <w:r>
        <w:rPr>
          <w:sz w:val="20"/>
          <w:szCs w:val="20"/>
          <w:color w:val="auto"/>
        </w:rPr>
        <w:tab/>
      </w:r>
      <w:r>
        <w:rPr>
          <w:rFonts w:ascii="Arial" w:cs="Arial" w:eastAsia="Arial" w:hAnsi="Arial"/>
          <w:sz w:val="15"/>
          <w:szCs w:val="15"/>
          <w:color w:val="auto"/>
        </w:rPr>
        <w:t>, 2009.</w:t>
      </w:r>
    </w:p>
    <w:p>
      <w:pPr>
        <w:spacing w:after="0" w:line="113"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 hereby requests that the requested Loans all be of the following Type:</w:t>
      </w:r>
    </w:p>
    <w:p>
      <w:pPr>
        <w:spacing w:after="0" w:line="16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217" w:lineRule="exact"/>
        <w:rPr>
          <w:rFonts w:ascii="Arial" w:cs="Arial" w:eastAsia="Arial" w:hAnsi="Arial"/>
          <w:sz w:val="18"/>
          <w:szCs w:val="18"/>
          <w:color w:val="auto"/>
        </w:rPr>
      </w:pPr>
    </w:p>
    <w:p>
      <w:pPr>
        <w:ind w:left="1920" w:hanging="440"/>
        <w:spacing w:after="0"/>
        <w:tabs>
          <w:tab w:leader="none" w:pos="1920" w:val="left"/>
        </w:tabs>
        <w:numPr>
          <w:ilvl w:val="1"/>
          <w:numId w:val="102"/>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920" w:hanging="440"/>
        <w:spacing w:after="0"/>
        <w:tabs>
          <w:tab w:leader="none" w:pos="1920" w:val="left"/>
        </w:tabs>
        <w:numPr>
          <w:ilvl w:val="1"/>
          <w:numId w:val="102"/>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920"/>
        <w:spacing w:after="0" w:line="207" w:lineRule="exact"/>
        <w:tabs>
          <w:tab w:leader="none" w:pos="384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month</w:t>
      </w:r>
    </w:p>
    <w:p>
      <w:pPr>
        <w:spacing w:after="0" w:line="49" w:lineRule="exact"/>
        <w:rPr>
          <w:sz w:val="20"/>
          <w:szCs w:val="20"/>
          <w:color w:val="auto"/>
        </w:rPr>
      </w:pPr>
    </w:p>
    <w:p>
      <w:pPr>
        <w:ind w:left="4120" w:hanging="263"/>
        <w:spacing w:after="0"/>
        <w:tabs>
          <w:tab w:leader="none" w:pos="4120" w:val="left"/>
        </w:tabs>
        <w:numPr>
          <w:ilvl w:val="1"/>
          <w:numId w:val="103"/>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15" w:lineRule="exact"/>
        <w:rPr>
          <w:rFonts w:ascii="MS PGothic" w:cs="MS PGothic" w:eastAsia="MS PGothic" w:hAnsi="MS PGothic"/>
          <w:sz w:val="18"/>
          <w:szCs w:val="18"/>
          <w:color w:val="auto"/>
        </w:rPr>
      </w:pPr>
    </w:p>
    <w:p>
      <w:pPr>
        <w:ind w:left="4120" w:hanging="263"/>
        <w:spacing w:after="0"/>
        <w:tabs>
          <w:tab w:leader="none" w:pos="4120" w:val="left"/>
        </w:tabs>
        <w:numPr>
          <w:ilvl w:val="1"/>
          <w:numId w:val="103"/>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proceeds of this borrowing of Loans will be used for general corporate purposes.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Borrower requests that the proceeds the Loans be made available to the Borrower by wire transfer in immediately available funds to:</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[insert appropriate wiring instructions]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60"/>
          </w:cols>
          <w:pgMar w:left="240" w:top="280" w:right="299" w:bottom="1440" w:gutter="0" w:footer="0" w:header="0"/>
        </w:sectPr>
      </w:pPr>
    </w:p>
    <w:bookmarkStart w:id="133" w:name="page134"/>
    <w:bookmarkEnd w:id="13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hereby certifies to the Agent and the Lenders that as of the date hereof and as of the date of the making of the requested Loans and after giving effect thereto, (a) no Default or Event of Default exists or shall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duly executed and delivered this Notice of Borrowing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10795</wp:posOffset>
            </wp:positionV>
            <wp:extent cx="23241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10795</wp:posOffset>
            </wp:positionV>
            <wp:extent cx="23241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10795</wp:posOffset>
            </wp:positionV>
            <wp:extent cx="23241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0"/>
          </w:cols>
          <w:pgMar w:left="700" w:top="280" w:right="259" w:bottom="1440" w:gutter="0" w:footer="0" w:header="0"/>
        </w:sectPr>
      </w:pPr>
    </w:p>
    <w:bookmarkStart w:id="134" w:name="page135"/>
    <w:bookmarkEnd w:id="134"/>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Pursuant to Section 2.6. of the Credit Agreement, the Borrower hereby requests a Continuation of LIBOR Loans under the Credit Agreement, and in that connection sets forth below the information relating to such Continuation as required by such Section of the Credit Agreement:</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420" w:type="dxa"/>
            <w:vAlign w:val="bottom"/>
          </w:tcPr>
          <w:p>
            <w:pPr>
              <w:ind w:left="160"/>
              <w:spacing w:after="0"/>
              <w:rPr>
                <w:sz w:val="20"/>
                <w:szCs w:val="20"/>
                <w:color w:val="auto"/>
              </w:rPr>
            </w:pPr>
            <w:r>
              <w:rPr>
                <w:rFonts w:ascii="Arial" w:cs="Arial" w:eastAsia="Arial" w:hAnsi="Arial"/>
                <w:sz w:val="18"/>
                <w:szCs w:val="18"/>
                <w:color w:val="auto"/>
                <w:w w:val="95"/>
              </w:rPr>
              <w:t>The proposed date of such Continuation is</w:t>
            </w:r>
          </w:p>
        </w:tc>
        <w:tc>
          <w:tcPr>
            <w:tcW w:w="2140" w:type="dxa"/>
            <w:vAlign w:val="bottom"/>
          </w:tcPr>
          <w:p>
            <w:pPr>
              <w:jc w:val="right"/>
              <w:ind w:right="1292"/>
              <w:spacing w:after="0"/>
              <w:rPr>
                <w:sz w:val="20"/>
                <w:szCs w:val="20"/>
                <w:color w:val="auto"/>
              </w:rPr>
            </w:pPr>
            <w:r>
              <w:rPr>
                <w:rFonts w:ascii="Arial" w:cs="Arial" w:eastAsia="Arial" w:hAnsi="Arial"/>
                <w:sz w:val="18"/>
                <w:szCs w:val="18"/>
                <w:color w:val="auto"/>
              </w:rPr>
              <w:t>, 20  .</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500" w:type="dxa"/>
            <w:vAlign w:val="bottom"/>
            <w:gridSpan w:val="3"/>
          </w:tcPr>
          <w:p>
            <w:pPr>
              <w:ind w:left="160"/>
              <w:spacing w:after="0"/>
              <w:rPr>
                <w:sz w:val="20"/>
                <w:szCs w:val="20"/>
                <w:color w:val="auto"/>
              </w:rPr>
            </w:pPr>
            <w:r>
              <w:rPr>
                <w:rFonts w:ascii="Arial" w:cs="Arial" w:eastAsia="Arial" w:hAnsi="Arial"/>
                <w:sz w:val="18"/>
                <w:szCs w:val="18"/>
                <w:color w:val="auto"/>
                <w:w w:val="95"/>
              </w:rPr>
              <w:t>The aggregate principal amount of Loans subject to the requested Continuation is $</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6"/>
              </w:rPr>
              <w:t>The portion of such principal amount subject to such Continuation is $</w:t>
            </w:r>
          </w:p>
        </w:tc>
        <w:tc>
          <w:tcPr>
            <w:tcW w:w="9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6500" w:type="dxa"/>
            <w:vAlign w:val="bottom"/>
            <w:gridSpan w:val="3"/>
          </w:tcPr>
          <w:p>
            <w:pPr>
              <w:ind w:left="160"/>
              <w:spacing w:after="0"/>
              <w:rPr>
                <w:sz w:val="20"/>
                <w:szCs w:val="20"/>
                <w:color w:val="auto"/>
              </w:rPr>
            </w:pPr>
            <w:r>
              <w:rPr>
                <w:rFonts w:ascii="Arial" w:cs="Arial" w:eastAsia="Arial" w:hAnsi="Arial"/>
                <w:sz w:val="18"/>
                <w:szCs w:val="18"/>
                <w:color w:val="auto"/>
                <w:w w:val="91"/>
              </w:rPr>
              <w:t>The current Interest Period for each of the Loans subject to such Continuation ends on</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75"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duration of the new Interest Period for each of such Loans or portion thereof subject to such Continuation is:</w:t>
      </w:r>
    </w:p>
    <w:p>
      <w:pPr>
        <w:spacing w:after="0" w:line="179" w:lineRule="exact"/>
        <w:rPr>
          <w:sz w:val="20"/>
          <w:szCs w:val="20"/>
          <w:color w:val="auto"/>
        </w:rPr>
      </w:pPr>
    </w:p>
    <w:p>
      <w:pPr>
        <w:ind w:left="1000"/>
        <w:spacing w:after="0" w:line="207" w:lineRule="exact"/>
        <w:tabs>
          <w:tab w:leader="none" w:pos="292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1 month</w:t>
      </w:r>
    </w:p>
    <w:p>
      <w:pPr>
        <w:spacing w:after="0" w:line="49" w:lineRule="exact"/>
        <w:rPr>
          <w:sz w:val="20"/>
          <w:szCs w:val="20"/>
          <w:color w:val="auto"/>
        </w:rPr>
      </w:pPr>
    </w:p>
    <w:p>
      <w:pPr>
        <w:ind w:left="3200" w:hanging="261"/>
        <w:spacing w:after="0"/>
        <w:tabs>
          <w:tab w:leader="none" w:pos="3200" w:val="left"/>
        </w:tabs>
        <w:numPr>
          <w:ilvl w:val="0"/>
          <w:numId w:val="105"/>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15" w:lineRule="exact"/>
        <w:rPr>
          <w:rFonts w:ascii="MS PGothic" w:cs="MS PGothic" w:eastAsia="MS PGothic" w:hAnsi="MS PGothic"/>
          <w:sz w:val="18"/>
          <w:szCs w:val="18"/>
          <w:color w:val="auto"/>
        </w:rPr>
      </w:pPr>
    </w:p>
    <w:p>
      <w:pPr>
        <w:ind w:left="3200" w:hanging="261"/>
        <w:spacing w:after="0"/>
        <w:tabs>
          <w:tab w:leader="none" w:pos="3200" w:val="left"/>
        </w:tabs>
        <w:numPr>
          <w:ilvl w:val="0"/>
          <w:numId w:val="105"/>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60"/>
          </w:cols>
          <w:pgMar w:left="240" w:top="280" w:right="299" w:bottom="1440" w:gutter="0" w:footer="0" w:header="0"/>
        </w:sectPr>
      </w:pPr>
    </w:p>
    <w:bookmarkStart w:id="135" w:name="page136"/>
    <w:bookmarkEnd w:id="135"/>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hereby certifies to the Agent and the Lenders that as of the date hereof, as of the proposed date of the requested Continuation, and after giving effect to such Continuation, no Event of Default exists or will exist.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is to be considered the written confirmation of such telephone notice required by Section 2.6.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Continuation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280" w:right="319" w:bottom="1440" w:gutter="0" w:footer="0" w:header="0"/>
        </w:sectPr>
      </w:pPr>
    </w:p>
    <w:bookmarkStart w:id="136" w:name="page137"/>
    <w:bookmarkEnd w:id="136"/>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Rex E. Rudy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Pursuant to Section 2.7. of the Credit Agreement, the Borrower hereby requests a Conversion of a borrowing of Loans of one Type into Loans of another Type under the Credit Agreement, and in that connection sets forth below the information relating to such Conversion as required by such Section of the Credit Agreement:</w:t>
      </w:r>
    </w:p>
    <w:p>
      <w:pPr>
        <w:spacing w:after="0" w:line="59" w:lineRule="exact"/>
        <w:rPr>
          <w:sz w:val="20"/>
          <w:szCs w:val="20"/>
          <w:color w:val="auto"/>
        </w:rPr>
      </w:pPr>
    </w:p>
    <w:p>
      <w:pPr>
        <w:ind w:left="460"/>
        <w:spacing w:after="0"/>
        <w:tabs>
          <w:tab w:leader="none" w:pos="880" w:val="left"/>
          <w:tab w:leader="none" w:pos="4320" w:val="left"/>
          <w:tab w:leader="none" w:pos="4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proposed date of such Conversion is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84"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Loans to be Converted pursuant hereto are </w:t>
      </w:r>
      <w:r>
        <w:rPr>
          <w:rFonts w:ascii="Arial" w:cs="Arial" w:eastAsia="Arial" w:hAnsi="Arial"/>
          <w:sz w:val="18"/>
          <w:szCs w:val="18"/>
          <w:b w:val="1"/>
          <w:bCs w:val="1"/>
          <w:color w:val="auto"/>
        </w:rPr>
        <w:t>currently</w:t>
      </w:r>
      <w:r>
        <w:rPr>
          <w:rFonts w:ascii="Arial" w:cs="Arial" w:eastAsia="Arial" w:hAnsi="Arial"/>
          <w:sz w:val="18"/>
          <w:szCs w:val="18"/>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Arial" w:cs="Arial" w:eastAsia="Arial" w:hAnsi="Arial"/>
                <w:sz w:val="18"/>
                <w:szCs w:val="18"/>
                <w:b w:val="1"/>
                <w:bCs w:val="1"/>
                <w:color w:val="auto"/>
                <w:w w:val="95"/>
              </w:rPr>
              <w:t>[Check one box only]</w:t>
            </w:r>
          </w:p>
        </w:tc>
        <w:tc>
          <w:tcPr>
            <w:tcW w:w="34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 Rate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75"/>
        </w:trPr>
        <w:tc>
          <w:tcPr>
            <w:tcW w:w="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4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LIBOR Loans</w:t>
            </w: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6360" w:type="dxa"/>
            <w:vAlign w:val="bottom"/>
            <w:gridSpan w:val="3"/>
          </w:tcPr>
          <w:p>
            <w:pPr>
              <w:ind w:left="160"/>
              <w:spacing w:after="0"/>
              <w:rPr>
                <w:sz w:val="20"/>
                <w:szCs w:val="20"/>
                <w:color w:val="auto"/>
              </w:rPr>
            </w:pPr>
            <w:r>
              <w:rPr>
                <w:rFonts w:ascii="Arial" w:cs="Arial" w:eastAsia="Arial" w:hAnsi="Arial"/>
                <w:sz w:val="18"/>
                <w:szCs w:val="18"/>
                <w:color w:val="auto"/>
                <w:w w:val="94"/>
              </w:rPr>
              <w:t>The aggregate principal amount of Loans subject to the requested Conversion is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w w:val="97"/>
              </w:rPr>
              <w:t>The portion of such principal amount subject to such Conversion is $</w:t>
            </w:r>
          </w:p>
        </w:tc>
        <w:tc>
          <w:tcPr>
            <w:tcW w:w="8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D-1</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137" w:name="page138"/>
    <w:bookmarkEnd w:id="137"/>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such Loans to be so Converted is to be converted into Loans of the following Type:</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1820" w:hanging="441"/>
        <w:spacing w:after="0"/>
        <w:tabs>
          <w:tab w:leader="none" w:pos="1820" w:val="left"/>
        </w:tabs>
        <w:numPr>
          <w:ilvl w:val="1"/>
          <w:numId w:val="107"/>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23" w:lineRule="exact"/>
        <w:rPr>
          <w:rFonts w:ascii="MS PGothic" w:cs="MS PGothic" w:eastAsia="MS PGothic" w:hAnsi="MS PGothic"/>
          <w:sz w:val="18"/>
          <w:szCs w:val="18"/>
          <w:color w:val="auto"/>
        </w:rPr>
      </w:pPr>
    </w:p>
    <w:p>
      <w:pPr>
        <w:ind w:left="1820" w:hanging="441"/>
        <w:spacing w:after="0"/>
        <w:tabs>
          <w:tab w:leader="none" w:pos="1820" w:val="left"/>
        </w:tabs>
        <w:numPr>
          <w:ilvl w:val="1"/>
          <w:numId w:val="107"/>
        </w:numPr>
        <w:rPr>
          <w:rFonts w:ascii="MS PGothic" w:cs="MS PGothic" w:eastAsia="MS PGothic" w:hAnsi="MS PGothic"/>
          <w:sz w:val="18"/>
          <w:szCs w:val="18"/>
          <w:color w:val="auto"/>
        </w:rPr>
      </w:pPr>
      <w:r>
        <w:rPr>
          <w:rFonts w:ascii="Arial" w:cs="Arial" w:eastAsia="Arial" w:hAnsi="Arial"/>
          <w:sz w:val="18"/>
          <w:szCs w:val="18"/>
          <w:color w:val="auto"/>
        </w:rPr>
        <w:t>LIBOR Loans, each with an initial Interest Period for a duration of:</w:t>
      </w:r>
    </w:p>
    <w:p>
      <w:pPr>
        <w:spacing w:after="0" w:line="165" w:lineRule="exact"/>
        <w:rPr>
          <w:sz w:val="20"/>
          <w:szCs w:val="20"/>
          <w:color w:val="auto"/>
        </w:rPr>
      </w:pPr>
    </w:p>
    <w:p>
      <w:pPr>
        <w:ind w:left="1840"/>
        <w:spacing w:after="0" w:line="207" w:lineRule="exact"/>
        <w:tabs>
          <w:tab w:leader="none" w:pos="3760" w:val="left"/>
        </w:tabs>
        <w:rPr>
          <w:sz w:val="20"/>
          <w:szCs w:val="20"/>
          <w:color w:val="auto"/>
        </w:rPr>
      </w:pPr>
      <w:r>
        <w:rPr>
          <w:rFonts w:ascii="Arial" w:cs="Arial" w:eastAsia="Arial" w:hAnsi="Arial"/>
          <w:sz w:val="18"/>
          <w:szCs w:val="18"/>
          <w:b w:val="1"/>
          <w:bCs w:val="1"/>
          <w:color w:val="auto"/>
        </w:rPr>
        <w:t>[Check one box only]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1 month</w:t>
      </w:r>
    </w:p>
    <w:p>
      <w:pPr>
        <w:spacing w:after="0" w:line="49" w:lineRule="exact"/>
        <w:rPr>
          <w:sz w:val="20"/>
          <w:szCs w:val="20"/>
          <w:color w:val="auto"/>
        </w:rPr>
      </w:pPr>
    </w:p>
    <w:p>
      <w:pPr>
        <w:ind w:left="4100" w:hanging="317"/>
        <w:spacing w:after="0"/>
        <w:tabs>
          <w:tab w:leader="none" w:pos="4100" w:val="left"/>
        </w:tabs>
        <w:numPr>
          <w:ilvl w:val="0"/>
          <w:numId w:val="108"/>
        </w:numPr>
        <w:rPr>
          <w:rFonts w:ascii="MS PGothic" w:cs="MS PGothic" w:eastAsia="MS PGothic" w:hAnsi="MS PGothic"/>
          <w:sz w:val="18"/>
          <w:szCs w:val="18"/>
          <w:color w:val="auto"/>
        </w:rPr>
      </w:pPr>
      <w:r>
        <w:rPr>
          <w:rFonts w:ascii="Arial" w:cs="Arial" w:eastAsia="Arial" w:hAnsi="Arial"/>
          <w:sz w:val="18"/>
          <w:szCs w:val="18"/>
          <w:color w:val="auto"/>
        </w:rPr>
        <w:t>3 months</w:t>
      </w:r>
    </w:p>
    <w:p>
      <w:pPr>
        <w:spacing w:after="0" w:line="15" w:lineRule="exact"/>
        <w:rPr>
          <w:rFonts w:ascii="MS PGothic" w:cs="MS PGothic" w:eastAsia="MS PGothic" w:hAnsi="MS PGothic"/>
          <w:sz w:val="18"/>
          <w:szCs w:val="18"/>
          <w:color w:val="auto"/>
        </w:rPr>
      </w:pPr>
    </w:p>
    <w:p>
      <w:pPr>
        <w:ind w:left="4100" w:hanging="317"/>
        <w:spacing w:after="0"/>
        <w:tabs>
          <w:tab w:leader="none" w:pos="4100" w:val="left"/>
        </w:tabs>
        <w:numPr>
          <w:ilvl w:val="0"/>
          <w:numId w:val="108"/>
        </w:numPr>
        <w:rPr>
          <w:rFonts w:ascii="MS PGothic" w:cs="MS PGothic" w:eastAsia="MS PGothic" w:hAnsi="MS PGothic"/>
          <w:sz w:val="18"/>
          <w:szCs w:val="18"/>
          <w:color w:val="auto"/>
        </w:rPr>
      </w:pPr>
      <w:r>
        <w:rPr>
          <w:rFonts w:ascii="Arial" w:cs="Arial" w:eastAsia="Arial" w:hAnsi="Arial"/>
          <w:sz w:val="18"/>
          <w:szCs w:val="18"/>
          <w:color w:val="auto"/>
        </w:rPr>
        <w:t>6 months</w:t>
      </w:r>
    </w:p>
    <w:p>
      <w:pPr>
        <w:spacing w:after="0" w:line="7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Other than a conversion to Base Rate Loans, the Borrower hereby certifies to the Agent and the Lenders that as of the date hereof and as of the date of the requested Conversion and after giving effect thereto, (a) no Event of Default exists or will exist and (b) the representations and warranties made or deemed made by the Borrower and each other Loan Party in the Loan Documents to which any of them is a party are and shall be true and correct in all material respects,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notice of the requested Conversion was given previously by telephone, this notice is to be considered the written confirmation of such telephone notice required by Section 2.7.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duly executed and delivered this Notice of Conversion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40"/>
          </w:cols>
          <w:pgMar w:left="240" w:top="280"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960" w:type="dxa"/>
            <w:vAlign w:val="bottom"/>
          </w:tcPr>
          <w:p>
            <w:pPr>
              <w:jc w:val="center"/>
              <w:ind w:right="5012"/>
              <w:spacing w:after="0"/>
              <w:rPr>
                <w:sz w:val="20"/>
                <w:szCs w:val="20"/>
                <w:color w:val="auto"/>
              </w:rPr>
            </w:pPr>
            <w:r>
              <w:rPr>
                <w:rFonts w:ascii="Arial" w:cs="Arial" w:eastAsia="Arial" w:hAnsi="Arial"/>
                <w:sz w:val="18"/>
                <w:szCs w:val="18"/>
                <w:color w:val="auto"/>
                <w:w w:val="98"/>
              </w:rPr>
              <w:t>EXHIBIT E</w:t>
            </w:r>
          </w:p>
        </w:tc>
      </w:tr>
      <w:tr>
        <w:trPr>
          <w:trHeight w:val="378"/>
        </w:trPr>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60" w:type="dxa"/>
            <w:vAlign w:val="bottom"/>
            <w:gridSpan w:val="2"/>
          </w:tcPr>
          <w:p>
            <w:pPr>
              <w:jc w:val="center"/>
              <w:ind w:right="692"/>
              <w:spacing w:after="0"/>
              <w:rPr>
                <w:sz w:val="20"/>
                <w:szCs w:val="20"/>
                <w:color w:val="auto"/>
              </w:rPr>
            </w:pPr>
            <w:r>
              <w:rPr>
                <w:rFonts w:ascii="Arial" w:cs="Arial" w:eastAsia="Arial" w:hAnsi="Arial"/>
                <w:sz w:val="18"/>
                <w:szCs w:val="18"/>
                <w:color w:val="auto"/>
                <w:w w:val="92"/>
              </w:rPr>
              <w:t>FORM OF NOTE</w:t>
            </w:r>
          </w:p>
        </w:tc>
      </w:tr>
      <w:tr>
        <w:trPr>
          <w:trHeight w:val="38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390"/>
        </w:trPr>
        <w:tc>
          <w:tcPr>
            <w:tcW w:w="100" w:type="dxa"/>
            <w:vAlign w:val="bottom"/>
          </w:tcPr>
          <w:p>
            <w:pPr>
              <w:spacing w:after="0"/>
              <w:rPr>
                <w:sz w:val="24"/>
                <w:szCs w:val="24"/>
                <w:color w:val="auto"/>
              </w:rPr>
            </w:pPr>
          </w:p>
        </w:tc>
        <w:tc>
          <w:tcPr>
            <w:tcW w:w="11140" w:type="dxa"/>
            <w:vAlign w:val="bottom"/>
            <w:gridSpan w:val="3"/>
          </w:tcPr>
          <w:p>
            <w:pPr>
              <w:jc w:val="right"/>
              <w:ind w:right="112"/>
              <w:spacing w:after="0"/>
              <w:rPr>
                <w:sz w:val="20"/>
                <w:szCs w:val="20"/>
                <w:color w:val="auto"/>
              </w:rPr>
            </w:pPr>
            <w:r>
              <w:rPr>
                <w:rFonts w:ascii="Arial" w:cs="Arial" w:eastAsia="Arial" w:hAnsi="Arial"/>
                <w:sz w:val="18"/>
                <w:szCs w:val="18"/>
                <w:color w:val="auto"/>
                <w:w w:val="93"/>
              </w:rPr>
              <w:t>FOR VALUE RECEIVED, the undersigned, FEDERAL REALTY INVESTMENT TRUST, a real estate investment trust formed under the laws of the</w:t>
            </w:r>
          </w:p>
        </w:tc>
      </w:tr>
      <w:tr>
        <w:trPr>
          <w:trHeight w:val="222"/>
        </w:trPr>
        <w:tc>
          <w:tcPr>
            <w:tcW w:w="5280" w:type="dxa"/>
            <w:vAlign w:val="bottom"/>
            <w:gridSpan w:val="3"/>
          </w:tcPr>
          <w:p>
            <w:pPr>
              <w:spacing w:after="0"/>
              <w:rPr>
                <w:sz w:val="20"/>
                <w:szCs w:val="20"/>
                <w:color w:val="auto"/>
              </w:rPr>
            </w:pPr>
            <w:r>
              <w:rPr>
                <w:rFonts w:ascii="Arial" w:cs="Arial" w:eastAsia="Arial" w:hAnsi="Arial"/>
                <w:sz w:val="18"/>
                <w:szCs w:val="18"/>
                <w:color w:val="auto"/>
                <w:w w:val="89"/>
              </w:rPr>
              <w:t>State of Maryland (the “Borrower”), hereby promises to pay to the order of</w:t>
            </w:r>
          </w:p>
        </w:tc>
        <w:tc>
          <w:tcPr>
            <w:tcW w:w="5960" w:type="dxa"/>
            <w:vAlign w:val="bottom"/>
          </w:tcPr>
          <w:p>
            <w:pPr>
              <w:jc w:val="right"/>
              <w:ind w:right="172"/>
              <w:spacing w:after="0"/>
              <w:rPr>
                <w:sz w:val="20"/>
                <w:szCs w:val="20"/>
                <w:color w:val="auto"/>
              </w:rPr>
            </w:pPr>
            <w:r>
              <w:rPr>
                <w:rFonts w:ascii="Arial" w:cs="Arial" w:eastAsia="Arial" w:hAnsi="Arial"/>
                <w:sz w:val="18"/>
                <w:szCs w:val="18"/>
                <w:color w:val="auto"/>
              </w:rPr>
              <w:t>(the “Lender”), in care of Wachovia Bank, National Association, as</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(the “Agent”) at Wachovia Bank, National Association, One Wachovia Center, 301 South College Street, Charlotte, North Carolina 28288, or at such other</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address as may be specified in writing by the Agent to the Borrower, the principal sum of AND /100 DOLLARS ($ ) (or such lesser amount as shall equal the aggregate unpaid principal amount of the Loan made by the Lender to the Borrower under the Credit Agreement (as herein defined)), on the dates and in the principal amounts provided in the Credit Agreement, and to pay interest on the unpaid principal amount owing hereunder, at the rates and on the dates provided in the Credit Agreement.</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The date, amount of the Loan made by the Lender to the Borrower, and each payment made on account of the principal thereof, shall be recorded by the Lender on its books and, prior to any transfer of this Note, endorsed by the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Lender to make any such recordation or endorsement shall not affect the obligations of the Borrower to make a payment when due of any amount owing under the Credit Agreement or hereunder in respect of the Loan made by the Lender.</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Note is one of the Notes referred to in the Credit Agreement dated as of May 4, 2009 (as amended, restated, supplemented or otherwise modified from time to time, the “Credit Agreement”), by and among the Borrower, the financial institutions party thereto and their permitted assignees under Section 12.5. thereof (the “Lenders”), the Agent, and the other parties thereto. Capitalized terms used herein, and not otherwise defined herein, have their respective meanings given them in the Credit Agreement.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12.5.(b) of the Credit Agreement, this Note may not be assigned by the Lender to any other Person.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00"/>
          </w:cols>
          <w:pgMar w:left="240" w:top="280" w:right="259" w:bottom="1440" w:gutter="0" w:footer="0" w:header="0"/>
        </w:sectPr>
      </w:pPr>
    </w:p>
    <w:bookmarkStart w:id="139" w:name="page140"/>
    <w:bookmarkEnd w:id="139"/>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and delivered this Note under seal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80"/>
          </w:cols>
          <w:pgMar w:left="240" w:top="280" w:right="479" w:bottom="1440" w:gutter="0" w:footer="0" w:header="0"/>
        </w:sectPr>
      </w:pPr>
    </w:p>
    <w:bookmarkStart w:id="140" w:name="page141"/>
    <w:bookmarkEnd w:id="14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LOAN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Note evidences the Loan made under the within-described Credit Agreement to the Borrower, on the date and in the principal amount set forth below, subject to the payments and prepayments of principal set forth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Date of</w:t>
            </w:r>
          </w:p>
        </w:tc>
        <w:tc>
          <w:tcPr>
            <w:tcW w:w="28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3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0" w:type="dxa"/>
            <w:vAlign w:val="bottom"/>
            <w:vMerge w:val="continue"/>
          </w:tcPr>
          <w:p>
            <w:pPr>
              <w:spacing w:after="0"/>
              <w:rPr>
                <w:sz w:val="11"/>
                <w:szCs w:val="11"/>
                <w:color w:val="auto"/>
              </w:rPr>
            </w:pPr>
          </w:p>
        </w:tc>
        <w:tc>
          <w:tcPr>
            <w:tcW w:w="28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Amount of</w:t>
            </w:r>
          </w:p>
        </w:tc>
        <w:tc>
          <w:tcPr>
            <w:tcW w:w="138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Paid or</w:t>
            </w:r>
          </w:p>
        </w:tc>
        <w:tc>
          <w:tcPr>
            <w:tcW w:w="13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Principal</w:t>
            </w:r>
          </w:p>
        </w:tc>
        <w:tc>
          <w:tcPr>
            <w:tcW w:w="140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4"/>
                <w:szCs w:val="14"/>
                <w:b w:val="1"/>
                <w:bCs w:val="1"/>
                <w:color w:val="auto"/>
                <w:w w:val="87"/>
              </w:rPr>
              <w:t>Notation</w:t>
            </w:r>
          </w:p>
        </w:tc>
        <w:tc>
          <w:tcPr>
            <w:tcW w:w="0" w:type="dxa"/>
            <w:vAlign w:val="bottom"/>
          </w:tcPr>
          <w:p>
            <w:pPr>
              <w:spacing w:after="0"/>
              <w:rPr>
                <w:sz w:val="1"/>
                <w:szCs w:val="1"/>
                <w:color w:val="auto"/>
              </w:rPr>
            </w:pPr>
          </w:p>
        </w:tc>
      </w:tr>
      <w:tr>
        <w:trPr>
          <w:trHeight w:val="168"/>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Loan</w:t>
            </w:r>
          </w:p>
        </w:tc>
        <w:tc>
          <w:tcPr>
            <w:tcW w:w="28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3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Prepaid</w:t>
            </w:r>
          </w:p>
        </w:tc>
        <w:tc>
          <w:tcPr>
            <w:tcW w:w="1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Made By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20"/>
          </w:cols>
          <w:pgMar w:left="240" w:top="280"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COUNSEL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280" w:right="1440" w:bottom="1440" w:gutter="0" w:footer="0" w:header="0"/>
        </w:sectPr>
      </w:pPr>
    </w:p>
    <w:bookmarkStart w:id="142" w:name="page143"/>
    <w:bookmarkEnd w:id="142"/>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Wachovia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Each of the Lenders Party to the Credit Agreement referred to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Wachovia Bank, National Association, as Agent (the “Agent”) and the other parties thereto. Capitalized terms used herein, and not otherwise defined herein, have their respective meanings given them in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8.3. of the Credit Agreement, the undersigned hereby certifies to the Agent and the Lenders, in his or her capacity as an officer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not in his or her individual capacity, as follows:</w:t>
      </w:r>
    </w:p>
    <w:p>
      <w:pPr>
        <w:spacing w:after="0" w:line="165" w:lineRule="exact"/>
        <w:rPr>
          <w:sz w:val="20"/>
          <w:szCs w:val="20"/>
          <w:color w:val="auto"/>
        </w:rPr>
      </w:pPr>
    </w:p>
    <w:p>
      <w:pPr>
        <w:ind w:left="720" w:hanging="256"/>
        <w:spacing w:after="0"/>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undersigned is a Responsible Officer of the Borrower, holding the office indicated below his/her signature to this Compliance Certificate.</w:t>
      </w:r>
    </w:p>
    <w:p>
      <w:pPr>
        <w:spacing w:after="0" w:line="19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undersigned has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and its nature, when it occurred and whether it is continuing and the steps being taken by the Borrower with respect to such event, condition or failure]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Attached hereto as Schedule 1 are reasonably detailed calculations establishing whether or not the Borrower and its Subsidiaries were in compliance with the covenants contained in Sections 9.1. and 9.4.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360"/>
          </w:cols>
          <w:pgMar w:left="240" w:top="280" w:right="29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executed this certificate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291465</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9759"/>
          </w:cols>
          <w:pgMar w:left="700" w:top="280" w:right="1440"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GUARANTY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GUARANTY dated as of May 4, 2009,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(a) WACHOVIA BANK, NATIONAL ASSOCIATION, in its capacity as Agent (the “Agent”) for the Lenders under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each Guarantor acknowledges that it will receive direct and indirect benefits from the Agent and the Lenders making such financial accommodations available to the Borrower under the Credit Agreement and, accordingly, each Guarantor is willing to guarantee the Borrower’s obligations to the Agent and the Lenders on the terms and conditions contained herein; and</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Lenders making, and continuing to make,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hereby absolutely, irrevocably and unconditionally guaranties the due and punctual payment and performance when due, whether at stated maturity, by acceleration or otherwise, of all of the following, whether now existing or hereafter arising, (collectively referred to as the “Guarantied Obligations”): (a) all indebtedness and obligations owing by the Borrower to any Lender or the Agent under or in connection with the Credit Agreement and any other Loan Document, including without limitation, the repayment of all principal of the Loans, and the payment of all interest, Fees, charges, attorneys’ fees and other amounts payable to any Lender or the Agent thereunder or in connection therewith; (b) any and all extensions, renewals, modifications, amendments or substitutions of the foregoing; (c) 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00"/>
          </w:cols>
          <w:pgMar w:left="240" w:top="280" w:right="259" w:bottom="1440" w:gutter="0" w:footer="0" w:header="0"/>
        </w:sectPr>
      </w:pPr>
    </w:p>
    <w:bookmarkStart w:id="145" w:name="page146"/>
    <w:bookmarkEnd w:id="14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including, without limitation, reasonable attorneys’ fees and disbursements, that are incurred by the Lenders and the Agent in the enforcement of any of the foregoing or any obligation of such Guarantor hereunder; and (d) all other Obligations.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 of Payment and Not of Collection</w:t>
      </w:r>
      <w:r>
        <w:rPr>
          <w:rFonts w:ascii="Arial" w:cs="Arial" w:eastAsia="Arial" w:hAnsi="Arial"/>
          <w:sz w:val="16"/>
          <w:szCs w:val="16"/>
          <w:color w:val="auto"/>
        </w:rPr>
        <w:t>. This Guaranty is a guaranty of payment, and not of collection, and a debt of each Guarantor for its own account. Accordingly, none of the Lenders or the Agent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held by the Lenders or the Agent which may secure any of the Guarantied Obligations.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Guaranty Absolute</w:t>
      </w:r>
      <w:r>
        <w:rPr>
          <w:rFonts w:ascii="Arial" w:cs="Arial" w:eastAsia="Arial" w:hAnsi="Arial"/>
          <w:sz w:val="16"/>
          <w:szCs w:val="16"/>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Agent or the Lenders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16" w:lineRule="exact"/>
        <w:rPr>
          <w:sz w:val="20"/>
          <w:szCs w:val="20"/>
          <w:color w:val="auto"/>
        </w:rPr>
      </w:pPr>
    </w:p>
    <w:p>
      <w:pPr>
        <w:ind w:right="20" w:firstLine="464"/>
        <w:spacing w:after="0" w:line="291"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20" w:lineRule="exact"/>
        <w:rPr>
          <w:rFonts w:ascii="Arial" w:cs="Arial" w:eastAsia="Arial" w:hAnsi="Arial"/>
          <w:sz w:val="16"/>
          <w:szCs w:val="16"/>
          <w:color w:val="auto"/>
        </w:rPr>
      </w:pPr>
    </w:p>
    <w:p>
      <w:pPr>
        <w:ind w:right="440" w:firstLine="464"/>
        <w:spacing w:after="0" w:line="332"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85"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furnishing to the Agent or the Lenders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340" w:firstLine="464"/>
        <w:spacing w:after="0" w:line="259"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400"/>
          </w:cols>
          <w:pgMar w:left="240" w:top="280" w:right="259" w:bottom="1440" w:gutter="0" w:footer="0" w:header="0"/>
        </w:sectPr>
      </w:pPr>
    </w:p>
    <w:bookmarkStart w:id="146" w:name="page147"/>
    <w:bookmarkEnd w:id="146"/>
    <w:p>
      <w:pPr>
        <w:ind w:right="260" w:firstLine="464"/>
        <w:spacing w:after="0" w:line="259"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200" w:firstLine="464"/>
        <w:spacing w:after="0" w:line="268" w:lineRule="auto"/>
        <w:tabs>
          <w:tab w:leader="none" w:pos="6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nonperfection or impairment of any security interest or other Lien on any collateral, if any, securing in any way any of the Obligations;</w:t>
      </w:r>
    </w:p>
    <w:p>
      <w:pPr>
        <w:spacing w:after="0" w:line="194" w:lineRule="exact"/>
        <w:rPr>
          <w:rFonts w:ascii="Arial" w:cs="Arial" w:eastAsia="Arial" w:hAnsi="Arial"/>
          <w:sz w:val="16"/>
          <w:szCs w:val="16"/>
          <w:color w:val="auto"/>
        </w:rPr>
      </w:pPr>
    </w:p>
    <w:p>
      <w:pPr>
        <w:ind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Agent or the Lenders,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 in the exercise thereof; or</w:t>
      </w:r>
    </w:p>
    <w:p>
      <w:pPr>
        <w:spacing w:after="0" w:line="171" w:lineRule="exact"/>
        <w:rPr>
          <w:rFonts w:ascii="Arial" w:cs="Arial" w:eastAsia="Arial" w:hAnsi="Arial"/>
          <w:sz w:val="18"/>
          <w:szCs w:val="18"/>
          <w:color w:val="auto"/>
        </w:rPr>
      </w:pPr>
    </w:p>
    <w:p>
      <w:pPr>
        <w:ind w:right="540" w:firstLine="464"/>
        <w:spacing w:after="0" w:line="268" w:lineRule="auto"/>
        <w:tabs>
          <w:tab w:leader="none" w:pos="6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a Guarantor hereunder (other than indefeasible payment and performance in full).</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Action with Respect to Guarantied Obligations</w:t>
      </w:r>
      <w:r>
        <w:rPr>
          <w:rFonts w:ascii="Arial" w:cs="Arial" w:eastAsia="Arial" w:hAnsi="Arial"/>
          <w:sz w:val="16"/>
          <w:szCs w:val="16"/>
          <w:color w:val="auto"/>
        </w:rPr>
        <w:t>. The Lenders and the Agent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(other than this Guaranty, as to which each Guarantor’s Agreement is required); (c) sell, exchange, release or otherwise deal with all, or any part, of any collateral securing any of the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Lenders shall elect.</w:t>
      </w:r>
    </w:p>
    <w:p>
      <w:pPr>
        <w:spacing w:after="0" w:line="12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severally with respect to itself only makes to the Agent and the Lenders all of the representations and warranties made by the Borrower with respect to or in any way relating to such Guarantor in the Credit Agreement and the other Loan Documents, as if the same were set forth herein in full.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400"/>
          </w:cols>
          <w:pgMar w:left="240" w:top="280" w:right="259" w:bottom="1440" w:gutter="0" w:footer="0" w:header="0"/>
        </w:sectPr>
      </w:pPr>
    </w:p>
    <w:bookmarkStart w:id="147" w:name="page148"/>
    <w:bookmarkEnd w:id="14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Inability to Accelerate Loan</w:t>
      </w:r>
      <w:r>
        <w:rPr>
          <w:rFonts w:ascii="Arial" w:cs="Arial" w:eastAsia="Arial" w:hAnsi="Arial"/>
          <w:sz w:val="16"/>
          <w:szCs w:val="16"/>
          <w:color w:val="auto"/>
        </w:rPr>
        <w:t>. If the Agent and/or the Lenders are prevented under Applicable Law or otherwise from demanding or accelerating payment of any of the Guarantied Obligations by reason of any automatic stay or otherwise, the Agent and/or the Lenders shall be entitled to receive from each Guarantor, upon demand therefor, the sums which otherwise would have been due had such demand or acceleration occurred.</w:t>
      </w:r>
    </w:p>
    <w:p>
      <w:pPr>
        <w:spacing w:after="0" w:line="107"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Reinstatement of Guarantied Obligations</w:t>
      </w:r>
      <w:r>
        <w:rPr>
          <w:rFonts w:ascii="Arial" w:cs="Arial" w:eastAsia="Arial" w:hAnsi="Arial"/>
          <w:sz w:val="15"/>
          <w:szCs w:val="15"/>
          <w:color w:val="auto"/>
        </w:rPr>
        <w:t>. If claim is ever made on the Agent, or any Lender for repayment or recovery of any amount or amounts received in payment or on account of any of the Guarantied Obligations, and the Agent or such Lender repays all or part of said amount by reason of</w:t>
      </w:r>
    </w:p>
    <w:p>
      <w:pPr>
        <w:ind w:firstLine="8"/>
        <w:spacing w:after="0" w:line="252" w:lineRule="auto"/>
        <w:tabs>
          <w:tab w:leader="none" w:pos="2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judgment, decree or order of any court or administrative body of competent jurisdiction, or (b) any settlement or compromise of any such claim effected by the Agent or such Lender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Agent or such Lender for the amounts so repaid or recovered to the same extent as if such amount had never originally been paid to the Agent or such Lender.</w:t>
      </w:r>
    </w:p>
    <w:p>
      <w:pPr>
        <w:spacing w:after="0" w:line="14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Subrogation</w:t>
      </w:r>
      <w:r>
        <w:rPr>
          <w:rFonts w:ascii="Arial" w:cs="Arial" w:eastAsia="Arial" w:hAnsi="Arial"/>
          <w:sz w:val="16"/>
          <w:szCs w:val="16"/>
          <w:color w:val="auto"/>
        </w:rPr>
        <w:t xml:space="preserve">. Upon the making by any Guarantor of any payment hereunder for the account of the Borrower, such Guarantor shall be subrogated to the rights of the payee against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Agent and the Lenders and shall forthwith pay such amount to the Agent to be credited and applied against the Guarantied Obligations, whether matured or unmatured, in accordance with the terms of the Credit Agreement or to be held by the Agent as collateral security for any Guarantied Obligations existing.</w:t>
      </w:r>
    </w:p>
    <w:p>
      <w:pPr>
        <w:spacing w:after="0" w:line="118"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Payments Free and Clear</w:t>
      </w:r>
      <w:r>
        <w:rPr>
          <w:rFonts w:ascii="Arial" w:cs="Arial" w:eastAsia="Arial" w:hAnsi="Arial"/>
          <w:sz w:val="16"/>
          <w:szCs w:val="16"/>
          <w:color w:val="auto"/>
        </w:rPr>
        <w:t>. All sums payable by each Guarantor hereunder, whether of principal, interest, Fees, expenses, premiums or otherwise, shall be paid in full, without set-off or counterclaim or any deduction or withholding whatsoever (including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400"/>
          </w:cols>
          <w:pgMar w:left="240" w:top="280" w:right="259" w:bottom="1440" w:gutter="0" w:footer="0" w:header="0"/>
        </w:sectPr>
      </w:pPr>
    </w:p>
    <w:bookmarkStart w:id="148" w:name="page149"/>
    <w:bookmarkEnd w:id="14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Taxes, subject to Section 3.12. of the Credit Agreement), and if any Guarantor is required by Applicable Law or by a Governmental Authority to make any such deduction or withholding, such Guarantor shall, subject to Section 3.12. of the Credit Agreement, pay to the Agent and the Lenders such additional amount as will result in the receipt by the Agent and the Lenders of the full amount payable hereunder had such deduction or withholding not occurred or been required.</w:t>
      </w:r>
    </w:p>
    <w:p>
      <w:pPr>
        <w:spacing w:after="0" w:line="10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Agent, each Lender and each affiliate of the Agent or any Lender, at any time during the continuance of an Event of Default, without any prior notice to such Guarantor or to any other Person, any such notice being hereby expressly waived, but in the case of a Lender or an affiliate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Agent and the Lenders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Avoidance Provisions</w:t>
      </w:r>
      <w:r>
        <w:rPr>
          <w:rFonts w:ascii="Arial" w:cs="Arial" w:eastAsia="Arial" w:hAnsi="Arial"/>
          <w:sz w:val="16"/>
          <w:szCs w:val="16"/>
          <w:color w:val="auto"/>
        </w:rPr>
        <w:t>. It is the intent of each Guarantor, the Agent and the Lenders that in any Proceeding, such Guarantor’s maximum obligation hereunder shall equal, but not exceed, the maximum amount which would not otherwise cause the obligations of such Guarantor hereunder (or any other obligations of such Guarantor to the Agent and the Lenders) to be avoidable or unenforceable against such Guarantor in such Proceeding as a result of Applicable Law, including without limitation, (a) Section 548 of the Bankruptcy Code of 1978, as amended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Agent and the Lenders)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Agent and the Lenders), to be subject to avoidance under the Avoidance Provisions. This Section is intended solely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420"/>
          </w:cols>
          <w:pgMar w:left="240" w:top="280" w:right="239" w:bottom="1440" w:gutter="0" w:footer="0" w:header="0"/>
        </w:sectPr>
      </w:pPr>
    </w:p>
    <w:bookmarkStart w:id="149" w:name="page150"/>
    <w:bookmarkEnd w:id="149"/>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preserve the rights of the Agent and the Lenders hereunder to the maximum extent that would not cause the obligations of any Guarantor hereunder to be subject to avoidance under the Avoidance Provisions, and no Guarantor or any other Person shall have any right or claim under this Section as against the Agent and the Lenders that would not otherwise be available to such Person under the Avoidance Provisions.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Information</w:t>
      </w:r>
      <w:r>
        <w:rPr>
          <w:rFonts w:ascii="Arial" w:cs="Arial" w:eastAsia="Arial" w:hAnsi="Arial"/>
          <w:sz w:val="18"/>
          <w:szCs w:val="18"/>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none of the Agent or the Lenders shall have any duty whatsoever to advise any Guarantor of information regarding such circumstances or risks.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 ETC</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3"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ANY GUARANTOR, THE AGENT OR ANY OF THE LENDERS WOULD BE BASED ON DIFFICULT AND COMPLEX ISSUES OF LAW AND FACT AND WOULD RESULT IN DELAY AND EXPENSE TO THE PARTIES. ACCORDINGLY, TO THE EXTENT PERMITTED BY APPLICABLE LAW, EACH OF THE LENDERS, THE AGENT AND THE GUARANTORS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THE GUARANTORS, THE AGENT OR ANY OF THE LENDERS OF ANY KIND OR NATURE RELATING TO ANY OF THE LOAN DOCUMENTS.</w:t>
      </w:r>
    </w:p>
    <w:p>
      <w:pPr>
        <w:spacing w:after="0" w:line="145" w:lineRule="exact"/>
        <w:rPr>
          <w:rFonts w:ascii="Arial" w:cs="Arial" w:eastAsia="Arial" w:hAnsi="Arial"/>
          <w:sz w:val="18"/>
          <w:szCs w:val="18"/>
          <w:color w:val="auto"/>
        </w:rPr>
      </w:pPr>
    </w:p>
    <w:p>
      <w:pPr>
        <w:ind w:right="40" w:firstLine="464"/>
        <w:spacing w:after="0" w:line="253"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THE GUARANTORS, THE AGENT AND EACH LENDER HEREBY AGREES THAT THE FEDERAL DISTRICT COURT FOR THE SOUTHERN DISTRICT OF NEW YORK AND ANY STATE COURT LOCATED IN THE BOROUGH OF MANHATTAN OF NEW YORK, NEW YORK, SHALL HAVE JURISDICTION TO HEAR AND DETERMINE ANY CLAIMS OR DISPUTES BETWEEN OR AMONG THE GUARANTORS, THE AGENT OR ANY OF THE LENDERS PERTAINING DIRECTLY OR INDIRECTLY TO THIS GUARANTY OR ANY OTHER LOAN DOCUMENT OR TO ANY MATTER ARISING HEREFROM OR THEREFROM. EACH GUARANTOR AND EACH OF THE LENDERS EXPRESSLY SUBMITS AND CONSENTS IN ADVANCE TO SUCH JURISDICTION IN ANY ACTION OR PROCEEDING COMMENCED IN SUCH COURTS WITH RESPECT TO SUCH CLAIMS OR DISPUTES. EACH PARTY FURTHER WAIVES ANY OBJECTION THAT IT MAY NOW OR HEREAFTER HAVE TO THE VENUE 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380"/>
          </w:cols>
          <w:pgMar w:left="240" w:top="280" w:right="279" w:bottom="1440" w:gutter="0" w:footer="0" w:header="0"/>
        </w:sectPr>
      </w:pPr>
    </w:p>
    <w:bookmarkStart w:id="150" w:name="page151"/>
    <w:bookmarkEnd w:id="150"/>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13" w:lineRule="exact"/>
        <w:rPr>
          <w:sz w:val="20"/>
          <w:szCs w:val="20"/>
          <w:color w:val="auto"/>
        </w:rPr>
      </w:pPr>
    </w:p>
    <w:p>
      <w:pPr>
        <w:ind w:right="80" w:firstLine="464"/>
        <w:spacing w:after="0" w:line="306"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Loan Accounts</w:t>
      </w:r>
      <w:r>
        <w:rPr>
          <w:rFonts w:ascii="Arial" w:cs="Arial" w:eastAsia="Arial" w:hAnsi="Arial"/>
          <w:sz w:val="18"/>
          <w:szCs w:val="18"/>
          <w:color w:val="auto"/>
        </w:rPr>
        <w:t>. The Agent and each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Agent or any Lender to maintain such books and accounts shall not in any way relieve or discharge any Guarantor of any of its obligations hereunder.</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Remedies</w:t>
      </w:r>
      <w:r>
        <w:rPr>
          <w:rFonts w:ascii="Arial" w:cs="Arial" w:eastAsia="Arial" w:hAnsi="Arial"/>
          <w:sz w:val="18"/>
          <w:szCs w:val="18"/>
          <w:color w:val="auto"/>
        </w:rPr>
        <w:t>. No delay or failure on the part of the Agent or any Lender in the exercise of any right or remedy it may have against any Guarantor hereunder or otherwise shall operate as a waiver thereof, and no single or partial exercise by the Agent or any Lender of any such right or remedy shall preclude any other or further exercise thereof or the exercise of any other such right or remedy.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Termination</w:t>
      </w:r>
      <w:r>
        <w:rPr>
          <w:rFonts w:ascii="Arial" w:cs="Arial" w:eastAsia="Arial" w:hAnsi="Arial"/>
          <w:sz w:val="18"/>
          <w:szCs w:val="18"/>
          <w:color w:val="auto"/>
        </w:rPr>
        <w:t>. This Guaranty shall remain in full force and effect until indefeasible payment in full of the Guarantied Obligations and the other Obligations and the termination or cancellation of the Credit Agreement in accordance with its terms.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reference herein to the Agent or the Lenders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12.8. of the Credit Agreement, each Guarantor hereby consents to the delivery by the Agent or any Lender to any Assignee or Participant (or any prospective Assignee or Participant) of any financial or other information regarding the Borrower or any Guarantor. No Guarantor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400"/>
          </w:cols>
          <w:pgMar w:left="240" w:top="280" w:right="259" w:bottom="1440" w:gutter="0" w:footer="0" w:header="0"/>
        </w:sectPr>
      </w:pPr>
    </w:p>
    <w:bookmarkStart w:id="151" w:name="page152"/>
    <w:bookmarkEnd w:id="15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assign or transfer its obligations hereunder to any Person without the prior written consent of all Lenders and any such assignment or other transfer to which all of the Lenders have not so consented shall be null and void.</w:t>
      </w:r>
    </w:p>
    <w:p>
      <w:pPr>
        <w:spacing w:after="0" w:line="132"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writing signed by the Requisite Lenders (or all of the Lenders if required under the terms of the Credit Agreement), the Agent and each Guarantor.</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Agent at the Principal Office, not later than 2:00 p.m. on the date of demand therefor.</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hereunder shall be in writing (including facsimile transmission or similar writing) and shall be given (a) to each Guarantor at its address set forth below its signature hereto, (b) to the Agent or any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a change of address for notices shall not be effective until received.</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Agent nor any Lender, nor any affiliate, officer, director, employee, attorney, or agent of the Agent or any Lender,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Agent or any Lender or any of the Agent’s or any Lender’s affiliates, officers, directors, employees, attorneys, or agents for punitive damages in respect of any claim in connection with, arising out of, or in any way related to, this Guaranty, the Credit Agreement or any of the other Loan Documents, or any of the transactions contemplated by Credit Agreement or financed thereby.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400"/>
          </w:cols>
          <w:pgMar w:left="240" w:top="279" w:right="259"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29.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w:t>
      </w:r>
    </w:p>
    <w:p>
      <w:pPr>
        <w:spacing w:after="0" w:line="6"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corporate action shall be taken by any Guarantor for the purpose of effecting any of the foregoing.</w:t>
      </w:r>
    </w:p>
    <w:p>
      <w:pPr>
        <w:spacing w:after="0" w:line="164" w:lineRule="exact"/>
        <w:rPr>
          <w:rFonts w:ascii="Arial" w:cs="Arial" w:eastAsia="Arial" w:hAnsi="Arial"/>
          <w:sz w:val="18"/>
          <w:szCs w:val="18"/>
          <w:color w:val="auto"/>
        </w:rPr>
      </w:pPr>
    </w:p>
    <w:p>
      <w:pPr>
        <w:ind w:left="4820" w:right="2380" w:hanging="4356"/>
        <w:spacing w:after="0" w:line="430" w:lineRule="auto"/>
        <w:tabs>
          <w:tab w:leader="none" w:pos="70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H-9</w:t>
      </w:r>
    </w:p>
    <w:p>
      <w:pPr>
        <w:sectPr>
          <w:pgSz w:w="11900" w:h="16838" w:orient="portrait"/>
          <w:cols w:equalWidth="0" w:num="1">
            <w:col w:w="11380"/>
          </w:cols>
          <w:pgMar w:left="240" w:top="280" w:right="27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10795</wp:posOffset>
            </wp:positionV>
            <wp:extent cx="25558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10795</wp:posOffset>
            </wp:positionV>
            <wp:extent cx="25558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10795</wp:posOffset>
            </wp:positionV>
            <wp:extent cx="25558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0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400"/>
        <w:spacing w:after="0"/>
        <w:tabs>
          <w:tab w:leader="none" w:pos="738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6400"/>
        <w:spacing w:after="0"/>
        <w:tabs>
          <w:tab w:leader="none" w:pos="738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 998-3715</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9759"/>
          </w:cols>
          <w:pgMar w:left="700" w:top="280" w:right="1440" w:bottom="1440" w:gutter="0" w:footer="0" w:header="0"/>
        </w:sectPr>
      </w:pPr>
    </w:p>
    <w:bookmarkStart w:id="154" w:name="page155"/>
    <w:bookmarkEnd w:id="154"/>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ACCESSION AGREEMENT</w:t>
      </w:r>
    </w:p>
    <w:p>
      <w:pPr>
        <w:spacing w:after="0" w:line="171" w:lineRule="exact"/>
        <w:rPr>
          <w:sz w:val="20"/>
          <w:szCs w:val="20"/>
          <w:color w:val="auto"/>
        </w:rPr>
      </w:pPr>
    </w:p>
    <w:p>
      <w:pPr>
        <w:ind w:left="460"/>
        <w:spacing w:after="0"/>
        <w:tabs>
          <w:tab w:leader="none" w:pos="4700" w:val="left"/>
          <w:tab w:leader="none" w:pos="5140" w:val="left"/>
          <w:tab w:leader="none" w:pos="8880" w:val="left"/>
          <w:tab w:leader="none" w:pos="9960" w:val="left"/>
        </w:tabs>
        <w:rPr>
          <w:sz w:val="20"/>
          <w:szCs w:val="20"/>
          <w:color w:val="auto"/>
        </w:rPr>
      </w:pPr>
      <w:r>
        <w:rPr>
          <w:rFonts w:ascii="Arial" w:cs="Arial" w:eastAsia="Arial" w:hAnsi="Arial"/>
          <w:sz w:val="18"/>
          <w:szCs w:val="18"/>
          <w:color w:val="auto"/>
        </w:rPr>
        <w:t>THIS ACCESSION AGREEMENT dated as of</w:t>
      </w:r>
      <w:r>
        <w:rPr>
          <w:sz w:val="20"/>
          <w:szCs w:val="20"/>
          <w:color w:val="auto"/>
        </w:rPr>
        <w:tab/>
      </w:r>
      <w:r>
        <w:rPr>
          <w:rFonts w:ascii="Arial" w:cs="Arial" w:eastAsia="Arial" w:hAnsi="Arial"/>
          <w:sz w:val="18"/>
          <w:szCs w:val="18"/>
          <w:color w:val="auto"/>
        </w:rPr>
        <w:t>, 20</w:t>
        <w:tab/>
        <w:t>, executed and delivered 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“New</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Guarantor”), in favor of (a) WACHOVIA BANK, NATIONAL ASSOCIATION, in its capacity as Agent (the “Agent”) for the Lenders under that certain Credit Agreement dated as of May 4, 2009 (as amended, restated, supplemented or otherwise modified from time to time, the “Credit Agreement”), by and among Federal Realty Investment Trust (the “Borrower”), the financial institutions party thereto and their permitted assignees under Section 12.5. thereof (the “Lenders”), the Agent, and the other parties thereto, and (b) the Lenders.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WHEREAS, the New Guarantor acknowledges that it will receive direct and indirect benefits from the Lenders making such financial accommodations available to the Borrower under the Credit Agreement and, accordingly, the New Guarantor is willing to guarantee the Borrower’s obligations to the Agent and the Lenders on the terms and conditions contained herein; and</w:t>
      </w:r>
    </w:p>
    <w:p>
      <w:pPr>
        <w:spacing w:after="0" w:line="140"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Lenders continuing to make such financial accommodations to the Borrower.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May 4, 2009 (as amended, supplemented, restated or otherwise modified from time to time, the “Guaranty”), made by each Subsidiary of the Borrower a party thereto in favor of the Agent and the Lenders and assumes all obligations of a “Guarantor” thereunder and agrees to be bound thereby, all as if the New Guarantor had been an original signatory to the Guaranty. Without limiting the generality of the foregoing, the New Guarantor hereby:</w:t>
      </w:r>
    </w:p>
    <w:p>
      <w:pPr>
        <w:spacing w:after="0" w:line="113" w:lineRule="exact"/>
        <w:rPr>
          <w:sz w:val="20"/>
          <w:szCs w:val="20"/>
          <w:color w:val="auto"/>
        </w:rPr>
      </w:pPr>
    </w:p>
    <w:p>
      <w:pPr>
        <w:ind w:right="220" w:firstLine="464"/>
        <w:spacing w:after="0" w:line="268"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irrevocably and unconditionally guarantees the due and punctual payment and performance when due, whether at stated maturity, by acceleration or otherwise, of all Guarantied Obligations (as defined in the Guaranty);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320"/>
          </w:cols>
          <w:pgMar w:left="240" w:top="280" w:right="339" w:bottom="1440" w:gutter="0" w:footer="0" w:header="0"/>
        </w:sectPr>
      </w:pPr>
    </w:p>
    <w:bookmarkStart w:id="155" w:name="page156"/>
    <w:bookmarkEnd w:id="155"/>
    <w:p>
      <w:pPr>
        <w:ind w:right="60"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makes to the Agent and the Lenders as of the date hereof each of the representations and warranties contained in Section 5 of the Guaranty with respect to itself and agrees to be bound by each of the covenants contained in Section 6 of the Guaranty; and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APPLICABLE TO CONTRACTS EXECUTED, AND TO BE FULLY PERFORMED, IN SUCH STATE.</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420"/>
          </w:cols>
          <w:pgMar w:left="240" w:top="280" w:right="239" w:bottom="1440" w:gutter="0" w:footer="0" w:header="0"/>
        </w:sectPr>
      </w:pPr>
    </w:p>
    <w:bookmarkStart w:id="156" w:name="page157"/>
    <w:bookmarkEnd w:id="15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(301) 998-3715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WACHOVIA BANK, NATIONAL ASSOCIATION,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200"/>
          </w:cols>
          <w:pgMar w:left="240" w:top="280" w:right="4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May 6,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May 6,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2009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May 6,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March 31, 2009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May 6,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
      <w:numFmt w:val="bullet"/>
      <w:start w:val="1"/>
    </w:lvl>
    <w:lvl w:ilvl="1">
      <w:lvlJc w:val="left"/>
      <w:lvlText w:val="•"/>
      <w:numFmt w:val="bullet"/>
      <w:start w:val="1"/>
    </w:lvl>
  </w:abstractNum>
  <w:abstractNum w:abstractNumId="17">
    <w:nsid w:val="15014ACB"/>
    <w:multiLevelType w:val="hybridMultilevel"/>
    <w:lvl w:ilvl="0">
      <w:lvlJc w:val="left"/>
      <w:lvlText w:val="(%1)"/>
      <w:numFmt w:val="lowerLetter"/>
      <w:start w:val="2"/>
    </w:lvl>
  </w:abstractNum>
  <w:abstractNum w:abstractNumId="18">
    <w:nsid w:val="5F5E7FD0"/>
    <w:multiLevelType w:val="hybridMultilevel"/>
    <w:lvl w:ilvl="0">
      <w:lvlJc w:val="left"/>
      <w:lvlText w:val="(%1)"/>
      <w:numFmt w:val="lowerLetter"/>
      <w:start w:val="5"/>
    </w:lvl>
    <w:lvl w:ilvl="1">
      <w:lvlJc w:val="left"/>
      <w:lvlText w:val="-"/>
      <w:numFmt w:val="bullet"/>
      <w:start w:val="1"/>
    </w:lvl>
  </w:abstractNum>
  <w:abstractNum w:abstractNumId="19">
    <w:nsid w:val="98A3148"/>
    <w:multiLevelType w:val="hybridMultilevel"/>
    <w:lvl w:ilvl="0">
      <w:lvlJc w:val="left"/>
      <w:lvlText w:val="(%1)"/>
      <w:numFmt w:val="lowerRoman"/>
      <w:start w:val="2"/>
    </w:lvl>
  </w:abstractNum>
  <w:abstractNum w:abstractNumId="20">
    <w:nsid w:val="799D0247"/>
    <w:multiLevelType w:val="hybridMultilevel"/>
    <w:lvl w:ilvl="0">
      <w:lvlJc w:val="left"/>
      <w:lvlText w:val="(%1)"/>
      <w:numFmt w:val="lowerLetter"/>
      <w:start w:val="2"/>
    </w:lvl>
  </w:abstractNum>
  <w:abstractNum w:abstractNumId="21">
    <w:nsid w:val="6B94764"/>
    <w:multiLevelType w:val="hybridMultilevel"/>
    <w:lvl w:ilvl="0">
      <w:lvlJc w:val="left"/>
      <w:lvlText w:val="(%1)"/>
      <w:numFmt w:val="lowerLetter"/>
      <w:start w:val="7"/>
    </w:lvl>
  </w:abstractNum>
  <w:abstractNum w:abstractNumId="22">
    <w:nsid w:val="42C296BD"/>
    <w:multiLevelType w:val="hybridMultilevel"/>
    <w:lvl w:ilvl="0">
      <w:lvlJc w:val="left"/>
      <w:lvlText w:val="(%1)"/>
      <w:numFmt w:val="lowerLetter"/>
      <w:start w:val="3"/>
    </w:lvl>
    <w:lvl w:ilvl="1">
      <w:lvlJc w:val="left"/>
      <w:lvlText w:val="-"/>
      <w:numFmt w:val="bullet"/>
      <w:start w:val="1"/>
    </w:lvl>
  </w:abstractNum>
  <w:abstractNum w:abstractNumId="23">
    <w:nsid w:val="168E121F"/>
    <w:multiLevelType w:val="hybridMultilevel"/>
    <w:lvl w:ilvl="0">
      <w:lvlJc w:val="left"/>
      <w:lvlText w:val="(%1)"/>
      <w:numFmt w:val="lowerLetter"/>
      <w:start w:val="1"/>
    </w:lvl>
  </w:abstractNum>
  <w:abstractNum w:abstractNumId="24">
    <w:nsid w:val="1EBA5D23"/>
    <w:multiLevelType w:val="hybridMultilevel"/>
    <w:lvl w:ilvl="0">
      <w:lvlJc w:val="left"/>
      <w:lvlText w:val="(%1)"/>
      <w:numFmt w:val="lowerRoman"/>
      <w:start w:val="1"/>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
    <w:nsid w:val="540A471C"/>
    <w:multiLevelType w:val="hybridMultilevel"/>
    <w:lvl w:ilvl="0">
      <w:lvlJc w:val="left"/>
      <w:lvlText w:val="(%1)"/>
      <w:numFmt w:val="lowerRoman"/>
      <w:start w:val="2"/>
    </w:lvl>
  </w:abstractNum>
  <w:abstractNum w:abstractNumId="28">
    <w:nsid w:val="7BD3EE7B"/>
    <w:multiLevelType w:val="hybridMultilevel"/>
    <w:lvl w:ilvl="0">
      <w:lvlJc w:val="left"/>
      <w:lvlText w:val="(%1)"/>
      <w:numFmt w:val="lowerLetter"/>
      <w:start w:val="2"/>
    </w:lvl>
  </w:abstractNum>
  <w:abstractNum w:abstractNumId="29">
    <w:nsid w:val="51D9C564"/>
    <w:multiLevelType w:val="hybridMultilevel"/>
    <w:lvl w:ilvl="0">
      <w:lvlJc w:val="left"/>
      <w:lvlText w:val="(%1)"/>
      <w:numFmt w:val="lowerLetter"/>
      <w:start w:val="1"/>
    </w:lvl>
  </w:abstractNum>
  <w:abstractNum w:abstractNumId="30">
    <w:nsid w:val="613EFDC5"/>
    <w:multiLevelType w:val="hybridMultilevel"/>
    <w:lvl w:ilvl="0">
      <w:lvlJc w:val="left"/>
      <w:lvlText w:val="(%1)"/>
      <w:numFmt w:val="lowerLetter"/>
      <w:start w:val="1"/>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1"/>
    </w:lvl>
  </w:abstractNum>
  <w:abstractNum w:abstractNumId="33">
    <w:nsid w:val="42963E5A"/>
    <w:multiLevelType w:val="hybridMultilevel"/>
    <w:lvl w:ilvl="0">
      <w:lvlJc w:val="left"/>
      <w:lvlText w:val="(%1)"/>
      <w:numFmt w:val="lowerLetter"/>
      <w:start w:val="1"/>
    </w:lvl>
    <w:lvl w:ilvl="1">
      <w:lvlJc w:val="left"/>
      <w:lvlText w:val="-"/>
      <w:numFmt w:val="bullet"/>
      <w:start w:val="1"/>
    </w:lvl>
  </w:abstractNum>
  <w:abstractNum w:abstractNumId="34">
    <w:nsid w:val="A0382C5"/>
    <w:multiLevelType w:val="hybridMultilevel"/>
    <w:lvl w:ilvl="0">
      <w:lvlJc w:val="left"/>
      <w:lvlText w:val="(%1)"/>
      <w:numFmt w:val="lowerLetter"/>
      <w:start w:val="2"/>
    </w:lvl>
  </w:abstractNum>
  <w:abstractNum w:abstractNumId="35">
    <w:nsid w:val="8F2B15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6">
    <w:nsid w:val="1A32234B"/>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37">
    <w:nsid w:val="3B0FD37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8">
    <w:nsid w:val="68EB2F63"/>
    <w:multiLevelType w:val="hybridMultilevel"/>
    <w:lvl w:ilvl="0">
      <w:lvlJc w:val="left"/>
      <w:lvlText w:val="(%1)"/>
      <w:numFmt w:val="lowerLetter"/>
      <w:start w:val="1"/>
    </w:lvl>
    <w:lvl w:ilvl="1">
      <w:lvlJc w:val="left"/>
      <w:lvlText w:val="-"/>
      <w:numFmt w:val="bullet"/>
      <w:start w:val="1"/>
    </w:lvl>
  </w:abstractNum>
  <w:abstractNum w:abstractNumId="39">
    <w:nsid w:val="4962813B"/>
    <w:multiLevelType w:val="hybridMultilevel"/>
    <w:lvl w:ilvl="0">
      <w:lvlJc w:val="left"/>
      <w:lvlText w:val="(%1)"/>
      <w:numFmt w:val="lowerLetter"/>
      <w:start w:val="3"/>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lowerLetter"/>
      <w:start w:val="1"/>
    </w:lvl>
    <w:lvl w:ilvl="1">
      <w:lvlJc w:val="left"/>
      <w:lvlText w:val="-"/>
      <w:numFmt w:val="bullet"/>
      <w:start w:val="1"/>
    </w:lvl>
  </w:abstractNum>
  <w:abstractNum w:abstractNumId="43">
    <w:nsid w:val="7FFFCA1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
    <w:nsid w:val="1A27709E"/>
    <w:multiLevelType w:val="hybridMultilevel"/>
    <w:lvl w:ilvl="0">
      <w:lvlJc w:val="left"/>
      <w:lvlText w:val="(%1)"/>
      <w:numFmt w:val="lowerRoman"/>
      <w:start w:val="9"/>
    </w:lvl>
    <w:lvl w:ilvl="1">
      <w:lvlJc w:val="left"/>
      <w:lvlText w:val="-"/>
      <w:numFmt w:val="bullet"/>
      <w:start w:val="1"/>
    </w:lvl>
  </w:abstractNum>
  <w:abstractNum w:abstractNumId="45">
    <w:nsid w:val="71EA1109"/>
    <w:multiLevelType w:val="hybridMultilevel"/>
    <w:lvl w:ilvl="0">
      <w:lvlJc w:val="left"/>
      <w:lvlText w:val="%1"/>
      <w:numFmt w:val="lowerLetter"/>
      <w:start w:val="1"/>
    </w:lvl>
    <w:lvl w:ilvl="1">
      <w:lvlJc w:val="left"/>
      <w:lvlText w:val="(%2)"/>
      <w:numFmt w:val="lowerRoman"/>
      <w:start w:val="17"/>
    </w:lvl>
    <w:lvl w:ilvl="2">
      <w:lvlJc w:val="left"/>
      <w:lvlText w:val="-"/>
      <w:numFmt w:val="bullet"/>
      <w:start w:val="1"/>
    </w:lvl>
  </w:abstractNum>
  <w:abstractNum w:abstractNumId="46">
    <w:nsid w:val="100F59D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7">
    <w:nsid w:val="7FB7E0AA"/>
    <w:multiLevelType w:val="hybridMultilevel"/>
    <w:lvl w:ilvl="0">
      <w:lvlJc w:val="left"/>
      <w:lvlText w:val="(%1)"/>
      <w:numFmt w:val="lowerLetter"/>
      <w:start w:val="1"/>
    </w:lvl>
    <w:lvl w:ilvl="1">
      <w:lvlJc w:val="left"/>
      <w:lvlText w:val="-"/>
      <w:numFmt w:val="bullet"/>
      <w:start w:val="1"/>
    </w:lvl>
  </w:abstractNum>
  <w:abstractNum w:abstractNumId="48">
    <w:nsid w:val="6EB5BD4"/>
    <w:multiLevelType w:val="hybridMultilevel"/>
    <w:lvl w:ilvl="0">
      <w:lvlJc w:val="left"/>
      <w:lvlText w:val="%1"/>
      <w:numFmt w:val="lowerRoman"/>
      <w:start w:val="1"/>
    </w:lvl>
    <w:lvl w:ilvl="1">
      <w:lvlJc w:val="left"/>
      <w:lvlText w:val="(%2)"/>
      <w:numFmt w:val="lowerLetter"/>
      <w:start w:val="4"/>
    </w:lvl>
    <w:lvl w:ilvl="2">
      <w:lvlJc w:val="left"/>
      <w:lvlText w:val="-"/>
      <w:numFmt w:val="bullet"/>
      <w:start w:val="1"/>
    </w:lvl>
  </w:abstractNum>
  <w:abstractNum w:abstractNumId="49">
    <w:nsid w:val="6F6DD9AC"/>
    <w:multiLevelType w:val="hybridMultilevel"/>
    <w:lvl w:ilvl="0">
      <w:lvlJc w:val="left"/>
      <w:lvlText w:val="(%1)"/>
      <w:numFmt w:val="lowerRoman"/>
      <w:start w:val="2"/>
    </w:lvl>
    <w:lvl w:ilvl="1">
      <w:lvlJc w:val="left"/>
      <w:lvlText w:val="(%2)"/>
      <w:numFmt w:val="lowerLetter"/>
      <w:start w:val="5"/>
    </w:lvl>
    <w:lvl w:ilvl="2">
      <w:lvlJc w:val="left"/>
      <w:lvlText w:val="-"/>
      <w:numFmt w:val="bullet"/>
      <w:start w:val="1"/>
    </w:lvl>
  </w:abstractNum>
  <w:abstractNum w:abstractNumId="50">
    <w:nsid w:val="94211F2"/>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51">
    <w:nsid w:val="885E1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2">
    <w:nsid w:val="76272110"/>
    <w:multiLevelType w:val="hybridMultilevel"/>
    <w:lvl w:ilvl="0">
      <w:lvlJc w:val="left"/>
      <w:lvlText w:val="%1"/>
      <w:numFmt w:val="lowerLetter"/>
      <w:start w:val="1"/>
    </w:lvl>
    <w:lvl w:ilvl="1">
      <w:lvlJc w:val="left"/>
      <w:lvlText w:val="(%2)"/>
      <w:numFmt w:val="lowerLetter"/>
      <w:start w:val="13"/>
    </w:lvl>
    <w:lvl w:ilvl="2">
      <w:lvlJc w:val="left"/>
      <w:lvlText w:val="-"/>
      <w:numFmt w:val="bullet"/>
      <w:start w:val="1"/>
    </w:lvl>
  </w:abstractNum>
  <w:abstractNum w:abstractNumId="53">
    <w:nsid w:val="4C04A8AF"/>
    <w:multiLevelType w:val="hybridMultilevel"/>
    <w:lvl w:ilvl="0">
      <w:lvlJc w:val="left"/>
      <w:lvlText w:val="(%1)"/>
      <w:numFmt w:val="lowerLetter"/>
      <w:start w:val="9"/>
    </w:lvl>
    <w:lvl w:ilvl="1">
      <w:lvlJc w:val="left"/>
      <w:lvlText w:val="(%2)"/>
      <w:numFmt w:val="lowerLetter"/>
      <w:start w:val="15"/>
    </w:lvl>
    <w:lvl w:ilvl="2">
      <w:lvlJc w:val="left"/>
      <w:lvlText w:val="-"/>
      <w:numFmt w:val="bullet"/>
      <w:start w:val="1"/>
    </w:lvl>
  </w:abstractNum>
  <w:abstractNum w:abstractNumId="54">
    <w:nsid w:val="1716703B"/>
    <w:multiLevelType w:val="hybridMultilevel"/>
    <w:lvl w:ilvl="0">
      <w:lvlJc w:val="left"/>
      <w:lvlText w:val="(%1)"/>
      <w:numFmt w:val="lowerLetter"/>
      <w:start w:val="17"/>
    </w:lvl>
    <w:lvl w:ilvl="1">
      <w:lvlJc w:val="left"/>
      <w:lvlText w:val="-"/>
      <w:numFmt w:val="bullet"/>
      <w:start w:val="1"/>
    </w:lvl>
  </w:abstractNum>
  <w:abstractNum w:abstractNumId="55">
    <w:nsid w:val="14E17E33"/>
    <w:multiLevelType w:val="hybridMultilevel"/>
    <w:lvl w:ilvl="0">
      <w:lvlJc w:val="left"/>
      <w:lvlText w:val="(%1)"/>
      <w:numFmt w:val="lowerLetter"/>
      <w:start w:val="23"/>
    </w:lvl>
  </w:abstractNum>
  <w:abstractNum w:abstractNumId="56">
    <w:nsid w:val="3222E7CD"/>
    <w:multiLevelType w:val="hybridMultilevel"/>
    <w:lvl w:ilvl="0">
      <w:lvlJc w:val="left"/>
      <w:lvlText w:val="(%1)"/>
      <w:numFmt w:val="lowerLetter"/>
      <w:start w:val="1"/>
    </w:lvl>
    <w:lvl w:ilvl="1">
      <w:lvlJc w:val="left"/>
      <w:lvlText w:val="-"/>
      <w:numFmt w:val="bullet"/>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Roman"/>
      <w:start w:val="10"/>
    </w:lvl>
  </w:abstractNum>
  <w:abstractNum w:abstractNumId="59">
    <w:nsid w:val="2DF6D648"/>
    <w:multiLevelType w:val="hybridMultilevel"/>
    <w:lvl w:ilvl="0">
      <w:lvlJc w:val="left"/>
      <w:lvlText w:val="(%1)"/>
      <w:numFmt w:val="lowerLetter"/>
      <w:start w:val="1"/>
    </w:lvl>
    <w:lvl w:ilvl="1">
      <w:lvlJc w:val="left"/>
      <w:lvlText w:val="-"/>
      <w:numFmt w:val="bullet"/>
      <w:start w:val="1"/>
    </w:lvl>
  </w:abstractNum>
  <w:abstractNum w:abstractNumId="60">
    <w:nsid w:val="46B7D447"/>
    <w:multiLevelType w:val="hybridMultilevel"/>
    <w:lvl w:ilvl="0">
      <w:lvlJc w:val="left"/>
      <w:lvlText w:val="%1"/>
      <w:numFmt w:val="lowerRoman"/>
      <w:start w:val="1"/>
    </w:lvl>
    <w:lvl w:ilvl="1">
      <w:lvlJc w:val="left"/>
      <w:lvlText w:val="(%2)"/>
      <w:numFmt w:val="lowerLetter"/>
      <w:start w:val="3"/>
    </w:lvl>
    <w:lvl w:ilvl="2">
      <w:lvlJc w:val="left"/>
      <w:lvlText w:val="-"/>
      <w:numFmt w:val="bullet"/>
      <w:start w:val="1"/>
    </w:lvl>
  </w:abstractNum>
  <w:abstractNum w:abstractNumId="61">
    <w:nsid w:val="4A2AC315"/>
    <w:multiLevelType w:val="hybridMultilevel"/>
    <w:lvl w:ilvl="0">
      <w:lvlJc w:val="left"/>
      <w:lvlText w:val="(%1)"/>
      <w:numFmt w:val="lowerRoman"/>
      <w:start w:val="4"/>
    </w:lvl>
    <w:lvl w:ilvl="1">
      <w:lvlJc w:val="left"/>
      <w:lvlText w:val="(%2)"/>
      <w:numFmt w:val="lowerLetter"/>
      <w:start w:val="6"/>
    </w:lvl>
    <w:lvl w:ilvl="2">
      <w:lvlJc w:val="left"/>
      <w:lvlText w:val="-"/>
      <w:numFmt w:val="bullet"/>
      <w:start w:val="1"/>
    </w:lvl>
  </w:abstractNum>
  <w:abstractNum w:abstractNumId="62">
    <w:nsid w:val="39EE015C"/>
    <w:multiLevelType w:val="hybridMultilevel"/>
    <w:lvl w:ilvl="0">
      <w:lvlJc w:val="left"/>
      <w:lvlText w:val="(%1)"/>
      <w:numFmt w:val="lowerLetter"/>
      <w:start w:val="8"/>
    </w:lvl>
  </w:abstractNum>
  <w:abstractNum w:abstractNumId="63">
    <w:nsid w:val="57FC4FBB"/>
    <w:multiLevelType w:val="hybridMultilevel"/>
    <w:lvl w:ilvl="0">
      <w:lvlJc w:val="left"/>
      <w:lvlText w:val="(%1)"/>
      <w:numFmt w:val="lowerLetter"/>
      <w:start w:val="1"/>
    </w:lvl>
    <w:lvl w:ilvl="1">
      <w:lvlJc w:val="left"/>
      <w:lvlText w:val="-"/>
      <w:numFmt w:val="bullet"/>
      <w:start w:val="1"/>
    </w:lvl>
  </w:abstractNum>
  <w:abstractNum w:abstractNumId="64">
    <w:nsid w:val="CC1016F"/>
    <w:multiLevelType w:val="hybridMultilevel"/>
    <w:lvl w:ilvl="0">
      <w:lvlJc w:val="left"/>
      <w:lvlText w:val="(%1)"/>
      <w:numFmt w:val="lowerLetter"/>
      <w:start w:val="2"/>
    </w:lvl>
    <w:lvl w:ilvl="1">
      <w:lvlJc w:val="left"/>
      <w:lvlText w:val="-"/>
      <w:numFmt w:val="bullet"/>
      <w:start w:val="1"/>
    </w:lvl>
  </w:abstractNum>
  <w:abstractNum w:abstractNumId="65">
    <w:nsid w:val="43F1842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6">
    <w:nsid w:val="60EF0119"/>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67">
    <w:nsid w:val="26F324BA"/>
    <w:multiLevelType w:val="hybridMultilevel"/>
    <w:lvl w:ilvl="0">
      <w:lvlJc w:val="left"/>
      <w:lvlText w:val="(%1)"/>
      <w:numFmt w:val="lowerLetter"/>
      <w:start w:val="5"/>
    </w:lvl>
  </w:abstractNum>
  <w:abstractNum w:abstractNumId="68">
    <w:nsid w:val="7F01579B"/>
    <w:multiLevelType w:val="hybridMultilevel"/>
    <w:lvl w:ilvl="0">
      <w:lvlJc w:val="left"/>
      <w:lvlText w:val="(%1)"/>
      <w:numFmt w:val="lowerLetter"/>
      <w:start w:val="1"/>
    </w:lvl>
    <w:lvl w:ilvl="1">
      <w:lvlJc w:val="left"/>
      <w:lvlText w:val="-"/>
      <w:numFmt w:val="bullet"/>
      <w:start w:val="1"/>
    </w:lvl>
  </w:abstractNum>
  <w:abstractNum w:abstractNumId="69">
    <w:nsid w:val="49DA307D"/>
    <w:multiLevelType w:val="hybridMultilevel"/>
    <w:lvl w:ilvl="0">
      <w:lvlJc w:val="left"/>
      <w:lvlText w:val="(%1)"/>
      <w:numFmt w:val="lowerLetter"/>
      <w:start w:val="2"/>
    </w:lvl>
  </w:abstractNum>
  <w:abstractNum w:abstractNumId="70">
    <w:nsid w:val="7055A5F5"/>
    <w:multiLevelType w:val="hybridMultilevel"/>
    <w:lvl w:ilvl="0">
      <w:lvlJc w:val="left"/>
      <w:lvlText w:val="(%1)"/>
      <w:numFmt w:val="lowerLetter"/>
      <w:start w:val="1"/>
    </w:lvl>
    <w:lvl w:ilvl="1">
      <w:lvlJc w:val="left"/>
      <w:lvlText w:val="-"/>
      <w:numFmt w:val="bullet"/>
      <w:start w:val="1"/>
    </w:lvl>
  </w:abstractNum>
  <w:abstractNum w:abstractNumId="71">
    <w:nsid w:val="5FB8370B"/>
    <w:multiLevelType w:val="hybridMultilevel"/>
    <w:lvl w:ilvl="0">
      <w:lvlJc w:val="left"/>
      <w:lvlText w:val="(%1)"/>
      <w:numFmt w:val="lowerLetter"/>
      <w:start w:val="7"/>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1"/>
    </w:lvl>
    <w:lvl w:ilvl="1">
      <w:lvlJc w:val="left"/>
      <w:lvlText w:val="-"/>
      <w:numFmt w:val="bullet"/>
      <w:start w:val="1"/>
    </w:lvl>
  </w:abstractNum>
  <w:abstractNum w:abstractNumId="74">
    <w:nsid w:val="5FB8011C"/>
    <w:multiLevelType w:val="hybridMultilevel"/>
    <w:lvl w:ilvl="0">
      <w:lvlJc w:val="left"/>
      <w:lvlText w:val="(%1)"/>
      <w:numFmt w:val="lowerLetter"/>
      <w:start w:val="2"/>
    </w:lvl>
  </w:abstractNum>
  <w:abstractNum w:abstractNumId="75">
    <w:nsid w:val="6AA78F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6">
    <w:nsid w:val="7672BD23"/>
    <w:multiLevelType w:val="hybridMultilevel"/>
    <w:lvl w:ilvl="0">
      <w:lvlJc w:val="left"/>
      <w:lvlText w:val="(%1)"/>
      <w:numFmt w:val="lowerLetter"/>
      <w:start w:val="25"/>
    </w:lvl>
    <w:lvl w:ilvl="1">
      <w:lvlJc w:val="left"/>
      <w:lvlText w:val="(%2)"/>
      <w:numFmt w:val="lowerLetter"/>
      <w:start w:val="4"/>
    </w:lvl>
    <w:lvl w:ilvl="2">
      <w:lvlJc w:val="left"/>
      <w:lvlText w:val="(%3)"/>
      <w:numFmt w:val="lowerLetter"/>
      <w:start w:val="9"/>
    </w:lvl>
    <w:lvl w:ilvl="3">
      <w:lvlJc w:val="left"/>
      <w:lvlText w:val="-"/>
      <w:numFmt w:val="bullet"/>
      <w:start w:val="1"/>
    </w:lvl>
  </w:abstractNum>
  <w:abstractNum w:abstractNumId="77">
    <w:nsid w:val="6FC75AF8"/>
    <w:multiLevelType w:val="hybridMultilevel"/>
    <w:lvl w:ilvl="0">
      <w:lvlJc w:val="left"/>
      <w:lvlText w:val="(%1)"/>
      <w:numFmt w:val="lowerRoman"/>
      <w:start w:val="2"/>
    </w:lvl>
  </w:abstractNum>
  <w:abstractNum w:abstractNumId="78">
    <w:nsid w:val="6A5F7029"/>
    <w:multiLevelType w:val="hybridMultilevel"/>
    <w:lvl w:ilvl="0">
      <w:lvlJc w:val="left"/>
      <w:lvlText w:val="(%1)"/>
      <w:numFmt w:val="lowerLetter"/>
      <w:start w:val="6"/>
    </w:lvl>
    <w:lvl w:ilvl="1">
      <w:lvlJc w:val="left"/>
      <w:lvlText w:val="-"/>
      <w:numFmt w:val="bullet"/>
      <w:start w:val="1"/>
    </w:lvl>
  </w:abstractNum>
  <w:abstractNum w:abstractNumId="79">
    <w:nsid w:val="7D5E18F8"/>
    <w:multiLevelType w:val="hybridMultilevel"/>
    <w:lvl w:ilvl="0">
      <w:lvlJc w:val="left"/>
      <w:lvlText w:val="(%1)"/>
      <w:numFmt w:val="lowerLetter"/>
      <w:start w:val="8"/>
    </w:lvl>
    <w:lvl w:ilvl="1">
      <w:lvlJc w:val="left"/>
      <w:lvlText w:val="-"/>
      <w:numFmt w:val="bullet"/>
      <w:start w:val="1"/>
    </w:lvl>
  </w:abstractNum>
  <w:abstractNum w:abstractNumId="80">
    <w:nsid w:val="5F3534A4"/>
    <w:multiLevelType w:val="hybridMultilevel"/>
    <w:lvl w:ilvl="0">
      <w:lvlJc w:val="left"/>
      <w:lvlText w:val="(%1)"/>
      <w:numFmt w:val="lowerLetter"/>
      <w:start w:val="12"/>
    </w:lvl>
    <w:lvl w:ilvl="1">
      <w:lvlJc w:val="left"/>
      <w:lvlText w:val="(%2)"/>
      <w:numFmt w:val="lowerRoman"/>
      <w:start w:val="1"/>
    </w:lvl>
  </w:abstractNum>
  <w:abstractNum w:abstractNumId="81">
    <w:nsid w:val="73A1821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2">
    <w:nsid w:val="7DE67713"/>
    <w:multiLevelType w:val="hybridMultilevel"/>
    <w:lvl w:ilvl="0">
      <w:lvlJc w:val="left"/>
      <w:lvlText w:val="(%1)"/>
      <w:numFmt w:val="lowerLetter"/>
      <w:start w:val="2"/>
    </w:lvl>
  </w:abstractNum>
  <w:abstractNum w:abstractNumId="83">
    <w:nsid w:val="555C55B5"/>
    <w:multiLevelType w:val="hybridMultilevel"/>
    <w:lvl w:ilvl="0">
      <w:lvlJc w:val="left"/>
      <w:lvlText w:val="(%1)"/>
      <w:numFmt w:val="lowerLetter"/>
      <w:start w:val="1"/>
    </w:lvl>
    <w:lvl w:ilvl="1">
      <w:lvlJc w:val="left"/>
      <w:lvlText w:val="-"/>
      <w:numFmt w:val="bullet"/>
      <w:start w:val="1"/>
    </w:lvl>
  </w:abstractNum>
  <w:abstractNum w:abstractNumId="84">
    <w:nsid w:val="3FA62ACA"/>
    <w:multiLevelType w:val="hybridMultilevel"/>
    <w:lvl w:ilvl="0">
      <w:lvlJc w:val="left"/>
      <w:lvlText w:val="(%1)"/>
      <w:numFmt w:val="lowerLetter"/>
      <w:start w:val="1"/>
    </w:lvl>
    <w:lvl w:ilvl="1">
      <w:lvlJc w:val="left"/>
      <w:lvlText w:val="-"/>
      <w:numFmt w:val="bullet"/>
      <w:start w:val="1"/>
    </w:lvl>
  </w:abstractNum>
  <w:abstractNum w:abstractNumId="85">
    <w:nsid w:val="14FCE74E"/>
    <w:multiLevelType w:val="hybridMultilevel"/>
    <w:lvl w:ilvl="0">
      <w:lvlJc w:val="left"/>
      <w:lvlText w:val="(%1)"/>
      <w:numFmt w:val="lowerLetter"/>
      <w:start w:val="2"/>
    </w:lvl>
  </w:abstractNum>
  <w:abstractNum w:abstractNumId="86">
    <w:nsid w:val="6A3DD3E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7">
    <w:nsid w:val="71C91298"/>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8">
    <w:nsid w:val="9DAF6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89">
    <w:nsid w:val="53299938"/>
    <w:multiLevelType w:val="hybridMultilevel"/>
    <w:lvl w:ilvl="0">
      <w:lvlJc w:val="left"/>
      <w:lvlText w:val="(%1)"/>
      <w:numFmt w:val="lowerRoman"/>
      <w:start w:val="5"/>
    </w:lvl>
  </w:abstractNum>
  <w:abstractNum w:abstractNumId="90">
    <w:nsid w:val="1FBFE8E0"/>
    <w:multiLevelType w:val="hybridMultilevel"/>
    <w:lvl w:ilvl="0">
      <w:lvlJc w:val="left"/>
      <w:lvlText w:val="(%1)"/>
      <w:numFmt w:val="lowerLetter"/>
      <w:start w:val="3"/>
    </w:lvl>
    <w:lvl w:ilvl="1">
      <w:lvlJc w:val="left"/>
      <w:lvlText w:val="-"/>
      <w:numFmt w:val="bullet"/>
      <w:start w:val="1"/>
    </w:lvl>
  </w:abstractNum>
  <w:abstractNum w:abstractNumId="91">
    <w:nsid w:val="5092CA79"/>
    <w:multiLevelType w:val="hybridMultilevel"/>
    <w:lvl w:ilvl="0">
      <w:lvlJc w:val="left"/>
      <w:lvlText w:val="(%1)"/>
      <w:numFmt w:val="lowerLetter"/>
      <w:start w:val="5"/>
    </w:lvl>
  </w:abstractNum>
  <w:abstractNum w:abstractNumId="92">
    <w:nsid w:val="1D545C4D"/>
    <w:multiLevelType w:val="hybridMultilevel"/>
    <w:lvl w:ilvl="0">
      <w:lvlJc w:val="left"/>
      <w:lvlText w:val="(%1)"/>
      <w:numFmt w:val="lowerLetter"/>
      <w:start w:val="1"/>
    </w:lvl>
    <w:lvl w:ilvl="1">
      <w:lvlJc w:val="left"/>
      <w:lvlText w:val="-"/>
      <w:numFmt w:val="bullet"/>
      <w:start w:val="1"/>
    </w:lvl>
  </w:abstractNum>
  <w:abstractNum w:abstractNumId="93">
    <w:nsid w:val="59ADEA3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4">
    <w:nsid w:val="288F1A34"/>
    <w:multiLevelType w:val="hybridMultilevel"/>
    <w:lvl w:ilvl="0">
      <w:lvlJc w:val="left"/>
      <w:lvlText w:val="(%1)"/>
      <w:numFmt w:val="lowerLetter"/>
      <w:start w:val="1"/>
    </w:lvl>
    <w:lvl w:ilvl="1">
      <w:lvlJc w:val="left"/>
      <w:lvlText w:val="-"/>
      <w:numFmt w:val="bullet"/>
      <w:start w:val="1"/>
    </w:lvl>
  </w:abstractNum>
  <w:abstractNum w:abstractNumId="95">
    <w:nsid w:val="2A155DBC"/>
    <w:multiLevelType w:val="hybridMultilevel"/>
    <w:lvl w:ilvl="0">
      <w:lvlJc w:val="left"/>
      <w:lvlText w:val="(%1)"/>
      <w:numFmt w:val="lowerLetter"/>
      <w:start w:val="2"/>
    </w:lvl>
    <w:lvl w:ilvl="1">
      <w:lvlJc w:val="left"/>
      <w:lvlText w:val="-"/>
      <w:numFmt w:val="bullet"/>
      <w:start w:val="1"/>
    </w:lvl>
  </w:abstractNum>
  <w:abstractNum w:abstractNumId="96">
    <w:nsid w:val="1D9F6E5F"/>
    <w:multiLevelType w:val="hybridMultilevel"/>
    <w:lvl w:ilvl="0">
      <w:lvlJc w:val="left"/>
      <w:lvlText w:val="(%1)"/>
      <w:numFmt w:val="lowerLetter"/>
      <w:start w:val="6"/>
    </w:lvl>
  </w:abstractNum>
  <w:abstractNum w:abstractNumId="97">
    <w:nsid w:val="97E1B4E"/>
    <w:multiLevelType w:val="hybridMultilevel"/>
    <w:lvl w:ilvl="0">
      <w:lvlJc w:val="left"/>
      <w:lvlText w:val="(%1)"/>
      <w:numFmt w:val="lowerLetter"/>
      <w:start w:val="2"/>
    </w:lvl>
  </w:abstractNum>
  <w:abstractNum w:abstractNumId="98">
    <w:nsid w:val="51088277"/>
    <w:multiLevelType w:val="hybridMultilevel"/>
    <w:lvl w:ilvl="0">
      <w:lvlJc w:val="left"/>
      <w:lvlText w:val="(%1)"/>
      <w:numFmt w:val="lowerRoman"/>
      <w:start w:val="1"/>
    </w:lvl>
  </w:abstractNum>
  <w:abstractNum w:abstractNumId="99">
    <w:nsid w:val="1CA0C5FA"/>
    <w:multiLevelType w:val="hybridMultilevel"/>
    <w:lvl w:ilvl="0">
      <w:lvlJc w:val="left"/>
      <w:lvlText w:val="(%1)"/>
      <w:numFmt w:val="lowerLetter"/>
      <w:start w:val="4"/>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decimal"/>
      <w:start w:val="3"/>
    </w:lvl>
    <w:lvl w:ilvl="1">
      <w:lvlJc w:val="left"/>
      <w:lvlText w:val="☐"/>
      <w:numFmt w:val="bullet"/>
      <w:start w:val="1"/>
    </w:lvl>
  </w:abstractNum>
  <w:abstractNum w:abstractNumId="102">
    <w:nsid w:val="7C58FD05"/>
    <w:multiLevelType w:val="hybridMultilevel"/>
    <w:lvl w:ilvl="0">
      <w:lvlJc w:val="left"/>
      <w:lvlText w:val="%1."/>
      <w:numFmt w:val="decimal"/>
      <w:start w:val="3"/>
    </w:lvl>
    <w:lvl w:ilvl="1">
      <w:lvlJc w:val="left"/>
      <w:lvlText w:val="☐"/>
      <w:numFmt w:val="bullet"/>
      <w:start w:val="1"/>
    </w:lvl>
  </w:abstractNum>
  <w:abstractNum w:abstractNumId="103">
    <w:nsid w:val="23D86AAC"/>
    <w:multiLevelType w:val="hybridMultilevel"/>
    <w:lvl w:ilvl="0">
      <w:lvlJc w:val="left"/>
      <w:lvlText w:val="%1."/>
      <w:numFmt w:val="decimal"/>
      <w:start w:val="5"/>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1."/>
      <w:numFmt w:val="decimal"/>
      <w:start w:val="2"/>
    </w:lvl>
  </w:abstractNum>
  <w:abstractNum w:abstractNumId="106">
    <w:nsid w:val="E7FFA2B"/>
    <w:multiLevelType w:val="hybridMultilevel"/>
    <w:lvl w:ilvl="0">
      <w:lvlJc w:val="left"/>
      <w:lvlText w:val="%1."/>
      <w:numFmt w:val="decimal"/>
      <w:start w:val="5"/>
    </w:lvl>
    <w:lvl w:ilvl="1">
      <w:lvlJc w:val="left"/>
      <w:lvlText w:val="☐"/>
      <w:numFmt w:val="bullet"/>
      <w:start w:val="1"/>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5"/>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lowerLetter"/>
      <w:start w:val="3"/>
    </w:lvl>
  </w:abstractNum>
  <w:abstractNum w:abstractNumId="114">
    <w:nsid w:val="69E373"/>
    <w:multiLevelType w:val="hybridMultilevel"/>
    <w:lvl w:ilvl="0">
      <w:lvlJc w:val="left"/>
      <w:lvlText w:val="(%1)"/>
      <w:numFmt w:val="lowerLetter"/>
      <w:start w:val="24"/>
    </w:lvl>
    <w:lvl w:ilvl="1">
      <w:lvlJc w:val="left"/>
      <w:lvlText w:val="(%2)"/>
      <w:numFmt w:val="lowerLetter"/>
      <w:start w:val="2"/>
    </w:lvl>
  </w:abstractNum>
  <w:abstractNum w:abstractNumId="115">
    <w:nsid w:val="2C27173B"/>
    <w:multiLevelType w:val="hybridMultilevel"/>
    <w:lvl w:ilvl="0">
      <w:lvlJc w:val="left"/>
      <w:lvlText w:val="(%1)"/>
      <w:numFmt w:val="lowerLetter"/>
      <w:start w:val="1"/>
    </w:lvl>
  </w:abstractNum>
  <w:abstractNum w:abstractNumId="116">
    <w:nsid w:val="4C9B0904"/>
    <w:multiLevelType w:val="hybridMultilevel"/>
    <w:lvl w:ilvl="0">
      <w:lvlJc w:val="left"/>
      <w:lvlText w:val="(%1)"/>
      <w:numFmt w:val="lowerLetter"/>
      <w:start w:val="2"/>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2019-12-10T00:11:57Z</dcterms:created>
  <dcterms:modified xsi:type="dcterms:W3CDTF">2019-12-10T00:11:57Z</dcterms:modified>
</cp:coreProperties>
</file>