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March 31, 2016</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April 29, 2016 was 70,904,085.</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7"/>
              </w:rPr>
              <w:t>QUARTER ENDED MARCH 31, 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Balance Sheets as of March 31, 2016 (unaudited) and December 31,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Comprehensive Income (unaudited) for the three months ended March 31, 2016 and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 of Shareholders' Equity (unaudited) for the three months ended March 31, 2016</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Cash Flows (unaudited) for the three months ended March 31, 2016 and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r>
      <w:tr>
        <w:trPr>
          <w:trHeight w:val="939"/>
        </w:trPr>
        <w:tc>
          <w:tcPr>
            <w:tcW w:w="820" w:type="dxa"/>
            <w:vAlign w:val="bottom"/>
          </w:tcPr>
          <w:p>
            <w:pPr>
              <w:spacing w:after="0"/>
              <w:rPr>
                <w:sz w:val="24"/>
                <w:szCs w:val="24"/>
                <w:color w:val="auto"/>
              </w:rPr>
            </w:pPr>
          </w:p>
        </w:tc>
        <w:tc>
          <w:tcPr>
            <w:tcW w:w="10400" w:type="dxa"/>
            <w:vAlign w:val="bottom"/>
            <w:gridSpan w:val="2"/>
          </w:tcPr>
          <w:p>
            <w:pPr>
              <w:jc w:val="center"/>
              <w:ind w:right="53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balance sheet as of December 31, 2015,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Federal Realty Investment Trust (the "Trust") believes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months ended March 31, 2016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6" w:right="27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152"/>
        </w:trPr>
        <w:tc>
          <w:tcPr>
            <w:tcW w:w="8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4"/>
          </w:tcPr>
          <w:p>
            <w:pPr>
              <w:jc w:val="right"/>
              <w:ind w:right="231"/>
              <w:spacing w:after="0" w:line="153" w:lineRule="exact"/>
              <w:rPr>
                <w:sz w:val="20"/>
                <w:szCs w:val="20"/>
                <w:color w:val="auto"/>
              </w:rPr>
            </w:pPr>
            <w:r>
              <w:rPr>
                <w:rFonts w:ascii="Arial" w:cs="Arial" w:eastAsia="Arial" w:hAnsi="Arial"/>
                <w:sz w:val="14"/>
                <w:szCs w:val="14"/>
                <w:b w:val="1"/>
                <w:bCs w:val="1"/>
                <w:color w:val="auto"/>
                <w:w w:val="95"/>
              </w:rPr>
              <w:t>(In thousands, except share and per</w:t>
            </w:r>
          </w:p>
        </w:tc>
      </w:t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share data)</w:t>
            </w: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5"/>
              </w:rPr>
              <w:t>Operating (including $1,197,847 and $1,192,336 of consolidated variable interest entities, 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5,901,076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5,630,771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452,070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433,635</w:t>
            </w:r>
          </w:p>
        </w:tc>
      </w:tr>
      <w:tr>
        <w:trPr>
          <w:trHeight w:val="237"/>
        </w:trPr>
        <w:tc>
          <w:tcPr>
            <w:tcW w:w="8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6,353,146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6,064,406</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1"/>
              </w:rPr>
              <w:t>Less accumulated depreciation and amortization (including $184,078 and $176,057 of consolidated variable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(1,611,379)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(1,574,041)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4,741,767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4,490,365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113,749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110,402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41,618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10,455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41,546</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198,152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191,582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5,125,457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4,896,559</w:t>
            </w:r>
          </w:p>
        </w:tc>
      </w:tr>
      <w:tr>
        <w:trPr>
          <w:trHeight w:val="67"/>
        </w:trPr>
        <w:tc>
          <w:tcPr>
            <w:tcW w:w="8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Mortgages payable (including $446,046 and $448,315 of consolidated variable interest entities,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513,009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481,084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71,612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71,620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341,961</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Senior notes and debentures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1,733,081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1,732,551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146,532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67,593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66,338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122,117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121,787</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3,030,284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2,977,312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137,316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70,861,269 and 69,493,392</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2,565,581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2,381,867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(714,452)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(724,701)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1,854,951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1,663,749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118,182</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1,968,941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1,781,931</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5,125,457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4,896,559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5"/>
              </w:rPr>
              <w:t>(In thousands, except per share data)</w:t>
            </w: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rPr>
              <w:t>REVENUE</w:t>
            </w: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181,166</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198,344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184,792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41,439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20,394</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41,984</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121,422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112,670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72,122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(24,168)</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Income from real estate partnerships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48,203</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Gain on change in control of interests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48,203</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46,186</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46,051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3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Gain on change in control of interests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basic</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69,771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68,368</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3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3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change in control of interests</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diluted</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68,563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45,742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43,725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40" w:type="dxa"/>
            <w:vAlign w:val="bottom"/>
            <w:gridSpan w:val="3"/>
          </w:tcPr>
          <w:p>
            <w:pPr>
              <w:jc w:val="center"/>
              <w:ind w:left="269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3020" w:type="dxa"/>
            <w:vAlign w:val="bottom"/>
          </w:tcPr>
          <w:p>
            <w:pPr>
              <w:jc w:val="right"/>
              <w:ind w:right="249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2016</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9"/>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560" w:type="dxa"/>
            <w:vAlign w:val="bottom"/>
            <w:gridSpan w:val="4"/>
            <w:vMerge w:val="restart"/>
          </w:tcPr>
          <w:p>
            <w:pPr>
              <w:jc w:val="right"/>
              <w:ind w:right="17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w w:val="96"/>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69,493,392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$2,381,867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(724,701)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118,182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$ 1,781,931</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3"/>
              </w:rPr>
              <w:t>Net income, excluding $717 attributable to</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redeemable noncontrolling 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76,955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78,346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 change in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value of interest rate swaps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(66,571)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(66,571)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1,220,595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181,626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181,638</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plan</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4,397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2"/>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Share-based compensation expense, net of</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forfeitures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140,887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3,490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3,492</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(30,039)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(4,353)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(4,353)</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Conversion and redemption of OP units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32,037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4,281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Contributions from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Adjustment to redeemable noncontrolling</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7"/>
        </w:trPr>
        <w:tc>
          <w:tcPr>
            <w:tcW w:w="2860" w:type="dxa"/>
            <w:vAlign w:val="bottom"/>
          </w:tcPr>
          <w:p>
            <w:pPr>
              <w:ind w:left="40"/>
              <w:spacing w:after="0"/>
              <w:rPr>
                <w:sz w:val="20"/>
                <w:szCs w:val="20"/>
                <w:color w:val="auto"/>
              </w:rPr>
            </w:pPr>
            <w:r>
              <w:rPr>
                <w:rFonts w:ascii="Arial" w:cs="Arial" w:eastAsia="Arial" w:hAnsi="Arial"/>
                <w:sz w:val="16"/>
                <w:szCs w:val="16"/>
                <w:color w:val="auto"/>
              </w:rPr>
              <w:t>BALANCE AT MARCH 31, 2016</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70,861,269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2"/>
              </w:rPr>
              <w:t>$2,565,581</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(714,452)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(6,885)</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113,990</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$ 1,968,941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190"/>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48,203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41,984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change in control of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real estate partnerships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1,491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in accounts receivable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in accounts payable and accrued expenses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security deposits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100,508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81,986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real estate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(129,776)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(26,414)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(201,687)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(94,945)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repayments under revolving credit facility, net of costs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208,654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and notes and other payables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(11,035)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181,757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(59,330)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Redemption of redeemable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99,849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136,445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123,486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19,716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171,437</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2016</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March 31, 2016, we owned or had a majority interest in community and neighborhood shopping centers and mixed-use properties which are operated as 96 predominantly retail real estate projects.</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2015 amounts have been reclassified to conform to current period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February 2016, the FASB issued ASU 2016-02,” Leases." ASU 2016-02 significantly changes the accounting for leases by requiring lessees to recognize assets and liabilities for leases greater than 12 months on their balance sheet. The lessor model stays substantially the same; however, there were modifications to conform lessor accounting with the lessee model, eliminate real estate specific guidance, further define certain lease and non-lease components, and change the definition of initial direct costs of leases requiring significantly more leasing related costs to be expensed upfront. ASU 2016-02 is effective for us in the first quarter of 2019, and we are currently assessing the impact of this standard to our consolidated financial statements.</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2016, the FASB issued ASU 2016-08 as an amendment to ASU 2014-09, "Revenue from Contracts with Customers." The amendment clarifies how to identify the unit of accounting for the principal versus agent evaluation, how to apply the control principle to certain types of arrangements, such as service transaction, and reframed the indicators in the guidance to focus on evidence that an entity is acting as a principal rather than as an agent. We are currently assessing the impact of this standard to our consolidated financial statements.</w:t>
      </w:r>
    </w:p>
    <w:p>
      <w:pPr>
        <w:spacing w:after="0" w:line="13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March 2016, the FASB issued ASU 2016-09, "Compensation - Stock Compensation." ASU 2016-09 simplifies the accounting for share-based payment transactions, including a policy election option with respect to accounting for forfeitures either as they occur or estimating forfeitures (as is currently required), as well as increasing the amount an employer can withhold to cover income taxes on equity awards. ASU 2016-09 is effective for us in the first quarter of 2017, and we are currently assessing the impact of this standard to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February 2015, the FASB issued ASU 2015-02, "Amendments to the Consolidation Analysis." ASU 2015-02 modifies the evaluation of whether limited partnerships and similar legal entities are variable or voting interest entities, eliminates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presumption that the general partner should consolidate a limited partnership, modifies the consolidation analysis for reporting entities that are involved in variable interest entities, particularly those that have fee arrangements and related party relationships, and provides a scope exception from consolidation guidance for reporting entities with interests in legal entities that operate as registered money market funds. We adopted the standard effective January 1, 2016, and as a result, partnerships controlling ten properties (previously consolidated as voting interest entities) are now considered to be variable interest entities. As we have the obligation to absorb losses and the right to receive benefits and control the activities that most significantly impact the economic performance of these entities, we are the primary beneficiary and we will continue to consolidate each of these entities. Net real estate assets of $565.7 million and mortgage payables of $193.9 million are included in our consolidated balance sheet at March 31, 2016 for these newly classified variable interest entities. In addition, our equity method investment in the Pike &amp; Rose hotel joint venture is now considered a variable interest in a variable interest entity. As we do not control the activities that most significantly impact the economic performance of the joint venture, we are not the primary beneficiary and do not consolidate. Our investment in the joint venture is $7.2 million at March 31, 2016 and our maximum exposure to loss, which includes contributions to date and our remaining required contribution to complete construction of the hotel is approximately $13.5 million.</w:t>
      </w:r>
    </w:p>
    <w:p>
      <w:pPr>
        <w:spacing w:after="0" w:line="3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April 2015, the FASB issued ASU 2015-03, "Simplifying the Presentation of Debt Issuance Costs." ASU 2015-03 requires debt issuance costs related to a debt liability be presented in the balance sheet as a direct deduction from the carrying amount of the debt liability, rather than classified as an asset. Recognition and measurement of debt issuance costs are not affected. Subsequently, in August 2015, the FASB issued ASU 2015-15, "Presentation and Subsequent Measurement of Debt Issuance Costs Associated with Line-of-Credit Arrangements," which allows an entity to present the costs related to securing a line-of credit arrangement as an asset, regardless of whether there are any outstanding borrowings. We adopted the standards effective January 1, 2016 and have adjusted our balance sheet presentation in both periods to reflect the net debt issuance costs as a reduction of the respective liability. The adoption resulted in a $15.2 million decrease to total assets and liabilities at December 31, 2015, for this reclassification. Debt issuance costs related to our revolving credit facility continue to be classified as an asset and are included in "prepaids and other assets" in our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28,889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24,168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20,635</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22,837</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18,666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DownREIT operating partnership units issued with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7,742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of December 31, 2015, we had a joint venture arrangement (the “Partnership”) with affiliates of a discretionary fund created and advised by Clarion Partners (“Clarion”). We owned 30% of the equity in the Partnership and Clarion owned 70%. The Partnership owned six retail real estate properties and we accounted for our interest in the Partnership using the equity method. On January 13, 2016, we acquired Clarion's 70% interest in the Partnership for $153.7 million, which included the payment of $130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 Approximately $7.3 million and $4.9 million of net assets acquired were allocated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to other assets for "above market leases," and other liabilities for "below market leases," respectively. We incurred $0.2 million of acquisition costs, of which $0.1 million were incurred in 2016 and included in "general and administrative expense" for the three months ended March 31, 2016.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January 13, 2016, in connection with the acquisition of our partner's 70% interest in our unconsolidated real estate partnership, we assumed interest only mortgage loans with a face amount of $34.4 million and a fair value of $34.7 million. These mortgage loans have a weighted average interest rate of 5.95% and were repaid at par on April 1, 2016.</w:t>
      </w:r>
    </w:p>
    <w:p>
      <w:pPr>
        <w:spacing w:after="0" w:line="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months ended March 31, 2016, the maximum amount of borrowings outstanding under our $600.0 million revolving credit facility was $251.5 million, the weighted average borrowings outstanding was $163.3 million, and the weighted average interest rate, before amortization of debt fees, was 1.3%. At March 31, 2016, the outstanding balance was $53.0 million. Our revolving credit facility, term loan and certain notes require us to comply with various financial covenants, including the maintenance of minimum shareholders’ equity and debt coverage ratios and a maximum ratio of debt to net worth. As of March 31, 2016, we were in compliance with all debt covenants.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854,629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866,715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823,045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833,931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1,733,081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1,820,367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1,732,551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1,786,758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March 31, 2016,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$3.2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March 31, 2016, and we do not anticipate it will have a significant effect in the future.</w:t>
      </w:r>
    </w:p>
    <w:p>
      <w:pPr>
        <w:spacing w:after="0" w:line="2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2016 was a liability of $6.9 million and is included in "accounts payable and accrued expenses" on our consolidated balance sheet. For the three months ended March 31, 2016, the change in valuation on our interest rate swaps resulted in a $2.8 million increase in our derivative liability (including $0.9 million reclassified from other comprehensive loss to interest expense). The change in valuation on our interest rate swaps is included in "accumulated other comprehensive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March 31, 2016</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6,885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6,885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4,110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4,110</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902,368 downREIT operating partnership units are outstanding which have a total fair value of $140.8 million, based on our closing stock price on March 31, 2016.</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February 12, 2016, we acquired the 10% noncontrolling interest of a partnership which owns a project in southern California for $13.0 million, bringing our ownership interest to 100%.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2015</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0.870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0.870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0.339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0.339</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0.339</w:t>
            </w: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March 31, 2016, we issued 220,563 common shares at a weighted average price per share of $148.02 for net cash proceeds of $32.3 million and paid $0.3 million in commissions and less than $0.1 million in additional offering expenses related to the sales of these common shares. As of March 31, 2016, we had the capacity to issue up to $157.5 million in common shares under our ATM equity program.</w:t>
      </w:r>
    </w:p>
    <w:p>
      <w:pPr>
        <w:spacing w:after="0" w:line="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7, 2016, we issued 1.0 million common shares at $149.43 per share, in an underwritten public offering, for cash proceeds of $149.3 million, net of expenses.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134,586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124,313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11,449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41,802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40,887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4,402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195,308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181,166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Minimum rents include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196"/>
        </w:trPr>
        <w:tc>
          <w:tcPr>
            <w:tcW w:w="8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shares and options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3,529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3,227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2016 and 2015, we had 0.2 million and 0.3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for the three months ended March 31, 2016 and 2015.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center"/>
              <w:ind w:right="79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left="72"/>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53,337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48,203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50,858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change in control of interests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25,726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90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7"/>
              </w:rPr>
              <w:t>76,584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45,841</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69,771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68,368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69,957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68,563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change in control of interests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change in control of interests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51,229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46,186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 April 1, 2016, we repaid the mortgage loans on Barcroft Plaza and Greenlawn Plaza at par for $34.4 million.</w:t>
      </w:r>
    </w:p>
    <w:p>
      <w:pPr>
        <w:spacing w:after="0" w:line="9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20, 2016, we upsized our $600.0 million revolving credit facility to $800.0 million and extended the maturity date to April 20, 2020, subject to two six-month extensions at our option. Under the amended credit facility, the spread over LIBOR is 82.5 basis points based on our credit rating as of April 20, 2016. In addition, we have an option (subject to bank approval) to increase the credit facility through an accordion feature to $1.5 billion.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2015 filed with the Securities and Exchange Commission (the “SEC”) on February 9, 2016.</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2015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2016, we owned or had a majority interest in community and neighborhood shopping centers and mixed-use properties which are operated as 96 predominantly retail real estate projects comprising approximately 22.2 million square feet. In total, the real estate projects were 94.1% leased and 92.7% occupied at March 31,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Significant Property Acquisitions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January 13, 2016, we acquired our partner's 70% interest in our joint venture arrangement (the "Partnership") with affiliates of a discretionary fund created and advised by Clarion Partners ("Clarion") for $153.7 million, which included the payment of $130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 Approximately $7.3 million and $4.9 million of net assets acquired were allocated to other assets for "above market leases," and other liabilities for "below market leases," respectively. We incurred $0.2 million of acquisition costs, of which $0.1 million were incurred in 2016 and included in "general and administrative expense" for the three months ended March 31,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Significant Debt and Equity Transactions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January 13, 2016, in connection with the acquisition of our partner's 70% interest in our unconsolidated real estate partnership, we assumed three interest only mortgage loans with a face amount of $34.4 million and a fair value of $34.7 million. These mortgage loans have a weighted average interest rate of 5.95% and were repaid at par on April 1, 2016.</w:t>
      </w:r>
    </w:p>
    <w:p>
      <w:pPr>
        <w:spacing w:after="0" w:line="4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20, 2016, we upsized our $600.0 million revolving credit facility to $800.0 million and extended the maturity date to April 20, 2020, subject to two six-month extensions at our option. Under the amended credit facility, the spread over LIBOR is 82.5 basis points based on our credit rating as of April 20, 2016. In addition, we have an option (subject to bank approval) to increase the credit facility through an accordion feature to $1.5 billion.</w:t>
      </w:r>
    </w:p>
    <w:p>
      <w:pPr>
        <w:spacing w:after="0" w:line="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March 31, 2016, we issued 220,563 common shares at a weighted average price per share of $148.02 for net cash proceeds of $32.3 million and paid $0.3 million in commissions and less than $0.1 million in additional offering expenses related to the sales of these common shares. As of March 31, 2016, we had the capacity to issue up to $157.5 million in common shares under our ATM equity program.</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March 7, 2016, we issued 1.0 million common shares at $149.43 per share, in an underwritten public offering, for cash proceeds of approximately $149.3 million, net of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$68 million and $2 million, respectively, for the three months ended March 31, 2016, and $54 million and $2 million, respectively, for the three months ended March 31, 2015. We capitalized external and internal costs related to other property improvements of $8 million and $1 million, respectively, for the three months ended March 31, 2016, and $6 million and less than $1 million for the three months ended March 31, 2015. We capitalized external and internal costs related to leasing activities of $6 million and $1 million, respectively, for the three months ended March 31, 2016, and $2 million and $1 million, respectively, for the three months ended March 31, 2015. The amount of capitalized internal costs for salaries and related benefits for development and redevelopment activities, other property improvements, and leasing activities were $2 million, less than $1 million, and $1 million, respectively, for the three months ended March 31, 2016, and $1 million, less than $1 million, and $1 million, respectively, for the three months ended March 31, 2015. Total capitalized costs were $86 million and $65 million for the three months ended March 31, 2016 and 2015,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generally continued to see an encouraging operating environment for many of our tenants as well as strong levels of interest from prospective tenants for our retail spaces. We have, however, seen an overall decrease in the number of tenants available to fill anchor spaces. While there can be no assurance that current conditions will continue, we believe the locations of our centers and diverse tenant base partially mitigates any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March 31, 2016, no single tenant accounted for more than 3.2% of annualized base rent.</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cost of approximately $214 million that we expect to stabilize between 2016 and 2018.</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continue our ongoing redevelopment efforts at Santana Row, and are currently proceeding with our next phase of redevelopment which is a six story building with 234,500 square feet of office space and 670 parking spaces. During the third quarter 2015, we executed a lease with Splunk Inc. for the entire building. The building is expected to cost between $110 and $115 million and stabilize in 2017. After current phases, we have approximately 9 acres remaining for further redevelopment and entitlements in place for an additional 395 residential units and 634,000 square feet of commercial space. Additionally, we control 12 acres of land adjacent to Santana Row.</w:t>
      </w:r>
    </w:p>
    <w:p>
      <w:pPr>
        <w:spacing w:after="0" w:line="13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continue to invest in the development at Assembly Row which is a long-term multi-phased mixed-use development project we expect to be involved in over the coming years. The carrying value of this project at March 31, 2016 is approximately $417 million. The project currently has zoning entitlements to build 3.4 million square feet of commercial-use buildings, 1,843 residential units, and a 170 room hotel. The first phase consists of approximately 331,000 square feet of retail space and 98,000 square feet of office space (both owned by the Trust) and 445 residential units owned by AvalonBay Communities. The Massachusetts Bay Transit Authority (MBTA) constructed the new orange line T-Stop at the property, which opened in</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6" w:right="29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September 2014. The retail and office space in Phase I are fully delivered and are 100% leased. Total costs for Phase I of Assembly Row are $196 million.</w:t>
      </w:r>
    </w:p>
    <w:p>
      <w:pPr>
        <w:spacing w:after="0" w:line="1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also proceeding with development of Phase II of Assembly Row which will include 167,000 square feet of retail space, a 160 room boutique hotel and 447 residential units. The hotel will be owned and operated by a joint venture in which we will be a partner. Total expected costs range from $270 million to $285 million and stabilization is expected in 2018/2019. Construction commenced on Phase II in July 2015. Phase II is also expected to include 134 for-sale condominium units with an expected total cost of $70 million to $75 million. Additionally, as part of the second phase, we entered into a ground lease agreement with Partners HealthCare to bring more than 700,000 square feet of office space to Assembly Row. The ground lease agreement includes a purchase option, which was exercised and is expected to close in 2017. Partners HealthCare commenced construction on this new building in September 2014 and plans to relocate over 4,500 employees to Assembly Row starting in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Including costs incurred in the first three months of 2016, we expect to invest between $100 million and $125 million in Assembly Row in 2016.</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Pike &amp; Rose project in North Bethesda, MD, a long-term multi-phased mixed-use development project, currently has zoning entitlements to build 1.6 million square feet of commercial-use buildings and 1,605 residential units. Phase I of Pike &amp; Rose includes 493 residential units, 159,000 square feet of retail space and 79,000 square feet of office space. In late June 2014, our 174 unit residential building opened and achieved stabilized occupancy in the 1st quarter 2015. As of March 31, 2016, the retail space, 55,000 square feet of the office space, and 256 of the 319 units in the second residential building in Phase I have been delivered. We expect the remaining office and units in the 319 unit residential building to deliver in the next several months, and we expect Phase I to reach stabilized occupancy in 2016. Total expected costs for Phase I of Pike &amp; Rose range from $265 million to $270 million of which $262 million has been incurred to date.</w:t>
      </w:r>
    </w:p>
    <w:p>
      <w:pPr>
        <w:spacing w:after="0" w:line="13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Additionally, we are proceeding with development of Phase II of Pike &amp; Rose, for which building construction has commenced. Phase II will include approximately 190,000 square feet of retail space, a 177 room select-service hotel and 272 residential units, as well as a pre-leased auto dealership building. Total expected costs range from $200 million to $207 million and stabilization is expected in 2018/2019. The hotel will be owned and operated by a joint venture in which we will be a partner. Phase II is also expected to include 104 for-sale condominium units with an expected cost of $53 million to $58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Including costs incurred in the first three months of 2016, we expect to invest between $105 million and $130 million in Pike &amp; Rose in 2016.</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March 31, 2016, the leasable square feet in our properties was 92.7% occupied and 94.1%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first quarter of 2016, we signed leases for a total of 420,000 square feet of retail space including 399,000 square feet of comparable space leases (leases for which there was a prior tenant) at an average rental increase of 13% on a cash basis and 24% on a straight-line basis. New leases for comparable spaces were signed for 154,000 square feet at an average rental increase of 21% on a cash basis and 35% on a straight-line basis. Renewals for comparable spaces were signed for 245,000</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6"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square feet at an average rental increase of 9% on a cash basis and 18% on a straight-line basis. Tenant improvements and incentives for comparable spaces were $55.74 per square foot for new leases and $15.59 per square foot for renewals for the three months ended March 31, 2016.</w:t>
      </w:r>
    </w:p>
    <w:p>
      <w:pPr>
        <w:spacing w:after="0" w:line="9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2016 generally become effective over the following two years though some may not become effective until 2019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and expect that volume for 2016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three months ended March 31, 2016, all or a portion of 76 properties were considered same-center and fifteen were considered redevelopment or expansion. For the three months ended March 31, 2016, one property was moved from same-center to redevelopment, compared to the designations as of December 31, 2015.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MARCH 31, 2016 AND 2015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195,308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14,142</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198,344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184,792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13,552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2,400</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3,780</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132,731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122,959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9,772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change in control of interests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25,726</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30,860</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76,955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46,186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30,769</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property revenue increased $13.6 million, or 7.3%, to $198.3 million in the three months ended March 31, 2016 compared to $184.8 million in the three months ended March 31, 2015. The percentage occupied at our shopping centers decreased to 92.7% at March 31, 2016 compared to 94.5% at March 31, 2015.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$14.1 million, or 7.8%, to $195.3 million in the three months ended March 31, 2016 compared to $181.2 million in the three months ended March 31, 2015 due primarily to the following:</w:t>
      </w:r>
    </w:p>
    <w:p>
      <w:pPr>
        <w:spacing w:after="0" w:line="19" w:lineRule="exact"/>
        <w:rPr>
          <w:sz w:val="20"/>
          <w:szCs w:val="20"/>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$6.7 million attributable to properties acquired in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$3.4 million from the acquisition of six previously unconsolidated properties in January 2016,</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$3.1 million from Assembly Row and Pike &amp; Rose as portions of both projects opened throughout 2015,</w:t>
      </w:r>
    </w:p>
    <w:p>
      <w:pPr>
        <w:spacing w:after="0" w:line="63" w:lineRule="exact"/>
        <w:rPr>
          <w:rFonts w:ascii="Arial" w:cs="Arial" w:eastAsia="Arial" w:hAnsi="Arial"/>
          <w:sz w:val="18"/>
          <w:szCs w:val="18"/>
          <w:color w:val="auto"/>
        </w:rPr>
      </w:pPr>
    </w:p>
    <w:p>
      <w:pPr>
        <w:ind w:left="1700" w:right="400" w:hanging="801"/>
        <w:spacing w:after="0" w:line="298" w:lineRule="auto"/>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increase of $2.6 million at redevelopment properties due primarily to the lease-up of The Point at Plaza El Segundo, as well as three of our other retail redevelopments, partially offset by lower occupancy as we start redeveloping centers, and</w:t>
      </w:r>
    </w:p>
    <w:p>
      <w:pPr>
        <w:ind w:left="1700" w:right="40" w:hanging="801"/>
        <w:spacing w:after="0" w:line="317" w:lineRule="auto"/>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increase of $0.7 million at same-center properties due primarily to higher rental rates of approximately $2.9 million, partially offset by lower recoveries of $1.2 milion primarily the result of lower snow expense, and lower occupancy of approximately $1.0 million,</w:t>
      </w: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6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$2.2 million due to the sale of our Houston Street and Courtyard Shops properties in April 2015 and November 2015,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property expenses increased $3.8 million, or 6.1%, to $65.6 million in the three months ended March 31, 2016 compared to $61.8 million in the three months ended March 31, 2015.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Rental expenses increased $1.4 million, or 3.3%, to $42.8 million in the three months ended March 31, 2016 compared to $41.4 million in the three months ended March 31, 2015.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$1.9 million attributable to properties acquired in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$1.1 million from the acquisition of six previously unconsolidated properties in January 2016,</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of $0.7 million from Assembly Row and Pike &amp; Rose as portions of both projects opened throughout 2015, and</w:t>
      </w:r>
    </w:p>
    <w:p>
      <w:pPr>
        <w:spacing w:after="0" w:line="74" w:lineRule="exact"/>
        <w:rPr>
          <w:rFonts w:ascii="Arial" w:cs="Arial" w:eastAsia="Arial" w:hAnsi="Arial"/>
          <w:sz w:val="17"/>
          <w:szCs w:val="17"/>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$0.6 million in bad debt expense at same-center and redevelopment properties.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20" w:hanging="801"/>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$2.4 million in repairs and maintenance at same-center properties, primarily attributable to lower snow removal costs, and</w:t>
      </w:r>
    </w:p>
    <w:p>
      <w:pPr>
        <w:spacing w:after="0" w:line="8" w:lineRule="exact"/>
        <w:rPr>
          <w:rFonts w:ascii="Arial" w:cs="Arial" w:eastAsia="Arial" w:hAnsi="Arial"/>
          <w:sz w:val="18"/>
          <w:szCs w:val="18"/>
          <w:color w:val="auto"/>
        </w:rPr>
      </w:pPr>
    </w:p>
    <w:p>
      <w:pPr>
        <w:ind w:left="1700" w:right="240" w:hanging="801"/>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$0.5 million due to the sale of our Houston Street and Courtyard Shops properties in April 2015 and November 2015, respectively.</w:t>
      </w:r>
    </w:p>
    <w:p>
      <w:pPr>
        <w:spacing w:after="0" w:line="1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decreased to 21.7% in the three months ended March 31, 2016 from 22.6% in the three months ended March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Real estate tax expense increased $2.4 million, or 11.8%, to $22.8 million in the three months ended March 31, 2016 compared to $20.4 million in the three months ended March 31, 2015 due primarily to properties acquired in 2015, higher assessments at same-center properties, and the acquisition of six previously unconsolidated properties in January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Property operating income increased $9.8 million, or 7.9%, to $132.7 million in the three months ended March 31, 2016 compared to $123.0 million in the three months ended March 31, 2015. This increase is primarily due to growth in earnings at same-center and redevelopment properties, properties acquired in 2015, portions of Assembly Row and Pike &amp; Rose opening through 2015, and the acquisition of six previously unconsolidated properties in January 2016, partially offset by the sale of our Houston Street and Courtyard Shops properties in April 2015 and November 2015,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decreased $0.4 million, or 1.8%, to $23.7 million in the three months ended March 31, 2016 compared to $24.2 million in the three months ended March 31, 2015.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$4.5 million due to a lower overall weighted average borrowing rate,</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$3.2 million due to higher borrowings,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$0.9 million in capitalized interest due primarily to the opening of Phase I of Pike &amp; Rose during 2015.</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interest costs were $27.6 million and $28.9 million in the three months ended March 31, 2016 and 2015, respectively. Capitalized interest was $3.8 million and $4.7 million in the three months ended March 31, 2016 and 2015,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General and administrative expenses decreased $0.8 million, or 9.5%, to $8.0 million for the three months ended March 31, 2016, compared to $8.9 million in the three months ended March 31, 2015. The decrease is primarily due to lower transaction costs partially offset by higher personnel related costs.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6"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and amortization expense increased $5.8 million, or 13.9%, to $47.8 million in the three months ended March 31, 2016 from $42.0 million in the three months ended March 31, 2015. This increase is due primarily to properties acquired in 2015, Assembly Row and Pike &amp; Rose, and the acquisition of six previously unconsolidated properties in January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change in control of interests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$25.7 million gain on change in control of interests is the result of our obtaining control of six properties when we acquired Clarion’s 70% interest in the partnership that owned those properties (see discussion in Note 3 to the consolidated financial statements). The properties were previously accounted for under the equity method of accounting. We consolidated these assets effective January 13, 2016, and consequently recognized a gain on obtaining the controlling interest.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March 31, 2016, we had cash and cash equivalents of $19.7 million and $53.0 million outstanding on our $600.0 million unsecured revolving credit facility. On April 20, 2016, we upsized our $600.0 million revolving credit facility to $800.0 million and extended the maturity date to April 20, 2020, subject to two six-month extensions at our option. In addition, we have an option (subject to bank approval) to increase the credit facility through an accordion feature to $1.5 billion. Our $275.0 million unsecured term loan, which matures on November 21, 2018, subject to a one-year extension at our option, also has an option (subject to bank approval) to increase the term loan through an accordion feature to $350.0 million. As of March 31, 2016, we had the capacity to issue up to $157.5 million in common shares under our ATM equity program.</w:t>
      </w:r>
    </w:p>
    <w:p>
      <w:pPr>
        <w:spacing w:after="0" w:line="13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the three months ended March 31, 2016, the maximum amount of borrowings outstanding under our revolving credit facility was $251.5 million, the weighted average amount of borrowings outstanding was $163.3 million and the weighted average interest rate, before amortization of debt fees, was 1.3%. On March 7, 2016, we issued 1.0 million common shares at $149.43 per share, for net cash proceeds of $149.3 million. On April 1, 2016, we repaid $34.4 million of mortgage debt secured by two properties. For the remainder of 2016, we have only $9.4 million of debt maturing. We currently believe that cash flows from operations, cash on hand, our ATM program, our revolving credit facility and our general ability to access the capital markets will be sufficient to finance our operations and fund our debt service requirements (including maturities) and capital expenditures.</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overall capital requirements for the remainder of 2016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which is the result of construction on Phase II at both Assembly Row and Pike &amp; Rose and construction of the 234,500 square foot office building at Santana Row.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6"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196"/>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100,508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(201,687)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(94,945)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99,849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136,445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123,486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47,951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19,716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171,437</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provided by operating activities increased $18.5 million to $100.5 million during the three months ended March 31, 2016 from $82.0 million during the three months ended March 31, 2015. The increase was primarily attributable to higher net income before certain non-cash items and lower accounts receivable balances.</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used in investing activities increased $106.7 million to $201.7 million during the three months ended March 31, 2016 from $94.9 million during the three months ended March 31, 2015. The increase was primarily attributable to a $103.4 million increase in acquisitions of real estate due to the acquisition of our partner's 70% equity interest in our unconsolidated real estate partnership on January 13, 2016.</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cash provided by financing activities decreased $36.6 million to $99.8 million provided during the three months ended March 31, 2016 from $136.4 million during the three months ended March 31, 2015. The decrease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$208.7 million in net proceeds from the re-opening of the 4.50% senior notes in March 2015,</w:t>
      </w:r>
    </w:p>
    <w:p>
      <w:pPr>
        <w:spacing w:after="0" w:line="63" w:lineRule="exact"/>
        <w:rPr>
          <w:rFonts w:ascii="Arial" w:cs="Arial" w:eastAsia="Arial" w:hAnsi="Arial"/>
          <w:sz w:val="18"/>
          <w:szCs w:val="18"/>
          <w:color w:val="auto"/>
        </w:rPr>
      </w:pPr>
    </w:p>
    <w:p>
      <w:pPr>
        <w:ind w:left="1700" w:right="680" w:hanging="801"/>
        <w:spacing w:after="0" w:line="277"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$5.6 million increase in dividends paid to shareholders due to an increase in the dividend rate and increased number of shares outstanding,</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60" w:hanging="801"/>
        <w:spacing w:after="0" w:line="308" w:lineRule="auto"/>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$181.2 million increase in net proceeds from the issuance of common shares as we issued 1.2 million common shares during the three months ended March 31, 2016 compared to not issuing any shares in the three months ended March 31, 2015.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120" w:type="dxa"/>
            <w:vAlign w:val="bottom"/>
          </w:tcPr>
          <w:p>
            <w:pPr>
              <w:jc w:val="right"/>
              <w:ind w:right="280"/>
              <w:spacing w:after="0"/>
              <w:rPr>
                <w:sz w:val="20"/>
                <w:szCs w:val="20"/>
                <w:color w:val="auto"/>
              </w:rPr>
            </w:pPr>
            <w:r>
              <w:rPr>
                <w:rFonts w:ascii="Arial" w:cs="Arial" w:eastAsia="Arial" w:hAnsi="Arial"/>
                <w:sz w:val="14"/>
                <w:szCs w:val="14"/>
                <w:b w:val="1"/>
                <w:bCs w:val="1"/>
                <w:color w:val="auto"/>
              </w:rPr>
              <w:t>Original</w:t>
            </w:r>
          </w:p>
        </w:tc>
        <w:tc>
          <w:tcPr>
            <w:tcW w:w="14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8"/>
              </w:rPr>
              <w:t>Principal Balance as</w:t>
            </w:r>
          </w:p>
        </w:tc>
        <w:tc>
          <w:tcPr>
            <w:tcW w:w="12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Stated Interest Rate as</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120" w:type="dxa"/>
            <w:vAlign w:val="bottom"/>
          </w:tcPr>
          <w:p>
            <w:pPr>
              <w:jc w:val="right"/>
              <w:ind w:right="380"/>
              <w:spacing w:after="0" w:line="149" w:lineRule="exact"/>
              <w:rPr>
                <w:sz w:val="20"/>
                <w:szCs w:val="20"/>
                <w:color w:val="auto"/>
              </w:rPr>
            </w:pPr>
            <w:r>
              <w:rPr>
                <w:rFonts w:ascii="Arial" w:cs="Arial" w:eastAsia="Arial" w:hAnsi="Arial"/>
                <w:sz w:val="14"/>
                <w:szCs w:val="14"/>
                <w:b w:val="1"/>
                <w:bCs w:val="1"/>
                <w:color w:val="auto"/>
              </w:rPr>
              <w:t>Debt</w:t>
            </w: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19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1120" w:type="dxa"/>
            <w:vAlign w:val="bottom"/>
          </w:tcPr>
          <w:p>
            <w:pPr>
              <w:ind w:left="32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4"/>
                <w:szCs w:val="14"/>
                <w:b w:val="1"/>
                <w:bCs w:val="1"/>
                <w:color w:val="auto"/>
                <w:w w:val="97"/>
              </w:rPr>
              <w:t>of March 31, 2016</w:t>
            </w: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2016</w:t>
            </w: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2580" w:type="dxa"/>
            <w:vAlign w:val="bottom"/>
            <w:tcBorders>
              <w:top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Barcroft Plaza (1)</w:t>
            </w: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20,785</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2016</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Greenlawn Plaza (1)</w:t>
            </w:r>
          </w:p>
        </w:tc>
        <w:tc>
          <w:tcPr>
            <w:tcW w:w="1120" w:type="dxa"/>
            <w:vAlign w:val="bottom"/>
          </w:tcPr>
          <w:p>
            <w:pPr>
              <w:ind w:left="30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13,600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July 1, 2016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120" w:type="dxa"/>
            <w:vAlign w:val="bottom"/>
          </w:tcPr>
          <w:p>
            <w:pPr>
              <w:ind w:left="30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43,307</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24,050</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21,608</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70,070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120" w:type="dxa"/>
            <w:vAlign w:val="bottom"/>
          </w:tcPr>
          <w:p>
            <w:pPr>
              <w:ind w:left="30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4,704</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52,705</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80,000</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73,935</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11,500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Chelsea</w:t>
            </w:r>
          </w:p>
        </w:tc>
        <w:tc>
          <w:tcPr>
            <w:tcW w:w="1120" w:type="dxa"/>
            <w:vAlign w:val="bottom"/>
          </w:tcPr>
          <w:p>
            <w:pPr>
              <w:ind w:left="30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6,796</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504,978</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8,031</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513,009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Term loan (2)</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275,000</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+ 0.90%</w:t>
            </w:r>
          </w:p>
        </w:tc>
        <w:tc>
          <w:tcPr>
            <w:tcW w:w="194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7,239</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5,722</w:t>
            </w:r>
          </w:p>
        </w:tc>
        <w:tc>
          <w:tcPr>
            <w:tcW w:w="16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(municipal bonds) (3)</w:t>
            </w: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9,400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6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Revolving credit facility (4)</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600,000</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53,000</w:t>
            </w:r>
          </w:p>
        </w:tc>
        <w:tc>
          <w:tcPr>
            <w:tcW w:w="12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+ 0.90%</w:t>
            </w:r>
          </w:p>
        </w:tc>
        <w:tc>
          <w:tcPr>
            <w:tcW w:w="1940" w:type="dxa"/>
            <w:vAlign w:val="bottom"/>
          </w:tcPr>
          <w:p>
            <w:pPr>
              <w:jc w:val="right"/>
              <w:spacing w:after="0"/>
              <w:rPr>
                <w:sz w:val="20"/>
                <w:szCs w:val="20"/>
                <w:color w:val="auto"/>
              </w:rPr>
            </w:pPr>
            <w:r>
              <w:rPr>
                <w:rFonts w:ascii="Arial" w:cs="Arial" w:eastAsia="Arial" w:hAnsi="Arial"/>
                <w:sz w:val="16"/>
                <w:szCs w:val="16"/>
                <w:color w:val="auto"/>
              </w:rPr>
              <w:t>April 21, 2017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343,122</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6"/>
                <w:szCs w:val="16"/>
                <w:color w:val="auto"/>
              </w:rPr>
              <w:t>Net unamortized debt issuance costs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(1,502)</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341,620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5.90% notes</w:t>
            </w: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150,000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2.55% notes</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2.75% notes</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275,000</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300,000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1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450,000</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450,000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1,744,200</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(11,119)</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senior notes and debentures</w:t>
            </w: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1,733,081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1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71,612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2,659,322</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repaid these mortgage loans at par on April 1, 2016.</w:t>
      </w:r>
    </w:p>
    <w:p>
      <w:pPr>
        <w:spacing w:after="0" w:line="63"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8" w:lineRule="exact"/>
        <w:rPr>
          <w:rFonts w:ascii="Arial" w:cs="Arial" w:eastAsia="Arial" w:hAnsi="Arial"/>
          <w:sz w:val="18"/>
          <w:szCs w:val="18"/>
          <w:color w:val="auto"/>
        </w:rPr>
      </w:pPr>
    </w:p>
    <w:p>
      <w:pPr>
        <w:ind w:left="660" w:right="440" w:hanging="652"/>
        <w:spacing w:after="0" w:line="31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ind w:left="660" w:right="68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months ended March 31, 2016 was $251.5 million, and the weighted average interest rate on borrowings under our revolving credit facility, before</w:t>
      </w:r>
    </w:p>
    <w:p>
      <w:pPr>
        <w:sectPr>
          <w:pgSz w:w="11900" w:h="16838" w:orient="portrait"/>
          <w:cols w:equalWidth="0" w:num="1">
            <w:col w:w="11420"/>
          </w:cols>
          <w:pgMar w:left="240" w:top="126" w:right="239" w:bottom="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125" w:right="1440"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left="660" w:right="420"/>
        <w:spacing w:after="0" w:line="324" w:lineRule="auto"/>
        <w:rPr>
          <w:sz w:val="20"/>
          <w:szCs w:val="20"/>
          <w:color w:val="auto"/>
        </w:rPr>
      </w:pPr>
      <w:r>
        <w:rPr>
          <w:rFonts w:ascii="Arial" w:cs="Arial" w:eastAsia="Arial" w:hAnsi="Arial"/>
          <w:sz w:val="18"/>
          <w:szCs w:val="18"/>
          <w:color w:val="auto"/>
        </w:rPr>
        <w:t>amortization of debt fees, was 1.32%. On April 20, 2016, we upsized our existing $600.0 million revolving credit facility to $800.0 million and extended the maturity date to April 20, 2020. We also lowered the spread over LIBOR to 82.5 basis points.</w:t>
      </w:r>
    </w:p>
    <w:p>
      <w:pPr>
        <w:spacing w:after="0" w:line="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March 31, 2016,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March 31, 2016:</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Secured</w:t>
            </w: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9,834</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38,649</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48,509</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53,457</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222,469</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275,960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275,507</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15,477</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291,021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25,006</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25,609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150,623</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64,687</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215,356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1,597,340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138,690</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71,427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1,807,457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2,087,322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504,978</w:t>
            </w: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2,663,912</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2016 maturities include $34.4 million of mortgage loans which were repaid at par on April 1, 2016.</w:t>
      </w:r>
    </w:p>
    <w:p>
      <w:pPr>
        <w:spacing w:after="0" w:line="63" w:lineRule="exact"/>
        <w:rPr>
          <w:rFonts w:ascii="Arial" w:cs="Arial" w:eastAsia="Arial" w:hAnsi="Arial"/>
          <w:sz w:val="18"/>
          <w:szCs w:val="18"/>
          <w:color w:val="auto"/>
        </w:rPr>
      </w:pPr>
    </w:p>
    <w:p>
      <w:pPr>
        <w:ind w:left="660" w:right="20" w:hanging="652"/>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$600.0 million revolving credit facility matures on April 21, 2017, subject to a one-year extension at our option. As of March 31, 2016, there was $53.0 million outstanding under this credit facility. On April 20, 2016, we upsized our existing $600.0 million revolving credit facility to $800.0 million and extended the maturity date to April 20, 2020. We also lowered the spread over LIBOR to 82.5 basis points.</w:t>
      </w:r>
    </w:p>
    <w:p>
      <w:pPr>
        <w:spacing w:after="0" w:line="3" w:lineRule="exact"/>
        <w:rPr>
          <w:rFonts w:ascii="Arial" w:cs="Arial" w:eastAsia="Arial" w:hAnsi="Arial"/>
          <w:sz w:val="17"/>
          <w:szCs w:val="17"/>
          <w:color w:val="auto"/>
        </w:rPr>
      </w:pPr>
    </w:p>
    <w:p>
      <w:pPr>
        <w:ind w:left="660" w:right="38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and debt issuance costs on mortgage loans, notes payable, and senior notes as of March 31,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2016, we are party to two interest rate swap agreements that effectively fixed the rate on the term loan at 2.62%. Both swaps were designated and qualified as cash flow hedges and were recorded at fair value. Hedge ineffectiveness has not impacted earnings as of March 31, 2016, and we do not anticipate it will have a significant effect in the future.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6"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7"/>
              </w:rPr>
              <w:t>(In thousands,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change in control of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41,683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36,953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87,288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69,515</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Funds from operations available for common shareholders, per diluted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March 31, 2016,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majority of our outstanding debt obligations (maturing at various times through 2044 or, with respect to capital lease obligations, through 2106) have fixed interest rates which limit the risk of fluctuating interest rates. However, interest rate fluctuations may affect the fair value of our fixed rate debt instruments. At March 31, 2016, we had $2.5 billion of fixed-rate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debt outstanding, including our $275.0 million term loan as the rate is effectively fixed by two interest rate swap agreements; we also had $71.6 million of capital lease obligations. If market interest rates used to calculate the fair value on our fixed-rate debt instruments at March 31, 2016 had been 1.0% higher, the fair value of those debt instruments on that date would have decreased by approximately $157.6 million. If market interest rates used to calculate the fair value on our fixed-rate debt instruments at March 31, 2016 had been 1.0% lower, the fair value of those debt instruments on that date would have increased by approximately $179.1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Generally, we believe that our primary interest rate risk is due to fluctuations in interest rates on our variable rate debt. At March 31, 2016, we had $62.4 million of variable rate debt outstanding which consisted of $53.0 million on our revolving credit facility and $9.4 million of municipal bonds. Based upon this amount of variable rate debt and the specific terms, if market interest rates increased 1.0%, our annual interest expense would increase by approximately $0.6 million, and our net income and cash flows for the year would decrease by approximately $0.6 million. Conversely, if market interest rates decreased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 our annual interest expense would decrease by approximately $0.5 million with a corresponding increase in our net income and cash flows for the year.</w:t>
      </w:r>
    </w:p>
    <w:p>
      <w:pPr>
        <w:spacing w:after="0" w:line="200" w:lineRule="exact"/>
        <w:rPr>
          <w:sz w:val="20"/>
          <w:szCs w:val="20"/>
          <w:color w:val="auto"/>
        </w:rPr>
      </w:pPr>
    </w:p>
    <w:p>
      <w:pPr>
        <w:spacing w:after="0" w:line="2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2016. Based on this evaluation, our management, including our Chief Executive Officer and Chief Financial Officer, concluded that our disclosure controls and procedures were effective as of March 31, 2016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2015 filed with the SEC on February 9, 2016. These factors include, but are not limited to, the following:</w:t>
      </w:r>
    </w:p>
    <w:p>
      <w:pPr>
        <w:spacing w:after="0" w:line="8" w:lineRule="exact"/>
        <w:rPr>
          <w:sz w:val="20"/>
          <w:szCs w:val="20"/>
          <w:color w:val="auto"/>
        </w:rPr>
      </w:pPr>
    </w:p>
    <w:p>
      <w:pPr>
        <w:ind w:left="1700" w:right="40" w:hanging="801"/>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hanging="801"/>
        <w:spacing w:after="0" w:line="264"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20" w:hanging="801"/>
        <w:spacing w:after="0" w:line="264"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00" w:hanging="807"/>
        <w:spacing w:after="0" w:line="277" w:lineRule="auto"/>
        <w:tabs>
          <w:tab w:leader="none" w:pos="2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6" w:right="29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2760" w:hanging="807"/>
        <w:spacing w:after="0"/>
        <w:tabs>
          <w:tab w:leader="none" w:pos="2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60" w:hanging="807"/>
        <w:spacing w:after="0" w:line="277" w:lineRule="auto"/>
        <w:tabs>
          <w:tab w:leader="none" w:pos="2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80" w:hanging="801"/>
        <w:spacing w:after="0" w:line="286" w:lineRule="auto"/>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100" w:hanging="801"/>
        <w:spacing w:after="0" w:line="264"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an equivalent number of common shares, at our option. During the three months ended March 31, 2016, we redeemed 32,037 downREIT operating partnership units for common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stock repurchases for the three months ended March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40" w:type="dxa"/>
            <w:vAlign w:val="bottom"/>
          </w:tcPr>
          <w:p>
            <w:pPr>
              <w:spacing w:after="0"/>
              <w:rPr>
                <w:sz w:val="14"/>
                <w:szCs w:val="14"/>
                <w:color w:val="auto"/>
              </w:rPr>
            </w:pPr>
          </w:p>
        </w:tc>
        <w:tc>
          <w:tcPr>
            <w:tcW w:w="228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Maximum number or 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Average price paid per</w:t>
            </w:r>
          </w:p>
        </w:tc>
        <w:tc>
          <w:tcPr>
            <w:tcW w:w="1980" w:type="dxa"/>
            <w:vAlign w:val="bottom"/>
            <w:vMerge w:val="continue"/>
          </w:tcPr>
          <w:p>
            <w:pPr>
              <w:spacing w:after="0"/>
              <w:rPr>
                <w:sz w:val="12"/>
                <w:szCs w:val="12"/>
                <w:color w:val="auto"/>
              </w:rPr>
            </w:pPr>
          </w:p>
        </w:tc>
        <w:tc>
          <w:tcPr>
            <w:tcW w:w="2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dollar amount of shares that may yet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Period</w:t>
            </w:r>
          </w:p>
        </w:tc>
        <w:tc>
          <w:tcPr>
            <w:tcW w:w="2060" w:type="dxa"/>
            <w:vAlign w:val="bottom"/>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40" w:type="dxa"/>
            <w:vAlign w:val="bottom"/>
          </w:tcPr>
          <w:p>
            <w:pPr>
              <w:spacing w:after="0"/>
              <w:rPr>
                <w:sz w:val="12"/>
                <w:szCs w:val="12"/>
                <w:color w:val="auto"/>
              </w:rPr>
            </w:pPr>
          </w:p>
        </w:tc>
        <w:tc>
          <w:tcPr>
            <w:tcW w:w="22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 (1)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share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programs</w:t>
            </w:r>
          </w:p>
        </w:tc>
        <w:tc>
          <w:tcPr>
            <w:tcW w:w="0" w:type="dxa"/>
            <w:vAlign w:val="bottom"/>
          </w:tcPr>
          <w:p>
            <w:pPr>
              <w:spacing w:after="0"/>
              <w:rPr>
                <w:sz w:val="1"/>
                <w:szCs w:val="1"/>
                <w:color w:val="auto"/>
              </w:rPr>
            </w:pPr>
          </w:p>
        </w:tc>
      </w:tr>
      <w:tr>
        <w:trPr>
          <w:trHeight w:val="331"/>
        </w:trPr>
        <w:tc>
          <w:tcPr>
            <w:tcW w:w="40" w:type="dxa"/>
            <w:vAlign w:val="bottom"/>
            <w:tcBorders>
              <w:bottom w:val="single" w:sz="8" w:color="CCEEFF"/>
            </w:tcBorders>
            <w:shd w:val="clear" w:color="auto" w:fill="CCEEFF"/>
          </w:tcPr>
          <w:p>
            <w:pPr>
              <w:spacing w:after="0"/>
              <w:rPr>
                <w:sz w:val="24"/>
                <w:szCs w:val="24"/>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February 1, 2016 - February 29, 2016</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29,995</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144.89</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March 1, 2016 - March 31, 2016</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147.41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30,039</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144.90</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delivered in payment of withholding taxes in connection with restricted stock vesting by participants.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126" w:right="4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May 4,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640" w:val="left"/>
          <w:tab w:leader="none" w:pos="7980" w:val="left"/>
        </w:tabs>
        <w:rPr>
          <w:sz w:val="20"/>
          <w:szCs w:val="20"/>
          <w:color w:val="auto"/>
        </w:rPr>
      </w:pPr>
      <w:r>
        <w:rPr>
          <w:rFonts w:ascii="Arial" w:cs="Arial" w:eastAsia="Arial" w:hAnsi="Arial"/>
          <w:sz w:val="18"/>
          <w:szCs w:val="18"/>
          <w:color w:val="auto"/>
        </w:rPr>
        <w:t>May 4,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126" w:right="37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89"/>
              </w:rPr>
              <w:t>Indenture dated September 1, 1998 related to the Trust’s 5.65% Notes due 2016; 6.20% Notes due 2017; 5.95% Notes due 2014 and the 5.90%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Notes due 2020; 3.00% Notes due 2022; 2.75% Notes due 2023; 3.95% Notes due 2024; 4.50% Notes due 2044; and 2.55% Notes due 2021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(previously filed as Exhibit 4(a) to the Trust’s Registration Statement on Form S-3 (File No. 333-63619) filed on September 17, 1998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10.35 to the Trust's Annual Report on Form 10-K for the year ended December 31, 2010 (File No. 1-07533) (the "2010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6"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shares issued out of the 2010 Plan (previously filed as Exhibit 10.35 to the Trust's Annual Report on Form 10-K for the year ended December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Award 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458"/>
        </w:trPr>
        <w:tc>
          <w:tcPr>
            <w:tcW w:w="900" w:type="dxa"/>
            <w:vAlign w:val="bottom"/>
          </w:tcPr>
          <w:p>
            <w:pPr>
              <w:ind w:left="4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Second Amendment to Credit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party thereto, and Wells Fargo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April 26, 2016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Third Amendment to Term Loan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10.1 to the Trust's Current Report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8-K (File No. 1-07533), filed on April 26, 2016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60" w:hanging="1045"/>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March 31, 2016,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May 4, 2016</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James M. Taylor, Jr.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May 4, 2016</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2016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May 4, 2016</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2016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May 4, 2016</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lvl w:ilvl="1">
      <w:lvlJc w:val="left"/>
      <w:lvlText w:val="•"/>
      <w:numFmt w:val="bullet"/>
      <w:start w:val="1"/>
    </w:lvl>
  </w:abstractNum>
  <w:abstractNum w:abstractNumId="16">
    <w:nsid w:val="62BBD95A"/>
    <w:multiLevelType w:val="hybridMultilevel"/>
    <w:lvl w:ilvl="0">
      <w:lvlJc w:val="left"/>
      <w:lvlText w:val="•"/>
      <w:numFmt w:val="bullet"/>
      <w:start w:val="1"/>
    </w:lvl>
    <w:lvl w:ilvl="1">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2019-12-29T11:41:07Z</dcterms:created>
  <dcterms:modified xsi:type="dcterms:W3CDTF">2019-12-29T11:41:07Z</dcterms:modified>
</cp:coreProperties>
</file>