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Federal Realty Investment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313745101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313745101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Capital Research Global Investors</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95-1411037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2,411,353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2,411,353</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2,411,353 Beneficial ownership disclaimed pursuant to Rule 13d-4</w:t>
            </w: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Federal Realty Investment Trust</w:t>
      </w:r>
    </w:p>
    <w:p>
      <w:pPr>
        <w:spacing w:after="0" w:line="97" w:lineRule="exact"/>
        <w:rPr>
          <w:rFonts w:ascii="Times New Roman" w:cs="Times New Roman" w:eastAsia="Times New Roman" w:hAnsi="Times New Roman"/>
          <w:sz w:val="22"/>
          <w:szCs w:val="22"/>
          <w:b w:val="1"/>
          <w:bCs w:val="1"/>
          <w:color w:val="auto"/>
        </w:rPr>
      </w:pPr>
    </w:p>
    <w:p>
      <w:pPr>
        <w:ind w:left="1620" w:hanging="707"/>
        <w:spacing w:after="0"/>
        <w:tabs>
          <w:tab w:leader="none" w:pos="162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909 Rose Avenue, Suite 200, North Bethesda, MD 20852-4041</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Person Filing</w:t>
      </w:r>
    </w:p>
    <w:p>
      <w:pPr>
        <w:spacing w:after="0" w:line="18" w:lineRule="exact"/>
        <w:rPr>
          <w:rFonts w:ascii="Times New Roman" w:cs="Times New Roman" w:eastAsia="Times New Roman" w:hAnsi="Times New Roman"/>
          <w:sz w:val="22"/>
          <w:szCs w:val="22"/>
          <w:b w:val="1"/>
          <w:bCs w:val="1"/>
          <w:color w:val="auto"/>
        </w:rPr>
      </w:pPr>
    </w:p>
    <w:p>
      <w:pPr>
        <w:ind w:left="16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Capital Research Global Investors</w:t>
      </w:r>
    </w:p>
    <w:p>
      <w:pPr>
        <w:spacing w:after="0" w:line="97" w:lineRule="exact"/>
        <w:rPr>
          <w:rFonts w:ascii="Times New Roman" w:cs="Times New Roman" w:eastAsia="Times New Roman" w:hAnsi="Times New Roman"/>
          <w:sz w:val="22"/>
          <w:szCs w:val="22"/>
          <w:b w:val="1"/>
          <w:bCs w:val="1"/>
          <w:color w:val="auto"/>
        </w:rPr>
      </w:pPr>
    </w:p>
    <w:p>
      <w:pPr>
        <w:ind w:left="1620" w:right="402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333 South Hope Street, 55th Fl, Los Angeles, CA 90071</w:t>
      </w:r>
    </w:p>
    <w:p>
      <w:pPr>
        <w:spacing w:after="0" w:line="45" w:lineRule="exact"/>
        <w:rPr>
          <w:rFonts w:ascii="Times New Roman" w:cs="Times New Roman" w:eastAsia="Times New Roman" w:hAnsi="Times New Roman"/>
          <w:sz w:val="21"/>
          <w:szCs w:val="21"/>
          <w:b w:val="1"/>
          <w:bCs w:val="1"/>
          <w:color w:val="auto"/>
        </w:rPr>
      </w:pPr>
    </w:p>
    <w:p>
      <w:pPr>
        <w:ind w:left="1620" w:right="838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N/A</w:t>
      </w:r>
    </w:p>
    <w:p>
      <w:pPr>
        <w:spacing w:after="0" w:line="45" w:lineRule="exact"/>
        <w:rPr>
          <w:rFonts w:ascii="Times New Roman" w:cs="Times New Roman" w:eastAsia="Times New Roman" w:hAnsi="Times New Roman"/>
          <w:sz w:val="21"/>
          <w:szCs w:val="21"/>
          <w:b w:val="1"/>
          <w:bCs w:val="1"/>
          <w:color w:val="auto"/>
        </w:rPr>
      </w:pPr>
    </w:p>
    <w:p>
      <w:pPr>
        <w:ind w:left="1620" w:right="7020" w:hanging="707"/>
        <w:spacing w:after="0" w:line="262" w:lineRule="auto"/>
        <w:tabs>
          <w:tab w:leader="none" w:pos="162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620" w:right="7960" w:hanging="707"/>
        <w:spacing w:after="0" w:line="286" w:lineRule="auto"/>
        <w:tabs>
          <w:tab w:leader="none" w:pos="16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313745101</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ectPr>
          <w:pgSz w:w="11900" w:h="16838" w:orient="portrait"/>
          <w:cols w:equalWidth="0" w:num="1">
            <w:col w:w="11040"/>
          </w:cols>
          <w:pgMar w:left="400" w:top="419" w:right="459" w:bottom="0" w:gutter="0" w:footer="0" w:header="0"/>
        </w:sectPr>
      </w:pPr>
    </w:p>
    <w:p>
      <w:pPr>
        <w:spacing w:after="0" w:line="129"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(c)</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(d)</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(e)</w:t>
      </w:r>
      <w:r>
        <w:rPr>
          <w:sz w:val="20"/>
          <w:szCs w:val="20"/>
          <w:color w:val="auto"/>
        </w:rPr>
        <w:tab/>
      </w:r>
      <w:r>
        <w:rPr>
          <w:rFonts w:ascii="Times New Roman" w:cs="Times New Roman" w:eastAsia="Times New Roman" w:hAnsi="Times New Roman"/>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(f)</w:t>
      </w:r>
      <w:r>
        <w:rPr>
          <w:sz w:val="20"/>
          <w:szCs w:val="20"/>
          <w:color w:val="auto"/>
        </w:rPr>
        <w:tab/>
      </w:r>
      <w:r>
        <w:rPr>
          <w:rFonts w:ascii="Times New Roman" w:cs="Times New Roman" w:eastAsia="Times New Roman" w:hAnsi="Times New Roman"/>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(g)</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(h)</w:t>
      </w:r>
      <w:r>
        <w:rPr>
          <w:sz w:val="20"/>
          <w:szCs w:val="20"/>
          <w:color w:val="auto"/>
        </w:rPr>
        <w:tab/>
      </w:r>
      <w:r>
        <w:rPr>
          <w:rFonts w:ascii="Times New Roman" w:cs="Times New Roman" w:eastAsia="Times New Roman" w:hAnsi="Times New Roman"/>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Times New Roman" w:cs="Times New Roman" w:eastAsia="Times New Roman" w:hAnsi="Times New Roman"/>
          <w:sz w:val="22"/>
          <w:szCs w:val="22"/>
          <w:color w:val="auto"/>
        </w:rPr>
        <w:t>(j)</w:t>
      </w:r>
      <w:r>
        <w:rPr>
          <w:sz w:val="20"/>
          <w:szCs w:val="20"/>
          <w:color w:val="auto"/>
        </w:rPr>
        <w:tab/>
      </w:r>
      <w:r>
        <w:rPr>
          <w:rFonts w:ascii="Times New Roman" w:cs="Times New Roman" w:eastAsia="Times New Roman" w:hAnsi="Times New Roman"/>
          <w:sz w:val="22"/>
          <w:szCs w:val="22"/>
          <w:color w:val="auto"/>
        </w:rPr>
        <w:t>[ ]</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left="8" w:right="58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left="8" w:right="4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ind w:left="8" w:right="260"/>
        <w:spacing w:after="0" w:line="258" w:lineRule="auto"/>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77" w:lineRule="exact"/>
        <w:rPr>
          <w:sz w:val="20"/>
          <w:szCs w:val="20"/>
          <w:color w:val="auto"/>
        </w:rPr>
      </w:pPr>
    </w:p>
    <w:p>
      <w:pPr>
        <w:ind w:left="8"/>
        <w:spacing w:after="0"/>
        <w:rPr>
          <w:sz w:val="20"/>
          <w:szCs w:val="20"/>
          <w:color w:val="auto"/>
        </w:rPr>
      </w:pPr>
      <w:r>
        <w:rPr>
          <w:rFonts w:ascii="Times New Roman" w:cs="Times New Roman" w:eastAsia="Times New Roman" w:hAnsi="Times New Roman"/>
          <w:sz w:val="21"/>
          <w:szCs w:val="21"/>
          <w:color w:val="auto"/>
        </w:rPr>
        <w:t>A church plan that is excluded from the definition of an investment company under Section 3(c)</w:t>
      </w:r>
    </w:p>
    <w:p>
      <w:pPr>
        <w:spacing w:after="0" w:line="26" w:lineRule="exact"/>
        <w:rPr>
          <w:sz w:val="20"/>
          <w:szCs w:val="20"/>
          <w:color w:val="auto"/>
        </w:rPr>
      </w:pPr>
    </w:p>
    <w:p>
      <w:pPr>
        <w:ind w:left="8" w:right="3060" w:hanging="8"/>
        <w:spacing w:after="0" w:line="363" w:lineRule="auto"/>
        <w:tabs>
          <w:tab w:leader="none" w:pos="422"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(15 U.S.C. 80a-3); Group, in accordance with Rule 240.13d-1(b)(1)(ii)(J).</w:t>
      </w:r>
    </w:p>
    <w:p>
      <w:pPr>
        <w:spacing w:after="0" w:line="344" w:lineRule="exact"/>
        <w:rPr>
          <w:sz w:val="20"/>
          <w:szCs w:val="20"/>
          <w:color w:val="auto"/>
        </w:rPr>
      </w:pPr>
    </w:p>
    <w:p>
      <w:pPr>
        <w:sectPr>
          <w:pgSz w:w="11900" w:h="16838" w:orient="portrait"/>
          <w:cols w:equalWidth="0" w:num="2">
            <w:col w:w="1980" w:space="432"/>
            <w:col w:w="8628"/>
          </w:cols>
          <w:pgMar w:left="400" w:top="419" w:right="459" w:bottom="0" w:gutter="0" w:footer="0" w:header="0"/>
          <w:type w:val="continuous"/>
        </w:sect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2,411,353 **</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6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3.0%</w:t>
      </w:r>
    </w:p>
    <w:p>
      <w:pPr>
        <w:spacing w:after="0" w:line="125" w:lineRule="exact"/>
        <w:rPr>
          <w:rFonts w:ascii="Times New Roman" w:cs="Times New Roman" w:eastAsia="Times New Roman" w:hAnsi="Times New Roman"/>
          <w:sz w:val="22"/>
          <w:szCs w:val="22"/>
          <w:color w:val="auto"/>
        </w:rPr>
      </w:pPr>
    </w:p>
    <w:p>
      <w:pPr>
        <w:ind w:left="1620" w:hanging="707"/>
        <w:spacing w:after="0"/>
        <w:tabs>
          <w:tab w:leader="none" w:pos="16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125" w:lineRule="exact"/>
        <w:rPr>
          <w:rFonts w:ascii="Times New Roman" w:cs="Times New Roman" w:eastAsia="Times New Roman" w:hAnsi="Times New Roman"/>
          <w:sz w:val="22"/>
          <w:szCs w:val="22"/>
          <w:color w:val="auto"/>
        </w:rPr>
      </w:pPr>
    </w:p>
    <w:p>
      <w:pPr>
        <w:ind w:left="2420" w:hanging="805"/>
        <w:spacing w:after="0"/>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 power to dispose or to direct the disposition of</w:t>
      </w:r>
    </w:p>
    <w:p>
      <w:pPr>
        <w:spacing w:after="0" w:line="172" w:lineRule="exact"/>
        <w:rPr>
          <w:rFonts w:ascii="Times New Roman" w:cs="Times New Roman" w:eastAsia="Times New Roman" w:hAnsi="Times New Roman"/>
          <w:sz w:val="39"/>
          <w:szCs w:val="39"/>
          <w:color w:val="auto"/>
          <w:vertAlign w:val="subscript"/>
        </w:rPr>
      </w:pPr>
    </w:p>
    <w:p>
      <w:pPr>
        <w:ind w:left="2420" w:right="780" w:hanging="805"/>
        <w:spacing w:after="0" w:line="185" w:lineRule="auto"/>
        <w:tabs>
          <w:tab w:leader="none" w:pos="24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2,411,353</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2,411,353</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600" w:space="260"/>
            <w:col w:w="4180"/>
          </w:cols>
          <w:pgMar w:left="400" w:top="419" w:right="459" w:bottom="0" w:gutter="0" w:footer="0" w:header="0"/>
          <w:type w:val="continuous"/>
        </w:sectPr>
      </w:pPr>
    </w:p>
    <w:p>
      <w:pPr>
        <w:spacing w:after="0" w:line="251" w:lineRule="auto"/>
        <w:rPr>
          <w:sz w:val="20"/>
          <w:szCs w:val="20"/>
          <w:color w:val="auto"/>
        </w:rPr>
      </w:pPr>
      <w:r>
        <w:rPr>
          <w:rFonts w:ascii="Times New Roman" w:cs="Times New Roman" w:eastAsia="Times New Roman" w:hAnsi="Times New Roman"/>
          <w:sz w:val="21"/>
          <w:szCs w:val="21"/>
          <w:color w:val="auto"/>
        </w:rPr>
        <w:t>**Capital Research Global Investors ("CRGI")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CRGI's divisions of each of the investment management entities collectively provide investment management services under</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40"/>
        <w:spacing w:after="0" w:line="259" w:lineRule="auto"/>
        <w:rPr>
          <w:sz w:val="20"/>
          <w:szCs w:val="20"/>
          <w:color w:val="auto"/>
        </w:rPr>
      </w:pPr>
      <w:r>
        <w:rPr>
          <w:rFonts w:ascii="Times New Roman" w:cs="Times New Roman" w:eastAsia="Times New Roman" w:hAnsi="Times New Roman"/>
          <w:sz w:val="22"/>
          <w:szCs w:val="22"/>
          <w:color w:val="auto"/>
        </w:rPr>
        <w:t>the name "Capital Research Global Investors." CRGI is deemed to be the beneficial owner of 2,411,353 shares or 3.0% of the 81,618,162 shares believed to be outstanding.</w:t>
      </w:r>
    </w:p>
    <w:p>
      <w:pPr>
        <w:spacing w:after="0" w:line="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X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ind w:left="920" w:right="36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ind w:left="388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0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Capital Research Global Investors</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Donald H. Rolfe</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07, 2024</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Donald H. Rolfe</w:t>
      </w:r>
    </w:p>
    <w:p>
      <w:pPr>
        <w:spacing w:after="0" w:line="44" w:lineRule="exact"/>
        <w:rPr>
          <w:sz w:val="20"/>
          <w:szCs w:val="20"/>
          <w:color w:val="auto"/>
        </w:rPr>
      </w:pPr>
    </w:p>
    <w:p>
      <w:pPr>
        <w:ind w:left="600"/>
        <w:spacing w:after="0" w:line="258" w:lineRule="auto"/>
        <w:rPr>
          <w:sz w:val="20"/>
          <w:szCs w:val="20"/>
          <w:color w:val="auto"/>
        </w:rPr>
      </w:pPr>
      <w:r>
        <w:rPr>
          <w:rFonts w:ascii="Times New Roman" w:cs="Times New Roman" w:eastAsia="Times New Roman" w:hAnsi="Times New Roman"/>
          <w:sz w:val="22"/>
          <w:szCs w:val="22"/>
          <w:color w:val="auto"/>
        </w:rPr>
        <w:t>Title: Senior Vice President and Senior Counsel, Fund Business Management Group, Capital Research and Management Company</w:t>
      </w:r>
    </w:p>
    <w:sectPr>
      <w:pgSz w:w="11900" w:h="16838" w:orient="portrait"/>
      <w:cols w:equalWidth="0" w:num="1">
        <w:col w:w="9840"/>
      </w:cols>
      <w:pgMar w:left="1440" w:top="405"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decimal"/>
      <w:start w:val="14"/>
    </w:lvl>
  </w:abstractNum>
  <w:abstractNum w:abstractNumId="4">
    <w:nsid w:val="46E87CC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2024-02-09T16:56:34Z</dcterms:created>
  <dcterms:modified xsi:type="dcterms:W3CDTF">2024-02-09T16:56:34Z</dcterms:modified>
</cp:coreProperties>
</file>