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5"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580"/>
          </w:cols>
          <w:pgMar w:left="240" w:top="301"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01" w:right="89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500"/>
          </w:cols>
          <w:pgMar w:left="240" w:top="301"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01" w:right="89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August 4, 2010, Federal Realty Investment Trust issued supplemental data pertaining to its operations, as well as a press release, to report its financial results for the quarter ended June 30, 2010.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2010 (including press release dated August 4, 2010)</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400"/>
          </w:cols>
          <w:pgMar w:left="240" w:top="274" w:right="2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u w:val="single" w:color="auto"/>
          <w:color w:val="auto"/>
        </w:rPr>
        <w:t>Exh No.</w:t>
      </w:r>
      <w:r>
        <w:rPr>
          <w:sz w:val="20"/>
          <w:szCs w:val="20"/>
          <w:color w:val="auto"/>
        </w:rPr>
        <w:tab/>
      </w:r>
      <w:r>
        <w:rPr>
          <w:rFonts w:ascii="Arial" w:cs="Arial" w:eastAsia="Arial" w:hAnsi="Arial"/>
          <w:sz w:val="12"/>
          <w:szCs w:val="12"/>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7620</wp:posOffset>
            </wp:positionV>
            <wp:extent cx="6740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2010</w:t>
      </w:r>
    </w:p>
    <w:p>
      <w:pPr>
        <w:sectPr>
          <w:pgSz w:w="11900" w:h="16838" w:orient="portrait"/>
          <w:cols w:equalWidth="0" w:num="1">
            <w:col w:w="10219"/>
          </w:cols>
          <w:pgMar w:left="240" w:top="28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680" w:type="dxa"/>
            <w:vAlign w:val="bottom"/>
          </w:tcPr>
          <w:p>
            <w:pPr>
              <w:jc w:val="right"/>
              <w:ind w:right="4672"/>
              <w:spacing w:after="0"/>
              <w:rPr>
                <w:sz w:val="20"/>
                <w:szCs w:val="20"/>
                <w:color w:val="auto"/>
              </w:rPr>
            </w:pPr>
            <w:r>
              <w:rPr>
                <w:rFonts w:ascii="Arial" w:cs="Arial" w:eastAsia="Arial" w:hAnsi="Arial"/>
                <w:sz w:val="18"/>
                <w:szCs w:val="18"/>
                <w:b w:val="1"/>
                <w:bCs w:val="1"/>
                <w:color w:val="auto"/>
                <w:w w:val="97"/>
              </w:rPr>
              <w:t>TABLE OF CONTENTS</w:t>
            </w:r>
          </w:p>
        </w:tc>
      </w:tr>
      <w:tr>
        <w:trPr>
          <w:trHeight w:val="41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1.</w:t>
            </w:r>
          </w:p>
        </w:tc>
        <w:tc>
          <w:tcPr>
            <w:tcW w:w="4500" w:type="dxa"/>
            <w:vAlign w:val="bottom"/>
          </w:tcPr>
          <w:p>
            <w:pPr>
              <w:ind w:left="100"/>
              <w:spacing w:after="0"/>
              <w:rPr>
                <w:sz w:val="20"/>
                <w:szCs w:val="20"/>
                <w:color w:val="auto"/>
              </w:rPr>
            </w:pPr>
            <w:r>
              <w:rPr>
                <w:rFonts w:ascii="Arial" w:cs="Arial" w:eastAsia="Arial" w:hAnsi="Arial"/>
                <w:sz w:val="18"/>
                <w:szCs w:val="18"/>
                <w:color w:val="auto"/>
              </w:rPr>
              <w:t>Second Quarter 2010 Earnings Press Release</w:t>
            </w:r>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4500" w:type="dxa"/>
            <w:vAlign w:val="bottom"/>
          </w:tcPr>
          <w:p>
            <w:pPr>
              <w:ind w:left="100"/>
              <w:spacing w:after="0"/>
              <w:rPr>
                <w:sz w:val="20"/>
                <w:szCs w:val="20"/>
                <w:color w:val="auto"/>
              </w:rPr>
            </w:pPr>
            <w:r>
              <w:rPr>
                <w:rFonts w:ascii="Arial" w:cs="Arial" w:eastAsia="Arial" w:hAnsi="Arial"/>
                <w:sz w:val="18"/>
                <w:szCs w:val="18"/>
                <w:color w:val="auto"/>
              </w:rPr>
              <w:t>Financial Highlights</w:t>
            </w:r>
          </w:p>
        </w:tc>
        <w:tc>
          <w:tcPr>
            <w:tcW w:w="66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Income Statements</w:t>
            </w:r>
          </w:p>
        </w:tc>
        <w:tc>
          <w:tcPr>
            <w:tcW w:w="6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Balance Sheets</w:t>
            </w:r>
          </w:p>
        </w:tc>
        <w:tc>
          <w:tcPr>
            <w:tcW w:w="6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w w:val="89"/>
              </w:rPr>
              <w:t>Funds From Operations / Summary of Capital Expenditures</w:t>
            </w:r>
          </w:p>
        </w:tc>
        <w:tc>
          <w:tcPr>
            <w:tcW w:w="6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Market Data</w:t>
            </w:r>
          </w:p>
        </w:tc>
        <w:tc>
          <w:tcPr>
            <w:tcW w:w="6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240" w:type="dxa"/>
            <w:vAlign w:val="bottom"/>
          </w:tcPr>
          <w:p>
            <w:pPr>
              <w:spacing w:after="0"/>
              <w:rPr>
                <w:sz w:val="19"/>
                <w:szCs w:val="19"/>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Components of Rental Income</w:t>
            </w:r>
          </w:p>
        </w:tc>
        <w:tc>
          <w:tcPr>
            <w:tcW w:w="66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Outstanding Debt and Capital Lease Obligations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8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Debt Maturities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76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76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76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6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6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6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6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60" w:type="dxa"/>
            <w:vAlign w:val="bottom"/>
          </w:tcPr>
          <w:p>
            <w:pPr>
              <w:ind w:left="60"/>
              <w:spacing w:after="0"/>
              <w:rPr>
                <w:sz w:val="20"/>
                <w:szCs w:val="20"/>
                <w:color w:val="auto"/>
              </w:rPr>
            </w:pPr>
            <w:r>
              <w:rPr>
                <w:rFonts w:ascii="Arial" w:cs="Arial" w:eastAsia="Arial" w:hAnsi="Arial"/>
                <w:sz w:val="18"/>
                <w:szCs w:val="18"/>
                <w:color w:val="auto"/>
              </w:rPr>
              <w:t>30% Owned Joint Venture Disclosure</w:t>
            </w:r>
          </w:p>
        </w:tc>
        <w:tc>
          <w:tcPr>
            <w:tcW w:w="338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Summarized Income Statements and Balance Sheets</w:t>
            </w:r>
          </w:p>
        </w:tc>
        <w:tc>
          <w:tcPr>
            <w:tcW w:w="3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Outstanding Debt and Debt Maturities</w:t>
            </w:r>
          </w:p>
        </w:tc>
        <w:tc>
          <w:tcPr>
            <w:tcW w:w="3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8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Real Estate Status Report</w:t>
            </w:r>
          </w:p>
        </w:tc>
        <w:tc>
          <w:tcPr>
            <w:tcW w:w="3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6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3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17, 2010.</w:t>
      </w:r>
    </w:p>
    <w:p>
      <w:pPr>
        <w:sectPr>
          <w:pgSz w:w="11900" w:h="16838" w:orient="portrait"/>
          <w:cols w:equalWidth="0" w:num="1">
            <w:col w:w="11360"/>
          </w:cols>
          <w:pgMar w:left="240" w:top="274"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372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5360" w:type="dxa"/>
            <w:vAlign w:val="bottom"/>
          </w:tcPr>
          <w:p>
            <w:pPr>
              <w:spacing w:after="0"/>
              <w:rPr>
                <w:sz w:val="19"/>
                <w:szCs w:val="19"/>
                <w:color w:val="auto"/>
              </w:rPr>
            </w:pPr>
          </w:p>
        </w:tc>
      </w:tr>
      <w:tr>
        <w:trPr>
          <w:trHeight w:val="286"/>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53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3400" w:type="dxa"/>
            <w:vAlign w:val="bottom"/>
          </w:tcPr>
          <w:p>
            <w:pPr>
              <w:spacing w:after="0"/>
              <w:rPr>
                <w:sz w:val="19"/>
                <w:szCs w:val="19"/>
                <w:color w:val="auto"/>
              </w:rPr>
            </w:pPr>
          </w:p>
        </w:tc>
        <w:tc>
          <w:tcPr>
            <w:tcW w:w="5360" w:type="dxa"/>
            <w:vAlign w:val="bottom"/>
          </w:tcPr>
          <w:p>
            <w:pPr>
              <w:ind w:left="3120"/>
              <w:spacing w:after="0"/>
              <w:rPr>
                <w:sz w:val="20"/>
                <w:szCs w:val="20"/>
                <w:color w:val="auto"/>
              </w:rPr>
            </w:pPr>
            <w:r>
              <w:rPr>
                <w:rFonts w:ascii="Arial" w:cs="Arial" w:eastAsia="Arial" w:hAnsi="Arial"/>
                <w:sz w:val="18"/>
                <w:szCs w:val="18"/>
                <w:color w:val="auto"/>
              </w:rPr>
              <w:t>Janelle Stevenson</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360" w:type="dxa"/>
            <w:vAlign w:val="bottom"/>
          </w:tcPr>
          <w:p>
            <w:pPr>
              <w:ind w:left="31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3400" w:type="dxa"/>
            <w:vAlign w:val="bottom"/>
          </w:tcPr>
          <w:p>
            <w:pPr>
              <w:spacing w:after="0"/>
              <w:rPr>
                <w:sz w:val="18"/>
                <w:szCs w:val="18"/>
                <w:color w:val="auto"/>
              </w:rPr>
            </w:pPr>
          </w:p>
        </w:tc>
        <w:tc>
          <w:tcPr>
            <w:tcW w:w="5360" w:type="dxa"/>
            <w:vAlign w:val="bottom"/>
          </w:tcPr>
          <w:p>
            <w:pPr>
              <w:ind w:left="3120"/>
              <w:spacing w:after="0"/>
              <w:rPr>
                <w:sz w:val="20"/>
                <w:szCs w:val="20"/>
                <w:color w:val="auto"/>
              </w:rPr>
            </w:pPr>
            <w:r>
              <w:rPr>
                <w:rFonts w:ascii="Arial" w:cs="Arial" w:eastAsia="Arial" w:hAnsi="Arial"/>
                <w:sz w:val="18"/>
                <w:szCs w:val="18"/>
                <w:color w:val="auto"/>
              </w:rPr>
              <w:t>301/998-8185</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5360" w:type="dxa"/>
            <w:vAlign w:val="bottom"/>
          </w:tcPr>
          <w:p>
            <w:pPr>
              <w:ind w:left="312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SECOND QUARTER 2010 OPERATING RESULTS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Common dividend increased for 43rd consecutive year —</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ROCKVILLE, Md. (August 4, 2010) – Federal Realty Investment Trust (NYSE:FRT) today reported operating results for its second quarter ended June 30,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the second quarter 2010, Federal Realty generated funds from operations available for common shareholders (FFO) of $60.3 million or $0.98 per diluted share. This compares to FFO of $57.4 million, or $0.97 per diluted share, in second quarter 2009. For the six months ended June 30, 2010, Federal Realty reported FFO of $118.1 million, or $1.92 per diluted share, compared to $95.4 million, or $1.61 per diluted share for the same six-month period in 2009.</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income available for common shareholders was $31.0 million and earnings per diluted share was $0.50 for the quarter ended June 30, 2010 versus $28.3 million and $0.48, respectively, for second quarter 2009. Year-to-date, Federal Realty reported net income available for common shareholders of $60.1 million and earnings per diluted share of $0.98. This compares to net income available for common shareholders of $38.6 million and earnings per diluted share of $0.65 for the six months ended June 30, 2009.</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Year-to-date 2009 results included a litigation provision of $20.8 million, or $0.34 per diluted share, related to a lawsuit involving a property adjacent to Santana Row. Excluding this litigation provision, FFO for the six months ended June 30, 2009 was $116.1 million, or $1.95 per diluted share; net income available for common shareholders was $59.4 million and earnings per diluted share was $1.00.</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4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second quarter 2010, same-center property operating income increased 3.4% over second quarter 2009. When redevelopment and expansion properties are excluded from same-center results, property operating income for second quarter 2010 increased 4.2% compared to second quarter 2009.</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overall portfolio was 94.2% leased as of June 30, 2010, compared to 94.1% on March 31, 2010 and 94.0% on June 30, 2009. Federal Realty’s same-center portfolio was 94.7% leased on June 30, 2010, compared to 94.6% on March 31, 2010 and 94.2% on June 30, 2009.</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second quarter of 2010, Federal Realty signed 82 leases for 319,000 square feet of retail space. On a comparable space basis (i.e., spaces for which there was a former tenant), the Trust leased 308,000 square feet at an average cash-basis contractual rent increase per square foot (i.e., excluding the impact of straight-line rents) of 4%. The average contractual rent on this comparable space for the first year of the new leases is $27.62 per square foot, compared to the average contractual rent of $26.64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13% for second quarter 2010. As of June 30, 2010, Federal Realty’s average contractual, cash basis minimum rent for retail and commercial space in its portfolio was $22.55 per square foot.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also announced today that its Board of Trustees increased the dividend rate on its common shares, declaring a regular quarterly cash dividend of $0.67 per share, resulting in an indicated annual rate of $2.68 per share, an increase of 1.5%. The regular common dividend will be payable on October 15, 2010, to common shareholders of record as of September 23, 2010. This increase represents the 43</w:t>
      </w:r>
      <w:r>
        <w:rPr>
          <w:rFonts w:ascii="Arial" w:cs="Arial" w:eastAsia="Arial" w:hAnsi="Arial"/>
          <w:sz w:val="10"/>
          <w:szCs w:val="10"/>
          <w:color w:val="auto"/>
        </w:rPr>
        <w:t>rd</w:t>
      </w:r>
      <w:r>
        <w:rPr>
          <w:rFonts w:ascii="Arial" w:cs="Arial" w:eastAsia="Arial" w:hAnsi="Arial"/>
          <w:sz w:val="16"/>
          <w:szCs w:val="16"/>
          <w:color w:val="auto"/>
        </w:rPr>
        <w:t xml:space="preserve"> consecutive year that Federal Realty has increased its common dividend, the longest record of consecutive annual dividend increases in the REIT sector.</w:t>
      </w:r>
    </w:p>
    <w:p>
      <w:pPr>
        <w:spacing w:after="0" w:line="113"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“Our strong performance throughout 2009 and to date in 2010 supports our decision to raise our common dividend and continue our record of dividend achievement,” said Don Wood, president and chief executive officer. “Owning and operating a portfolio of high quality retail assets, combined with a solid balance sheet and our disciplined approach to external growth has resulted in consistent performance as we negotiate this difficult economic environment.”</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Federal Realty increased its guidance for 2010 FFO per diluted share to a range of $3.84 to $3.89, and provided 2010 earnings per diluted share guidance of $1.94 to $1.99.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Portfolio Expansion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2010 to date, Federal Realty has committed approximately $60 million of acquisition capital to strengthen its presence in the core markets of Boston, Southern California, Long Island, New York and Bethesda, Maryland.</w:t>
      </w:r>
    </w:p>
    <w:p>
      <w:pPr>
        <w:spacing w:after="0" w:line="51" w:lineRule="exact"/>
        <w:rPr>
          <w:sz w:val="20"/>
          <w:szCs w:val="20"/>
          <w:color w:val="auto"/>
        </w:rPr>
      </w:pPr>
    </w:p>
    <w:p>
      <w:pPr>
        <w:ind w:left="900" w:hanging="325"/>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Realty formed a joint venture with affiliates of Taurus Investment Holdings LLC, in which the Trust has an 85% interest, to expand the Trust’s concentration in Boston. The joint venture plans to acquire, redevelop, and operate up to $200 million of urban mixed-use properties in the Back Bay section of Boston, Massachusetts. Concurrent with the formation of the partnership, the joint venture acquired 111-115 Newbury Street and 127-129 Newbury Street. Taurus Investment Holdings LLC and UrbanMeritage LLC will manage, operate and lease the buildings on behalf of the partnership.</w:t>
      </w:r>
    </w:p>
    <w:p>
      <w:pPr>
        <w:spacing w:after="0" w:line="61" w:lineRule="exact"/>
        <w:rPr>
          <w:rFonts w:ascii="Arial" w:cs="Arial" w:eastAsia="Arial" w:hAnsi="Arial"/>
          <w:sz w:val="18"/>
          <w:szCs w:val="18"/>
          <w:color w:val="auto"/>
        </w:rPr>
      </w:pPr>
    </w:p>
    <w:p>
      <w:pPr>
        <w:ind w:left="900" w:right="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Trust has committed to acquire the former Mervyn’s building located adjacent to its Escondido Promenade in Escondido, California. Mervyn’s had been operating as a shadow anchor to the property since Escondido Promenade’s original opening in 1987 before ceasing operations in late 2008. Federal Realty is in significant lease discussions with two anchor users to occupy the former Mervyn’s space.</w:t>
      </w:r>
    </w:p>
    <w:p>
      <w:pPr>
        <w:spacing w:after="0" w:line="25" w:lineRule="exact"/>
        <w:rPr>
          <w:rFonts w:ascii="Arial" w:cs="Arial" w:eastAsia="Arial" w:hAnsi="Arial"/>
          <w:sz w:val="16"/>
          <w:szCs w:val="16"/>
          <w:color w:val="auto"/>
        </w:rPr>
      </w:pPr>
    </w:p>
    <w:p>
      <w:pPr>
        <w:ind w:left="900" w:right="160" w:hanging="325"/>
        <w:spacing w:after="0" w:line="305"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Federal Realty has contracted to acquire Huntington Square, a 268,000 square foot community shopping center, shadow-anchored by Sears, located on Long Island in East Northport, New York. Huntington Square will increase Federal Realty’s presence in Queens and Long Island to nearly</w:t>
      </w:r>
    </w:p>
    <w:p>
      <w:pPr>
        <w:ind w:left="900" w:right="240"/>
        <w:spacing w:after="0" w:line="261" w:lineRule="auto"/>
        <w:rPr>
          <w:rFonts w:ascii="Arial" w:cs="Arial" w:eastAsia="Arial" w:hAnsi="Arial"/>
          <w:sz w:val="15"/>
          <w:szCs w:val="15"/>
          <w:color w:val="auto"/>
        </w:rPr>
      </w:pPr>
      <w:r>
        <w:rPr>
          <w:rFonts w:ascii="Arial" w:cs="Arial" w:eastAsia="Arial" w:hAnsi="Arial"/>
          <w:sz w:val="18"/>
          <w:szCs w:val="18"/>
          <w:color w:val="auto"/>
        </w:rPr>
        <w:t>1.5 million square feet of retail space including Forest Hills, Fresh Meadows, Hauppauge Shopping Center, Huntington Shopping Center, Melville Mall, and Greenlawn Plaza.</w:t>
      </w:r>
    </w:p>
    <w:p>
      <w:pPr>
        <w:spacing w:after="0" w:line="56" w:lineRule="exact"/>
        <w:rPr>
          <w:rFonts w:ascii="Arial" w:cs="Arial" w:eastAsia="Arial" w:hAnsi="Arial"/>
          <w:sz w:val="15"/>
          <w:szCs w:val="15"/>
          <w:color w:val="auto"/>
        </w:rPr>
      </w:pPr>
    </w:p>
    <w:p>
      <w:pPr>
        <w:ind w:left="900" w:right="1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Realty is under contract to purchase the fee interest in the land underlying a portion of Bethesda Row in Bethesda, Maryland. The land currently underlies shops along the south side of Bethesda Avenue, stretching from the Apple to Amethyst stores, and includes a surface parking lot in the rear.</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“Upon the completion of these transactions, Federal Realty will have invested approximately $60 million with the ability to create additional value over time through releasing and redevelopment,” said Jeff Berkes, executive vice president and chief investment officer. “Strengthening our presence in our core markets by acquiring new assets and increasing our investment in our existing portfolio not only produces strong risk-adjusted returns but also provides us with better operational and ownership flexibility throughout the entire portfolio.”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2010 earnings conference call, which is scheduled for August 5, 2010, at 11 a.m. Eastern Daylight Time. To participate, please call (866) 730-5768 five to ten minutes prior to the call start time and use the passcode FRT EARNINGS (required). Federal Realty will also provide an online webcast on the Company’s website, www.federalrealty.com, which will remain available for 30 days following the call. A telephone recording of the call will also be available through September 4, 2010, by dialing (888) 286-8010 and using the passcode 25364905.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June 30, 2010, with no single tenant accounting for more than approximately 2.7% of annualized base rent. Federal Realty has paid quarterly dividends to its shareholders continuously since its founding in 1962, and has increased its dividend rate for 43 consecutive years, the longest record in the REIT industry. Federal Realty is an S&amp;P MidCap 400 company and its shares are traded on the NYSE under the symbol FRT. For more information, please visit www.federalrealty.com.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260" w:hanging="325"/>
        <w:spacing w:after="0" w:line="259"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i w:val="1"/>
          <w:iCs w:val="1"/>
          <w:color w:val="auto"/>
        </w:rPr>
        <w:t>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17, 2010.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thousands,</w:t>
            </w:r>
          </w:p>
        </w:tc>
        <w:tc>
          <w:tcPr>
            <w:tcW w:w="3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78"/>
              </w:rPr>
              <w:t>except</w:t>
            </w:r>
          </w:p>
        </w:tc>
        <w:tc>
          <w:tcPr>
            <w:tcW w:w="9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130,256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w w:val="86"/>
              </w:rPr>
              <w:t>126,090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261,748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133,835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130,338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272,305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261,414</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14,905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14,821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30,009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157,208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55,403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115,097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(25,418)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(25,830)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(51,380)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partnerships</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30,958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29,250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61,512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 -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 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30,979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28,282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58,917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59,042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vMerge w:val="restart"/>
          </w:tcPr>
          <w:p>
            <w:pPr>
              <w:jc w:val="right"/>
              <w:ind w:right="179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73"/>
              <w:spacing w:after="0" w:line="12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(including $86,954 and $68,643 of consolidated variable interest entities, respectively)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3,660,541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144,987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3,805,528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4"/>
              </w:rPr>
              <w:t>Less accumulated depreciation and amortization (including $3,524 and $3,053 of consolidated variable interest entities,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(987,318)</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2,818,210</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4"/>
                <w:szCs w:val="24"/>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23,557</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72,814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Mortgage notes receivable, net</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42,289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51,930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3,103,645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2"/>
              </w:rPr>
              <w:t>Mortgages payable and capital lease obligations (including $23,105 and $23,417 of consolidated variable interest entities,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596,261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20,997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1,079,880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1,909,240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2,013,246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9,997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1,153,121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1,167,340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1,163,118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1,177,337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1,194,405</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3,103,645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80"/>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672"/>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9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82"/>
              </w:rPr>
              <w:t>June 30,</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except</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per share</w:t>
            </w: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 (2)</w:t>
            </w:r>
          </w:p>
        </w:tc>
        <w:tc>
          <w:tcPr>
            <w:tcW w:w="2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32,368</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29,794</w:t>
            </w: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432"/>
              <w:spacing w:after="0"/>
              <w:rPr>
                <w:sz w:val="20"/>
                <w:szCs w:val="20"/>
                <w:color w:val="auto"/>
              </w:rPr>
            </w:pPr>
            <w:r>
              <w:rPr>
                <w:rFonts w:ascii="Arial" w:cs="Arial" w:eastAsia="Arial" w:hAnsi="Arial"/>
                <w:sz w:val="18"/>
                <w:szCs w:val="18"/>
                <w:color w:val="auto"/>
              </w:rPr>
              <w:t>62,922</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4"/>
              </w:rPr>
              <w:t>(1,254)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(1,377)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(2,588)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94"/>
              </w:rPr>
              <w:t>(1,410)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53,884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4,797</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gridSpan w:val="5"/>
          </w:tcPr>
          <w:p>
            <w:pPr>
              <w:ind w:left="420"/>
              <w:spacing w:after="0"/>
              <w:rPr>
                <w:sz w:val="20"/>
                <w:szCs w:val="20"/>
                <w:color w:val="auto"/>
              </w:rPr>
            </w:pPr>
            <w:r>
              <w:rPr>
                <w:rFonts w:ascii="Arial" w:cs="Arial" w:eastAsia="Arial" w:hAnsi="Arial"/>
                <w:sz w:val="18"/>
                <w:szCs w:val="18"/>
                <w:color w:val="auto"/>
              </w:rPr>
              <w:t>Funds from operations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60,407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57,449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w w:val="86"/>
              </w:rPr>
              <w:t>118,301</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95,475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5"/>
          </w:tcPr>
          <w:p>
            <w:pPr>
              <w:ind w:left="420"/>
              <w:spacing w:after="0"/>
              <w:rPr>
                <w:sz w:val="20"/>
                <w:szCs w:val="20"/>
                <w:color w:val="auto"/>
              </w:rPr>
            </w:pPr>
            <w:r>
              <w:rPr>
                <w:rFonts w:ascii="Arial" w:cs="Arial" w:eastAsia="Arial" w:hAnsi="Arial"/>
                <w:sz w:val="18"/>
                <w:szCs w:val="18"/>
                <w:color w:val="auto"/>
              </w:rPr>
              <w:t>FFO</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60,315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57,366</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118,127</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Litigation provision, net of allocation to unvested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6"/>
          </w:tcPr>
          <w:p>
            <w:pPr>
              <w:spacing w:after="0"/>
              <w:rPr>
                <w:sz w:val="20"/>
                <w:szCs w:val="20"/>
                <w:color w:val="auto"/>
              </w:rPr>
            </w:pPr>
            <w:r>
              <w:rPr>
                <w:rFonts w:ascii="Arial" w:cs="Arial" w:eastAsia="Arial" w:hAnsi="Arial"/>
                <w:sz w:val="18"/>
                <w:szCs w:val="18"/>
                <w:color w:val="auto"/>
              </w:rPr>
              <w:t>FFO excluding litigation provision</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60,487</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57,490</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w w:val="86"/>
              </w:rPr>
              <w:t>118,413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Litigation provision per diluted share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gridSpan w:val="5"/>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61,680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59,414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61,636</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Summary of Capital Expenditures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Redevelopment and expansions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14,332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23,724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5"/>
          </w:tcPr>
          <w:p>
            <w:pPr>
              <w:ind w:left="860"/>
              <w:spacing w:after="0"/>
              <w:rPr>
                <w:sz w:val="20"/>
                <w:szCs w:val="20"/>
                <w:color w:val="auto"/>
              </w:rPr>
            </w:pPr>
            <w:r>
              <w:rPr>
                <w:rFonts w:ascii="Arial" w:cs="Arial" w:eastAsia="Arial" w:hAnsi="Arial"/>
                <w:sz w:val="18"/>
                <w:szCs w:val="18"/>
                <w:color w:val="auto"/>
              </w:rPr>
              <w:t>Tenant improvements and incentives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20,448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29,719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5"/>
          </w:tcPr>
          <w:p>
            <w:pPr>
              <w:ind w:left="420"/>
              <w:spacing w:after="0"/>
              <w:rPr>
                <w:sz w:val="20"/>
                <w:szCs w:val="20"/>
                <w:color w:val="auto"/>
              </w:rPr>
            </w:pPr>
            <w:r>
              <w:rPr>
                <w:rFonts w:ascii="Arial" w:cs="Arial" w:eastAsia="Arial" w:hAnsi="Arial"/>
                <w:sz w:val="18"/>
                <w:szCs w:val="18"/>
                <w:color w:val="auto"/>
              </w:rPr>
              <w:t>Maintenance capital expenditures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20,586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33,612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48,227</w:t>
            </w:r>
          </w:p>
        </w:tc>
        <w:tc>
          <w:tcPr>
            <w:tcW w:w="0" w:type="dxa"/>
            <w:vAlign w:val="bottom"/>
          </w:tcPr>
          <w:p>
            <w:pPr>
              <w:spacing w:after="0"/>
              <w:rPr>
                <w:sz w:val="1"/>
                <w:szCs w:val="1"/>
                <w:color w:val="auto"/>
              </w:rPr>
            </w:pPr>
          </w:p>
        </w:tc>
      </w:tr>
      <w:tr>
        <w:trPr>
          <w:trHeight w:val="20"/>
        </w:trPr>
        <w:tc>
          <w:tcPr>
            <w:tcW w:w="7240" w:type="dxa"/>
            <w:vAlign w:val="bottom"/>
            <w:gridSpan w:val="6"/>
            <w:vMerge w:val="restart"/>
          </w:tcPr>
          <w:p>
            <w:pPr>
              <w:spacing w:after="0"/>
              <w:rPr>
                <w:sz w:val="20"/>
                <w:szCs w:val="20"/>
                <w:color w:val="auto"/>
              </w:rPr>
            </w:pPr>
            <w:r>
              <w:rPr>
                <w:rFonts w:ascii="Arial" w:cs="Arial" w:eastAsia="Arial" w:hAnsi="Arial"/>
                <w:sz w:val="18"/>
                <w:szCs w:val="18"/>
                <w:color w:val="auto"/>
              </w:rPr>
              <w:t>Dividends and Payout Ratios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40,524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38,444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81,003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76,848</w:t>
            </w:r>
          </w:p>
        </w:tc>
        <w:tc>
          <w:tcPr>
            <w:tcW w:w="0" w:type="dxa"/>
            <w:vAlign w:val="bottom"/>
          </w:tcPr>
          <w:p>
            <w:pPr>
              <w:spacing w:after="0"/>
              <w:rPr>
                <w:sz w:val="1"/>
                <w:szCs w:val="1"/>
                <w:color w:val="auto"/>
              </w:rPr>
            </w:pPr>
          </w:p>
        </w:tc>
      </w:tr>
      <w:tr>
        <w:trPr>
          <w:trHeight w:val="322"/>
        </w:trPr>
        <w:tc>
          <w:tcPr>
            <w:tcW w:w="7240" w:type="dxa"/>
            <w:vAlign w:val="bottom"/>
            <w:gridSpan w:val="6"/>
          </w:tcPr>
          <w:p>
            <w:pPr>
              <w:spacing w:after="0"/>
              <w:rPr>
                <w:sz w:val="20"/>
                <w:szCs w:val="20"/>
                <w:color w:val="auto"/>
              </w:rPr>
            </w:pPr>
            <w:r>
              <w:rPr>
                <w:rFonts w:ascii="Arial" w:cs="Arial" w:eastAsia="Arial" w:hAnsi="Arial"/>
                <w:sz w:val="18"/>
                <w:szCs w:val="18"/>
                <w:color w:val="auto"/>
              </w:rPr>
              <w:t>Dividend payout ratio as a percentage of FFO</w:t>
            </w:r>
          </w:p>
        </w:tc>
        <w:tc>
          <w:tcPr>
            <w:tcW w:w="80" w:type="dxa"/>
            <w:vAlign w:val="bottom"/>
          </w:tcPr>
          <w:p>
            <w:pPr>
              <w:spacing w:after="0"/>
              <w:rPr>
                <w:sz w:val="24"/>
                <w:szCs w:val="2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 excluding litigation provision (2)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140" w:hanging="452"/>
        <w:spacing w:after="0" w:line="33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Net income includes certain costs related to the litigation and appeal process over a parcel of land adjacent to Santana Row; net income for the six months ended June 30, 2009 also includes a $20.6 million charge for increasing the accrual for such litigation matter. We believe FFO excluding this litigation provision provides a more meaningful evaluation of operations, and therefore, have included FFO and FFO per share excluding the related charges.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61,408</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59,157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4,315,140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3,047,769</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4,325,140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3,057,769</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1,697,138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1,896,233</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6,022,278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4,954,002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$51.52</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7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do not include 369,260 and 371,260 Operating Partnership Units outstanding at June 30, 2010 and 2009,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460" w:right="260" w:hanging="452"/>
        <w:spacing w:after="0" w:line="33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the $17.3 million and $24.4 million which is the Trust’s 30% share of the total mortgages payable of $57.7 million and $81.3 million at June 30, 2010 and 2009, respectively, of the partnership with a discretionary fund created and advised by ING Clarion Partners.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95,258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93,256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$189,231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26,212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24,395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55,145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130,256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126,090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253,296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$1.3 million and $1.2 million for the three months ended June 30, 2010 and 2009, respectively, and $2.5 million and $2.6 million for the six months ended June 30, 2010 and 2009, respectively, to recognize minimum rents on a straight-line basis. In addition, minimum rents include $0.5 million and $0.4 million for the three months ended June 30, 2010 and 2009, respectively, and $0.9 million and $0.7 million for the six months ended June 30, 2010 and 2009, respectively, to recognize income from the amortization of in-place leases.</w:t>
      </w:r>
    </w:p>
    <w:p>
      <w:pPr>
        <w:spacing w:after="0" w:line="2" w:lineRule="exact"/>
        <w:rPr>
          <w:rFonts w:ascii="Arial" w:cs="Arial" w:eastAsia="Arial" w:hAnsi="Arial"/>
          <w:sz w:val="16"/>
          <w:szCs w:val="16"/>
          <w:color w:val="auto"/>
        </w:rPr>
      </w:pPr>
    </w:p>
    <w:p>
      <w:pPr>
        <w:ind w:left="460" w:right="2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Stated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Weighted average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Stated</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2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 as of</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effective rate at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maturity date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June 30, 2010</w:t>
            </w: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June 30, 2010 (h)</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Mortgages payable (a)</w:t>
            </w: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06/01/11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Tysons Station</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09/01/11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07/01/12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01/01/13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02/01/13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White Marsh Plaza (b)</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04/01/13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08/11/13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Idylwood Plaza</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06/05/14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16,670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06/05/14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Loehmann’s Plaza</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06/05/14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37,509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06/05/14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Melville Mall (c)</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09/01/14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23,432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01/01/15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40,252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Lawrence Park</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28,531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Wynnewood</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29,076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Rollingwood Apartments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05/01/19</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01/31/21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Mount Vernon (d)</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04/15/28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11,120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01/15/31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535,066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5"/>
          </w:tcPr>
          <w:p>
            <w:pPr>
              <w:ind w:left="860"/>
              <w:spacing w:after="0"/>
              <w:rPr>
                <w:sz w:val="20"/>
                <w:szCs w:val="20"/>
                <w:color w:val="auto"/>
              </w:rPr>
            </w:pPr>
            <w:r>
              <w:rPr>
                <w:rFonts w:ascii="Arial" w:cs="Arial" w:eastAsia="Arial" w:hAnsi="Arial"/>
                <w:sz w:val="18"/>
                <w:szCs w:val="18"/>
                <w:color w:val="auto"/>
              </w:rPr>
              <w:t>Total mortgages payable</w:t>
            </w: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534,627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Various (e)</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Various thru 2013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Revolving credit facility (f)</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07/27/11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LIBOR + 0.425%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Escondido (Municipal bonds) (g)</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10/01/16</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4260" w:type="dxa"/>
            <w:vAlign w:val="bottom"/>
            <w:gridSpan w:val="6"/>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4.50% notes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02/15/11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07/15/12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5.40% notes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12/01/13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5.95% notes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08/15/14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5.65% notes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06/01/16</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6.20% notes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01/15/17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5.90% notes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04/01/20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08/15/26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6.82% medium term notes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08/01/27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1,079,200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5"/>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1,079,880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60" w:type="dxa"/>
            <w:vAlign w:val="bottom"/>
            <w:gridSpan w:val="6"/>
          </w:tcPr>
          <w:p>
            <w:pPr>
              <w:spacing w:after="0" w:line="182" w:lineRule="exact"/>
              <w:rPr>
                <w:sz w:val="20"/>
                <w:szCs w:val="20"/>
                <w:color w:val="auto"/>
              </w:rPr>
            </w:pPr>
            <w:r>
              <w:rPr>
                <w:rFonts w:ascii="Arial" w:cs="Arial" w:eastAsia="Arial" w:hAnsi="Arial"/>
                <w:sz w:val="18"/>
                <w:szCs w:val="18"/>
                <w:color w:val="auto"/>
              </w:rPr>
              <w:t>Capital lease obligations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Various through 2106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Various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6"/>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1,697,138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1,687,738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40" w:type="dxa"/>
            <w:vAlign w:val="bottom"/>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TOTAL DEBT AND CAPITAL LEASES OBLIGATIONS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1,697,138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Six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2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ind w:left="3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2009</w:t>
            </w:r>
          </w:p>
        </w:tc>
      </w:tr>
      <w:tr>
        <w:trPr>
          <w:trHeight w:val="190"/>
        </w:trPr>
        <w:tc>
          <w:tcPr>
            <w:tcW w:w="460" w:type="dxa"/>
            <w:vAlign w:val="bottom"/>
          </w:tcPr>
          <w:p>
            <w:pPr>
              <w:spacing w:after="0"/>
              <w:rPr>
                <w:sz w:val="16"/>
                <w:szCs w:val="16"/>
                <w:color w:val="auto"/>
              </w:rPr>
            </w:pPr>
          </w:p>
        </w:tc>
        <w:tc>
          <w:tcPr>
            <w:tcW w:w="15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6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Excluding litigation provision: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(j) (k)</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3.21x</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2.93x</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3.00x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3.09x</w:t>
            </w:r>
          </w:p>
        </w:tc>
      </w:tr>
      <w:tr>
        <w:trPr>
          <w:trHeight w:val="216"/>
        </w:trPr>
        <w:tc>
          <w:tcPr>
            <w:tcW w:w="460" w:type="dxa"/>
            <w:vAlign w:val="bottom"/>
          </w:tcPr>
          <w:p>
            <w:pPr>
              <w:spacing w:after="0"/>
              <w:rPr>
                <w:sz w:val="18"/>
                <w:szCs w:val="18"/>
                <w:color w:val="auto"/>
              </w:rPr>
            </w:pPr>
          </w:p>
        </w:tc>
        <w:tc>
          <w:tcPr>
            <w:tcW w:w="7820" w:type="dxa"/>
            <w:vAlign w:val="bottom"/>
            <w:gridSpan w:val="3"/>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(j) (k)</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3.16x</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2.92x</w:t>
            </w:r>
          </w:p>
        </w:tc>
        <w:tc>
          <w:tcPr>
            <w:tcW w:w="480" w:type="dxa"/>
            <w:vAlign w:val="bottom"/>
          </w:tcPr>
          <w:p>
            <w:pPr>
              <w:ind w:left="80"/>
              <w:spacing w:after="0"/>
              <w:rPr>
                <w:sz w:val="20"/>
                <w:szCs w:val="20"/>
                <w:color w:val="auto"/>
              </w:rPr>
            </w:pPr>
            <w:r>
              <w:rPr>
                <w:rFonts w:ascii="Arial" w:cs="Arial" w:eastAsia="Arial" w:hAnsi="Arial"/>
                <w:sz w:val="18"/>
                <w:szCs w:val="18"/>
                <w:color w:val="auto"/>
                <w:w w:val="86"/>
              </w:rPr>
              <w:t>2.98x</w:t>
            </w:r>
          </w:p>
        </w:tc>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6"/>
              </w:rPr>
              <w:t>3.06x</w:t>
            </w:r>
          </w:p>
        </w:tc>
      </w:tr>
      <w:tr>
        <w:trPr>
          <w:trHeight w:val="216"/>
        </w:trPr>
        <w:tc>
          <w:tcPr>
            <w:tcW w:w="46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Including litigation provision: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20" w:type="dxa"/>
            <w:vAlign w:val="bottom"/>
            <w:gridSpan w:val="3"/>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(j)</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3.20x</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2.93x</w:t>
            </w:r>
          </w:p>
        </w:tc>
        <w:tc>
          <w:tcPr>
            <w:tcW w:w="480" w:type="dxa"/>
            <w:vAlign w:val="bottom"/>
          </w:tcPr>
          <w:p>
            <w:pPr>
              <w:ind w:left="80"/>
              <w:spacing w:after="0"/>
              <w:rPr>
                <w:sz w:val="20"/>
                <w:szCs w:val="20"/>
                <w:color w:val="auto"/>
              </w:rPr>
            </w:pPr>
            <w:r>
              <w:rPr>
                <w:rFonts w:ascii="Arial" w:cs="Arial" w:eastAsia="Arial" w:hAnsi="Arial"/>
                <w:sz w:val="18"/>
                <w:szCs w:val="18"/>
                <w:color w:val="auto"/>
                <w:w w:val="86"/>
              </w:rPr>
              <w:t>3.00x</w:t>
            </w:r>
          </w:p>
        </w:tc>
        <w:tc>
          <w:tcPr>
            <w:tcW w:w="2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6"/>
              </w:rPr>
              <w:t>2.71x</w:t>
            </w:r>
          </w:p>
        </w:tc>
      </w:tr>
      <w:tr>
        <w:trPr>
          <w:trHeight w:val="216"/>
        </w:trPr>
        <w:tc>
          <w:tcPr>
            <w:tcW w:w="460" w:type="dxa"/>
            <w:vAlign w:val="bottom"/>
          </w:tcPr>
          <w:p>
            <w:pPr>
              <w:spacing w:after="0"/>
              <w:rPr>
                <w:sz w:val="18"/>
                <w:szCs w:val="18"/>
                <w:color w:val="auto"/>
              </w:rPr>
            </w:pPr>
          </w:p>
        </w:tc>
        <w:tc>
          <w:tcPr>
            <w:tcW w:w="7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(j)</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3.15x</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2.91x</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2.97x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2.68x</w:t>
            </w: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ectPr>
          <w:pgSz w:w="11900" w:h="16838" w:orient="portrait"/>
          <w:cols w:equalWidth="0" w:num="1">
            <w:col w:w="11420"/>
          </w:cols>
          <w:pgMar w:left="240" w:top="274" w:right="239" w:bottom="0" w:gutter="0" w:footer="0" w:header="0"/>
        </w:sectPr>
      </w:pPr>
    </w:p>
    <w:bookmarkStart w:id="16" w:name="page17"/>
    <w:bookmarkEnd w:id="16"/>
    <w:p>
      <w:pPr>
        <w:ind w:left="452" w:right="20" w:hanging="452"/>
        <w:spacing w:after="0" w:line="254"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loans do not include our 30% share ($17.3 million) of the $57.7 million debt of the partnership with a discretionary fund created and advised by ING Clarion Partners.</w:t>
      </w:r>
    </w:p>
    <w:p>
      <w:pPr>
        <w:ind w:left="452" w:right="20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52" w:right="1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52" w:right="5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52" w:right="8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of 3.86% represents the weighted average interest rate for three unsecured fixed rate notes payable. These notes mature between April 1, 2012 and January 31, 2013.</w:t>
      </w:r>
    </w:p>
    <w:p>
      <w:pPr>
        <w:ind w:left="452" w:right="10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for the three and six months ended June 30, 2010 was $20.0 million, and the weighted average effective interest rate on borrowings under our revolving credit facility, before amortization of debt fees, was 0.70% for the three and six months ended June 30, 2010.</w:t>
      </w:r>
    </w:p>
    <w:p>
      <w:pPr>
        <w:spacing w:after="0" w:line="1"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52" w:right="3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except as described in Note i.</w:t>
      </w:r>
    </w:p>
    <w:p>
      <w:pPr>
        <w:ind w:left="452" w:right="16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$0.2 million in quarterly financing fees and quarterly debt fee amortization on our revolving credit facility which had no outstanding balance on June 30, 2010.</w:t>
      </w:r>
    </w:p>
    <w:p>
      <w:pPr>
        <w:ind w:left="452" w:right="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discount/premium and debt costs and the portion of rent expense representing an interest factor. EBITDA includes a $1.4 million gain on sale for the three and six months ended June 30, 2010 and $0.4 million and $1.3 million gain on sale for the three and six months ended June 30,2009, respectively. Fixed charges include $2.8 million of early extinguishment of debt for the six months ended June 30, 2010 due to the write-off of unamortized debt fees related to the $250 million payoff of the term loan prior to its maturity date. Fixed charges include a $1.0 million net loss on early extinguishment of debt for the three and six months ended June 30, 2009, primarily related to the cash tender offer for our 8.75% senior notes. Adjusted EBITDA is reconciled to net income attributable to the Trust in the Glossary of Terms.</w:t>
      </w:r>
    </w:p>
    <w:p>
      <w:pPr>
        <w:spacing w:after="0" w:line="3"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to exclude a $0.2 million and $0.1 million litigation provision charge for the three months ended June 30, 2010 and 2009, respectively, and $0.3 million and $20.8 million litigation provision charge for the six months ended June 30, 2010 and 2009, respectively, related to litigation regarding a parcel of land located adjacent to Santana Row as well as other costs related to the litigation and the appeal process.</w:t>
      </w:r>
    </w:p>
    <w:p>
      <w:pPr>
        <w:spacing w:after="0" w:line="9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92"/>
          </w:cols>
          <w:pgMar w:left="248" w:top="13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0"/>
              </w:rPr>
              <w:t>Cumulative</w:t>
            </w:r>
          </w:p>
        </w:tc>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79"/>
              </w:rPr>
              <w:t>Scheduled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Percent of</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1"/>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Maturities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Debt Maturing</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Debt Maturing</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112,252(1)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124,690</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5"/>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204,607</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196,893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208,746</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297,864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198,391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205,249</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62.3%</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137,302</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203,110</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82.4%</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82.6%</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243,038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296,105</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1,574,754</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1,696,897(2)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$300 million revolving credit facility matures on July 27, 2011. As of June 30, 2010, there was no balance outstanding on our revolving credit facility.</w:t>
      </w:r>
    </w:p>
    <w:p>
      <w:pPr>
        <w:spacing w:after="0" w:line="32" w:lineRule="exact"/>
        <w:rPr>
          <w:rFonts w:ascii="Arial" w:cs="Arial" w:eastAsia="Arial" w:hAnsi="Arial"/>
          <w:sz w:val="16"/>
          <w:szCs w:val="16"/>
          <w:color w:val="auto"/>
        </w:rPr>
      </w:pPr>
    </w:p>
    <w:p>
      <w:pPr>
        <w:ind w:left="460" w:right="5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June 30, 2010.</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rate reflects the weighted average interest rate on debt maturing in the respective year.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$0.2 million in quarterly financing fees and quarterly debt fee amortization on our revolving credit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Projected</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Projected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7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340" w:type="dxa"/>
            <w:vAlign w:val="bottom"/>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Cost (1)</w:t>
            </w:r>
          </w:p>
        </w:tc>
        <w:tc>
          <w:tcPr>
            <w:tcW w:w="160" w:type="dxa"/>
            <w:vAlign w:val="bottom"/>
          </w:tcPr>
          <w:p>
            <w:pPr>
              <w:spacing w:after="0"/>
              <w:rPr>
                <w:sz w:val="14"/>
                <w:szCs w:val="14"/>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Projects Anticipated to Stabilize in 2010 (3)</w:t>
            </w:r>
          </w:p>
        </w:tc>
        <w:tc>
          <w:tcPr>
            <w:tcW w:w="2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w w:val="98"/>
              </w:rPr>
              <w:t>Bethesda Row (Hampden Lane)</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Bethesda, MD</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1"/>
              </w:rPr>
              <w:t>Construction of new three level building leased to fitness center and two additional ground level retail spaces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4"/>
              </w:rPr>
              <w:t>Village of Shirlington - Phase III &amp;</w:t>
            </w:r>
          </w:p>
        </w:tc>
        <w:tc>
          <w:tcPr>
            <w:tcW w:w="12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Arlington, VA</w:t>
            </w:r>
          </w:p>
        </w:tc>
        <w:tc>
          <w:tcPr>
            <w:tcW w:w="26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IV</w:t>
            </w: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Ground lease to hotel operator and ground floor retail as part of office building development (by others)</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2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tcPr>
          <w:p>
            <w:pPr>
              <w:spacing w:after="0" w:line="138" w:lineRule="exact"/>
              <w:rPr>
                <w:sz w:val="20"/>
                <w:szCs w:val="20"/>
                <w:color w:val="auto"/>
              </w:rPr>
            </w:pPr>
            <w:r>
              <w:rPr>
                <w:rFonts w:ascii="Arial" w:cs="Arial" w:eastAsia="Arial" w:hAnsi="Arial"/>
                <w:sz w:val="14"/>
                <w:szCs w:val="14"/>
                <w:color w:val="auto"/>
              </w:rPr>
              <w:t>Barracks Road</w:t>
            </w:r>
          </w:p>
        </w:tc>
        <w:tc>
          <w:tcPr>
            <w:tcW w:w="12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Charlottesville, VA</w:t>
            </w:r>
          </w:p>
        </w:tc>
        <w:tc>
          <w:tcPr>
            <w:tcW w:w="6220" w:type="dxa"/>
            <w:vAlign w:val="bottom"/>
            <w:gridSpan w:val="3"/>
          </w:tcPr>
          <w:p>
            <w:pPr>
              <w:ind w:left="80"/>
              <w:spacing w:after="0" w:line="138" w:lineRule="exact"/>
              <w:rPr>
                <w:sz w:val="20"/>
                <w:szCs w:val="20"/>
                <w:color w:val="auto"/>
              </w:rPr>
            </w:pPr>
            <w:r>
              <w:rPr>
                <w:rFonts w:ascii="Arial" w:cs="Arial" w:eastAsia="Arial" w:hAnsi="Arial"/>
                <w:sz w:val="14"/>
                <w:szCs w:val="14"/>
                <w:color w:val="auto"/>
                <w:w w:val="90"/>
              </w:rPr>
              <w:t>Expansion of Bed, Bath and Beyond and creation of two additional small shop spaces, utilizing vacant anchor</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space</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4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Lancaster, PA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Renovation and expansion of existing grocer, new bank pad, and façade renovation</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Langhorne</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Levittown, PA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Pad site addition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Brick</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Brick, NJ</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Redevelopment and expansion of existing pad site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9"/>
            <w:vMerge w:val="restart"/>
          </w:tcPr>
          <w:p>
            <w:pPr>
              <w:ind w:left="420"/>
              <w:spacing w:after="0"/>
              <w:rPr>
                <w:sz w:val="20"/>
                <w:szCs w:val="20"/>
                <w:color w:val="auto"/>
              </w:rPr>
            </w:pPr>
            <w:r>
              <w:rPr>
                <w:rFonts w:ascii="Arial" w:cs="Arial" w:eastAsia="Arial" w:hAnsi="Arial"/>
                <w:sz w:val="14"/>
                <w:szCs w:val="14"/>
                <w:b w:val="1"/>
                <w:bCs w:val="1"/>
                <w:color w:val="auto"/>
              </w:rPr>
              <w:t>Subtotal: Projects Anticipated to Stabilize in 2010 (3) (4)</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500" w:type="dxa"/>
            <w:vAlign w:val="bottom"/>
            <w:gridSpan w:val="9"/>
            <w:vMerge w:val="continue"/>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29</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2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Projects Anticipated to Stabilize in 2011 (3)</w:t>
            </w:r>
          </w:p>
        </w:tc>
        <w:tc>
          <w:tcPr>
            <w:tcW w:w="2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Santana Row</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San Jose, CA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Five-story building with 15,000 square feet of ground level retail and 65,000 square feet of office space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Laurel</w:t>
            </w:r>
          </w:p>
        </w:tc>
        <w:tc>
          <w:tcPr>
            <w:tcW w:w="12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Laurel, MD</w:t>
            </w:r>
          </w:p>
        </w:tc>
        <w:tc>
          <w:tcPr>
            <w:tcW w:w="62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Pad preparation for new fitness operator, replacing theater and small shop space. Reconfigure parking lot</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entrance</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2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Crossroads</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Highland Park, IL</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1"/>
              </w:rPr>
              <w:t>Combine four spaces in preparation for new fitness operator, replacing vacant anchor and small shop space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 xml:space="preserve">Atlantic Plaza (JV Property) </w:t>
            </w:r>
            <w:r>
              <w:rPr>
                <w:rFonts w:ascii="Arial" w:cs="Arial" w:eastAsia="Arial" w:hAnsi="Arial"/>
                <w:sz w:val="14"/>
                <w:szCs w:val="14"/>
                <w:b w:val="1"/>
                <w:bCs w:val="1"/>
                <w:color w:val="auto"/>
              </w:rPr>
              <w:t>(6)</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North Reading, MA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Property improvements, including façade renovation, in preparation for new lease with grocery store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9"/>
            <w:vMerge w:val="restart"/>
          </w:tcPr>
          <w:p>
            <w:pPr>
              <w:ind w:left="420"/>
              <w:spacing w:after="0"/>
              <w:rPr>
                <w:sz w:val="20"/>
                <w:szCs w:val="20"/>
                <w:color w:val="auto"/>
              </w:rPr>
            </w:pPr>
            <w:r>
              <w:rPr>
                <w:rFonts w:ascii="Arial" w:cs="Arial" w:eastAsia="Arial" w:hAnsi="Arial"/>
                <w:sz w:val="14"/>
                <w:szCs w:val="14"/>
                <w:b w:val="1"/>
                <w:bCs w:val="1"/>
                <w:color w:val="auto"/>
              </w:rPr>
              <w:t>Subtotal: Projects Anticipated to Stabilize in 2011 (3) (4)</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500" w:type="dxa"/>
            <w:vAlign w:val="bottom"/>
            <w:gridSpan w:val="9"/>
            <w:vMerge w:val="continue"/>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57</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500" w:type="dxa"/>
            <w:vAlign w:val="bottom"/>
            <w:gridSpan w:val="9"/>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Projects Anticipated to Stabilize in 2010 and 2011 (3) (4) (5)</w:t>
            </w:r>
          </w:p>
        </w:tc>
        <w:tc>
          <w:tcPr>
            <w:tcW w:w="9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8%</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86</w:t>
            </w:r>
          </w:p>
        </w:tc>
        <w:tc>
          <w:tcPr>
            <w:tcW w:w="24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7"/>
          </w:tcPr>
          <w:p>
            <w:pPr>
              <w:spacing w:after="0"/>
              <w:rPr>
                <w:sz w:val="13"/>
                <w:szCs w:val="13"/>
                <w:color w:val="auto"/>
              </w:rPr>
            </w:pPr>
          </w:p>
        </w:tc>
        <w:tc>
          <w:tcPr>
            <w:tcW w:w="2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tcBorders>
              <w:top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Potential future redevelopment pipeline includes (5):</w:t>
            </w:r>
          </w:p>
        </w:tc>
        <w:tc>
          <w:tcPr>
            <w:tcW w:w="26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Assembly Square</w:t>
            </w:r>
          </w:p>
        </w:tc>
        <w:tc>
          <w:tcPr>
            <w:tcW w:w="1280" w:type="dxa"/>
            <w:vAlign w:val="bottom"/>
            <w:gridSpan w:val="3"/>
            <w:shd w:val="clear" w:color="auto" w:fill="CCEEFF"/>
          </w:tcPr>
          <w:p>
            <w:pPr>
              <w:ind w:left="100"/>
              <w:spacing w:after="0" w:line="142" w:lineRule="exact"/>
              <w:rPr>
                <w:sz w:val="20"/>
                <w:szCs w:val="20"/>
                <w:color w:val="auto"/>
              </w:rPr>
            </w:pPr>
            <w:r>
              <w:rPr>
                <w:rFonts w:ascii="Arial" w:cs="Arial" w:eastAsia="Arial" w:hAnsi="Arial"/>
                <w:sz w:val="14"/>
                <w:szCs w:val="14"/>
                <w:color w:val="auto"/>
              </w:rPr>
              <w:t>Somerville, MA</w:t>
            </w:r>
          </w:p>
        </w:tc>
        <w:tc>
          <w:tcPr>
            <w:tcW w:w="6220" w:type="dxa"/>
            <w:vAlign w:val="bottom"/>
            <w:gridSpan w:val="3"/>
            <w:shd w:val="clear" w:color="auto" w:fill="CCEEFF"/>
          </w:tcPr>
          <w:p>
            <w:pPr>
              <w:ind w:left="80"/>
              <w:spacing w:after="0" w:line="142" w:lineRule="exact"/>
              <w:rPr>
                <w:sz w:val="20"/>
                <w:szCs w:val="20"/>
                <w:color w:val="auto"/>
              </w:rPr>
            </w:pPr>
            <w:r>
              <w:rPr>
                <w:rFonts w:ascii="Arial" w:cs="Arial" w:eastAsia="Arial" w:hAnsi="Arial"/>
                <w:sz w:val="14"/>
                <w:szCs w:val="14"/>
                <w:color w:val="auto"/>
              </w:rPr>
              <w:t>Potential substantial transit oriented mixed-use development</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Assembly Square Mall</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Somerville, MA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Pad site addition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 Cynwyd</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Bala Cynwyd, PA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Potential redevelopment of nine acres of land for a transit oriented mixed-use project or retail center</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Brick Plaza</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Brick, NJ</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Pad site opportunity</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Federal Plaza</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Rockville, MD</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Pad building opportunities</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Flourtown</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Flourtown, PA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Anchor re-tenanting, small shop renovation, and site improvements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Queens, NY</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Potential conversion of 2nd floor office space to retail</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Hollywood Peterson Building</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Hollywood, CA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Co-terminus leases create potential for property redevelopment and expansion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Huntington</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Huntington, NY</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Pad site additions</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Linden Square</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Wellesley, MA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Additional phases of infill redevelopment</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Mercer Mall</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Lawrenceville, NJ</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Construction of new outparcel</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Mid-Pike Plaza</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Rockville, MD</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Co-terminus leases create potential for retail redevelopment or transit oriented mixed-use development</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7</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Vienna, VA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Co-terminus leases create potential for retail redevelopment or transit oriented mixed-use development</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Santana Row</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San Jose, CA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Future phases of mixed-use development</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Santana Row</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San Jose, CA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109 unit residential building under construction; expected to stabilize in 2012</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Shoppers World</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Charlottesville, VA</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Co-terminus leases create potential for remerchandising and reconfiguration of retail spaces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New Britain, PA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Renovation and expansion of existing grocer</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Troy</w:t>
            </w: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Parsippany, NJ</w:t>
            </w:r>
          </w:p>
        </w:tc>
        <w:tc>
          <w:tcPr>
            <w:tcW w:w="62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Pad site addition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Shops at Willow Lawn</w:t>
            </w:r>
          </w:p>
        </w:tc>
        <w:tc>
          <w:tcPr>
            <w:tcW w:w="12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Richmond, VA</w:t>
            </w:r>
          </w:p>
        </w:tc>
        <w:tc>
          <w:tcPr>
            <w:tcW w:w="6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Demo interior mall, relocate mall tenants, construct new exterior GLA</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right="20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ROI and costs for Atlantic Plaza reflect our 30% JV interest in the costs and revenue associated with the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Mortgage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and/or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Grocery</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Real Estate</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Lease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Anchor</w:t>
            </w: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360" w:type="dxa"/>
            <w:vAlign w:val="bottom"/>
          </w:tcPr>
          <w:p>
            <w:pPr>
              <w:spacing w:after="0"/>
              <w:rPr>
                <w:sz w:val="15"/>
                <w:szCs w:val="15"/>
                <w:color w:val="auto"/>
              </w:rPr>
            </w:pPr>
          </w:p>
        </w:tc>
        <w:tc>
          <w:tcPr>
            <w:tcW w:w="1720" w:type="dxa"/>
            <w:vAlign w:val="bottom"/>
          </w:tcPr>
          <w:p>
            <w:pPr>
              <w:ind w:left="36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Year Acquired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at Cost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Obligation (1)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GLA (2)</w:t>
            </w: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Leased</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GLA (3)</w:t>
            </w: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7"/>
              </w:rPr>
              <w:t>Anchor (3)</w:t>
            </w: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Washington Metropolitan Area</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Bethesda Row</w:t>
            </w:r>
          </w:p>
        </w:tc>
        <w:tc>
          <w:tcPr>
            <w:tcW w:w="360" w:type="dxa"/>
            <w:vAlign w:val="bottom"/>
          </w:tcPr>
          <w:p>
            <w:pPr>
              <w:ind w:left="100"/>
              <w:spacing w:after="0" w:line="131" w:lineRule="exact"/>
              <w:rPr>
                <w:sz w:val="20"/>
                <w:szCs w:val="20"/>
                <w:color w:val="auto"/>
              </w:rPr>
            </w:pPr>
            <w:r>
              <w:rPr>
                <w:rFonts w:ascii="Arial" w:cs="Arial" w:eastAsia="Arial" w:hAnsi="Arial"/>
                <w:sz w:val="14"/>
                <w:szCs w:val="14"/>
                <w:color w:val="auto"/>
              </w:rPr>
              <w:t>(4)</w:t>
            </w:r>
          </w:p>
        </w:tc>
        <w:tc>
          <w:tcPr>
            <w:tcW w:w="1720" w:type="dxa"/>
            <w:vAlign w:val="bottom"/>
          </w:tcPr>
          <w:p>
            <w:pPr>
              <w:spacing w:after="0" w:line="131" w:lineRule="exact"/>
              <w:rPr>
                <w:sz w:val="20"/>
                <w:szCs w:val="20"/>
                <w:color w:val="auto"/>
              </w:rPr>
            </w:pPr>
            <w:r>
              <w:rPr>
                <w:rFonts w:ascii="Arial" w:cs="Arial" w:eastAsia="Arial" w:hAnsi="Arial"/>
                <w:sz w:val="14"/>
                <w:szCs w:val="14"/>
                <w:color w:val="auto"/>
              </w:rPr>
              <w:t>Washington, DC-MD-VA</w:t>
            </w:r>
          </w:p>
        </w:tc>
        <w:tc>
          <w:tcPr>
            <w:tcW w:w="110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1993-2006/2008</w:t>
            </w:r>
          </w:p>
        </w:tc>
        <w:tc>
          <w:tcPr>
            <w:tcW w:w="1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196,926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25,260</w:t>
            </w: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521,000</w:t>
            </w:r>
          </w:p>
        </w:tc>
        <w:tc>
          <w:tcPr>
            <w:tcW w:w="68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40,000</w:t>
            </w:r>
          </w:p>
        </w:tc>
        <w:tc>
          <w:tcPr>
            <w:tcW w:w="760" w:type="dxa"/>
            <w:vAlign w:val="bottom"/>
          </w:tcPr>
          <w:p>
            <w:pPr>
              <w:spacing w:after="0" w:line="131"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Theater / Apple Computer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Congressional Plaza</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(5)</w:t>
            </w: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70,153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332,000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Whole Foods</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Buy Buy Baby / Container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Courthouse Center</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62,511</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32,215</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248,000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8"/>
              </w:rPr>
              <w:t>TJ Maxx / Micro Center /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 Trader Joe’s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Gaithersburg Square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16,670</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Whole Foods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Laurel</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47,801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(6)</w:t>
            </w: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34,627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29,007</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236,000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Petsmart / Pier One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Loehmann’s Plaza</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32,699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37,509</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268,000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58,000</w:t>
            </w:r>
          </w:p>
        </w:tc>
        <w:tc>
          <w:tcPr>
            <w:tcW w:w="76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1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1982/2007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46,670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309,000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Toys R Us / Bally 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Fitness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w w:val="97"/>
              </w:rPr>
              <w:t>Mount Vernon/South Valley/7770</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(6)</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77,714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11,120</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565,000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62,000</w:t>
            </w:r>
          </w:p>
        </w:tc>
        <w:tc>
          <w:tcPr>
            <w:tcW w:w="76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color w:val="auto"/>
              </w:rPr>
              <w:t>Richmond Hwy</w:t>
            </w: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6"/>
              </w:rPr>
              <w:t>Michaels / Home Depot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Whole Foods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Pan Am</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28,343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63,000</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87,916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53,846</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296,000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Harris Teeter</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8"/>
              </w:rPr>
              <w:t>Bally Total Fitness / Bed, Bath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&amp; Beyond / 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Pike 7</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Rockville Town Square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37,375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23,724</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Sam’s Park &amp; Shop</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Tyson’s Station</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5,807</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(4)</w:t>
            </w: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52,787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6,309</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255,000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Harris Teeter</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AMC Loews / Carlyle Grand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Wildwood</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25,078</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990,032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w w:val="83"/>
              </w:rPr>
              <w:t>5,203,000</w:t>
            </w:r>
          </w:p>
        </w:tc>
        <w:tc>
          <w:tcPr>
            <w:tcW w:w="68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Philadelphia Metropolitan Area</w:t>
            </w: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23,360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267,000</w:t>
            </w:r>
          </w:p>
        </w:tc>
        <w:tc>
          <w:tcPr>
            <w:tcW w:w="680" w:type="dxa"/>
            <w:vAlign w:val="bottom"/>
            <w:gridSpan w:val="3"/>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94%</w:t>
            </w:r>
          </w:p>
        </w:tc>
        <w:tc>
          <w:tcPr>
            <w:tcW w:w="56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24,000</w:t>
            </w:r>
          </w:p>
        </w:tc>
        <w:tc>
          <w:tcPr>
            <w:tcW w:w="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Acme</w:t>
            </w:r>
          </w:p>
        </w:tc>
        <w:tc>
          <w:tcPr>
            <w:tcW w:w="17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91"/>
              </w:rPr>
              <w:t>Kohl’s / Staples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34,534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282,000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60" w:type="dxa"/>
            <w:vAlign w:val="bottom"/>
          </w:tcPr>
          <w:p>
            <w:pPr>
              <w:spacing w:after="0" w:line="138" w:lineRule="exact"/>
              <w:rPr>
                <w:sz w:val="20"/>
                <w:szCs w:val="20"/>
                <w:color w:val="auto"/>
              </w:rPr>
            </w:pPr>
            <w:r>
              <w:rPr>
                <w:rFonts w:ascii="Arial" w:cs="Arial" w:eastAsia="Arial" w:hAnsi="Arial"/>
                <w:sz w:val="14"/>
                <w:szCs w:val="14"/>
                <w:color w:val="auto"/>
              </w:rPr>
              <w:t>Acme</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7"/>
              </w:rPr>
              <w:t>Lord &amp; Taylor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Feasterville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11,904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53,000</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19,534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216,000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6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29,834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28,531</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353,000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53,000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Acme</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CHI / TJ Maxx / HomeGoods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Northeast</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Willow Grove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26,902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Barnes &amp; Noble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36,960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29,076</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255,000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98,000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8"/>
              </w:rPr>
              <w:t>Bed, Bath &amp; Beyond / Borders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Old Navy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line="143" w:lineRule="exact"/>
              <w:rPr>
                <w:sz w:val="20"/>
                <w:szCs w:val="20"/>
                <w:color w:val="auto"/>
              </w:rPr>
            </w:pPr>
            <w:r>
              <w:rPr>
                <w:rFonts w:ascii="Arial" w:cs="Arial" w:eastAsia="Arial" w:hAnsi="Arial"/>
                <w:sz w:val="14"/>
                <w:szCs w:val="14"/>
                <w:b w:val="1"/>
                <w:bCs w:val="1"/>
                <w:color w:val="auto"/>
              </w:rPr>
              <w:t>Total Philadelphia</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263,795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3"/>
              </w:rPr>
              <w:t>2,542,000</w:t>
            </w:r>
          </w:p>
        </w:tc>
        <w:tc>
          <w:tcPr>
            <w:tcW w:w="68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right w:val="single" w:sz="8" w:color="CCEEFF"/>
            </w:tcBorders>
            <w:gridSpan w:val="3"/>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Colorado Blvd</w:t>
            </w:r>
          </w:p>
        </w:tc>
        <w:tc>
          <w:tcPr>
            <w:tcW w:w="360" w:type="dxa"/>
            <w:vAlign w:val="bottom"/>
          </w:tcPr>
          <w:p>
            <w:pPr>
              <w:spacing w:after="0"/>
              <w:rPr>
                <w:sz w:val="11"/>
                <w:szCs w:val="11"/>
                <w:color w:val="auto"/>
              </w:rPr>
            </w:pPr>
          </w:p>
        </w:tc>
        <w:tc>
          <w:tcPr>
            <w:tcW w:w="1720" w:type="dxa"/>
            <w:vAlign w:val="bottom"/>
          </w:tcPr>
          <w:p>
            <w:pPr>
              <w:spacing w:after="0" w:line="131" w:lineRule="exact"/>
              <w:rPr>
                <w:sz w:val="20"/>
                <w:szCs w:val="20"/>
                <w:color w:val="auto"/>
              </w:rPr>
            </w:pPr>
            <w:r>
              <w:rPr>
                <w:rFonts w:ascii="Arial" w:cs="Arial" w:eastAsia="Arial" w:hAnsi="Arial"/>
                <w:sz w:val="14"/>
                <w:szCs w:val="14"/>
                <w:color w:val="auto"/>
                <w:w w:val="92"/>
              </w:rPr>
              <w:t>Los Angeles-Long Beach, CA</w:t>
            </w:r>
          </w:p>
        </w:tc>
        <w:tc>
          <w:tcPr>
            <w:tcW w:w="10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16,634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69,000</w:t>
            </w:r>
          </w:p>
        </w:tc>
        <w:tc>
          <w:tcPr>
            <w:tcW w:w="68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Ramon, CA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2005-2007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20,607</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58,000</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Lucky</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Escondido</w:t>
            </w:r>
          </w:p>
        </w:tc>
        <w:tc>
          <w:tcPr>
            <w:tcW w:w="360" w:type="dxa"/>
            <w:vAlign w:val="bottom"/>
          </w:tcPr>
          <w:p>
            <w:pPr>
              <w:ind w:left="100"/>
              <w:spacing w:after="0" w:line="149" w:lineRule="exact"/>
              <w:rPr>
                <w:sz w:val="20"/>
                <w:szCs w:val="20"/>
                <w:color w:val="auto"/>
              </w:rPr>
            </w:pPr>
            <w:r>
              <w:rPr>
                <w:rFonts w:ascii="Arial" w:cs="Arial" w:eastAsia="Arial" w:hAnsi="Arial"/>
                <w:sz w:val="14"/>
                <w:szCs w:val="14"/>
                <w:color w:val="auto"/>
              </w:rPr>
              <w:t>(7)</w:t>
            </w: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San Diego, CA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28,861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TJ 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Hermosa Ave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w w:val="92"/>
              </w:rPr>
              <w:t>Los Angeles-Long Beach, CA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20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3"/>
              </w:rPr>
              <w:t>(8)  Los Angeles-Long Beach, CA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37,701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153,000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DSW / L.A. Fitness / Fresh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Easy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Kings Court</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(6)</w:t>
            </w: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11,626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79,000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25,000</w:t>
            </w:r>
          </w:p>
        </w:tc>
        <w:tc>
          <w:tcPr>
            <w:tcW w:w="76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line="159" w:lineRule="exact"/>
              <w:rPr>
                <w:sz w:val="20"/>
                <w:szCs w:val="20"/>
                <w:color w:val="auto"/>
              </w:rPr>
            </w:pPr>
            <w:r>
              <w:rPr>
                <w:rFonts w:ascii="Arial" w:cs="Arial" w:eastAsia="Arial" w:hAnsi="Arial"/>
                <w:sz w:val="14"/>
                <w:szCs w:val="14"/>
                <w:color w:val="auto"/>
                <w:w w:val="88"/>
              </w:rPr>
              <w:t>Super Market</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34,340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540,365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592,000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Store / Best Buy / Borders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CineArts Theatre / Hotel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Valencia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Third St Promenade</w:t>
            </w:r>
          </w:p>
        </w:tc>
        <w:tc>
          <w:tcPr>
            <w:tcW w:w="360" w:type="dxa"/>
            <w:vAlign w:val="bottom"/>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4"/>
                <w:szCs w:val="14"/>
                <w:color w:val="auto"/>
                <w:w w:val="92"/>
              </w:rPr>
              <w:t>Los Angeles-Long Beach, CA</w:t>
            </w:r>
          </w:p>
        </w:tc>
        <w:tc>
          <w:tcPr>
            <w:tcW w:w="10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1996-2000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78,006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209,000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5"/>
              </w:rPr>
              <w:t>J. Crew / Banana Republic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 Navy / Abercrombie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Westgate</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116,418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645,000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38,000</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Safeway</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Factory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Ross /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150 Post Street</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San Francisco, CA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37,826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California</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985,393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2,482,000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Brick Plaza</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Monmouth-Ocean, NJ</w:t>
            </w:r>
          </w:p>
        </w:tc>
        <w:tc>
          <w:tcPr>
            <w:tcW w:w="10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57,373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29,747</w:t>
            </w: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409,000</w:t>
            </w:r>
          </w:p>
        </w:tc>
        <w:tc>
          <w:tcPr>
            <w:tcW w:w="680" w:type="dxa"/>
            <w:vAlign w:val="bottom"/>
            <w:gridSpan w:val="3"/>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97%</w:t>
            </w:r>
          </w:p>
        </w:tc>
        <w:tc>
          <w:tcPr>
            <w:tcW w:w="56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66,000</w:t>
            </w:r>
          </w:p>
        </w:tc>
        <w:tc>
          <w:tcPr>
            <w:tcW w:w="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A&amp;P</w:t>
            </w:r>
          </w:p>
        </w:tc>
        <w:tc>
          <w:tcPr>
            <w:tcW w:w="17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89"/>
              </w:rPr>
              <w:t>AMC Loews / Barnes &amp; Noble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Forest Hills</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New York, NY</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Hauppauge</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rPr>
              <w:t>Nassau-Suffolk, NY</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27,916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15,174</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Shop Rite</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Huntington</w:t>
            </w:r>
          </w:p>
        </w:tc>
        <w:tc>
          <w:tcPr>
            <w:tcW w:w="3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Nassau-Suffolk, NY</w:t>
            </w:r>
          </w:p>
        </w:tc>
        <w:tc>
          <w:tcPr>
            <w:tcW w:w="11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1988/2007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38,679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292,000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Buy Buy Baby / Toys R 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Bed, Bath &amp; Beyond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&amp; Noble / Michaels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color w:val="auto"/>
              </w:rPr>
              <w:t>Melville Mall</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100" w:type="dxa"/>
            <w:vAlign w:val="bottom"/>
          </w:tcPr>
          <w:p>
            <w:pPr>
              <w:ind w:left="60"/>
              <w:spacing w:after="0"/>
              <w:rPr>
                <w:sz w:val="20"/>
                <w:szCs w:val="20"/>
                <w:color w:val="auto"/>
              </w:rPr>
            </w:pPr>
            <w:r>
              <w:rPr>
                <w:rFonts w:ascii="Arial" w:cs="Arial" w:eastAsia="Arial" w:hAnsi="Arial"/>
                <w:sz w:val="14"/>
                <w:szCs w:val="14"/>
                <w:color w:val="auto"/>
              </w:rPr>
              <w:t>Nassau-Suffolk, NY</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2006</w:t>
            </w:r>
          </w:p>
        </w:tc>
        <w:tc>
          <w:tcPr>
            <w:tcW w:w="820" w:type="dxa"/>
            <w:vAlign w:val="bottom"/>
          </w:tcPr>
          <w:p>
            <w:pPr>
              <w:jc w:val="right"/>
              <w:spacing w:after="0"/>
              <w:rPr>
                <w:sz w:val="20"/>
                <w:szCs w:val="20"/>
                <w:color w:val="auto"/>
              </w:rPr>
            </w:pPr>
            <w:r>
              <w:rPr>
                <w:rFonts w:ascii="Arial" w:cs="Arial" w:eastAsia="Arial" w:hAnsi="Arial"/>
                <w:sz w:val="14"/>
                <w:szCs w:val="14"/>
                <w:color w:val="auto"/>
              </w:rPr>
              <w:t>68,643</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23,432</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248,000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tcPr>
          <w:p>
            <w:pPr>
              <w:jc w:val="right"/>
              <w:spacing w:after="0"/>
              <w:rPr>
                <w:sz w:val="20"/>
                <w:szCs w:val="20"/>
                <w:color w:val="auto"/>
              </w:rPr>
            </w:pPr>
            <w:r>
              <w:rPr>
                <w:rFonts w:ascii="Arial" w:cs="Arial" w:eastAsia="Arial" w:hAnsi="Arial"/>
                <w:sz w:val="14"/>
                <w:szCs w:val="14"/>
                <w:color w:val="auto"/>
              </w:rPr>
              <w:t>54,000</w:t>
            </w:r>
          </w:p>
        </w:tc>
        <w:tc>
          <w:tcPr>
            <w:tcW w:w="800" w:type="dxa"/>
            <w:vAlign w:val="bottom"/>
          </w:tcPr>
          <w:p>
            <w:pPr>
              <w:ind w:left="40"/>
              <w:spacing w:after="0"/>
              <w:rPr>
                <w:sz w:val="20"/>
                <w:szCs w:val="20"/>
                <w:color w:val="auto"/>
              </w:rPr>
            </w:pPr>
            <w:r>
              <w:rPr>
                <w:rFonts w:ascii="Arial" w:cs="Arial" w:eastAsia="Arial" w:hAnsi="Arial"/>
                <w:sz w:val="14"/>
                <w:szCs w:val="14"/>
                <w:color w:val="auto"/>
                <w:w w:val="96"/>
              </w:rPr>
              <w:t>Waldbaum’s</w:t>
            </w:r>
          </w:p>
        </w:tc>
        <w:tc>
          <w:tcPr>
            <w:tcW w:w="1760" w:type="dxa"/>
            <w:vAlign w:val="bottom"/>
          </w:tcPr>
          <w:p>
            <w:pPr>
              <w:ind w:left="80"/>
              <w:spacing w:after="0"/>
              <w:rPr>
                <w:sz w:val="20"/>
                <w:szCs w:val="20"/>
                <w:color w:val="auto"/>
              </w:rPr>
            </w:pPr>
            <w:r>
              <w:rPr>
                <w:rFonts w:ascii="Arial" w:cs="Arial" w:eastAsia="Arial" w:hAnsi="Arial"/>
                <w:sz w:val="14"/>
                <w:szCs w:val="14"/>
                <w:color w:val="auto"/>
              </w:rPr>
              <w:t>Kohl’s / Marshalls</w:t>
            </w:r>
          </w:p>
        </w:tc>
      </w:tr>
      <w:tr>
        <w:trPr>
          <w:trHeight w:val="138"/>
        </w:trPr>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Mercer Mall</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21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Trenton, NJ</w:t>
            </w:r>
          </w:p>
        </w:tc>
        <w:tc>
          <w:tcPr>
            <w:tcW w:w="8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2003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104,319</w:t>
            </w:r>
          </w:p>
        </w:tc>
        <w:tc>
          <w:tcPr>
            <w:tcW w:w="9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49,387</w:t>
            </w: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500,000</w:t>
            </w: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75,000</w:t>
            </w:r>
          </w:p>
        </w:tc>
        <w:tc>
          <w:tcPr>
            <w:tcW w:w="8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Shop Rite</w:t>
            </w:r>
          </w:p>
        </w:tc>
        <w:tc>
          <w:tcPr>
            <w:tcW w:w="17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Bed, Bath &amp; Beyond / DSW /</w:t>
            </w:r>
          </w:p>
        </w:tc>
      </w:tr>
      <w:tr>
        <w:trPr>
          <w:trHeight w:val="149"/>
        </w:trPr>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TJ Maxx / Raymour &amp;</w:t>
            </w:r>
          </w:p>
        </w:tc>
      </w:tr>
      <w:tr>
        <w:trPr>
          <w:trHeight w:val="159"/>
        </w:trPr>
        <w:tc>
          <w:tcPr>
            <w:tcW w:w="1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7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Flanigan</w:t>
            </w: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Troy</w:t>
            </w:r>
          </w:p>
        </w:tc>
        <w:tc>
          <w:tcPr>
            <w:tcW w:w="900" w:type="dxa"/>
            <w:vAlign w:val="bottom"/>
          </w:tcPr>
          <w:p>
            <w:pPr>
              <w:spacing w:after="0"/>
              <w:rPr>
                <w:sz w:val="12"/>
                <w:szCs w:val="12"/>
                <w:color w:val="auto"/>
              </w:rPr>
            </w:pPr>
          </w:p>
        </w:tc>
        <w:tc>
          <w:tcPr>
            <w:tcW w:w="2100" w:type="dxa"/>
            <w:vAlign w:val="bottom"/>
          </w:tcPr>
          <w:p>
            <w:pPr>
              <w:ind w:left="60"/>
              <w:spacing w:after="0" w:line="149" w:lineRule="exact"/>
              <w:rPr>
                <w:sz w:val="20"/>
                <w:szCs w:val="20"/>
                <w:color w:val="auto"/>
              </w:rPr>
            </w:pPr>
            <w:r>
              <w:rPr>
                <w:rFonts w:ascii="Arial" w:cs="Arial" w:eastAsia="Arial" w:hAnsi="Arial"/>
                <w:sz w:val="14"/>
                <w:szCs w:val="14"/>
                <w:color w:val="auto"/>
              </w:rPr>
              <w:t>Newark, NJ</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1980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25,295</w:t>
            </w:r>
          </w:p>
        </w:tc>
        <w:tc>
          <w:tcPr>
            <w:tcW w:w="9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64,000</w:t>
            </w:r>
          </w:p>
        </w:tc>
        <w:tc>
          <w:tcPr>
            <w:tcW w:w="800" w:type="dxa"/>
            <w:vAlign w:val="bottom"/>
          </w:tcPr>
          <w:p>
            <w:pPr>
              <w:ind w:left="40"/>
              <w:spacing w:after="0" w:line="149" w:lineRule="exact"/>
              <w:rPr>
                <w:sz w:val="20"/>
                <w:szCs w:val="20"/>
                <w:color w:val="auto"/>
              </w:rPr>
            </w:pPr>
            <w:r>
              <w:rPr>
                <w:rFonts w:ascii="Arial" w:cs="Arial" w:eastAsia="Arial" w:hAnsi="Arial"/>
                <w:sz w:val="14"/>
                <w:szCs w:val="14"/>
                <w:color w:val="auto"/>
              </w:rPr>
              <w:t>Pathmark</w:t>
            </w:r>
          </w:p>
        </w:tc>
        <w:tc>
          <w:tcPr>
            <w:tcW w:w="1760" w:type="dxa"/>
            <w:vAlign w:val="bottom"/>
          </w:tcPr>
          <w:p>
            <w:pPr>
              <w:ind w:left="80"/>
              <w:spacing w:after="0" w:line="149" w:lineRule="exact"/>
              <w:rPr>
                <w:sz w:val="20"/>
                <w:szCs w:val="20"/>
                <w:color w:val="auto"/>
              </w:rPr>
            </w:pPr>
            <w:r>
              <w:rPr>
                <w:rFonts w:ascii="Arial" w:cs="Arial" w:eastAsia="Arial" w:hAnsi="Arial"/>
                <w:sz w:val="14"/>
                <w:szCs w:val="14"/>
                <w:color w:val="auto"/>
              </w:rPr>
              <w:t>L.A. Fitness</w:t>
            </w: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49"/>
        </w:trPr>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New York / New Jersey</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399,931</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2,240,000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and/or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Grocery</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Anchor</w:t>
            </w: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8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GLA</w:t>
            </w: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8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3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Acquired</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at Cost</w:t>
            </w: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Obligation (1)</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GLA (2)</w:t>
            </w: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Leased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Anchor (3)</w:t>
            </w:r>
          </w:p>
        </w:tc>
        <w:tc>
          <w:tcPr>
            <w:tcW w:w="80" w:type="dxa"/>
            <w:vAlign w:val="bottom"/>
          </w:tcPr>
          <w:p>
            <w:pPr>
              <w:spacing w:after="0"/>
              <w:rPr>
                <w:sz w:val="15"/>
                <w:szCs w:val="15"/>
                <w:color w:val="auto"/>
              </w:rPr>
            </w:pP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Assembly Square</w:t>
            </w:r>
          </w:p>
        </w:tc>
        <w:tc>
          <w:tcPr>
            <w:tcW w:w="380" w:type="dxa"/>
            <w:vAlign w:val="bottom"/>
          </w:tcPr>
          <w:p>
            <w:pPr>
              <w:spacing w:after="0"/>
              <w:rPr>
                <w:sz w:val="11"/>
                <w:szCs w:val="11"/>
                <w:color w:val="auto"/>
              </w:rPr>
            </w:pPr>
          </w:p>
        </w:tc>
        <w:tc>
          <w:tcPr>
            <w:tcW w:w="1780" w:type="dxa"/>
            <w:vAlign w:val="bottom"/>
          </w:tcPr>
          <w:p>
            <w:pPr>
              <w:spacing w:after="0" w:line="131"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2005-2009</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178,167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332,000</w:t>
            </w:r>
          </w:p>
        </w:tc>
        <w:tc>
          <w:tcPr>
            <w:tcW w:w="7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line="131" w:lineRule="exact"/>
              <w:rPr>
                <w:sz w:val="20"/>
                <w:szCs w:val="20"/>
                <w:color w:val="auto"/>
              </w:rPr>
            </w:pPr>
            <w:r>
              <w:rPr>
                <w:rFonts w:ascii="Arial" w:cs="Arial" w:eastAsia="Arial" w:hAnsi="Arial"/>
                <w:sz w:val="14"/>
                <w:szCs w:val="14"/>
                <w:color w:val="auto"/>
                <w:w w:val="89"/>
              </w:rPr>
              <w:t>AC Moore / 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w w:val="88"/>
              </w:rPr>
              <w:t>/ Christmas Tree Shops / Kmart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w w:val="97"/>
              </w:rPr>
              <w:t>Staples / Sports Authority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line="159" w:lineRule="exact"/>
              <w:rPr>
                <w:sz w:val="20"/>
                <w:szCs w:val="20"/>
                <w:color w:val="auto"/>
              </w:rPr>
            </w:pPr>
            <w:r>
              <w:rPr>
                <w:rFonts w:ascii="Arial" w:cs="Arial" w:eastAsia="Arial" w:hAnsi="Arial"/>
                <w:sz w:val="14"/>
                <w:szCs w:val="14"/>
                <w:color w:val="auto"/>
              </w:rPr>
              <w:t>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2006-2008</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30,382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7,872</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222,000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16,000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Sav-A-Lot</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Dedham Plaza</w:t>
            </w:r>
          </w:p>
        </w:tc>
        <w:tc>
          <w:tcPr>
            <w:tcW w:w="38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32,395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242,000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91%</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80,000</w:t>
            </w:r>
          </w:p>
        </w:tc>
        <w:tc>
          <w:tcPr>
            <w:tcW w:w="84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143,361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218,000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90%</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Roche</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Brothers</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4"/>
              </w:rPr>
              <w:t>Supermarkets</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Newbury Street</w:t>
            </w:r>
          </w:p>
        </w:tc>
        <w:tc>
          <w:tcPr>
            <w:tcW w:w="21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(10)  Boston-Cambridge-Quincy,</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17,450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32,000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42%</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w w:val="99"/>
              </w:rPr>
              <w:t>Pierre Deux / Simon Pearce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line="159" w:lineRule="exact"/>
              <w:rPr>
                <w:sz w:val="20"/>
                <w:szCs w:val="20"/>
                <w:color w:val="auto"/>
              </w:rPr>
            </w:pPr>
            <w:r>
              <w:rPr>
                <w:rFonts w:ascii="Arial" w:cs="Arial" w:eastAsia="Arial" w:hAnsi="Arial"/>
                <w:sz w:val="14"/>
                <w:szCs w:val="14"/>
                <w:color w:val="auto"/>
              </w:rPr>
              <w:t>Jonathan Adler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9,368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48,000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48,000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Stop &amp; Shop</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Queen Anne Plaza</w:t>
            </w:r>
          </w:p>
        </w:tc>
        <w:tc>
          <w:tcPr>
            <w:tcW w:w="38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15,665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149,000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50,000</w:t>
            </w:r>
          </w:p>
        </w:tc>
        <w:tc>
          <w:tcPr>
            <w:tcW w:w="840" w:type="dxa"/>
            <w:vAlign w:val="bottom"/>
          </w:tcPr>
          <w:p>
            <w:pPr>
              <w:spacing w:after="0" w:line="138" w:lineRule="exact"/>
              <w:rPr>
                <w:sz w:val="20"/>
                <w:szCs w:val="20"/>
                <w:color w:val="auto"/>
              </w:rPr>
            </w:pPr>
            <w:r>
              <w:rPr>
                <w:rFonts w:ascii="Arial" w:cs="Arial" w:eastAsia="Arial" w:hAnsi="Arial"/>
                <w:sz w:val="14"/>
                <w:szCs w:val="14"/>
                <w:color w:val="auto"/>
              </w:rPr>
              <w:t>Hannaford</w:t>
            </w:r>
          </w:p>
        </w:tc>
        <w:tc>
          <w:tcPr>
            <w:tcW w:w="8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Boston-Cambridge-Quincy,</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1996</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13,620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170,000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91%</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Super Stop &amp;</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Shop</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6"/>
              </w:rPr>
              <w:t>(11)</w:t>
            </w:r>
          </w:p>
        </w:tc>
        <w:tc>
          <w:tcPr>
            <w:tcW w:w="1780" w:type="dxa"/>
            <w:vAlign w:val="bottom"/>
          </w:tcPr>
          <w:p>
            <w:pPr>
              <w:spacing w:after="0" w:line="155" w:lineRule="exact"/>
              <w:rPr>
                <w:sz w:val="20"/>
                <w:szCs w:val="20"/>
                <w:color w:val="auto"/>
              </w:rPr>
            </w:pPr>
            <w:r>
              <w:rPr>
                <w:rFonts w:ascii="Arial" w:cs="Arial" w:eastAsia="Arial" w:hAnsi="Arial"/>
                <w:sz w:val="14"/>
                <w:szCs w:val="14"/>
                <w:b w:val="1"/>
                <w:bCs w:val="1"/>
                <w:color w:val="auto"/>
              </w:rPr>
              <w:t>Total New England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422,958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1,381,000</w:t>
            </w:r>
          </w:p>
        </w:tc>
        <w:tc>
          <w:tcPr>
            <w:tcW w:w="72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Baltimore</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Governor Plaza</w:t>
            </w:r>
          </w:p>
        </w:tc>
        <w:tc>
          <w:tcPr>
            <w:tcW w:w="380" w:type="dxa"/>
            <w:vAlign w:val="bottom"/>
          </w:tcPr>
          <w:p>
            <w:pPr>
              <w:spacing w:after="0"/>
              <w:rPr>
                <w:sz w:val="11"/>
                <w:szCs w:val="11"/>
                <w:color w:val="auto"/>
              </w:rPr>
            </w:pPr>
          </w:p>
        </w:tc>
        <w:tc>
          <w:tcPr>
            <w:tcW w:w="1780" w:type="dxa"/>
            <w:vAlign w:val="bottom"/>
          </w:tcPr>
          <w:p>
            <w:pPr>
              <w:spacing w:after="0" w:line="131"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21,483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267,000</w:t>
            </w:r>
          </w:p>
        </w:tc>
        <w:tc>
          <w:tcPr>
            <w:tcW w:w="7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16,500</w:t>
            </w:r>
          </w:p>
        </w:tc>
        <w:tc>
          <w:tcPr>
            <w:tcW w:w="840" w:type="dxa"/>
            <w:vAlign w:val="bottom"/>
          </w:tcPr>
          <w:p>
            <w:pPr>
              <w:spacing w:after="0" w:line="131" w:lineRule="exact"/>
              <w:rPr>
                <w:sz w:val="20"/>
                <w:szCs w:val="20"/>
                <w:color w:val="auto"/>
              </w:rPr>
            </w:pPr>
            <w:r>
              <w:rPr>
                <w:rFonts w:ascii="Arial" w:cs="Arial" w:eastAsia="Arial" w:hAnsi="Arial"/>
                <w:sz w:val="14"/>
                <w:szCs w:val="14"/>
                <w:color w:val="auto"/>
              </w:rPr>
              <w:t>Aldi</w:t>
            </w:r>
          </w:p>
        </w:tc>
        <w:tc>
          <w:tcPr>
            <w:tcW w:w="80" w:type="dxa"/>
            <w:vAlign w:val="bottom"/>
          </w:tcPr>
          <w:p>
            <w:pPr>
              <w:spacing w:after="0"/>
              <w:rPr>
                <w:sz w:val="11"/>
                <w:szCs w:val="11"/>
                <w:color w:val="auto"/>
              </w:rPr>
            </w:pPr>
          </w:p>
        </w:tc>
        <w:tc>
          <w:tcPr>
            <w:tcW w:w="1820" w:type="dxa"/>
            <w:vAlign w:val="bottom"/>
          </w:tcPr>
          <w:p>
            <w:pPr>
              <w:spacing w:after="0" w:line="131" w:lineRule="exact"/>
              <w:rPr>
                <w:sz w:val="20"/>
                <w:szCs w:val="20"/>
                <w:color w:val="auto"/>
              </w:rPr>
            </w:pPr>
            <w:r>
              <w:rPr>
                <w:rFonts w:ascii="Arial" w:cs="Arial" w:eastAsia="Arial" w:hAnsi="Arial"/>
                <w:sz w:val="14"/>
                <w:szCs w:val="14"/>
                <w:color w:val="auto"/>
              </w:rPr>
              <w:t>Bally Total Fitness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27,126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401,000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58,000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Shoppers Food</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Home Depot / 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Warehouse</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THE AVENUE at White Marsh</w:t>
            </w:r>
          </w:p>
        </w:tc>
        <w:tc>
          <w:tcPr>
            <w:tcW w:w="380" w:type="dxa"/>
            <w:vAlign w:val="bottom"/>
          </w:tcPr>
          <w:p>
            <w:pPr>
              <w:jc w:val="right"/>
              <w:ind w:right="52"/>
              <w:spacing w:after="0" w:line="138" w:lineRule="exact"/>
              <w:rPr>
                <w:sz w:val="20"/>
                <w:szCs w:val="20"/>
                <w:color w:val="auto"/>
              </w:rPr>
            </w:pPr>
            <w:r>
              <w:rPr>
                <w:rFonts w:ascii="Arial" w:cs="Arial" w:eastAsia="Arial" w:hAnsi="Arial"/>
                <w:sz w:val="14"/>
                <w:szCs w:val="14"/>
                <w:color w:val="auto"/>
                <w:w w:val="96"/>
              </w:rPr>
              <w:t>(12)</w:t>
            </w:r>
          </w:p>
        </w:tc>
        <w:tc>
          <w:tcPr>
            <w:tcW w:w="178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94,993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58,379</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298,000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w w:val="89"/>
              </w:rPr>
              <w:t>AMC Loews / Old Navy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line="159" w:lineRule="exact"/>
              <w:rPr>
                <w:sz w:val="20"/>
                <w:szCs w:val="20"/>
                <w:color w:val="auto"/>
              </w:rPr>
            </w:pPr>
            <w:r>
              <w:rPr>
                <w:rFonts w:ascii="Arial" w:cs="Arial" w:eastAsia="Arial" w:hAnsi="Arial"/>
                <w:sz w:val="14"/>
                <w:szCs w:val="14"/>
                <w:color w:val="auto"/>
              </w:rPr>
              <w:t>&amp;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86"/>
              </w:rPr>
              <w:t>The Shoppes at Nottingham Square</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White Marsh Plaza</w:t>
            </w:r>
          </w:p>
        </w:tc>
        <w:tc>
          <w:tcPr>
            <w:tcW w:w="38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80,000</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Total Baltimore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225,047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3"/>
              </w:rPr>
              <w:t>1,148,000</w:t>
            </w:r>
          </w:p>
        </w:tc>
        <w:tc>
          <w:tcPr>
            <w:tcW w:w="72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Chicago</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60" w:type="dxa"/>
            <w:vAlign w:val="bottom"/>
            <w:gridSpan w:val="7"/>
          </w:tcPr>
          <w:p>
            <w:pPr>
              <w:spacing w:after="0" w:line="142" w:lineRule="exact"/>
              <w:rPr>
                <w:sz w:val="20"/>
                <w:szCs w:val="20"/>
                <w:color w:val="auto"/>
              </w:rPr>
            </w:pPr>
            <w:r>
              <w:rPr>
                <w:rFonts w:ascii="Arial" w:cs="Arial" w:eastAsia="Arial" w:hAnsi="Arial"/>
                <w:sz w:val="14"/>
                <w:szCs w:val="14"/>
                <w:color w:val="auto"/>
              </w:rPr>
              <w:t>Crossroads</w:t>
            </w:r>
          </w:p>
        </w:tc>
        <w:tc>
          <w:tcPr>
            <w:tcW w:w="380" w:type="dxa"/>
            <w:vAlign w:val="bottom"/>
          </w:tcPr>
          <w:p>
            <w:pPr>
              <w:spacing w:after="0"/>
              <w:rPr>
                <w:sz w:val="12"/>
                <w:szCs w:val="12"/>
                <w:color w:val="auto"/>
              </w:rPr>
            </w:pPr>
          </w:p>
        </w:tc>
        <w:tc>
          <w:tcPr>
            <w:tcW w:w="1780" w:type="dxa"/>
            <w:vAlign w:val="bottom"/>
          </w:tcPr>
          <w:p>
            <w:pPr>
              <w:spacing w:after="0" w:line="142" w:lineRule="exact"/>
              <w:rPr>
                <w:sz w:val="20"/>
                <w:szCs w:val="20"/>
                <w:color w:val="auto"/>
              </w:rPr>
            </w:pPr>
            <w:r>
              <w:rPr>
                <w:rFonts w:ascii="Arial" w:cs="Arial" w:eastAsia="Arial" w:hAnsi="Arial"/>
                <w:sz w:val="14"/>
                <w:szCs w:val="14"/>
                <w:color w:val="auto"/>
              </w:rPr>
              <w:t>Chicago, IL</w:t>
            </w:r>
          </w:p>
        </w:tc>
        <w:tc>
          <w:tcPr>
            <w:tcW w:w="8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24,448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168,000</w:t>
            </w:r>
          </w:p>
        </w:tc>
        <w:tc>
          <w:tcPr>
            <w:tcW w:w="72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Chicago, IL</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31,838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315,000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Bed, Bath &amp; Beyond / Buy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Garden Market</w:t>
            </w:r>
          </w:p>
        </w:tc>
        <w:tc>
          <w:tcPr>
            <w:tcW w:w="38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140,000</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Total Chicago</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82,264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752,000</w:t>
            </w:r>
          </w:p>
        </w:tc>
        <w:tc>
          <w:tcPr>
            <w:tcW w:w="72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60" w:type="dxa"/>
            <w:vAlign w:val="bottom"/>
            <w:gridSpan w:val="7"/>
          </w:tcPr>
          <w:p>
            <w:pPr>
              <w:spacing w:after="0" w:line="142" w:lineRule="exact"/>
              <w:rPr>
                <w:sz w:val="20"/>
                <w:szCs w:val="20"/>
                <w:color w:val="auto"/>
              </w:rPr>
            </w:pPr>
            <w:r>
              <w:rPr>
                <w:rFonts w:ascii="Arial" w:cs="Arial" w:eastAsia="Arial" w:hAnsi="Arial"/>
                <w:sz w:val="14"/>
                <w:szCs w:val="14"/>
                <w:color w:val="auto"/>
              </w:rPr>
              <w:t>Courtyard Shops</w:t>
            </w:r>
          </w:p>
        </w:tc>
        <w:tc>
          <w:tcPr>
            <w:tcW w:w="380" w:type="dxa"/>
            <w:vAlign w:val="bottom"/>
          </w:tcPr>
          <w:p>
            <w:pPr>
              <w:spacing w:after="0"/>
              <w:rPr>
                <w:sz w:val="12"/>
                <w:szCs w:val="12"/>
                <w:color w:val="auto"/>
              </w:rPr>
            </w:pPr>
          </w:p>
        </w:tc>
        <w:tc>
          <w:tcPr>
            <w:tcW w:w="1780" w:type="dxa"/>
            <w:vAlign w:val="bottom"/>
          </w:tcPr>
          <w:p>
            <w:pPr>
              <w:spacing w:after="0" w:line="142" w:lineRule="exact"/>
              <w:rPr>
                <w:sz w:val="20"/>
                <w:szCs w:val="20"/>
                <w:color w:val="auto"/>
              </w:rPr>
            </w:pPr>
            <w:r>
              <w:rPr>
                <w:rFonts w:ascii="Arial" w:cs="Arial" w:eastAsia="Arial" w:hAnsi="Arial"/>
                <w:sz w:val="14"/>
                <w:szCs w:val="14"/>
                <w:color w:val="auto"/>
              </w:rPr>
              <w:t>Miami-Ft Lauderdale</w:t>
            </w:r>
          </w:p>
        </w:tc>
        <w:tc>
          <w:tcPr>
            <w:tcW w:w="8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38,988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7,405</w:t>
            </w:r>
          </w:p>
        </w:tc>
        <w:tc>
          <w:tcPr>
            <w:tcW w:w="72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130,000</w:t>
            </w:r>
          </w:p>
        </w:tc>
        <w:tc>
          <w:tcPr>
            <w:tcW w:w="72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88%</w:t>
            </w: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49,000</w:t>
            </w:r>
          </w:p>
        </w:tc>
        <w:tc>
          <w:tcPr>
            <w:tcW w:w="840" w:type="dxa"/>
            <w:vAlign w:val="bottom"/>
          </w:tcPr>
          <w:p>
            <w:pPr>
              <w:spacing w:after="0" w:line="142" w:lineRule="exact"/>
              <w:rPr>
                <w:sz w:val="20"/>
                <w:szCs w:val="20"/>
                <w:color w:val="auto"/>
              </w:rPr>
            </w:pPr>
            <w:r>
              <w:rPr>
                <w:rFonts w:ascii="Arial" w:cs="Arial" w:eastAsia="Arial" w:hAnsi="Arial"/>
                <w:sz w:val="14"/>
                <w:szCs w:val="14"/>
                <w:color w:val="auto"/>
              </w:rPr>
              <w:t>Publix</w:t>
            </w: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Miami-Ft Lauderdale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178,000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Winn Dixie</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Total South Florida</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93,700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308,000</w:t>
            </w:r>
          </w:p>
        </w:tc>
        <w:tc>
          <w:tcPr>
            <w:tcW w:w="72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5"/>
              </w:rPr>
              <w:t>Other</w:t>
            </w:r>
          </w:p>
        </w:tc>
        <w:tc>
          <w:tcPr>
            <w:tcW w:w="1620" w:type="dxa"/>
            <w:vAlign w:val="bottom"/>
            <w:tcBorders>
              <w:bottom w:val="single" w:sz="8" w:color="CCEEFF"/>
            </w:tcBorders>
            <w:gridSpan w:val="6"/>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Barracks Road</w:t>
            </w:r>
          </w:p>
        </w:tc>
        <w:tc>
          <w:tcPr>
            <w:tcW w:w="380" w:type="dxa"/>
            <w:vAlign w:val="bottom"/>
          </w:tcPr>
          <w:p>
            <w:pPr>
              <w:spacing w:after="0"/>
              <w:rPr>
                <w:sz w:val="11"/>
                <w:szCs w:val="11"/>
                <w:color w:val="auto"/>
              </w:rPr>
            </w:pPr>
          </w:p>
        </w:tc>
        <w:tc>
          <w:tcPr>
            <w:tcW w:w="1780" w:type="dxa"/>
            <w:vAlign w:val="bottom"/>
          </w:tcPr>
          <w:p>
            <w:pPr>
              <w:spacing w:after="0" w:line="131" w:lineRule="exact"/>
              <w:rPr>
                <w:sz w:val="20"/>
                <w:szCs w:val="20"/>
                <w:color w:val="auto"/>
              </w:rPr>
            </w:pPr>
            <w:r>
              <w:rPr>
                <w:rFonts w:ascii="Arial" w:cs="Arial" w:eastAsia="Arial" w:hAnsi="Arial"/>
                <w:sz w:val="14"/>
                <w:szCs w:val="14"/>
                <w:color w:val="auto"/>
              </w:rPr>
              <w:t>Charlottesville, VA</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48,963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40,252</w:t>
            </w:r>
          </w:p>
        </w:tc>
        <w:tc>
          <w:tcPr>
            <w:tcW w:w="72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486,000</w:t>
            </w:r>
          </w:p>
        </w:tc>
        <w:tc>
          <w:tcPr>
            <w:tcW w:w="7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99,000</w:t>
            </w:r>
          </w:p>
        </w:tc>
        <w:tc>
          <w:tcPr>
            <w:tcW w:w="840" w:type="dxa"/>
            <w:vAlign w:val="bottom"/>
          </w:tcPr>
          <w:p>
            <w:pPr>
              <w:spacing w:after="0" w:line="131" w:lineRule="exact"/>
              <w:rPr>
                <w:sz w:val="20"/>
                <w:szCs w:val="20"/>
                <w:color w:val="auto"/>
              </w:rPr>
            </w:pPr>
            <w:r>
              <w:rPr>
                <w:rFonts w:ascii="Arial" w:cs="Arial" w:eastAsia="Arial" w:hAnsi="Arial"/>
                <w:sz w:val="14"/>
                <w:szCs w:val="14"/>
                <w:color w:val="auto"/>
                <w:w w:val="91"/>
              </w:rPr>
              <w:t>Harris Teeter /</w:t>
            </w:r>
          </w:p>
        </w:tc>
        <w:tc>
          <w:tcPr>
            <w:tcW w:w="80" w:type="dxa"/>
            <w:vAlign w:val="bottom"/>
          </w:tcPr>
          <w:p>
            <w:pPr>
              <w:spacing w:after="0"/>
              <w:rPr>
                <w:sz w:val="11"/>
                <w:szCs w:val="11"/>
                <w:color w:val="auto"/>
              </w:rPr>
            </w:pPr>
          </w:p>
        </w:tc>
        <w:tc>
          <w:tcPr>
            <w:tcW w:w="1820" w:type="dxa"/>
            <w:vAlign w:val="bottom"/>
          </w:tcPr>
          <w:p>
            <w:pPr>
              <w:spacing w:after="0" w:line="131" w:lineRule="exact"/>
              <w:rPr>
                <w:sz w:val="20"/>
                <w:szCs w:val="20"/>
                <w:color w:val="auto"/>
              </w:rPr>
            </w:pPr>
            <w:r>
              <w:rPr>
                <w:rFonts w:ascii="Arial" w:cs="Arial" w:eastAsia="Arial" w:hAnsi="Arial"/>
                <w:sz w:val="14"/>
                <w:szCs w:val="14"/>
                <w:color w:val="auto"/>
                <w:w w:val="92"/>
              </w:rPr>
              <w:t>Bed, Bath &amp; Beyond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line="159" w:lineRule="exact"/>
              <w:rPr>
                <w:sz w:val="20"/>
                <w:szCs w:val="20"/>
                <w:color w:val="auto"/>
              </w:rPr>
            </w:pPr>
            <w:r>
              <w:rPr>
                <w:rFonts w:ascii="Arial" w:cs="Arial" w:eastAsia="Arial" w:hAnsi="Arial"/>
                <w:sz w:val="14"/>
                <w:szCs w:val="14"/>
                <w:color w:val="auto"/>
              </w:rPr>
              <w:t>Kroger</w:t>
            </w:r>
          </w:p>
        </w:tc>
        <w:tc>
          <w:tcPr>
            <w:tcW w:w="80" w:type="dxa"/>
            <w:vAlign w:val="bottom"/>
          </w:tcPr>
          <w:p>
            <w:pPr>
              <w:spacing w:after="0"/>
              <w:rPr>
                <w:sz w:val="13"/>
                <w:szCs w:val="13"/>
                <w:color w:val="auto"/>
              </w:rPr>
            </w:pPr>
          </w:p>
        </w:tc>
        <w:tc>
          <w:tcPr>
            <w:tcW w:w="1820" w:type="dxa"/>
            <w:vAlign w:val="bottom"/>
          </w:tcPr>
          <w:p>
            <w:pPr>
              <w:spacing w:after="0" w:line="159" w:lineRule="exact"/>
              <w:rPr>
                <w:sz w:val="20"/>
                <w:szCs w:val="20"/>
                <w:color w:val="auto"/>
              </w:rPr>
            </w:pPr>
            <w:r>
              <w:rPr>
                <w:rFonts w:ascii="Arial" w:cs="Arial" w:eastAsia="Arial" w:hAnsi="Arial"/>
                <w:sz w:val="14"/>
                <w:szCs w:val="14"/>
                <w:color w:val="auto"/>
              </w:rPr>
              <w:t>Noble / Old Navy /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Hartford, CT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27,790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Stop &amp; Shop</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Eastgate</w:t>
            </w:r>
          </w:p>
        </w:tc>
        <w:tc>
          <w:tcPr>
            <w:tcW w:w="38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4"/>
                <w:szCs w:val="14"/>
                <w:color w:val="auto"/>
                <w:w w:val="98"/>
              </w:rPr>
              <w:t>Raleigh-Durham-Chapel Hill,</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1986</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26,060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153,000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rPr>
              <w:t>Stein Mart / Trader Joe’s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line="159" w:lineRule="exact"/>
              <w:rPr>
                <w:sz w:val="20"/>
                <w:szCs w:val="20"/>
                <w:color w:val="auto"/>
              </w:rPr>
            </w:pPr>
            <w:r>
              <w:rPr>
                <w:rFonts w:ascii="Arial" w:cs="Arial" w:eastAsia="Arial" w:hAnsi="Arial"/>
                <w:sz w:val="14"/>
                <w:szCs w:val="14"/>
                <w:color w:val="auto"/>
              </w:rPr>
              <w:t>NC</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3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Detroit, MI</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1973</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18,687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217,000</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69,000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Kroger</w:t>
            </w: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Bed, Bath &amp; Beyond / Best Buy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Greenwich Avenue</w:t>
            </w:r>
          </w:p>
        </w:tc>
        <w:tc>
          <w:tcPr>
            <w:tcW w:w="38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4"/>
                <w:szCs w:val="14"/>
                <w:color w:val="auto"/>
              </w:rPr>
              <w:t>New Haven-Bridgeport-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13,969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36,000</w:t>
            </w:r>
          </w:p>
        </w:tc>
        <w:tc>
          <w:tcPr>
            <w:tcW w:w="7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line="159" w:lineRule="exact"/>
              <w:rPr>
                <w:sz w:val="20"/>
                <w:szCs w:val="20"/>
                <w:color w:val="auto"/>
              </w:rPr>
            </w:pPr>
            <w:r>
              <w:rPr>
                <w:rFonts w:ascii="Arial" w:cs="Arial" w:eastAsia="Arial" w:hAnsi="Arial"/>
                <w:sz w:val="14"/>
                <w:szCs w:val="14"/>
                <w:color w:val="auto"/>
              </w:rPr>
              <w:t>Stamford-Waterbury</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Houston St</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Antonio, TX</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69,943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Valencia / 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Lancaster</w:t>
            </w:r>
          </w:p>
        </w:tc>
        <w:tc>
          <w:tcPr>
            <w:tcW w:w="3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6"/>
              </w:rPr>
              <w:t>(13)</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Lancaster, PA</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4,907</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107,000</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Charlottesville, VA</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5,664</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Whole Foods</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Shops at Willow Lawn</w:t>
            </w:r>
          </w:p>
        </w:tc>
        <w:tc>
          <w:tcPr>
            <w:tcW w:w="38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Richmond-Petersburg, VA</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77,074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476,000</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8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324,097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2,109,000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Grand Total</w:t>
            </w: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(11)</w:t>
            </w: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gridSpan w:val="8"/>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   3,787,217</w:t>
            </w:r>
          </w:p>
        </w:tc>
        <w:tc>
          <w:tcPr>
            <w:tcW w:w="2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596,700</w:t>
            </w:r>
          </w:p>
        </w:tc>
        <w:tc>
          <w:tcPr>
            <w:tcW w:w="7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4"/>
              </w:rPr>
              <w:t>18,165,000</w:t>
            </w:r>
          </w:p>
        </w:tc>
        <w:tc>
          <w:tcPr>
            <w:tcW w:w="72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94%</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an 85% ownership interest in the property which is accounted for on the equity method.</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information is calculated on a GLA weighted-average basis, excluding properties acquired through the Taurus Newbury Street JV II Limited Partnership.</w:t>
      </w: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274" w:right="239" w:bottom="441"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441"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40" w:type="dxa"/>
            <w:vAlign w:val="bottom"/>
            <w:gridSpan w:val="60"/>
          </w:tcPr>
          <w:p>
            <w:pPr>
              <w:spacing w:after="0"/>
              <w:rPr>
                <w:sz w:val="20"/>
                <w:szCs w:val="20"/>
                <w:color w:val="auto"/>
              </w:rPr>
            </w:pPr>
            <w:r>
              <w:rPr>
                <w:rFonts w:ascii="Arial" w:cs="Arial" w:eastAsia="Arial" w:hAnsi="Arial"/>
                <w:sz w:val="14"/>
                <w:szCs w:val="14"/>
                <w:b w:val="1"/>
                <w:bCs w:val="1"/>
                <w:color w:val="auto"/>
              </w:rPr>
              <w:t>Straight-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lined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Basis %</w:t>
            </w:r>
          </w:p>
        </w:tc>
        <w:tc>
          <w:tcPr>
            <w:tcW w:w="100" w:type="dxa"/>
            <w:vAlign w:val="bottom"/>
          </w:tcPr>
          <w:p>
            <w:pPr>
              <w:spacing w:after="0"/>
              <w:rPr>
                <w:sz w:val="12"/>
                <w:szCs w:val="12"/>
                <w:color w:val="auto"/>
              </w:rPr>
            </w:pP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Basis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Prior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2"/>
                <w:szCs w:val="12"/>
                <w:color w:val="auto"/>
              </w:rPr>
            </w:pPr>
          </w:p>
        </w:tc>
        <w:tc>
          <w:tcPr>
            <w:tcW w:w="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Weighted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c>
          <w:tcPr>
            <w:tcW w:w="18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Comparable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82"/>
              </w:rPr>
              <w:t>Contractual</w:t>
            </w:r>
          </w:p>
        </w:tc>
        <w:tc>
          <w:tcPr>
            <w:tcW w:w="120" w:type="dxa"/>
            <w:vAlign w:val="bottom"/>
          </w:tcPr>
          <w:p>
            <w:pPr>
              <w:spacing w:after="0"/>
              <w:rPr>
                <w:sz w:val="12"/>
                <w:szCs w:val="12"/>
                <w:color w:val="auto"/>
              </w:rPr>
            </w:pPr>
          </w:p>
        </w:tc>
        <w:tc>
          <w:tcPr>
            <w:tcW w:w="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Rent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Annual</w:t>
            </w:r>
          </w:p>
        </w:tc>
        <w:tc>
          <w:tcPr>
            <w:tcW w:w="1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Over</w:t>
            </w:r>
          </w:p>
        </w:tc>
        <w:tc>
          <w:tcPr>
            <w:tcW w:w="100" w:type="dxa"/>
            <w:vAlign w:val="bottom"/>
          </w:tcPr>
          <w:p>
            <w:pPr>
              <w:spacing w:after="0"/>
              <w:rPr>
                <w:sz w:val="12"/>
                <w:szCs w:val="12"/>
                <w:color w:val="auto"/>
              </w:rPr>
            </w:pP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Over</w:t>
            </w: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Tenant</w:t>
            </w:r>
          </w:p>
        </w:tc>
        <w:tc>
          <w:tcPr>
            <w:tcW w:w="1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GLA</w:t>
            </w:r>
          </w:p>
        </w:tc>
        <w:tc>
          <w:tcPr>
            <w:tcW w:w="60" w:type="dxa"/>
            <w:vAlign w:val="bottom"/>
          </w:tcPr>
          <w:p>
            <w:pPr>
              <w:spacing w:after="0"/>
              <w:rPr>
                <w:sz w:val="12"/>
                <w:szCs w:val="12"/>
                <w:color w:val="auto"/>
              </w:rPr>
            </w:pPr>
          </w:p>
        </w:tc>
        <w:tc>
          <w:tcPr>
            <w:tcW w:w="6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rPr>
              <w:t>Rent (3)</w:t>
            </w:r>
          </w:p>
        </w:tc>
        <w:tc>
          <w:tcPr>
            <w:tcW w:w="120" w:type="dxa"/>
            <w:vAlign w:val="bottom"/>
          </w:tcPr>
          <w:p>
            <w:pPr>
              <w:spacing w:after="0"/>
              <w:rPr>
                <w:sz w:val="12"/>
                <w:szCs w:val="12"/>
                <w:color w:val="auto"/>
              </w:rPr>
            </w:pPr>
          </w:p>
        </w:tc>
        <w:tc>
          <w:tcPr>
            <w:tcW w:w="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(4) Per</w:t>
            </w:r>
          </w:p>
        </w:tc>
        <w:tc>
          <w:tcPr>
            <w:tcW w:w="6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Increase in</w:t>
            </w:r>
          </w:p>
        </w:tc>
        <w:tc>
          <w:tcPr>
            <w:tcW w:w="1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Prior</w:t>
            </w:r>
          </w:p>
        </w:tc>
        <w:tc>
          <w:tcPr>
            <w:tcW w:w="100" w:type="dxa"/>
            <w:vAlign w:val="bottom"/>
          </w:tcPr>
          <w:p>
            <w:pPr>
              <w:spacing w:after="0"/>
              <w:rPr>
                <w:sz w:val="12"/>
                <w:szCs w:val="12"/>
                <w:color w:val="auto"/>
              </w:rPr>
            </w:pP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Prior</w:t>
            </w: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Lease</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1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Signed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6"/>
          </w:tcPr>
          <w:p>
            <w:pPr>
              <w:ind w:left="140"/>
              <w:spacing w:after="0"/>
              <w:rPr>
                <w:sz w:val="20"/>
                <w:szCs w:val="20"/>
                <w:color w:val="auto"/>
              </w:rPr>
            </w:pPr>
            <w:r>
              <w:rPr>
                <w:rFonts w:ascii="Arial" w:cs="Arial" w:eastAsia="Arial" w:hAnsi="Arial"/>
                <w:sz w:val="14"/>
                <w:szCs w:val="14"/>
                <w:b w:val="1"/>
                <w:bCs w:val="1"/>
                <w:color w:val="auto"/>
              </w:rPr>
              <w:t>Signed</w:t>
            </w:r>
          </w:p>
        </w:tc>
        <w:tc>
          <w:tcPr>
            <w:tcW w:w="60" w:type="dxa"/>
            <w:vAlign w:val="bottom"/>
          </w:tcPr>
          <w:p>
            <w:pPr>
              <w:spacing w:after="0"/>
              <w:rPr>
                <w:sz w:val="14"/>
                <w:szCs w:val="14"/>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b w:val="1"/>
                <w:bCs w:val="1"/>
                <w:color w:val="auto"/>
                <w:w w:val="86"/>
              </w:rPr>
              <w:t>Per Sq. Ft.</w:t>
            </w:r>
          </w:p>
        </w:tc>
        <w:tc>
          <w:tcPr>
            <w:tcW w:w="120" w:type="dxa"/>
            <w:vAlign w:val="bottom"/>
          </w:tcPr>
          <w:p>
            <w:pPr>
              <w:spacing w:after="0"/>
              <w:rPr>
                <w:sz w:val="14"/>
                <w:szCs w:val="14"/>
                <w:color w:val="auto"/>
              </w:rPr>
            </w:pPr>
          </w:p>
        </w:tc>
        <w:tc>
          <w:tcPr>
            <w:tcW w:w="580" w:type="dxa"/>
            <w:vAlign w:val="bottom"/>
            <w:gridSpan w:val="5"/>
          </w:tcPr>
          <w:p>
            <w:pPr>
              <w:jc w:val="center"/>
              <w:ind w:right="12"/>
              <w:spacing w:after="0"/>
              <w:rPr>
                <w:sz w:val="20"/>
                <w:szCs w:val="20"/>
                <w:color w:val="auto"/>
              </w:rPr>
            </w:pPr>
            <w:r>
              <w:rPr>
                <w:rFonts w:ascii="Arial" w:cs="Arial" w:eastAsia="Arial" w:hAnsi="Arial"/>
                <w:sz w:val="14"/>
                <w:szCs w:val="14"/>
                <w:b w:val="1"/>
                <w:bCs w:val="1"/>
                <w:color w:val="auto"/>
                <w:w w:val="88"/>
              </w:rPr>
              <w:t>Sq. Ft.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4"/>
                <w:szCs w:val="14"/>
                <w:color w:val="auto"/>
              </w:rPr>
            </w:pPr>
          </w:p>
        </w:tc>
        <w:tc>
          <w:tcPr>
            <w:tcW w:w="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4"/>
                <w:szCs w:val="14"/>
                <w:color w:val="auto"/>
              </w:rPr>
            </w:pPr>
          </w:p>
        </w:tc>
        <w:tc>
          <w:tcPr>
            <w:tcW w:w="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Rent</w:t>
            </w:r>
          </w:p>
        </w:tc>
        <w:tc>
          <w:tcPr>
            <w:tcW w:w="8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Term (5)  &amp; Incentives (6)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Borders>
              <w:right w:val="single" w:sz="8" w:color="auto"/>
            </w:tcBorders>
            <w:gridSpan w:val="10"/>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4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900" w:type="dxa"/>
            <w:vAlign w:val="bottom"/>
            <w:tcBorders>
              <w:left w:val="single" w:sz="8" w:color="auto"/>
            </w:tcBorders>
            <w:gridSpan w:val="5"/>
            <w:shd w:val="clear" w:color="auto" w:fill="000000"/>
          </w:tcPr>
          <w:p>
            <w:pPr>
              <w:spacing w:after="0" w:line="20" w:lineRule="exact"/>
              <w:rPr>
                <w:sz w:val="1"/>
                <w:szCs w:val="1"/>
                <w:color w:val="auto"/>
              </w:rPr>
            </w:pPr>
          </w:p>
        </w:tc>
        <w:tc>
          <w:tcPr>
            <w:tcW w:w="920" w:type="dxa"/>
            <w:vAlign w:val="bottom"/>
            <w:tcBorders>
              <w:left w:val="single" w:sz="8" w:color="auto"/>
            </w:tcBorders>
            <w:gridSpan w:val="4"/>
            <w:shd w:val="clear" w:color="auto" w:fill="000000"/>
          </w:tcPr>
          <w:p>
            <w:pPr>
              <w:spacing w:after="0" w:line="20" w:lineRule="exact"/>
              <w:rPr>
                <w:sz w:val="1"/>
                <w:szCs w:val="1"/>
                <w:color w:val="auto"/>
              </w:rPr>
            </w:pPr>
          </w:p>
        </w:tc>
        <w:tc>
          <w:tcPr>
            <w:tcW w:w="1120" w:type="dxa"/>
            <w:vAlign w:val="bottom"/>
            <w:tcBorders>
              <w:left w:val="single" w:sz="8" w:color="auto"/>
            </w:tcBorders>
            <w:gridSpan w:val="5"/>
            <w:shd w:val="clear" w:color="auto" w:fill="000000"/>
          </w:tcPr>
          <w:p>
            <w:pPr>
              <w:spacing w:after="0" w:line="20" w:lineRule="exact"/>
              <w:rPr>
                <w:sz w:val="1"/>
                <w:szCs w:val="1"/>
                <w:color w:val="auto"/>
              </w:rPr>
            </w:pPr>
          </w:p>
        </w:tc>
        <w:tc>
          <w:tcPr>
            <w:tcW w:w="1040" w:type="dxa"/>
            <w:vAlign w:val="bottom"/>
            <w:tcBorders>
              <w:left w:val="single" w:sz="8" w:color="auto"/>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left w:val="single" w:sz="8" w:color="CCEEFF"/>
            </w:tcBorders>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307,567</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27.62</w:t>
            </w:r>
          </w:p>
        </w:tc>
        <w:tc>
          <w:tcPr>
            <w:tcW w:w="70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$26.64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301,098</w:t>
            </w:r>
          </w:p>
        </w:tc>
        <w:tc>
          <w:tcPr>
            <w:tcW w:w="84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7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4,431,806</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1st Quarter 2010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7"/>
          </w:tcPr>
          <w:p>
            <w:pPr>
              <w:jc w:val="right"/>
              <w:ind w:right="100"/>
              <w:spacing w:after="0"/>
              <w:rPr>
                <w:sz w:val="20"/>
                <w:szCs w:val="20"/>
                <w:color w:val="auto"/>
              </w:rPr>
            </w:pPr>
            <w:r>
              <w:rPr>
                <w:rFonts w:ascii="Arial" w:cs="Arial" w:eastAsia="Arial" w:hAnsi="Arial"/>
                <w:sz w:val="18"/>
                <w:szCs w:val="18"/>
                <w:color w:val="auto"/>
              </w:rPr>
              <w:t>307,962</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29.19</w:t>
            </w:r>
          </w:p>
        </w:tc>
        <w:tc>
          <w:tcPr>
            <w:tcW w:w="700" w:type="dxa"/>
            <w:vAlign w:val="bottom"/>
            <w:gridSpan w:val="6"/>
          </w:tcPr>
          <w:p>
            <w:pPr>
              <w:jc w:val="right"/>
              <w:ind w:right="12"/>
              <w:spacing w:after="0"/>
              <w:rPr>
                <w:sz w:val="20"/>
                <w:szCs w:val="20"/>
                <w:color w:val="auto"/>
              </w:rPr>
            </w:pPr>
            <w:r>
              <w:rPr>
                <w:rFonts w:ascii="Arial" w:cs="Arial" w:eastAsia="Arial" w:hAnsi="Arial"/>
                <w:sz w:val="18"/>
                <w:szCs w:val="18"/>
                <w:color w:val="auto"/>
                <w:w w:val="99"/>
              </w:rPr>
              <w:t>$ 25.11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1,255,084</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16%</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27%</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7"/>
              </w:rPr>
              <w:t>6,919,627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left w:val="single" w:sz="8" w:color="CCEEFF"/>
            </w:tcBorders>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360,218</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27.58</w:t>
            </w:r>
          </w:p>
        </w:tc>
        <w:tc>
          <w:tcPr>
            <w:tcW w:w="70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$26.64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337,501</w:t>
            </w:r>
          </w:p>
        </w:tc>
        <w:tc>
          <w:tcPr>
            <w:tcW w:w="84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7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4,550,199</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3rd Quarter 2009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7"/>
          </w:tcPr>
          <w:p>
            <w:pPr>
              <w:jc w:val="right"/>
              <w:ind w:right="100"/>
              <w:spacing w:after="0"/>
              <w:rPr>
                <w:sz w:val="20"/>
                <w:szCs w:val="20"/>
                <w:color w:val="auto"/>
              </w:rPr>
            </w:pPr>
            <w:r>
              <w:rPr>
                <w:rFonts w:ascii="Arial" w:cs="Arial" w:eastAsia="Arial" w:hAnsi="Arial"/>
                <w:sz w:val="18"/>
                <w:szCs w:val="18"/>
                <w:color w:val="auto"/>
              </w:rPr>
              <w:t>334,690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29.38</w:t>
            </w:r>
          </w:p>
        </w:tc>
        <w:tc>
          <w:tcPr>
            <w:tcW w:w="700" w:type="dxa"/>
            <w:vAlign w:val="bottom"/>
            <w:gridSpan w:val="6"/>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794,017</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9%</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17%</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7.5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7"/>
              </w:rPr>
              <w:t>3,684,641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Borders>
              <w:right w:val="single" w:sz="8" w:color="auto"/>
            </w:tcBorders>
            <w:gridSpan w:val="10"/>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940" w:type="dxa"/>
            <w:vAlign w:val="bottom"/>
            <w:tcBorders>
              <w:left w:val="single" w:sz="8" w:color="auto"/>
            </w:tcBorders>
            <w:gridSpan w:val="5"/>
            <w:shd w:val="clear" w:color="auto" w:fill="000000"/>
          </w:tcPr>
          <w:p>
            <w:pPr>
              <w:spacing w:after="0"/>
              <w:rPr>
                <w:sz w:val="2"/>
                <w:szCs w:val="2"/>
                <w:color w:val="auto"/>
              </w:rPr>
            </w:pPr>
          </w:p>
        </w:tc>
        <w:tc>
          <w:tcPr>
            <w:tcW w:w="20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340" w:type="dxa"/>
            <w:vAlign w:val="bottom"/>
            <w:tcBorders>
              <w:right w:val="single" w:sz="8" w:color="auto"/>
            </w:tcBorders>
            <w:gridSpan w:val="3"/>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20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460" w:type="dxa"/>
            <w:vAlign w:val="bottom"/>
            <w:gridSpan w:val="4"/>
            <w:shd w:val="clear" w:color="auto" w:fill="000000"/>
          </w:tcPr>
          <w:p>
            <w:pPr>
              <w:spacing w:after="0"/>
              <w:rPr>
                <w:sz w:val="2"/>
                <w:szCs w:val="2"/>
                <w:color w:val="auto"/>
              </w:rPr>
            </w:pPr>
          </w:p>
        </w:tc>
        <w:tc>
          <w:tcPr>
            <w:tcW w:w="220" w:type="dxa"/>
            <w:vAlign w:val="bottom"/>
            <w:tcBorders>
              <w:left w:val="single" w:sz="8" w:color="auto"/>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60" w:type="dxa"/>
            <w:vAlign w:val="bottom"/>
            <w:gridSpan w:val="4"/>
          </w:tcPr>
          <w:p>
            <w:pPr>
              <w:spacing w:after="0"/>
              <w:rPr>
                <w:sz w:val="2"/>
                <w:szCs w:val="2"/>
                <w:color w:val="auto"/>
              </w:rPr>
            </w:pPr>
          </w:p>
        </w:tc>
        <w:tc>
          <w:tcPr>
            <w:tcW w:w="240" w:type="dxa"/>
            <w:vAlign w:val="bottom"/>
            <w:tcBorders>
              <w:left w:val="single" w:sz="8" w:color="auto"/>
              <w:right w:val="single" w:sz="8" w:color="auto"/>
            </w:tcBorders>
            <w:shd w:val="clear" w:color="auto" w:fill="000000"/>
          </w:tcPr>
          <w:p>
            <w:pPr>
              <w:spacing w:after="0"/>
              <w:rPr>
                <w:sz w:val="2"/>
                <w:szCs w:val="2"/>
                <w:color w:val="auto"/>
              </w:rPr>
            </w:pPr>
          </w:p>
        </w:tc>
        <w:tc>
          <w:tcPr>
            <w:tcW w:w="440" w:type="dxa"/>
            <w:vAlign w:val="bottom"/>
            <w:gridSpan w:val="4"/>
            <w:shd w:val="clear" w:color="auto" w:fill="000000"/>
          </w:tcPr>
          <w:p>
            <w:pPr>
              <w:spacing w:after="0"/>
              <w:rPr>
                <w:sz w:val="2"/>
                <w:szCs w:val="2"/>
                <w:color w:val="auto"/>
              </w:rPr>
            </w:pPr>
          </w:p>
        </w:tc>
        <w:tc>
          <w:tcPr>
            <w:tcW w:w="900" w:type="dxa"/>
            <w:vAlign w:val="bottom"/>
            <w:tcBorders>
              <w:left w:val="single" w:sz="8" w:color="auto"/>
            </w:tcBorders>
            <w:gridSpan w:val="5"/>
            <w:shd w:val="clear" w:color="auto" w:fill="000000"/>
          </w:tcPr>
          <w:p>
            <w:pPr>
              <w:spacing w:after="0"/>
              <w:rPr>
                <w:sz w:val="2"/>
                <w:szCs w:val="2"/>
                <w:color w:val="auto"/>
              </w:rPr>
            </w:pPr>
          </w:p>
        </w:tc>
        <w:tc>
          <w:tcPr>
            <w:tcW w:w="920" w:type="dxa"/>
            <w:vAlign w:val="bottom"/>
            <w:tcBorders>
              <w:left w:val="single" w:sz="8" w:color="auto"/>
            </w:tcBorders>
            <w:gridSpan w:val="4"/>
            <w:shd w:val="clear" w:color="auto" w:fill="000000"/>
          </w:tcPr>
          <w:p>
            <w:pPr>
              <w:spacing w:after="0"/>
              <w:rPr>
                <w:sz w:val="2"/>
                <w:szCs w:val="2"/>
                <w:color w:val="auto"/>
              </w:rPr>
            </w:pPr>
          </w:p>
        </w:tc>
        <w:tc>
          <w:tcPr>
            <w:tcW w:w="1120" w:type="dxa"/>
            <w:vAlign w:val="bottom"/>
            <w:tcBorders>
              <w:left w:val="single" w:sz="8" w:color="auto"/>
            </w:tcBorders>
            <w:gridSpan w:val="5"/>
            <w:shd w:val="clear" w:color="auto" w:fill="000000"/>
          </w:tcPr>
          <w:p>
            <w:pPr>
              <w:spacing w:after="0"/>
              <w:rPr>
                <w:sz w:val="2"/>
                <w:szCs w:val="2"/>
                <w:color w:val="auto"/>
              </w:rPr>
            </w:pPr>
          </w:p>
        </w:tc>
        <w:tc>
          <w:tcPr>
            <w:tcW w:w="1040" w:type="dxa"/>
            <w:vAlign w:val="bottom"/>
            <w:tcBorders>
              <w:lef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321</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left w:val="single" w:sz="8" w:color="CCEEFF"/>
            </w:tcBorders>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1,310,437</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28.</w:t>
            </w:r>
            <w:r>
              <w:rPr>
                <w:rFonts w:ascii="Arial" w:cs="Arial" w:eastAsia="Arial" w:hAnsi="Arial"/>
                <w:sz w:val="18"/>
                <w:szCs w:val="18"/>
                <w:u w:val="single" w:color="auto"/>
                <w:color w:val="auto"/>
                <w:w w:val="88"/>
              </w:rPr>
              <w:t>43</w:t>
            </w:r>
          </w:p>
        </w:tc>
        <w:tc>
          <w:tcPr>
            <w:tcW w:w="70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2,687,700</w:t>
            </w:r>
          </w:p>
        </w:tc>
        <w:tc>
          <w:tcPr>
            <w:tcW w:w="84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8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7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$ 19,586,273</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gridSpan w:val="6"/>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600" w:type="dxa"/>
            <w:vAlign w:val="bottom"/>
            <w:gridSpan w:val="14"/>
          </w:tcPr>
          <w:p>
            <w:pPr>
              <w:spacing w:after="0"/>
              <w:rPr>
                <w:sz w:val="20"/>
                <w:szCs w:val="20"/>
                <w:color w:val="auto"/>
              </w:rPr>
            </w:pPr>
            <w:r>
              <w:rPr>
                <w:rFonts w:ascii="Arial" w:cs="Arial" w:eastAsia="Arial" w:hAnsi="Arial"/>
                <w:sz w:val="18"/>
                <w:szCs w:val="18"/>
                <w:b w:val="1"/>
                <w:bCs w:val="1"/>
                <w:color w:val="auto"/>
              </w:rPr>
              <w:t>New Lease Summary - Comparable (2)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Borders>
              <w:top w:val="single" w:sz="8" w:color="auto"/>
            </w:tcBorders>
            <w:gridSpan w:val="10"/>
          </w:tcPr>
          <w:p>
            <w:pPr>
              <w:spacing w:after="0"/>
              <w:rPr>
                <w:sz w:val="24"/>
                <w:szCs w:val="24"/>
                <w:color w:val="auto"/>
              </w:rPr>
            </w:pPr>
          </w:p>
        </w:tc>
        <w:tc>
          <w:tcPr>
            <w:tcW w:w="8520" w:type="dxa"/>
            <w:vAlign w:val="bottom"/>
            <w:gridSpan w:val="49"/>
          </w:tcPr>
          <w:p>
            <w:pPr>
              <w:spacing w:after="0"/>
              <w:rPr>
                <w:sz w:val="20"/>
                <w:szCs w:val="20"/>
                <w:color w:val="auto"/>
              </w:rPr>
            </w:pPr>
            <w:r>
              <w:rPr>
                <w:rFonts w:ascii="Arial" w:cs="Arial" w:eastAsia="Arial" w:hAnsi="Arial"/>
                <w:sz w:val="14"/>
                <w:szCs w:val="14"/>
                <w:b w:val="1"/>
                <w:bCs w:val="1"/>
                <w:color w:val="auto"/>
              </w:rPr>
              <w:t>Straight-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lined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Basis %</w:t>
            </w:r>
          </w:p>
        </w:tc>
        <w:tc>
          <w:tcPr>
            <w:tcW w:w="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Basis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Prior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77"/>
              </w:rPr>
              <w:t>Increase</w:t>
            </w:r>
          </w:p>
        </w:tc>
        <w:tc>
          <w:tcPr>
            <w:tcW w:w="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0"/>
              </w:rPr>
              <w:t>Increase</w:t>
            </w:r>
          </w:p>
        </w:tc>
        <w:tc>
          <w:tcPr>
            <w:tcW w:w="72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79"/>
              </w:rPr>
              <w:t>Weighted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102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88"/>
              </w:rPr>
              <w:t>Annual</w:t>
            </w:r>
          </w:p>
        </w:tc>
        <w:tc>
          <w:tcPr>
            <w:tcW w:w="8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Over</w:t>
            </w: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1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6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600" w:type="dxa"/>
            <w:vAlign w:val="bottom"/>
            <w:gridSpan w:val="4"/>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(4) Per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tcPr>
          <w:p>
            <w:pPr>
              <w:jc w:val="center"/>
              <w:ind w:right="252"/>
              <w:spacing w:after="0" w:line="149" w:lineRule="exact"/>
              <w:rPr>
                <w:sz w:val="20"/>
                <w:szCs w:val="20"/>
                <w:color w:val="auto"/>
              </w:rPr>
            </w:pPr>
            <w:r>
              <w:rPr>
                <w:rFonts w:ascii="Arial" w:cs="Arial" w:eastAsia="Arial" w:hAnsi="Arial"/>
                <w:sz w:val="14"/>
                <w:szCs w:val="14"/>
                <w:b w:val="1"/>
                <w:bCs w:val="1"/>
                <w:color w:val="auto"/>
                <w:w w:val="81"/>
              </w:rPr>
              <w:t>Increase in</w:t>
            </w:r>
          </w:p>
        </w:tc>
        <w:tc>
          <w:tcPr>
            <w:tcW w:w="8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Prior</w:t>
            </w:r>
          </w:p>
        </w:tc>
        <w:tc>
          <w:tcPr>
            <w:tcW w:w="88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2"/>
                <w:szCs w:val="12"/>
                <w:color w:val="auto"/>
              </w:rPr>
            </w:pPr>
          </w:p>
        </w:tc>
        <w:tc>
          <w:tcPr>
            <w:tcW w:w="6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75"/>
              </w:rPr>
              <w:t>Lease</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1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Signed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1"/>
              </w:rPr>
              <w:t>Signed</w:t>
            </w:r>
          </w:p>
        </w:tc>
        <w:tc>
          <w:tcPr>
            <w:tcW w:w="120" w:type="dxa"/>
            <w:vAlign w:val="bottom"/>
          </w:tcPr>
          <w:p>
            <w:pPr>
              <w:spacing w:after="0"/>
              <w:rPr>
                <w:sz w:val="14"/>
                <w:szCs w:val="14"/>
                <w:color w:val="auto"/>
              </w:rPr>
            </w:pPr>
          </w:p>
        </w:tc>
        <w:tc>
          <w:tcPr>
            <w:tcW w:w="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1"/>
              </w:rPr>
              <w:t>Signed</w:t>
            </w:r>
          </w:p>
        </w:tc>
        <w:tc>
          <w:tcPr>
            <w:tcW w:w="120" w:type="dxa"/>
            <w:vAlign w:val="bottom"/>
          </w:tcPr>
          <w:p>
            <w:pPr>
              <w:spacing w:after="0"/>
              <w:rPr>
                <w:sz w:val="14"/>
                <w:szCs w:val="14"/>
                <w:color w:val="auto"/>
              </w:rPr>
            </w:pPr>
          </w:p>
        </w:tc>
        <w:tc>
          <w:tcPr>
            <w:tcW w:w="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Sq. Ft.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392"/>
              <w:spacing w:after="0"/>
              <w:rPr>
                <w:sz w:val="20"/>
                <w:szCs w:val="20"/>
                <w:color w:val="auto"/>
              </w:rPr>
            </w:pPr>
            <w:r>
              <w:rPr>
                <w:rFonts w:ascii="Arial" w:cs="Arial" w:eastAsia="Arial" w:hAnsi="Arial"/>
                <w:sz w:val="14"/>
                <w:szCs w:val="14"/>
                <w:b w:val="1"/>
                <w:bCs w:val="1"/>
                <w:color w:val="auto"/>
                <w:w w:val="83"/>
              </w:rPr>
              <w:t>Rent</w:t>
            </w:r>
          </w:p>
        </w:tc>
        <w:tc>
          <w:tcPr>
            <w:tcW w:w="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Rent</w:t>
            </w:r>
          </w:p>
        </w:tc>
        <w:tc>
          <w:tcPr>
            <w:tcW w:w="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Rent</w:t>
            </w:r>
          </w:p>
        </w:tc>
        <w:tc>
          <w:tcPr>
            <w:tcW w:w="1640" w:type="dxa"/>
            <w:vAlign w:val="bottom"/>
            <w:gridSpan w:val="7"/>
          </w:tcPr>
          <w:p>
            <w:pPr>
              <w:spacing w:after="0"/>
              <w:rPr>
                <w:sz w:val="20"/>
                <w:szCs w:val="20"/>
                <w:color w:val="auto"/>
              </w:rPr>
            </w:pPr>
            <w:r>
              <w:rPr>
                <w:rFonts w:ascii="Arial" w:cs="Arial" w:eastAsia="Arial" w:hAnsi="Arial"/>
                <w:sz w:val="14"/>
                <w:szCs w:val="14"/>
                <w:b w:val="1"/>
                <w:bCs w:val="1"/>
                <w:color w:val="auto"/>
                <w:w w:val="93"/>
              </w:rPr>
              <w:t>Term (5)   &amp; Incentives (6)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Borders>
              <w:right w:val="single" w:sz="8" w:color="auto"/>
            </w:tcBorders>
            <w:gridSpan w:val="10"/>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gridSpan w:val="2"/>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gridSpan w:val="5"/>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60" w:type="dxa"/>
            <w:vAlign w:val="bottom"/>
            <w:tcBorders>
              <w:left w:val="single" w:sz="8" w:color="auto"/>
            </w:tcBorders>
            <w:gridSpan w:val="6"/>
          </w:tcPr>
          <w:p>
            <w:pPr>
              <w:spacing w:after="0" w:line="20" w:lineRule="exact"/>
              <w:rPr>
                <w:sz w:val="1"/>
                <w:szCs w:val="1"/>
                <w:color w:val="auto"/>
              </w:rPr>
            </w:pPr>
          </w:p>
        </w:tc>
        <w:tc>
          <w:tcPr>
            <w:tcW w:w="320" w:type="dxa"/>
            <w:vAlign w:val="bottom"/>
            <w:tcBorders>
              <w:left w:val="single" w:sz="8" w:color="auto"/>
              <w:right w:val="single" w:sz="8" w:color="auto"/>
            </w:tcBorders>
            <w:gridSpan w:val="2"/>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860" w:type="dxa"/>
            <w:vAlign w:val="bottom"/>
            <w:tcBorders>
              <w:right w:val="single" w:sz="8" w:color="auto"/>
            </w:tcBorders>
            <w:gridSpan w:val="6"/>
            <w:shd w:val="clear" w:color="auto" w:fill="000000"/>
          </w:tcPr>
          <w:p>
            <w:pPr>
              <w:spacing w:after="0" w:line="20" w:lineRule="exact"/>
              <w:rPr>
                <w:sz w:val="1"/>
                <w:szCs w:val="1"/>
                <w:color w:val="auto"/>
              </w:rPr>
            </w:pPr>
          </w:p>
        </w:tc>
        <w:tc>
          <w:tcPr>
            <w:tcW w:w="880" w:type="dxa"/>
            <w:vAlign w:val="bottom"/>
            <w:tcBorders>
              <w:right w:val="single" w:sz="8" w:color="auto"/>
            </w:tcBorders>
            <w:gridSpan w:val="5"/>
            <w:shd w:val="clear" w:color="auto" w:fill="000000"/>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1960" w:type="dxa"/>
            <w:vAlign w:val="bottom"/>
            <w:gridSpan w:val="6"/>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7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6"/>
              </w:rPr>
              <w:t>149,562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75"/>
              </w:rPr>
              <w:t>25.01</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90"/>
              </w:rPr>
              <w:t>$23.20</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6"/>
              </w:rPr>
              <w:t>270,375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4,409,306</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1st Quarter 2010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42%</w:t>
            </w:r>
          </w:p>
        </w:tc>
        <w:tc>
          <w:tcPr>
            <w:tcW w:w="720" w:type="dxa"/>
            <w:vAlign w:val="bottom"/>
            <w:gridSpan w:val="5"/>
          </w:tcPr>
          <w:p>
            <w:pPr>
              <w:jc w:val="center"/>
              <w:spacing w:after="0"/>
              <w:rPr>
                <w:sz w:val="20"/>
                <w:szCs w:val="20"/>
                <w:color w:val="auto"/>
              </w:rPr>
            </w:pPr>
            <w:r>
              <w:rPr>
                <w:rFonts w:ascii="Arial" w:cs="Arial" w:eastAsia="Arial" w:hAnsi="Arial"/>
                <w:sz w:val="18"/>
                <w:szCs w:val="18"/>
                <w:color w:val="auto"/>
                <w:w w:val="86"/>
              </w:rPr>
              <w:t>157,619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w w:val="75"/>
              </w:rPr>
              <w:t>23.00</w:t>
            </w:r>
          </w:p>
        </w:tc>
        <w:tc>
          <w:tcPr>
            <w:tcW w:w="660" w:type="dxa"/>
            <w:vAlign w:val="bottom"/>
            <w:gridSpan w:val="6"/>
          </w:tcPr>
          <w:p>
            <w:pPr>
              <w:jc w:val="center"/>
              <w:ind w:left="72"/>
              <w:spacing w:after="0"/>
              <w:rPr>
                <w:sz w:val="20"/>
                <w:szCs w:val="20"/>
                <w:color w:val="auto"/>
              </w:rPr>
            </w:pPr>
            <w:r>
              <w:rPr>
                <w:rFonts w:ascii="Arial" w:cs="Arial" w:eastAsia="Arial" w:hAnsi="Arial"/>
                <w:sz w:val="18"/>
                <w:szCs w:val="18"/>
                <w:color w:val="auto"/>
                <w:w w:val="90"/>
              </w:rPr>
              <w:t>$20.98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color w:val="auto"/>
                <w:w w:val="76"/>
              </w:rPr>
              <w:t>318,458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6,828,877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7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6"/>
              </w:rPr>
              <w:t>176,966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75"/>
              </w:rPr>
              <w:t>24.89</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90"/>
              </w:rPr>
              <w:t>$24.77</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6"/>
              </w:rPr>
              <w:t>20,465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4,328,199</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3rd Quarter 2009</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42%</w:t>
            </w:r>
          </w:p>
        </w:tc>
        <w:tc>
          <w:tcPr>
            <w:tcW w:w="720" w:type="dxa"/>
            <w:vAlign w:val="bottom"/>
            <w:gridSpan w:val="5"/>
          </w:tcPr>
          <w:p>
            <w:pPr>
              <w:jc w:val="center"/>
              <w:spacing w:after="0"/>
              <w:rPr>
                <w:sz w:val="20"/>
                <w:szCs w:val="20"/>
                <w:color w:val="auto"/>
              </w:rPr>
            </w:pPr>
            <w:r>
              <w:rPr>
                <w:rFonts w:ascii="Arial" w:cs="Arial" w:eastAsia="Arial" w:hAnsi="Arial"/>
                <w:sz w:val="18"/>
                <w:szCs w:val="18"/>
                <w:color w:val="auto"/>
                <w:w w:val="86"/>
              </w:rPr>
              <w:t>187,140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w w:val="75"/>
              </w:rPr>
              <w:t>27.25</w:t>
            </w:r>
          </w:p>
        </w:tc>
        <w:tc>
          <w:tcPr>
            <w:tcW w:w="660" w:type="dxa"/>
            <w:vAlign w:val="bottom"/>
            <w:gridSpan w:val="6"/>
          </w:tcPr>
          <w:p>
            <w:pPr>
              <w:jc w:val="center"/>
              <w:ind w:left="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color w:val="auto"/>
                <w:w w:val="76"/>
              </w:rPr>
              <w:t>866,840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3,622,041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Borders>
              <w:right w:val="single" w:sz="8" w:color="auto"/>
            </w:tcBorders>
            <w:gridSpan w:val="10"/>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420" w:type="dxa"/>
            <w:vAlign w:val="bottom"/>
            <w:tcBorders>
              <w:left w:val="single" w:sz="8" w:color="auto"/>
              <w:right w:val="single" w:sz="8" w:color="auto"/>
            </w:tcBorders>
            <w:gridSpan w:val="2"/>
          </w:tcPr>
          <w:p>
            <w:pPr>
              <w:spacing w:after="0"/>
              <w:rPr>
                <w:sz w:val="2"/>
                <w:szCs w:val="2"/>
                <w:color w:val="auto"/>
              </w:rPr>
            </w:pPr>
          </w:p>
        </w:tc>
        <w:tc>
          <w:tcPr>
            <w:tcW w:w="520" w:type="dxa"/>
            <w:vAlign w:val="bottom"/>
            <w:tcBorders>
              <w:left w:val="single" w:sz="8" w:color="auto"/>
            </w:tcBorders>
            <w:gridSpan w:val="3"/>
            <w:shd w:val="clear" w:color="auto" w:fill="000000"/>
          </w:tcPr>
          <w:p>
            <w:pPr>
              <w:spacing w:after="0"/>
              <w:rPr>
                <w:sz w:val="2"/>
                <w:szCs w:val="2"/>
                <w:color w:val="auto"/>
              </w:rPr>
            </w:pPr>
          </w:p>
        </w:tc>
        <w:tc>
          <w:tcPr>
            <w:tcW w:w="540" w:type="dxa"/>
            <w:vAlign w:val="bottom"/>
            <w:tcBorders>
              <w:left w:val="single" w:sz="8" w:color="auto"/>
              <w:right w:val="single" w:sz="8" w:color="auto"/>
            </w:tcBorders>
            <w:gridSpan w:val="5"/>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660" w:type="dxa"/>
            <w:vAlign w:val="bottom"/>
            <w:tcBorders>
              <w:left w:val="single" w:sz="8" w:color="auto"/>
            </w:tcBorders>
            <w:gridSpan w:val="6"/>
          </w:tcPr>
          <w:p>
            <w:pPr>
              <w:spacing w:after="0"/>
              <w:rPr>
                <w:sz w:val="2"/>
                <w:szCs w:val="2"/>
                <w:color w:val="auto"/>
              </w:rPr>
            </w:pPr>
          </w:p>
        </w:tc>
        <w:tc>
          <w:tcPr>
            <w:tcW w:w="320" w:type="dxa"/>
            <w:vAlign w:val="bottom"/>
            <w:tcBorders>
              <w:left w:val="single" w:sz="8" w:color="auto"/>
              <w:right w:val="single" w:sz="8" w:color="auto"/>
            </w:tcBorders>
            <w:gridSpan w:val="2"/>
          </w:tcPr>
          <w:p>
            <w:pPr>
              <w:spacing w:after="0"/>
              <w:rPr>
                <w:sz w:val="2"/>
                <w:szCs w:val="2"/>
                <w:color w:val="auto"/>
              </w:rPr>
            </w:pPr>
          </w:p>
        </w:tc>
        <w:tc>
          <w:tcPr>
            <w:tcW w:w="660" w:type="dxa"/>
            <w:vAlign w:val="bottom"/>
            <w:gridSpan w:val="4"/>
            <w:shd w:val="clear" w:color="auto" w:fill="000000"/>
          </w:tcPr>
          <w:p>
            <w:pPr>
              <w:spacing w:after="0"/>
              <w:rPr>
                <w:sz w:val="2"/>
                <w:szCs w:val="2"/>
                <w:color w:val="auto"/>
              </w:rPr>
            </w:pPr>
          </w:p>
        </w:tc>
        <w:tc>
          <w:tcPr>
            <w:tcW w:w="24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gridSpan w:val="6"/>
            <w:shd w:val="clear" w:color="auto" w:fill="000000"/>
          </w:tcPr>
          <w:p>
            <w:pPr>
              <w:spacing w:after="0"/>
              <w:rPr>
                <w:sz w:val="2"/>
                <w:szCs w:val="2"/>
                <w:color w:val="auto"/>
              </w:rPr>
            </w:pPr>
          </w:p>
        </w:tc>
        <w:tc>
          <w:tcPr>
            <w:tcW w:w="880" w:type="dxa"/>
            <w:vAlign w:val="bottom"/>
            <w:tcBorders>
              <w:right w:val="single" w:sz="8" w:color="auto"/>
            </w:tcBorders>
            <w:gridSpan w:val="5"/>
            <w:shd w:val="clear" w:color="auto" w:fill="000000"/>
          </w:tcPr>
          <w:p>
            <w:pPr>
              <w:spacing w:after="0"/>
              <w:rPr>
                <w:sz w:val="2"/>
                <w:szCs w:val="2"/>
                <w:color w:val="auto"/>
              </w:rPr>
            </w:pPr>
          </w:p>
        </w:tc>
        <w:tc>
          <w:tcPr>
            <w:tcW w:w="720" w:type="dxa"/>
            <w:vAlign w:val="bottom"/>
            <w:tcBorders>
              <w:right w:val="single" w:sz="8" w:color="auto"/>
            </w:tcBorders>
            <w:gridSpan w:val="4"/>
            <w:shd w:val="clear" w:color="auto" w:fill="000000"/>
          </w:tcPr>
          <w:p>
            <w:pPr>
              <w:spacing w:after="0"/>
              <w:rPr>
                <w:sz w:val="2"/>
                <w:szCs w:val="2"/>
                <w:color w:val="auto"/>
              </w:rPr>
            </w:pPr>
          </w:p>
        </w:tc>
        <w:tc>
          <w:tcPr>
            <w:tcW w:w="1960" w:type="dxa"/>
            <w:vAlign w:val="bottom"/>
            <w:gridSpan w:val="6"/>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7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6"/>
              </w:rPr>
              <w:t>671,287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75"/>
              </w:rPr>
              <w:t>25.13</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22.93</w:t>
            </w:r>
          </w:p>
        </w:tc>
        <w:tc>
          <w:tcPr>
            <w:tcW w:w="980" w:type="dxa"/>
            <w:vAlign w:val="bottom"/>
            <w:tcBorders>
              <w:left w:val="single" w:sz="8" w:color="CCEEFF"/>
            </w:tcBorders>
            <w:gridSpan w:val="6"/>
            <w:shd w:val="clear" w:color="auto" w:fill="CCEEFF"/>
          </w:tcPr>
          <w:p>
            <w:pPr>
              <w:jc w:val="center"/>
              <w:ind w:left="115"/>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1,476,138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$ 19,188,423</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600" w:type="dxa"/>
            <w:vAlign w:val="bottom"/>
            <w:gridSpan w:val="14"/>
          </w:tcPr>
          <w:p>
            <w:pPr>
              <w:spacing w:after="0"/>
              <w:rPr>
                <w:sz w:val="20"/>
                <w:szCs w:val="20"/>
                <w:color w:val="auto"/>
              </w:rPr>
            </w:pPr>
            <w:r>
              <w:rPr>
                <w:rFonts w:ascii="Arial" w:cs="Arial" w:eastAsia="Arial" w:hAnsi="Arial"/>
                <w:sz w:val="18"/>
                <w:szCs w:val="18"/>
                <w:b w:val="1"/>
                <w:bCs w:val="1"/>
                <w:color w:val="auto"/>
                <w:w w:val="89"/>
              </w:rPr>
              <w:t>Renewal Lease Summary - - Comparable (2) (7)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580" w:type="dxa"/>
            <w:vAlign w:val="bottom"/>
            <w:tcBorders>
              <w:top w:val="single" w:sz="8" w:color="auto"/>
            </w:tcBorders>
            <w:gridSpan w:val="13"/>
          </w:tcPr>
          <w:p>
            <w:pPr>
              <w:spacing w:after="0"/>
              <w:rPr>
                <w:sz w:val="24"/>
                <w:szCs w:val="24"/>
                <w:color w:val="auto"/>
              </w:rPr>
            </w:pPr>
          </w:p>
        </w:tc>
        <w:tc>
          <w:tcPr>
            <w:tcW w:w="7840" w:type="dxa"/>
            <w:vAlign w:val="bottom"/>
            <w:gridSpan w:val="46"/>
          </w:tcPr>
          <w:p>
            <w:pPr>
              <w:spacing w:after="0"/>
              <w:rPr>
                <w:sz w:val="20"/>
                <w:szCs w:val="20"/>
                <w:color w:val="auto"/>
              </w:rPr>
            </w:pPr>
            <w:r>
              <w:rPr>
                <w:rFonts w:ascii="Arial" w:cs="Arial" w:eastAsia="Arial" w:hAnsi="Arial"/>
                <w:sz w:val="14"/>
                <w:szCs w:val="14"/>
                <w:b w:val="1"/>
                <w:bCs w:val="1"/>
                <w:color w:val="auto"/>
              </w:rPr>
              <w:t>Straight-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Cash</w:t>
            </w:r>
          </w:p>
        </w:tc>
        <w:tc>
          <w:tcPr>
            <w:tcW w:w="100" w:type="dxa"/>
            <w:vAlign w:val="bottom"/>
          </w:tcPr>
          <w:p>
            <w:pPr>
              <w:spacing w:after="0"/>
              <w:rPr>
                <w:sz w:val="12"/>
                <w:szCs w:val="12"/>
                <w:color w:val="auto"/>
              </w:rPr>
            </w:pPr>
          </w:p>
        </w:tc>
        <w:tc>
          <w:tcPr>
            <w:tcW w:w="7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lined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8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Prior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102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2"/>
              </w:rPr>
              <w:t>Contractual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tcPr>
          <w:p>
            <w:pPr>
              <w:jc w:val="center"/>
              <w:ind w:right="332"/>
              <w:spacing w:after="0" w:line="149" w:lineRule="exact"/>
              <w:rPr>
                <w:sz w:val="20"/>
                <w:szCs w:val="20"/>
                <w:color w:val="auto"/>
              </w:rPr>
            </w:pPr>
            <w:r>
              <w:rPr>
                <w:rFonts w:ascii="Arial" w:cs="Arial" w:eastAsia="Arial" w:hAnsi="Arial"/>
                <w:sz w:val="14"/>
                <w:szCs w:val="14"/>
                <w:b w:val="1"/>
                <w:bCs w:val="1"/>
                <w:color w:val="auto"/>
                <w:w w:val="92"/>
              </w:rPr>
              <w:t>Annual</w:t>
            </w:r>
          </w:p>
        </w:tc>
        <w:tc>
          <w:tcPr>
            <w:tcW w:w="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100" w:type="dxa"/>
            <w:vAlign w:val="bottom"/>
          </w:tcPr>
          <w:p>
            <w:pPr>
              <w:spacing w:after="0"/>
              <w:rPr>
                <w:sz w:val="12"/>
                <w:szCs w:val="12"/>
                <w:color w:val="auto"/>
              </w:rPr>
            </w:pPr>
          </w:p>
        </w:tc>
        <w:tc>
          <w:tcPr>
            <w:tcW w:w="7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Over</w:t>
            </w:r>
          </w:p>
        </w:tc>
        <w:tc>
          <w:tcPr>
            <w:tcW w:w="7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1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6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Rent (3)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(4) Per</w:t>
            </w:r>
          </w:p>
        </w:tc>
        <w:tc>
          <w:tcPr>
            <w:tcW w:w="220" w:type="dxa"/>
            <w:vAlign w:val="bottom"/>
          </w:tcPr>
          <w:p>
            <w:pPr>
              <w:spacing w:after="0"/>
              <w:rPr>
                <w:sz w:val="12"/>
                <w:szCs w:val="12"/>
                <w:color w:val="auto"/>
              </w:rPr>
            </w:pPr>
          </w:p>
        </w:tc>
        <w:tc>
          <w:tcPr>
            <w:tcW w:w="1020" w:type="dxa"/>
            <w:vAlign w:val="bottom"/>
            <w:gridSpan w:val="7"/>
          </w:tcPr>
          <w:p>
            <w:pPr>
              <w:jc w:val="center"/>
              <w:ind w:right="232"/>
              <w:spacing w:after="0" w:line="149" w:lineRule="exact"/>
              <w:rPr>
                <w:sz w:val="20"/>
                <w:szCs w:val="20"/>
                <w:color w:val="auto"/>
              </w:rPr>
            </w:pPr>
            <w:r>
              <w:rPr>
                <w:rFonts w:ascii="Arial" w:cs="Arial" w:eastAsia="Arial" w:hAnsi="Arial"/>
                <w:sz w:val="14"/>
                <w:szCs w:val="14"/>
                <w:b w:val="1"/>
                <w:bCs w:val="1"/>
                <w:color w:val="auto"/>
                <w:w w:val="87"/>
              </w:rPr>
              <w:t>Increase in</w:t>
            </w:r>
          </w:p>
        </w:tc>
        <w:tc>
          <w:tcPr>
            <w:tcW w:w="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100" w:type="dxa"/>
            <w:vAlign w:val="bottom"/>
          </w:tcPr>
          <w:p>
            <w:pPr>
              <w:spacing w:after="0"/>
              <w:rPr>
                <w:sz w:val="12"/>
                <w:szCs w:val="12"/>
                <w:color w:val="auto"/>
              </w:rPr>
            </w:pPr>
          </w:p>
        </w:tc>
        <w:tc>
          <w:tcPr>
            <w:tcW w:w="7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Prior</w:t>
            </w:r>
          </w:p>
        </w:tc>
        <w:tc>
          <w:tcPr>
            <w:tcW w:w="8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Lease</w:t>
            </w:r>
          </w:p>
        </w:tc>
        <w:tc>
          <w:tcPr>
            <w:tcW w:w="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1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Signed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Signed</w:t>
            </w:r>
          </w:p>
        </w:tc>
        <w:tc>
          <w:tcPr>
            <w:tcW w:w="120" w:type="dxa"/>
            <w:vAlign w:val="bottom"/>
          </w:tcPr>
          <w:p>
            <w:pPr>
              <w:spacing w:after="0"/>
              <w:rPr>
                <w:sz w:val="14"/>
                <w:szCs w:val="14"/>
                <w:color w:val="auto"/>
              </w:rPr>
            </w:pPr>
          </w:p>
        </w:tc>
        <w:tc>
          <w:tcPr>
            <w:tcW w:w="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Signed</w:t>
            </w:r>
          </w:p>
        </w:tc>
        <w:tc>
          <w:tcPr>
            <w:tcW w:w="120" w:type="dxa"/>
            <w:vAlign w:val="bottom"/>
          </w:tcPr>
          <w:p>
            <w:pPr>
              <w:spacing w:after="0"/>
              <w:rPr>
                <w:sz w:val="14"/>
                <w:szCs w:val="14"/>
                <w:color w:val="auto"/>
              </w:rPr>
            </w:pPr>
          </w:p>
        </w:tc>
        <w:tc>
          <w:tcPr>
            <w:tcW w:w="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Sq. Ft.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452"/>
              <w:spacing w:after="0"/>
              <w:rPr>
                <w:sz w:val="20"/>
                <w:szCs w:val="20"/>
                <w:color w:val="auto"/>
              </w:rPr>
            </w:pPr>
            <w:r>
              <w:rPr>
                <w:rFonts w:ascii="Arial" w:cs="Arial" w:eastAsia="Arial" w:hAnsi="Arial"/>
                <w:sz w:val="14"/>
                <w:szCs w:val="14"/>
                <w:b w:val="1"/>
                <w:bCs w:val="1"/>
                <w:color w:val="auto"/>
                <w:w w:val="89"/>
              </w:rPr>
              <w:t>Rent</w:t>
            </w:r>
          </w:p>
        </w:tc>
        <w:tc>
          <w:tcPr>
            <w:tcW w:w="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4"/>
                <w:szCs w:val="14"/>
                <w:color w:val="auto"/>
              </w:rPr>
            </w:pPr>
          </w:p>
        </w:tc>
        <w:tc>
          <w:tcPr>
            <w:tcW w:w="7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Rent</w:t>
            </w:r>
          </w:p>
        </w:tc>
        <w:tc>
          <w:tcPr>
            <w:tcW w:w="1640" w:type="dxa"/>
            <w:vAlign w:val="bottom"/>
            <w:gridSpan w:val="7"/>
          </w:tcPr>
          <w:p>
            <w:pPr>
              <w:ind w:left="20"/>
              <w:spacing w:after="0"/>
              <w:rPr>
                <w:sz w:val="20"/>
                <w:szCs w:val="20"/>
                <w:color w:val="auto"/>
              </w:rPr>
            </w:pPr>
            <w:r>
              <w:rPr>
                <w:rFonts w:ascii="Arial" w:cs="Arial" w:eastAsia="Arial" w:hAnsi="Arial"/>
                <w:sz w:val="14"/>
                <w:szCs w:val="14"/>
                <w:b w:val="1"/>
                <w:bCs w:val="1"/>
                <w:color w:val="auto"/>
                <w:w w:val="92"/>
              </w:rPr>
              <w:t>Term (5)   &amp; Incentives (6)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Borders>
              <w:right w:val="single" w:sz="8" w:color="auto"/>
            </w:tcBorders>
            <w:gridSpan w:val="10"/>
            <w:shd w:val="clear" w:color="auto" w:fill="000000"/>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4"/>
            <w:shd w:val="clear" w:color="auto" w:fill="000000"/>
          </w:tcPr>
          <w:p>
            <w:pPr>
              <w:spacing w:after="0" w:line="20" w:lineRule="exact"/>
              <w:rPr>
                <w:sz w:val="1"/>
                <w:szCs w:val="1"/>
                <w:color w:val="auto"/>
              </w:rPr>
            </w:pPr>
          </w:p>
        </w:tc>
        <w:tc>
          <w:tcPr>
            <w:tcW w:w="68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gridSpan w:val="9"/>
            <w:shd w:val="clear" w:color="auto" w:fill="000000"/>
          </w:tcPr>
          <w:p>
            <w:pPr>
              <w:spacing w:after="0" w:line="20" w:lineRule="exact"/>
              <w:rPr>
                <w:sz w:val="1"/>
                <w:szCs w:val="1"/>
                <w:color w:val="auto"/>
              </w:rPr>
            </w:pPr>
          </w:p>
        </w:tc>
        <w:tc>
          <w:tcPr>
            <w:tcW w:w="900" w:type="dxa"/>
            <w:vAlign w:val="bottom"/>
            <w:tcBorders>
              <w:left w:val="single" w:sz="8" w:color="auto"/>
            </w:tcBorders>
            <w:gridSpan w:val="5"/>
          </w:tcPr>
          <w:p>
            <w:pPr>
              <w:spacing w:after="0" w:line="20" w:lineRule="exact"/>
              <w:rPr>
                <w:sz w:val="1"/>
                <w:szCs w:val="1"/>
                <w:color w:val="auto"/>
              </w:rPr>
            </w:pPr>
          </w:p>
        </w:tc>
        <w:tc>
          <w:tcPr>
            <w:tcW w:w="920" w:type="dxa"/>
            <w:vAlign w:val="bottom"/>
            <w:tcBorders>
              <w:left w:val="single" w:sz="8" w:color="auto"/>
            </w:tcBorders>
            <w:gridSpan w:val="4"/>
          </w:tcPr>
          <w:p>
            <w:pPr>
              <w:spacing w:after="0" w:line="20" w:lineRule="exact"/>
              <w:rPr>
                <w:sz w:val="1"/>
                <w:szCs w:val="1"/>
                <w:color w:val="auto"/>
              </w:rPr>
            </w:pPr>
          </w:p>
        </w:tc>
        <w:tc>
          <w:tcPr>
            <w:tcW w:w="2160" w:type="dxa"/>
            <w:vAlign w:val="bottom"/>
            <w:tcBorders>
              <w:left w:val="single" w:sz="8" w:color="auto"/>
            </w:tcBorders>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158,005</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79"/>
              </w:rPr>
              <w:t>30.09</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90"/>
              </w:rPr>
              <w:t>$29.90</w:t>
            </w:r>
          </w:p>
        </w:tc>
        <w:tc>
          <w:tcPr>
            <w:tcW w:w="320" w:type="dxa"/>
            <w:vAlign w:val="bottom"/>
            <w:tcBorders>
              <w:left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30,723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1st Quarter 2010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640" w:type="dxa"/>
            <w:vAlign w:val="bottom"/>
            <w:gridSpan w:val="4"/>
          </w:tcPr>
          <w:p>
            <w:pPr>
              <w:jc w:val="center"/>
              <w:spacing w:after="0"/>
              <w:rPr>
                <w:sz w:val="20"/>
                <w:szCs w:val="20"/>
                <w:color w:val="auto"/>
              </w:rPr>
            </w:pPr>
            <w:r>
              <w:rPr>
                <w:rFonts w:ascii="Arial" w:cs="Arial" w:eastAsia="Arial" w:hAnsi="Arial"/>
                <w:sz w:val="18"/>
                <w:szCs w:val="18"/>
                <w:color w:val="auto"/>
                <w:w w:val="89"/>
              </w:rPr>
              <w:t>150,343</w:t>
            </w:r>
          </w:p>
        </w:tc>
        <w:tc>
          <w:tcPr>
            <w:tcW w:w="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auto"/>
                <w:w w:val="79"/>
              </w:rPr>
              <w:t>35.67</w:t>
            </w:r>
          </w:p>
        </w:tc>
        <w:tc>
          <w:tcPr>
            <w:tcW w:w="660" w:type="dxa"/>
            <w:vAlign w:val="bottom"/>
            <w:gridSpan w:val="6"/>
          </w:tcPr>
          <w:p>
            <w:pPr>
              <w:jc w:val="center"/>
              <w:ind w:left="72"/>
              <w:spacing w:after="0"/>
              <w:rPr>
                <w:sz w:val="20"/>
                <w:szCs w:val="20"/>
                <w:color w:val="auto"/>
              </w:rPr>
            </w:pPr>
            <w:r>
              <w:rPr>
                <w:rFonts w:ascii="Arial" w:cs="Arial" w:eastAsia="Arial" w:hAnsi="Arial"/>
                <w:sz w:val="18"/>
                <w:szCs w:val="18"/>
                <w:color w:val="auto"/>
                <w:w w:val="90"/>
              </w:rPr>
              <w:t>$29.44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936,626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gridSpan w:val="5"/>
          </w:tcPr>
          <w:p>
            <w:pPr>
              <w:jc w:val="right"/>
              <w:ind w:right="220"/>
              <w:spacing w:after="0"/>
              <w:rPr>
                <w:sz w:val="20"/>
                <w:szCs w:val="20"/>
                <w:color w:val="auto"/>
              </w:rPr>
            </w:pPr>
            <w:r>
              <w:rPr>
                <w:rFonts w:ascii="Arial" w:cs="Arial" w:eastAsia="Arial" w:hAnsi="Arial"/>
                <w:sz w:val="18"/>
                <w:szCs w:val="18"/>
                <w:color w:val="auto"/>
              </w:rPr>
              <w:t>35%</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90,750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183,252</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79"/>
              </w:rPr>
              <w:t>30.17</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90"/>
              </w:rPr>
              <w:t>$28.44</w:t>
            </w:r>
          </w:p>
        </w:tc>
        <w:tc>
          <w:tcPr>
            <w:tcW w:w="320" w:type="dxa"/>
            <w:vAlign w:val="bottom"/>
            <w:tcBorders>
              <w:left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317,036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3rd Quarter 2009</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640" w:type="dxa"/>
            <w:vAlign w:val="bottom"/>
            <w:gridSpan w:val="4"/>
          </w:tcPr>
          <w:p>
            <w:pPr>
              <w:jc w:val="center"/>
              <w:spacing w:after="0"/>
              <w:rPr>
                <w:sz w:val="20"/>
                <w:szCs w:val="20"/>
                <w:color w:val="auto"/>
              </w:rPr>
            </w:pPr>
            <w:r>
              <w:rPr>
                <w:rFonts w:ascii="Arial" w:cs="Arial" w:eastAsia="Arial" w:hAnsi="Arial"/>
                <w:sz w:val="18"/>
                <w:szCs w:val="18"/>
                <w:color w:val="auto"/>
                <w:w w:val="89"/>
              </w:rPr>
              <w:t>147,550</w:t>
            </w:r>
          </w:p>
        </w:tc>
        <w:tc>
          <w:tcPr>
            <w:tcW w:w="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auto"/>
                <w:w w:val="79"/>
              </w:rPr>
              <w:t>32.08</w:t>
            </w:r>
          </w:p>
        </w:tc>
        <w:tc>
          <w:tcPr>
            <w:tcW w:w="660" w:type="dxa"/>
            <w:vAlign w:val="bottom"/>
            <w:gridSpan w:val="6"/>
          </w:tcPr>
          <w:p>
            <w:pPr>
              <w:jc w:val="center"/>
              <w:ind w:left="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32.57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40" w:type="dxa"/>
            <w:vAlign w:val="bottom"/>
            <w:gridSpan w:val="4"/>
          </w:tcPr>
          <w:p>
            <w:pPr>
              <w:ind w:left="60"/>
              <w:spacing w:after="0"/>
              <w:rPr>
                <w:sz w:val="20"/>
                <w:szCs w:val="20"/>
                <w:color w:val="auto"/>
              </w:rPr>
            </w:pPr>
            <w:r>
              <w:rPr>
                <w:rFonts w:ascii="Arial" w:cs="Arial" w:eastAsia="Arial" w:hAnsi="Arial"/>
                <w:sz w:val="18"/>
                <w:szCs w:val="18"/>
                <w:color w:val="auto"/>
              </w:rPr>
              <w:t>(72,823)</w:t>
            </w:r>
          </w:p>
        </w:tc>
        <w:tc>
          <w:tcPr>
            <w:tcW w:w="2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5"/>
          </w:tcPr>
          <w:p>
            <w:pPr>
              <w:jc w:val="right"/>
              <w:ind w:right="220"/>
              <w:spacing w:after="0"/>
              <w:rPr>
                <w:sz w:val="20"/>
                <w:szCs w:val="20"/>
                <w:color w:val="auto"/>
              </w:rPr>
            </w:pPr>
            <w:r>
              <w:rPr>
                <w:rFonts w:ascii="Arial" w:cs="Arial" w:eastAsia="Arial" w:hAnsi="Arial"/>
                <w:sz w:val="18"/>
                <w:szCs w:val="18"/>
                <w:color w:val="auto"/>
              </w:rPr>
              <w:t>5%</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Borders>
              <w:right w:val="single" w:sz="8" w:color="auto"/>
            </w:tcBorders>
            <w:gridSpan w:val="10"/>
          </w:tcPr>
          <w:p>
            <w:pPr>
              <w:spacing w:after="0"/>
              <w:rPr>
                <w:sz w:val="2"/>
                <w:szCs w:val="2"/>
                <w:color w:val="auto"/>
              </w:rPr>
            </w:pPr>
          </w:p>
        </w:tc>
        <w:tc>
          <w:tcPr>
            <w:tcW w:w="800" w:type="dxa"/>
            <w:vAlign w:val="bottom"/>
            <w:tcBorders>
              <w:right w:val="single" w:sz="8" w:color="auto"/>
            </w:tcBorders>
            <w:gridSpan w:val="4"/>
            <w:shd w:val="clear" w:color="auto" w:fill="000000"/>
          </w:tcPr>
          <w:p>
            <w:pPr>
              <w:spacing w:after="0"/>
              <w:rPr>
                <w:sz w:val="2"/>
                <w:szCs w:val="2"/>
                <w:color w:val="auto"/>
              </w:rPr>
            </w:pPr>
          </w:p>
        </w:tc>
        <w:tc>
          <w:tcPr>
            <w:tcW w:w="720" w:type="dxa"/>
            <w:vAlign w:val="bottom"/>
            <w:tcBorders>
              <w:left w:val="single" w:sz="8" w:color="auto"/>
              <w:right w:val="single" w:sz="8" w:color="auto"/>
            </w:tcBorders>
            <w:gridSpan w:val="5"/>
            <w:shd w:val="clear" w:color="auto" w:fill="000000"/>
          </w:tcPr>
          <w:p>
            <w:pPr>
              <w:spacing w:after="0"/>
              <w:rPr>
                <w:sz w:val="2"/>
                <w:szCs w:val="2"/>
                <w:color w:val="auto"/>
              </w:rPr>
            </w:pPr>
          </w:p>
        </w:tc>
        <w:tc>
          <w:tcPr>
            <w:tcW w:w="340" w:type="dxa"/>
            <w:vAlign w:val="bottom"/>
            <w:tcBorders>
              <w:right w:val="single" w:sz="8" w:color="auto"/>
            </w:tcBorders>
            <w:gridSpan w:val="3"/>
            <w:shd w:val="clear" w:color="auto" w:fill="000000"/>
          </w:tcPr>
          <w:p>
            <w:pPr>
              <w:spacing w:after="0"/>
              <w:rPr>
                <w:sz w:val="2"/>
                <w:szCs w:val="2"/>
                <w:color w:val="auto"/>
              </w:rPr>
            </w:pPr>
          </w:p>
        </w:tc>
        <w:tc>
          <w:tcPr>
            <w:tcW w:w="540" w:type="dxa"/>
            <w:vAlign w:val="bottom"/>
            <w:tcBorders>
              <w:right w:val="single" w:sz="8" w:color="auto"/>
            </w:tcBorders>
            <w:gridSpan w:val="4"/>
            <w:shd w:val="clear" w:color="auto" w:fill="000000"/>
          </w:tcPr>
          <w:p>
            <w:pPr>
              <w:spacing w:after="0"/>
              <w:rPr>
                <w:sz w:val="2"/>
                <w:szCs w:val="2"/>
                <w:color w:val="auto"/>
              </w:rPr>
            </w:pPr>
          </w:p>
        </w:tc>
        <w:tc>
          <w:tcPr>
            <w:tcW w:w="680" w:type="dxa"/>
            <w:vAlign w:val="bottom"/>
            <w:tcBorders>
              <w:right w:val="single" w:sz="8" w:color="auto"/>
            </w:tcBorders>
            <w:gridSpan w:val="5"/>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340" w:type="dxa"/>
            <w:vAlign w:val="bottom"/>
            <w:gridSpan w:val="9"/>
            <w:shd w:val="clear" w:color="auto" w:fill="000000"/>
          </w:tcPr>
          <w:p>
            <w:pPr>
              <w:spacing w:after="0"/>
              <w:rPr>
                <w:sz w:val="2"/>
                <w:szCs w:val="2"/>
                <w:color w:val="auto"/>
              </w:rPr>
            </w:pPr>
          </w:p>
        </w:tc>
        <w:tc>
          <w:tcPr>
            <w:tcW w:w="900" w:type="dxa"/>
            <w:vAlign w:val="bottom"/>
            <w:tcBorders>
              <w:left w:val="single" w:sz="8" w:color="auto"/>
            </w:tcBorders>
            <w:gridSpan w:val="5"/>
          </w:tcPr>
          <w:p>
            <w:pPr>
              <w:spacing w:after="0"/>
              <w:rPr>
                <w:sz w:val="2"/>
                <w:szCs w:val="2"/>
                <w:color w:val="auto"/>
              </w:rPr>
            </w:pPr>
          </w:p>
        </w:tc>
        <w:tc>
          <w:tcPr>
            <w:tcW w:w="920" w:type="dxa"/>
            <w:vAlign w:val="bottom"/>
            <w:tcBorders>
              <w:left w:val="single" w:sz="8" w:color="auto"/>
            </w:tcBorders>
            <w:gridSpan w:val="4"/>
          </w:tcPr>
          <w:p>
            <w:pPr>
              <w:spacing w:after="0"/>
              <w:rPr>
                <w:sz w:val="2"/>
                <w:szCs w:val="2"/>
                <w:color w:val="auto"/>
              </w:rPr>
            </w:pPr>
          </w:p>
        </w:tc>
        <w:tc>
          <w:tcPr>
            <w:tcW w:w="2160" w:type="dxa"/>
            <w:vAlign w:val="bottom"/>
            <w:tcBorders>
              <w:left w:val="single" w:sz="8" w:color="auto"/>
            </w:tcBorders>
            <w:gridSpan w:val="8"/>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639,150</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79"/>
              </w:rPr>
              <w:t>31.89</w:t>
            </w:r>
          </w:p>
        </w:tc>
        <w:tc>
          <w:tcPr>
            <w:tcW w:w="660" w:type="dxa"/>
            <w:vAlign w:val="bottom"/>
            <w:tcBorders>
              <w:left w:val="single" w:sz="8" w:color="CCEEFF"/>
            </w:tcBorders>
            <w:gridSpan w:val="6"/>
            <w:shd w:val="clear" w:color="auto" w:fill="CCEEFF"/>
          </w:tcPr>
          <w:p>
            <w:pPr>
              <w:jc w:val="center"/>
              <w:ind w:left="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29.99</w:t>
            </w:r>
          </w:p>
        </w:tc>
        <w:tc>
          <w:tcPr>
            <w:tcW w:w="980" w:type="dxa"/>
            <w:vAlign w:val="bottom"/>
            <w:tcBorders>
              <w:left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1,211,562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397,850</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20" w:type="dxa"/>
            <w:vAlign w:val="bottom"/>
            <w:gridSpan w:val="22"/>
          </w:tcPr>
          <w:p>
            <w:pPr>
              <w:spacing w:after="0"/>
              <w:rPr>
                <w:sz w:val="20"/>
                <w:szCs w:val="20"/>
                <w:color w:val="auto"/>
              </w:rPr>
            </w:pPr>
            <w:r>
              <w:rPr>
                <w:rFonts w:ascii="Arial" w:cs="Arial" w:eastAsia="Arial" w:hAnsi="Arial"/>
                <w:sz w:val="18"/>
                <w:szCs w:val="18"/>
                <w:b w:val="1"/>
                <w:bCs w:val="1"/>
                <w:color w:val="auto"/>
                <w:w w:val="88"/>
              </w:rPr>
              <w:t>Total Lease Summary - - Comparable and Non-comparable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2"/>
              </w:rPr>
              <w:t>Weighted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87"/>
              </w:rPr>
              <w:t>Tenant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7"/>
          </w:tcPr>
          <w:p>
            <w:pPr>
              <w:jc w:val="right"/>
              <w:ind w:right="192"/>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7"/>
              </w:rPr>
              <w:t>Tenant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8"/>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w w:val="95"/>
              </w:rPr>
              <w:t>Rent (3)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8"/>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1"/>
              </w:rPr>
              <w:t>Leases Signed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4"/>
              </w:rPr>
              <w:t>GLA Signed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7"/>
          </w:tcPr>
          <w:p>
            <w:pPr>
              <w:jc w:val="right"/>
              <w:ind w:right="232"/>
              <w:spacing w:after="0"/>
              <w:rPr>
                <w:sz w:val="20"/>
                <w:szCs w:val="20"/>
                <w:color w:val="auto"/>
              </w:rPr>
            </w:pPr>
            <w:r>
              <w:rPr>
                <w:rFonts w:ascii="Arial" w:cs="Arial" w:eastAsia="Arial" w:hAnsi="Arial"/>
                <w:sz w:val="14"/>
                <w:szCs w:val="14"/>
                <w:b w:val="1"/>
                <w:bCs w:val="1"/>
                <w:color w:val="auto"/>
                <w:w w:val="92"/>
              </w:rPr>
              <w:t>Per Sq. Ft.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&amp; Incentives (6)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gridSpan w:val="12"/>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4"/>
          </w:tcPr>
          <w:p>
            <w:pPr>
              <w:spacing w:after="0" w:line="20" w:lineRule="exact"/>
              <w:rPr>
                <w:sz w:val="1"/>
                <w:szCs w:val="1"/>
                <w:color w:val="auto"/>
              </w:rPr>
            </w:pPr>
          </w:p>
        </w:tc>
        <w:tc>
          <w:tcPr>
            <w:tcW w:w="780" w:type="dxa"/>
            <w:vAlign w:val="bottom"/>
            <w:tcBorders>
              <w:right w:val="single" w:sz="8" w:color="auto"/>
            </w:tcBorders>
            <w:gridSpan w:val="6"/>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580" w:type="dxa"/>
            <w:vAlign w:val="bottom"/>
            <w:gridSpan w:val="16"/>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318,931</w:t>
            </w:r>
          </w:p>
        </w:tc>
        <w:tc>
          <w:tcPr>
            <w:tcW w:w="520" w:type="dxa"/>
            <w:vAlign w:val="bottom"/>
            <w:tcBorders>
              <w:lef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28.20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w:t>
            </w:r>
          </w:p>
        </w:tc>
        <w:tc>
          <w:tcPr>
            <w:tcW w:w="8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87"/>
              </w:rPr>
              <w:t>5,978,306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18.74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1st Quarter 2010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317,932</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7"/>
              </w:rPr>
              <w:t>28.62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6.5</w:t>
            </w:r>
          </w:p>
        </w:tc>
        <w:tc>
          <w:tcPr>
            <w:tcW w:w="80" w:type="dxa"/>
            <w:vAlign w:val="bottom"/>
          </w:tcPr>
          <w:p>
            <w:pPr>
              <w:spacing w:after="0"/>
              <w:rPr>
                <w:sz w:val="18"/>
                <w:szCs w:val="18"/>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60" w:type="dxa"/>
            <w:vAlign w:val="bottom"/>
            <w:gridSpan w:val="5"/>
          </w:tcPr>
          <w:p>
            <w:pPr>
              <w:ind w:left="140"/>
              <w:spacing w:after="0"/>
              <w:rPr>
                <w:sz w:val="20"/>
                <w:szCs w:val="20"/>
                <w:color w:val="auto"/>
              </w:rPr>
            </w:pPr>
            <w:r>
              <w:rPr>
                <w:rFonts w:ascii="Arial" w:cs="Arial" w:eastAsia="Arial" w:hAnsi="Arial"/>
                <w:sz w:val="18"/>
                <w:szCs w:val="18"/>
                <w:color w:val="auto"/>
                <w:w w:val="87"/>
              </w:rPr>
              <w:t>6,996,698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22.01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396,709</w:t>
            </w:r>
          </w:p>
        </w:tc>
        <w:tc>
          <w:tcPr>
            <w:tcW w:w="520" w:type="dxa"/>
            <w:vAlign w:val="bottom"/>
            <w:tcBorders>
              <w:lef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27.12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7.4</w:t>
            </w:r>
          </w:p>
        </w:tc>
        <w:tc>
          <w:tcPr>
            <w:tcW w:w="8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87"/>
              </w:rPr>
              <w:t>4,900,788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12.35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3rd Quarter 2009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356,624</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7"/>
              </w:rPr>
              <w:t>28.76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7.6</w:t>
            </w:r>
          </w:p>
        </w:tc>
        <w:tc>
          <w:tcPr>
            <w:tcW w:w="80" w:type="dxa"/>
            <w:vAlign w:val="bottom"/>
          </w:tcPr>
          <w:p>
            <w:pPr>
              <w:spacing w:after="0"/>
              <w:rPr>
                <w:sz w:val="18"/>
                <w:szCs w:val="18"/>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60" w:type="dxa"/>
            <w:vAlign w:val="bottom"/>
            <w:gridSpan w:val="5"/>
          </w:tcPr>
          <w:p>
            <w:pPr>
              <w:ind w:left="140"/>
              <w:spacing w:after="0"/>
              <w:rPr>
                <w:sz w:val="20"/>
                <w:szCs w:val="20"/>
                <w:color w:val="auto"/>
              </w:rPr>
            </w:pPr>
            <w:r>
              <w:rPr>
                <w:rFonts w:ascii="Arial" w:cs="Arial" w:eastAsia="Arial" w:hAnsi="Arial"/>
                <w:sz w:val="18"/>
                <w:szCs w:val="18"/>
                <w:color w:val="auto"/>
                <w:w w:val="87"/>
              </w:rPr>
              <w:t>4,703,184</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13.19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gridSpan w:val="12"/>
          </w:tcPr>
          <w:p>
            <w:pPr>
              <w:spacing w:after="0"/>
              <w:rPr>
                <w:sz w:val="2"/>
                <w:szCs w:val="2"/>
                <w:color w:val="auto"/>
              </w:rPr>
            </w:pPr>
          </w:p>
        </w:tc>
        <w:tc>
          <w:tcPr>
            <w:tcW w:w="42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520" w:type="dxa"/>
            <w:vAlign w:val="bottom"/>
            <w:gridSpan w:val="3"/>
          </w:tcPr>
          <w:p>
            <w:pPr>
              <w:spacing w:after="0"/>
              <w:rPr>
                <w:sz w:val="2"/>
                <w:szCs w:val="2"/>
                <w:color w:val="auto"/>
              </w:rPr>
            </w:pPr>
          </w:p>
        </w:tc>
        <w:tc>
          <w:tcPr>
            <w:tcW w:w="20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340" w:type="dxa"/>
            <w:vAlign w:val="bottom"/>
            <w:tcBorders>
              <w:right w:val="single" w:sz="8" w:color="auto"/>
            </w:tcBorders>
            <w:gridSpan w:val="3"/>
            <w:shd w:val="clear" w:color="auto" w:fill="000000"/>
          </w:tcPr>
          <w:p>
            <w:pPr>
              <w:spacing w:after="0"/>
              <w:rPr>
                <w:sz w:val="2"/>
                <w:szCs w:val="2"/>
                <w:color w:val="auto"/>
              </w:rPr>
            </w:pPr>
          </w:p>
        </w:tc>
        <w:tc>
          <w:tcPr>
            <w:tcW w:w="540" w:type="dxa"/>
            <w:vAlign w:val="bottom"/>
            <w:tcBorders>
              <w:right w:val="single" w:sz="8" w:color="auto"/>
            </w:tcBorders>
            <w:gridSpan w:val="4"/>
          </w:tcPr>
          <w:p>
            <w:pPr>
              <w:spacing w:after="0"/>
              <w:rPr>
                <w:sz w:val="2"/>
                <w:szCs w:val="2"/>
                <w:color w:val="auto"/>
              </w:rPr>
            </w:pPr>
          </w:p>
        </w:tc>
        <w:tc>
          <w:tcPr>
            <w:tcW w:w="780" w:type="dxa"/>
            <w:vAlign w:val="bottom"/>
            <w:tcBorders>
              <w:right w:val="single" w:sz="8" w:color="auto"/>
            </w:tcBorders>
            <w:gridSpan w:val="6"/>
            <w:shd w:val="clear" w:color="auto" w:fill="000000"/>
          </w:tcPr>
          <w:p>
            <w:pPr>
              <w:spacing w:after="0"/>
              <w:rPr>
                <w:sz w:val="2"/>
                <w:szCs w:val="2"/>
                <w:color w:val="auto"/>
              </w:rPr>
            </w:pPr>
          </w:p>
        </w:tc>
        <w:tc>
          <w:tcPr>
            <w:tcW w:w="660" w:type="dxa"/>
            <w:vAlign w:val="bottom"/>
            <w:gridSpan w:val="4"/>
            <w:shd w:val="clear" w:color="auto" w:fill="000000"/>
          </w:tcPr>
          <w:p>
            <w:pPr>
              <w:spacing w:after="0"/>
              <w:rPr>
                <w:sz w:val="2"/>
                <w:szCs w:val="2"/>
                <w:color w:val="auto"/>
              </w:rPr>
            </w:pPr>
          </w:p>
        </w:tc>
        <w:tc>
          <w:tcPr>
            <w:tcW w:w="240" w:type="dxa"/>
            <w:vAlign w:val="bottom"/>
            <w:tcBorders>
              <w:left w:val="single" w:sz="8" w:color="auto"/>
              <w:right w:val="single" w:sz="8" w:color="auto"/>
            </w:tcBorders>
            <w:shd w:val="clear" w:color="auto" w:fill="000000"/>
          </w:tcPr>
          <w:p>
            <w:pPr>
              <w:spacing w:after="0"/>
              <w:rPr>
                <w:sz w:val="2"/>
                <w:szCs w:val="2"/>
                <w:color w:val="auto"/>
              </w:rPr>
            </w:pPr>
          </w:p>
        </w:tc>
        <w:tc>
          <w:tcPr>
            <w:tcW w:w="440" w:type="dxa"/>
            <w:vAlign w:val="bottom"/>
            <w:gridSpan w:val="4"/>
          </w:tcPr>
          <w:p>
            <w:pPr>
              <w:spacing w:after="0"/>
              <w:rPr>
                <w:sz w:val="2"/>
                <w:szCs w:val="2"/>
                <w:color w:val="auto"/>
              </w:rPr>
            </w:pPr>
          </w:p>
        </w:tc>
        <w:tc>
          <w:tcPr>
            <w:tcW w:w="42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3580" w:type="dxa"/>
            <w:vAlign w:val="bottom"/>
            <w:gridSpan w:val="16"/>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1,390,196</w:t>
            </w:r>
          </w:p>
        </w:tc>
        <w:tc>
          <w:tcPr>
            <w:tcW w:w="520" w:type="dxa"/>
            <w:vAlign w:val="bottom"/>
            <w:tcBorders>
              <w:lef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28.13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7.3</w:t>
            </w:r>
          </w:p>
        </w:tc>
        <w:tc>
          <w:tcPr>
            <w:tcW w:w="80" w:type="dxa"/>
            <w:vAlign w:val="bottom"/>
            <w:shd w:val="clear" w:color="auto" w:fill="CCEEFF"/>
          </w:tcPr>
          <w:p>
            <w:pPr>
              <w:spacing w:after="0"/>
              <w:rPr>
                <w:sz w:val="18"/>
                <w:szCs w:val="18"/>
                <w:color w:val="auto"/>
              </w:rPr>
            </w:pPr>
          </w:p>
        </w:tc>
        <w:tc>
          <w:tcPr>
            <w:tcW w:w="1240" w:type="dxa"/>
            <w:vAlign w:val="bottom"/>
            <w:tcBorders>
              <w:left w:val="single" w:sz="8" w:color="CCEEFF"/>
            </w:tcBorders>
            <w:gridSpan w:val="8"/>
            <w:shd w:val="clear" w:color="auto" w:fill="CCEEFF"/>
          </w:tcPr>
          <w:p>
            <w:pPr>
              <w:ind w:left="300"/>
              <w:spacing w:after="0"/>
              <w:rPr>
                <w:sz w:val="20"/>
                <w:szCs w:val="20"/>
                <w:color w:val="auto"/>
              </w:rPr>
            </w:pPr>
            <w:r>
              <w:rPr>
                <w:rFonts w:ascii="Arial" w:cs="Arial" w:eastAsia="Arial" w:hAnsi="Arial"/>
                <w:sz w:val="18"/>
                <w:szCs w:val="18"/>
                <w:color w:val="auto"/>
                <w:w w:val="87"/>
              </w:rPr>
              <w:t>$ 22,578,976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16.24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4"/>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tcBorders>
              <w:top w:val="single" w:sz="8" w:color="auto"/>
              <w:bottom w:val="single" w:sz="8" w:color="auto"/>
            </w:tcBorders>
            <w:gridSpan w:val="5"/>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10280" w:type="dxa"/>
            <w:vAlign w:val="bottom"/>
            <w:gridSpan w:val="57"/>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7"/>
              </w:rPr>
              <w:t>Anchor Tenants (1)</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 of Small</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2"/>
              </w:rPr>
              <w:t>% of Total</w:t>
            </w: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Minimum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Expiring SF</w:t>
            </w: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7"/>
              </w:rPr>
              <w:t>Expiring SF</w:t>
            </w: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PSF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Expiring SF (4)</w:t>
            </w:r>
          </w:p>
        </w:tc>
        <w:tc>
          <w:tcPr>
            <w:tcW w:w="2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846,000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1,073,000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29.41</w:t>
            </w:r>
          </w:p>
        </w:tc>
        <w:tc>
          <w:tcPr>
            <w:tcW w:w="880" w:type="dxa"/>
            <w:vAlign w:val="bottom"/>
          </w:tcPr>
          <w:p>
            <w:pPr>
              <w:jc w:val="right"/>
              <w:spacing w:after="0"/>
              <w:rPr>
                <w:sz w:val="20"/>
                <w:szCs w:val="20"/>
                <w:color w:val="auto"/>
              </w:rPr>
            </w:pPr>
            <w:r>
              <w:rPr>
                <w:rFonts w:ascii="Arial" w:cs="Arial" w:eastAsia="Arial" w:hAnsi="Arial"/>
                <w:sz w:val="18"/>
                <w:szCs w:val="18"/>
                <w:color w:val="auto"/>
              </w:rPr>
              <w:t>1,919,000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1,040,000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1,007,000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32.62</w:t>
            </w:r>
          </w:p>
        </w:tc>
        <w:tc>
          <w:tcPr>
            <w:tcW w:w="880" w:type="dxa"/>
            <w:vAlign w:val="bottom"/>
          </w:tcPr>
          <w:p>
            <w:pPr>
              <w:jc w:val="right"/>
              <w:spacing w:after="0"/>
              <w:rPr>
                <w:sz w:val="20"/>
                <w:szCs w:val="20"/>
                <w:color w:val="auto"/>
              </w:rPr>
            </w:pPr>
            <w:r>
              <w:rPr>
                <w:rFonts w:ascii="Arial" w:cs="Arial" w:eastAsia="Arial" w:hAnsi="Arial"/>
                <w:sz w:val="18"/>
                <w:szCs w:val="18"/>
                <w:color w:val="auto"/>
              </w:rPr>
              <w:t>2,048,000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1,378,000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826,000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842,000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29.24</w:t>
            </w:r>
          </w:p>
        </w:tc>
        <w:tc>
          <w:tcPr>
            <w:tcW w:w="880" w:type="dxa"/>
            <w:vAlign w:val="bottom"/>
          </w:tcPr>
          <w:p>
            <w:pPr>
              <w:jc w:val="right"/>
              <w:spacing w:after="0"/>
              <w:rPr>
                <w:sz w:val="20"/>
                <w:szCs w:val="20"/>
                <w:color w:val="auto"/>
              </w:rPr>
            </w:pPr>
            <w:r>
              <w:rPr>
                <w:rFonts w:ascii="Arial" w:cs="Arial" w:eastAsia="Arial" w:hAnsi="Arial"/>
                <w:sz w:val="18"/>
                <w:szCs w:val="18"/>
                <w:color w:val="auto"/>
              </w:rPr>
              <w:t>1,668,000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620,000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433,000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30.09</w:t>
            </w:r>
          </w:p>
        </w:tc>
        <w:tc>
          <w:tcPr>
            <w:tcW w:w="880" w:type="dxa"/>
            <w:vAlign w:val="bottom"/>
          </w:tcPr>
          <w:p>
            <w:pPr>
              <w:jc w:val="right"/>
              <w:spacing w:after="0"/>
              <w:rPr>
                <w:sz w:val="20"/>
                <w:szCs w:val="20"/>
                <w:color w:val="auto"/>
              </w:rPr>
            </w:pPr>
            <w:r>
              <w:rPr>
                <w:rFonts w:ascii="Arial" w:cs="Arial" w:eastAsia="Arial" w:hAnsi="Arial"/>
                <w:sz w:val="18"/>
                <w:szCs w:val="18"/>
                <w:color w:val="auto"/>
              </w:rPr>
              <w:t>1,052,000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2019</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487,000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17.41</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211,000</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41.82</w:t>
            </w:r>
          </w:p>
        </w:tc>
        <w:tc>
          <w:tcPr>
            <w:tcW w:w="880" w:type="dxa"/>
            <w:vAlign w:val="bottom"/>
          </w:tcPr>
          <w:p>
            <w:pPr>
              <w:jc w:val="right"/>
              <w:spacing w:after="0"/>
              <w:rPr>
                <w:sz w:val="20"/>
                <w:szCs w:val="20"/>
                <w:color w:val="auto"/>
              </w:rPr>
            </w:pPr>
            <w:r>
              <w:rPr>
                <w:rFonts w:ascii="Arial" w:cs="Arial" w:eastAsia="Arial" w:hAnsi="Arial"/>
                <w:sz w:val="18"/>
                <w:szCs w:val="18"/>
                <w:color w:val="auto"/>
              </w:rPr>
              <w:t>698,000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2,117,000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4"/>
            <w:vMerge w:val="restart"/>
          </w:tcPr>
          <w:p>
            <w:pPr>
              <w:spacing w:after="0"/>
              <w:rPr>
                <w:sz w:val="20"/>
                <w:szCs w:val="20"/>
                <w:color w:val="auto"/>
              </w:rPr>
            </w:pPr>
            <w:r>
              <w:rPr>
                <w:rFonts w:ascii="Arial" w:cs="Arial" w:eastAsia="Arial" w:hAnsi="Arial"/>
                <w:sz w:val="18"/>
                <w:szCs w:val="18"/>
                <w:color w:val="auto"/>
              </w:rPr>
              <w:t>Total (3)</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4"/>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9,618,000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7,396,000</w:t>
            </w:r>
          </w:p>
        </w:tc>
        <w:tc>
          <w:tcPr>
            <w:tcW w:w="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31.62</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17,014,000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w w:val="88"/>
              </w:rPr>
              <w:t>Assumes all lease options are exercised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7"/>
              </w:rPr>
              <w:t>Anchor Tenants (1)</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 of Small</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2"/>
              </w:rPr>
              <w:t>% of Total</w:t>
            </w: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Minimum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Expiring SF</w:t>
            </w: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7"/>
              </w:rPr>
              <w:t>Expiring SF</w:t>
            </w: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PSF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Expiring SF (4)</w:t>
            </w:r>
          </w:p>
        </w:tc>
        <w:tc>
          <w:tcPr>
            <w:tcW w:w="2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278,000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602,000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28.83</w:t>
            </w:r>
          </w:p>
        </w:tc>
        <w:tc>
          <w:tcPr>
            <w:tcW w:w="880" w:type="dxa"/>
            <w:vAlign w:val="bottom"/>
          </w:tcPr>
          <w:p>
            <w:pPr>
              <w:jc w:val="right"/>
              <w:spacing w:after="0"/>
              <w:rPr>
                <w:sz w:val="20"/>
                <w:szCs w:val="20"/>
                <w:color w:val="auto"/>
              </w:rPr>
            </w:pPr>
            <w:r>
              <w:rPr>
                <w:rFonts w:ascii="Arial" w:cs="Arial" w:eastAsia="Arial" w:hAnsi="Arial"/>
                <w:sz w:val="18"/>
                <w:szCs w:val="18"/>
                <w:color w:val="auto"/>
              </w:rPr>
              <w:t>880,000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526,000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33.10</w:t>
            </w:r>
          </w:p>
        </w:tc>
        <w:tc>
          <w:tcPr>
            <w:tcW w:w="880" w:type="dxa"/>
            <w:vAlign w:val="bottom"/>
          </w:tcPr>
          <w:p>
            <w:pPr>
              <w:jc w:val="right"/>
              <w:spacing w:after="0"/>
              <w:rPr>
                <w:sz w:val="20"/>
                <w:szCs w:val="20"/>
                <w:color w:val="auto"/>
              </w:rPr>
            </w:pPr>
            <w:r>
              <w:rPr>
                <w:rFonts w:ascii="Arial" w:cs="Arial" w:eastAsia="Arial" w:hAnsi="Arial"/>
                <w:sz w:val="18"/>
                <w:szCs w:val="18"/>
                <w:color w:val="auto"/>
              </w:rPr>
              <w:t>682,000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29.18</w:t>
            </w:r>
          </w:p>
        </w:tc>
        <w:tc>
          <w:tcPr>
            <w:tcW w:w="880" w:type="dxa"/>
            <w:vAlign w:val="bottom"/>
          </w:tcPr>
          <w:p>
            <w:pPr>
              <w:jc w:val="right"/>
              <w:spacing w:after="0"/>
              <w:rPr>
                <w:sz w:val="20"/>
                <w:szCs w:val="20"/>
                <w:color w:val="auto"/>
              </w:rPr>
            </w:pPr>
            <w:r>
              <w:rPr>
                <w:rFonts w:ascii="Arial" w:cs="Arial" w:eastAsia="Arial" w:hAnsi="Arial"/>
                <w:sz w:val="18"/>
                <w:szCs w:val="18"/>
                <w:color w:val="auto"/>
              </w:rPr>
              <w:t>631,000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538,000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31.50</w:t>
            </w:r>
          </w:p>
        </w:tc>
        <w:tc>
          <w:tcPr>
            <w:tcW w:w="880" w:type="dxa"/>
            <w:vAlign w:val="bottom"/>
          </w:tcPr>
          <w:p>
            <w:pPr>
              <w:jc w:val="right"/>
              <w:spacing w:after="0"/>
              <w:rPr>
                <w:sz w:val="20"/>
                <w:szCs w:val="20"/>
                <w:color w:val="auto"/>
              </w:rPr>
            </w:pPr>
            <w:r>
              <w:rPr>
                <w:rFonts w:ascii="Arial" w:cs="Arial" w:eastAsia="Arial" w:hAnsi="Arial"/>
                <w:sz w:val="18"/>
                <w:szCs w:val="18"/>
                <w:color w:val="auto"/>
              </w:rPr>
              <w:t>691,000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2019</w:t>
            </w:r>
          </w:p>
        </w:tc>
        <w:tc>
          <w:tcPr>
            <w:tcW w:w="1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353,000</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346,000</w:t>
            </w:r>
          </w:p>
        </w:tc>
        <w:tc>
          <w:tcPr>
            <w:tcW w:w="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34.66</w:t>
            </w:r>
          </w:p>
        </w:tc>
        <w:tc>
          <w:tcPr>
            <w:tcW w:w="880" w:type="dxa"/>
            <w:vAlign w:val="bottom"/>
          </w:tcPr>
          <w:p>
            <w:pPr>
              <w:jc w:val="right"/>
              <w:spacing w:after="0"/>
              <w:rPr>
                <w:sz w:val="20"/>
                <w:szCs w:val="20"/>
                <w:color w:val="auto"/>
              </w:rPr>
            </w:pPr>
            <w:r>
              <w:rPr>
                <w:rFonts w:ascii="Arial" w:cs="Arial" w:eastAsia="Arial" w:hAnsi="Arial"/>
                <w:sz w:val="18"/>
                <w:szCs w:val="18"/>
                <w:color w:val="auto"/>
              </w:rPr>
              <w:t>699,000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7,589,000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10,075,000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4"/>
            <w:vMerge w:val="restart"/>
          </w:tcPr>
          <w:p>
            <w:pPr>
              <w:spacing w:after="0"/>
              <w:rPr>
                <w:sz w:val="20"/>
                <w:szCs w:val="20"/>
                <w:color w:val="auto"/>
              </w:rPr>
            </w:pPr>
            <w:r>
              <w:rPr>
                <w:rFonts w:ascii="Arial" w:cs="Arial" w:eastAsia="Arial" w:hAnsi="Arial"/>
                <w:sz w:val="18"/>
                <w:szCs w:val="18"/>
                <w:color w:val="auto"/>
              </w:rPr>
              <w:t>Total (3)</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4"/>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9,618,000</w:t>
            </w:r>
          </w:p>
        </w:tc>
        <w:tc>
          <w:tcPr>
            <w:tcW w:w="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7,396,000</w:t>
            </w:r>
          </w:p>
        </w:tc>
        <w:tc>
          <w:tcPr>
            <w:tcW w:w="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31.62</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17,014,000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June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occupied square footage as of June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At June 30, 2010</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At June 30, 2009</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Leased</w:t>
            </w:r>
          </w:p>
        </w:tc>
        <w:tc>
          <w:tcPr>
            <w:tcW w:w="2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18,165,000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17,113,000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18,168,000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97.7%</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412"/>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At June 30, 2010</w:t>
            </w: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At June 30, 2009</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Leased</w:t>
            </w:r>
          </w:p>
        </w:tc>
        <w:tc>
          <w:tcPr>
            <w:tcW w:w="2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17,494,000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16,559,000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17,513,000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16,505,000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97.7%</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Rollingwood, The Crest at Congressional and the residential rental units at Santana Row and Bethesda Row.</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Percentage of</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Tenant Name</w:t>
            </w:r>
          </w:p>
        </w:tc>
        <w:tc>
          <w:tcPr>
            <w:tcW w:w="3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43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Rent</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Base Rent (4)</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GLA</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Total GLA (4)</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Bed, Bath &amp; Beyond,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10,236,000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Ahold USA,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8,818,000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780" w:type="dxa"/>
            <w:vAlign w:val="bottom"/>
          </w:tcPr>
          <w:p>
            <w:pPr>
              <w:jc w:val="right"/>
              <w:spacing w:after="0"/>
              <w:rPr>
                <w:sz w:val="20"/>
                <w:szCs w:val="20"/>
                <w:color w:val="auto"/>
              </w:rPr>
            </w:pPr>
            <w:r>
              <w:rPr>
                <w:rFonts w:ascii="Arial" w:cs="Arial" w:eastAsia="Arial" w:hAnsi="Arial"/>
                <w:sz w:val="18"/>
                <w:szCs w:val="18"/>
                <w:color w:val="auto"/>
              </w:rPr>
              <w:t>592,000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3.26%</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TJX Companies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7,677,000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Safeway,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6,971,000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780" w:type="dxa"/>
            <w:vAlign w:val="bottom"/>
          </w:tcPr>
          <w:p>
            <w:pPr>
              <w:jc w:val="right"/>
              <w:spacing w:after="0"/>
              <w:rPr>
                <w:sz w:val="20"/>
                <w:szCs w:val="20"/>
                <w:color w:val="auto"/>
              </w:rPr>
            </w:pPr>
            <w:r>
              <w:rPr>
                <w:rFonts w:ascii="Arial" w:cs="Arial" w:eastAsia="Arial" w:hAnsi="Arial"/>
                <w:sz w:val="18"/>
                <w:szCs w:val="18"/>
                <w:color w:val="auto"/>
              </w:rPr>
              <w:t>481,000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Gap,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6,737,000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CVS Corporation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6,255,000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1.63%</w:t>
            </w:r>
          </w:p>
        </w:tc>
        <w:tc>
          <w:tcPr>
            <w:tcW w:w="780" w:type="dxa"/>
            <w:vAlign w:val="bottom"/>
          </w:tcPr>
          <w:p>
            <w:pPr>
              <w:jc w:val="right"/>
              <w:spacing w:after="0"/>
              <w:rPr>
                <w:sz w:val="20"/>
                <w:szCs w:val="20"/>
                <w:color w:val="auto"/>
              </w:rPr>
            </w:pPr>
            <w:r>
              <w:rPr>
                <w:rFonts w:ascii="Arial" w:cs="Arial" w:eastAsia="Arial" w:hAnsi="Arial"/>
                <w:sz w:val="18"/>
                <w:szCs w:val="18"/>
                <w:color w:val="auto"/>
              </w:rPr>
              <w:t>205,000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Barnes &amp; Noble,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4,731,000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L.A. Fitness International LLC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4,283,000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780" w:type="dxa"/>
            <w:vAlign w:val="bottom"/>
          </w:tcPr>
          <w:p>
            <w:pPr>
              <w:jc w:val="right"/>
              <w:spacing w:after="0"/>
              <w:rPr>
                <w:sz w:val="20"/>
                <w:szCs w:val="20"/>
                <w:color w:val="auto"/>
              </w:rPr>
            </w:pPr>
            <w:r>
              <w:rPr>
                <w:rFonts w:ascii="Arial" w:cs="Arial" w:eastAsia="Arial" w:hAnsi="Arial"/>
                <w:sz w:val="18"/>
                <w:szCs w:val="18"/>
                <w:color w:val="auto"/>
              </w:rPr>
              <w:t>222,000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OPNET Technologies,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3,866,000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Best Buy Stores, L.P.</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3,502,000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0.91%</w:t>
            </w:r>
          </w:p>
        </w:tc>
        <w:tc>
          <w:tcPr>
            <w:tcW w:w="780" w:type="dxa"/>
            <w:vAlign w:val="bottom"/>
          </w:tcPr>
          <w:p>
            <w:pPr>
              <w:jc w:val="right"/>
              <w:spacing w:after="0"/>
              <w:rPr>
                <w:sz w:val="20"/>
                <w:szCs w:val="20"/>
                <w:color w:val="auto"/>
              </w:rPr>
            </w:pPr>
            <w:r>
              <w:rPr>
                <w:rFonts w:ascii="Arial" w:cs="Arial" w:eastAsia="Arial" w:hAnsi="Arial"/>
                <w:sz w:val="18"/>
                <w:szCs w:val="18"/>
                <w:color w:val="auto"/>
              </w:rPr>
              <w:t>99,000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0.55%</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Staples,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3,429,000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DSW,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3,294,000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0.86%</w:t>
            </w:r>
          </w:p>
        </w:tc>
        <w:tc>
          <w:tcPr>
            <w:tcW w:w="780" w:type="dxa"/>
            <w:vAlign w:val="bottom"/>
          </w:tcPr>
          <w:p>
            <w:pPr>
              <w:jc w:val="right"/>
              <w:spacing w:after="0"/>
              <w:rPr>
                <w:sz w:val="20"/>
                <w:szCs w:val="20"/>
                <w:color w:val="auto"/>
              </w:rPr>
            </w:pPr>
            <w:r>
              <w:rPr>
                <w:rFonts w:ascii="Arial" w:cs="Arial" w:eastAsia="Arial" w:hAnsi="Arial"/>
                <w:sz w:val="18"/>
                <w:szCs w:val="18"/>
                <w:color w:val="auto"/>
              </w:rPr>
              <w:t>125,000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0.69%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Wells Fargo Bank, N.A. (includes Wachovia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3,289,000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w w:val="96"/>
              </w:rPr>
              <w:t>Supervalu Inc. (Acme/Sav-A-Lot/Star Mkt/Shoppers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Food)</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3,227,000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780" w:type="dxa"/>
            <w:vAlign w:val="bottom"/>
          </w:tcPr>
          <w:p>
            <w:pPr>
              <w:jc w:val="right"/>
              <w:spacing w:after="0"/>
              <w:rPr>
                <w:sz w:val="20"/>
                <w:szCs w:val="20"/>
                <w:color w:val="auto"/>
              </w:rPr>
            </w:pPr>
            <w:r>
              <w:rPr>
                <w:rFonts w:ascii="Arial" w:cs="Arial" w:eastAsia="Arial" w:hAnsi="Arial"/>
                <w:sz w:val="18"/>
                <w:szCs w:val="18"/>
                <w:color w:val="auto"/>
              </w:rPr>
              <w:t>338,000</w:t>
            </w:r>
          </w:p>
        </w:tc>
        <w:tc>
          <w:tcPr>
            <w:tcW w:w="5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Bank of America, N.A.</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3,070,000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Ross Stores,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2,895,000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149,000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Home Depot,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2,832,000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Kohl’s Corporation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2,793,000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0.73%</w:t>
            </w:r>
          </w:p>
        </w:tc>
        <w:tc>
          <w:tcPr>
            <w:tcW w:w="780" w:type="dxa"/>
            <w:vAlign w:val="bottom"/>
          </w:tcPr>
          <w:p>
            <w:pPr>
              <w:jc w:val="right"/>
              <w:spacing w:after="0"/>
              <w:rPr>
                <w:sz w:val="20"/>
                <w:szCs w:val="20"/>
                <w:color w:val="auto"/>
              </w:rPr>
            </w:pPr>
            <w:r>
              <w:rPr>
                <w:rFonts w:ascii="Arial" w:cs="Arial" w:eastAsia="Arial" w:hAnsi="Arial"/>
                <w:sz w:val="18"/>
                <w:szCs w:val="18"/>
                <w:color w:val="auto"/>
              </w:rPr>
              <w:t>322,000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1.77%</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Wakefern Food 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2,783,000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Toys R Us,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2,708,000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0.71%</w:t>
            </w:r>
          </w:p>
        </w:tc>
        <w:tc>
          <w:tcPr>
            <w:tcW w:w="780" w:type="dxa"/>
            <w:vAlign w:val="bottom"/>
          </w:tcPr>
          <w:p>
            <w:pPr>
              <w:jc w:val="right"/>
              <w:spacing w:after="0"/>
              <w:rPr>
                <w:sz w:val="20"/>
                <w:szCs w:val="20"/>
                <w:color w:val="auto"/>
              </w:rPr>
            </w:pPr>
            <w:r>
              <w:rPr>
                <w:rFonts w:ascii="Arial" w:cs="Arial" w:eastAsia="Arial" w:hAnsi="Arial"/>
                <w:sz w:val="18"/>
                <w:szCs w:val="18"/>
                <w:color w:val="auto"/>
              </w:rPr>
              <w:t>198,000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Bally Total Fitness 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2,618,000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Great Atlantic &amp; Pacific Tea Co</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2,517,000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0.66%</w:t>
            </w:r>
          </w:p>
        </w:tc>
        <w:tc>
          <w:tcPr>
            <w:tcW w:w="780" w:type="dxa"/>
            <w:vAlign w:val="bottom"/>
          </w:tcPr>
          <w:p>
            <w:pPr>
              <w:jc w:val="right"/>
              <w:spacing w:after="0"/>
              <w:rPr>
                <w:sz w:val="20"/>
                <w:szCs w:val="20"/>
                <w:color w:val="auto"/>
              </w:rPr>
            </w:pPr>
            <w:r>
              <w:rPr>
                <w:rFonts w:ascii="Arial" w:cs="Arial" w:eastAsia="Arial" w:hAnsi="Arial"/>
                <w:sz w:val="18"/>
                <w:szCs w:val="18"/>
                <w:color w:val="auto"/>
              </w:rPr>
              <w:t>217,000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Container Store,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2,496,000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A.C. Moore,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2,483,000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780" w:type="dxa"/>
            <w:vAlign w:val="bottom"/>
          </w:tcPr>
          <w:p>
            <w:pPr>
              <w:jc w:val="right"/>
              <w:spacing w:after="0"/>
              <w:rPr>
                <w:sz w:val="20"/>
                <w:szCs w:val="20"/>
                <w:color w:val="auto"/>
              </w:rPr>
            </w:pPr>
            <w:r>
              <w:rPr>
                <w:rFonts w:ascii="Arial" w:cs="Arial" w:eastAsia="Arial" w:hAnsi="Arial"/>
                <w:sz w:val="18"/>
                <w:szCs w:val="18"/>
                <w:color w:val="auto"/>
              </w:rPr>
              <w:t>141,000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AMC Entertainment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gridSpan w:val="3"/>
            <w:vMerge w:val="restart"/>
          </w:tcPr>
          <w:p>
            <w:pPr>
              <w:ind w:left="320"/>
              <w:spacing w:after="0"/>
              <w:rPr>
                <w:sz w:val="20"/>
                <w:szCs w:val="20"/>
                <w:color w:val="auto"/>
              </w:rPr>
            </w:pPr>
            <w:r>
              <w:rPr>
                <w:rFonts w:ascii="Arial" w:cs="Arial" w:eastAsia="Arial" w:hAnsi="Arial"/>
                <w:sz w:val="18"/>
                <w:szCs w:val="18"/>
                <w:color w:val="auto"/>
              </w:rPr>
              <w:t>Totals - Top 25 Tenants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105,888,000</w:t>
            </w:r>
          </w:p>
        </w:tc>
        <w:tc>
          <w:tcPr>
            <w:tcW w:w="5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27.62%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5,961,000</w:t>
            </w:r>
          </w:p>
        </w:tc>
        <w:tc>
          <w:tcPr>
            <w:tcW w:w="5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32.82%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383,648,000(2)</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18,165,000(3)</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June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175"/>
              <w:spacing w:after="0"/>
              <w:rPr>
                <w:sz w:val="20"/>
                <w:szCs w:val="20"/>
                <w:color w:val="auto"/>
              </w:rPr>
            </w:pPr>
            <w:r>
              <w:rPr>
                <w:rFonts w:ascii="Arial" w:cs="Arial" w:eastAsia="Arial" w:hAnsi="Arial"/>
                <w:sz w:val="14"/>
                <w:szCs w:val="14"/>
                <w:b w:val="1"/>
                <w:bCs w:val="1"/>
                <w:color w:val="auto"/>
                <w:w w:val="86"/>
              </w:rPr>
              <w:t>2010 Guidance</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tcPr>
          <w:p>
            <w:pPr>
              <w:jc w:val="center"/>
              <w:ind w:right="12"/>
              <w:spacing w:after="0" w:line="131" w:lineRule="exact"/>
              <w:rPr>
                <w:sz w:val="20"/>
                <w:szCs w:val="20"/>
                <w:color w:val="auto"/>
              </w:rPr>
            </w:pPr>
            <w:r>
              <w:rPr>
                <w:rFonts w:ascii="Arial" w:cs="Arial" w:eastAsia="Arial" w:hAnsi="Arial"/>
                <w:sz w:val="14"/>
                <w:szCs w:val="14"/>
                <w:color w:val="auto"/>
                <w:w w:val="90"/>
              </w:rPr>
              <w:t>(Dollars in millions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right="220"/>
              <w:spacing w:after="0" w:line="159" w:lineRule="exact"/>
              <w:rPr>
                <w:sz w:val="20"/>
                <w:szCs w:val="20"/>
                <w:color w:val="auto"/>
              </w:rPr>
            </w:pPr>
            <w:r>
              <w:rPr>
                <w:rFonts w:ascii="Arial" w:cs="Arial" w:eastAsia="Arial" w:hAnsi="Arial"/>
                <w:sz w:val="14"/>
                <w:szCs w:val="14"/>
                <w:color w:val="auto"/>
                <w:w w:val="85"/>
              </w:rPr>
              <w:t>per share amounts)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 (FFO)</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tcPr>
          <w:p>
            <w:pPr>
              <w:jc w:val="right"/>
              <w:ind w:right="10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Litigation provision (2)</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excluding litigation provision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0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Litigation provision (2)</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certain costs related to the litigation and appeal process over a parcel of land located adjacent to Santana Row.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89"/>
              </w:rPr>
              <w:t>Three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434"/>
              <w:spacing w:after="0" w:line="142" w:lineRule="exact"/>
              <w:rPr>
                <w:sz w:val="20"/>
                <w:szCs w:val="20"/>
                <w:color w:val="auto"/>
              </w:rPr>
            </w:pPr>
            <w:r>
              <w:rPr>
                <w:rFonts w:ascii="Arial" w:cs="Arial" w:eastAsia="Arial" w:hAnsi="Arial"/>
                <w:sz w:val="14"/>
                <w:szCs w:val="14"/>
                <w:b w:val="1"/>
                <w:bCs w:val="1"/>
                <w:color w:val="auto"/>
                <w:w w:val="82"/>
              </w:rPr>
              <w:t>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4,495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9,138</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4,523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740" w:type="dxa"/>
            <w:vAlign w:val="bottom"/>
            <w:gridSpan w:val="3"/>
            <w:vMerge w:val="continue"/>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203,855</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2"/>
              </w:rPr>
              <w:t>(21,820)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182,035</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192,247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57,683</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63,242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129,005</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192,247</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20" w:type="dxa"/>
            <w:vAlign w:val="bottom"/>
            <w:vMerge w:val="restart"/>
          </w:tcPr>
          <w:p>
            <w:pPr>
              <w:jc w:val="right"/>
              <w:ind w:right="1472"/>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Stated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Maturity</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June 30, 2010</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r>
      <w:tr>
        <w:trPr>
          <w:trHeight w:val="142"/>
        </w:trPr>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176"/>
        </w:trPr>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1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240" w:type="dxa"/>
            <w:vAlign w:val="bottom"/>
            <w:gridSpan w:val="2"/>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20" w:type="dxa"/>
            <w:vAlign w:val="bottom"/>
          </w:tcPr>
          <w:p>
            <w:pPr>
              <w:spacing w:after="0"/>
              <w:rPr>
                <w:sz w:val="18"/>
                <w:szCs w:val="18"/>
                <w:color w:val="auto"/>
              </w:rPr>
            </w:pPr>
          </w:p>
        </w:tc>
      </w:tr>
      <w:tr>
        <w:trPr>
          <w:trHeight w:val="216"/>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Atlantic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12/01/14</w:t>
            </w:r>
          </w:p>
        </w:tc>
        <w:tc>
          <w:tcPr>
            <w:tcW w:w="5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1020" w:type="dxa"/>
            <w:vAlign w:val="bottom"/>
          </w:tcPr>
          <w:p>
            <w:pPr>
              <w:ind w:left="2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07/01/16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r>
      <w:tr>
        <w:trPr>
          <w:trHeight w:val="223"/>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Greenlawn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07/01/16</w:t>
            </w:r>
          </w:p>
        </w:tc>
        <w:tc>
          <w:tcPr>
            <w:tcW w:w="5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1020" w:type="dxa"/>
            <w:vAlign w:val="bottom"/>
          </w:tcPr>
          <w:p>
            <w:pPr>
              <w:ind w:left="2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Total Fixed Rate Debt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57,683</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Maturities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Scheduled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Percent of Debt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Percent of Debt</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780" w:type="dxa"/>
            <w:vAlign w:val="bottom"/>
            <w:gridSpan w:val="2"/>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1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Maturities</w:t>
            </w: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1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2010</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32"/>
              <w:spacing w:after="0"/>
              <w:rPr>
                <w:sz w:val="20"/>
                <w:szCs w:val="20"/>
                <w:color w:val="auto"/>
              </w:rPr>
            </w:pPr>
            <w:r>
              <w:rPr>
                <w:rFonts w:ascii="Arial" w:cs="Arial" w:eastAsia="Arial" w:hAnsi="Arial"/>
                <w:sz w:val="18"/>
                <w:szCs w:val="18"/>
                <w:color w:val="auto"/>
                <w:w w:val="84"/>
              </w:rPr>
              <w:t>2011</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208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2012</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220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2013</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233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2014</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142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22,396</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22,538</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39.1%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2015</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2016</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34,385</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34,385</w:t>
            </w:r>
          </w:p>
        </w:tc>
        <w:tc>
          <w:tcPr>
            <w:tcW w:w="1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59.6%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gridSpan w:val="4"/>
            <w:vMerge w:val="restart"/>
          </w:tcPr>
          <w:p>
            <w:pPr>
              <w:jc w:val="center"/>
              <w:ind w:right="1140"/>
              <w:spacing w:after="0"/>
              <w:rPr>
                <w:sz w:val="20"/>
                <w:szCs w:val="20"/>
                <w:color w:val="auto"/>
              </w:rPr>
            </w:pPr>
            <w:r>
              <w:rPr>
                <w:rFonts w:ascii="Arial" w:cs="Arial" w:eastAsia="Arial" w:hAnsi="Arial"/>
                <w:sz w:val="18"/>
                <w:szCs w:val="18"/>
                <w:color w:val="auto"/>
                <w:w w:val="89"/>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00" w:type="dxa"/>
            <w:vAlign w:val="bottom"/>
            <w:gridSpan w:val="4"/>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902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56,781</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57,683</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Mortgage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or Capital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Grocery</w:t>
            </w:r>
          </w:p>
        </w:tc>
        <w:tc>
          <w:tcPr>
            <w:tcW w:w="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2"/>
                <w:szCs w:val="12"/>
                <w:color w:val="auto"/>
              </w:rPr>
            </w:pPr>
          </w:p>
        </w:tc>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4"/>
              </w:rPr>
              <w:t>Real Estate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0"/>
              </w:rPr>
              <w:t>Lease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auto"/>
                <w:w w:val="89"/>
              </w:rPr>
              <w:t>Anchor</w:t>
            </w: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2920" w:type="dxa"/>
            <w:vAlign w:val="bottom"/>
          </w:tcPr>
          <w:p>
            <w:pPr>
              <w:ind w:left="96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at Cost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Obligation</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GLA</w:t>
            </w: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Leased</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GLA (1)</w:t>
            </w: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Anchor (1)</w:t>
            </w:r>
          </w:p>
        </w:tc>
        <w:tc>
          <w:tcPr>
            <w:tcW w:w="100" w:type="dxa"/>
            <w:vAlign w:val="bottom"/>
          </w:tcPr>
          <w:p>
            <w:pPr>
              <w:spacing w:after="0"/>
              <w:rPr>
                <w:sz w:val="15"/>
                <w:szCs w:val="15"/>
                <w:color w:val="auto"/>
              </w:rPr>
            </w:pP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0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1"/>
              </w:rPr>
              <w:t>Washington Metropolitan Area</w:t>
            </w:r>
          </w:p>
        </w:tc>
        <w:tc>
          <w:tcPr>
            <w:tcW w:w="2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00" w:type="dxa"/>
            <w:vAlign w:val="bottom"/>
            <w:gridSpan w:val="5"/>
          </w:tcPr>
          <w:p>
            <w:pPr>
              <w:spacing w:after="0" w:line="142" w:lineRule="exact"/>
              <w:rPr>
                <w:sz w:val="20"/>
                <w:szCs w:val="20"/>
                <w:color w:val="auto"/>
              </w:rPr>
            </w:pPr>
            <w:r>
              <w:rPr>
                <w:rFonts w:ascii="Arial" w:cs="Arial" w:eastAsia="Arial" w:hAnsi="Arial"/>
                <w:sz w:val="14"/>
                <w:szCs w:val="14"/>
                <w:color w:val="auto"/>
              </w:rPr>
              <w:t>Barcroft Plaza</w:t>
            </w:r>
          </w:p>
        </w:tc>
        <w:tc>
          <w:tcPr>
            <w:tcW w:w="2920" w:type="dxa"/>
            <w:vAlign w:val="bottom"/>
          </w:tcPr>
          <w:p>
            <w:pPr>
              <w:spacing w:after="0" w:line="142" w:lineRule="exact"/>
              <w:rPr>
                <w:sz w:val="20"/>
                <w:szCs w:val="20"/>
                <w:color w:val="auto"/>
              </w:rPr>
            </w:pPr>
            <w:r>
              <w:rPr>
                <w:rFonts w:ascii="Arial" w:cs="Arial" w:eastAsia="Arial" w:hAnsi="Arial"/>
                <w:sz w:val="14"/>
                <w:szCs w:val="14"/>
                <w:color w:val="auto"/>
              </w:rPr>
              <w:t>Washington, DC-MD-VA</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2006-2007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34,130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20,785</w:t>
            </w:r>
          </w:p>
        </w:tc>
        <w:tc>
          <w:tcPr>
            <w:tcW w:w="5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86"/>
              </w:rPr>
              <w:t>101,000</w:t>
            </w: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88%</w:t>
            </w:r>
          </w:p>
        </w:tc>
        <w:tc>
          <w:tcPr>
            <w:tcW w:w="5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46,000</w:t>
            </w: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color w:val="auto"/>
                <w:w w:val="92"/>
              </w:rPr>
              <w:t>Harris Teeter</w:t>
            </w:r>
          </w:p>
        </w:tc>
        <w:tc>
          <w:tcPr>
            <w:tcW w:w="100" w:type="dxa"/>
            <w:vAlign w:val="bottom"/>
          </w:tcPr>
          <w:p>
            <w:pPr>
              <w:spacing w:after="0"/>
              <w:rPr>
                <w:sz w:val="12"/>
                <w:szCs w:val="12"/>
                <w:color w:val="auto"/>
              </w:rPr>
            </w:pPr>
          </w:p>
        </w:tc>
        <w:tc>
          <w:tcPr>
            <w:tcW w:w="1100" w:type="dxa"/>
            <w:vAlign w:val="bottom"/>
          </w:tcPr>
          <w:p>
            <w:pPr>
              <w:spacing w:after="0" w:line="142"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Free State Shopping Center</w:t>
            </w: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65,831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6"/>
              </w:rPr>
              <w:t>279,000</w:t>
            </w:r>
          </w:p>
        </w:tc>
        <w:tc>
          <w:tcPr>
            <w:tcW w:w="6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87%</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73,000</w:t>
            </w:r>
          </w:p>
        </w:tc>
        <w:tc>
          <w:tcPr>
            <w:tcW w:w="8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TJ Maxx / Ross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5"/>
          </w:tcPr>
          <w:p>
            <w:pPr>
              <w:spacing w:after="0" w:line="149" w:lineRule="exact"/>
              <w:rPr>
                <w:sz w:val="20"/>
                <w:szCs w:val="20"/>
                <w:color w:val="auto"/>
              </w:rPr>
            </w:pPr>
            <w:r>
              <w:rPr>
                <w:rFonts w:ascii="Arial" w:cs="Arial" w:eastAsia="Arial" w:hAnsi="Arial"/>
                <w:sz w:val="14"/>
                <w:szCs w:val="14"/>
                <w:color w:val="auto"/>
              </w:rPr>
              <w:t>Plaza del Mercado</w:t>
            </w: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21,310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12,798</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476,000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right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Nassau-Suffolk, NY</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13,600</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106,000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46,000</w:t>
            </w:r>
          </w:p>
        </w:tc>
        <w:tc>
          <w:tcPr>
            <w:tcW w:w="8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98"/>
              </w:rPr>
              <w:t>Waldbaum’s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Total New York / New Jersey</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106,000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0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2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00" w:type="dxa"/>
            <w:vAlign w:val="bottom"/>
            <w:gridSpan w:val="5"/>
          </w:tcPr>
          <w:p>
            <w:pPr>
              <w:spacing w:after="0" w:line="142" w:lineRule="exact"/>
              <w:rPr>
                <w:sz w:val="20"/>
                <w:szCs w:val="20"/>
                <w:color w:val="auto"/>
              </w:rPr>
            </w:pPr>
            <w:r>
              <w:rPr>
                <w:rFonts w:ascii="Arial" w:cs="Arial" w:eastAsia="Arial" w:hAnsi="Arial"/>
                <w:sz w:val="14"/>
                <w:szCs w:val="14"/>
                <w:color w:val="auto"/>
              </w:rPr>
              <w:t>Atlantic Plaza</w:t>
            </w:r>
          </w:p>
        </w:tc>
        <w:tc>
          <w:tcPr>
            <w:tcW w:w="2920" w:type="dxa"/>
            <w:vAlign w:val="bottom"/>
          </w:tcPr>
          <w:p>
            <w:pPr>
              <w:spacing w:after="0" w:line="142" w:lineRule="exact"/>
              <w:rPr>
                <w:sz w:val="20"/>
                <w:szCs w:val="20"/>
                <w:color w:val="auto"/>
              </w:rPr>
            </w:pPr>
            <w:r>
              <w:rPr>
                <w:rFonts w:ascii="Arial" w:cs="Arial" w:eastAsia="Arial" w:hAnsi="Arial"/>
                <w:sz w:val="14"/>
                <w:szCs w:val="14"/>
                <w:color w:val="auto"/>
                <w:w w:val="93"/>
              </w:rPr>
              <w:t>Boston-Worcester-Lawrence-Lowell-Brockton, MA</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17,325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10,500</w:t>
            </w:r>
          </w:p>
        </w:tc>
        <w:tc>
          <w:tcPr>
            <w:tcW w:w="5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86"/>
              </w:rPr>
              <w:t>123,000</w:t>
            </w: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line="142"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Boston-Worcester-Lawrence-Lowell-Brockton, MA</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22,193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6"/>
              </w:rPr>
              <w:t>117,000</w:t>
            </w:r>
          </w:p>
        </w:tc>
        <w:tc>
          <w:tcPr>
            <w:tcW w:w="6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94%</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46,000</w:t>
            </w:r>
          </w:p>
        </w:tc>
        <w:tc>
          <w:tcPr>
            <w:tcW w:w="8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Roche</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Brothers</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5"/>
          </w:tcPr>
          <w:p>
            <w:pPr>
              <w:spacing w:after="0" w:line="149" w:lineRule="exact"/>
              <w:rPr>
                <w:sz w:val="20"/>
                <w:szCs w:val="20"/>
                <w:color w:val="auto"/>
              </w:rPr>
            </w:pPr>
            <w:r>
              <w:rPr>
                <w:rFonts w:ascii="Arial" w:cs="Arial" w:eastAsia="Arial" w:hAnsi="Arial"/>
                <w:sz w:val="14"/>
                <w:szCs w:val="14"/>
                <w:color w:val="auto"/>
              </w:rPr>
              <w:t>Pleasant Shops</w:t>
            </w:r>
          </w:p>
        </w:tc>
        <w:tc>
          <w:tcPr>
            <w:tcW w:w="2920" w:type="dxa"/>
            <w:vAlign w:val="bottom"/>
          </w:tcPr>
          <w:p>
            <w:pPr>
              <w:spacing w:after="0" w:line="149" w:lineRule="exact"/>
              <w:rPr>
                <w:sz w:val="20"/>
                <w:szCs w:val="20"/>
                <w:color w:val="auto"/>
              </w:rPr>
            </w:pPr>
            <w:r>
              <w:rPr>
                <w:rFonts w:ascii="Arial" w:cs="Arial" w:eastAsia="Arial" w:hAnsi="Arial"/>
                <w:sz w:val="14"/>
                <w:szCs w:val="14"/>
                <w:color w:val="auto"/>
                <w:w w:val="93"/>
              </w:rPr>
              <w:t>Boston-Worcester-Lawrence-Lowell-Brockton, MA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23,046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129,000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38,000</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Foodmaster</w:t>
            </w:r>
          </w:p>
        </w:tc>
        <w:tc>
          <w:tcPr>
            <w:tcW w:w="10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369,000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gridSpan w:val="6"/>
            <w:vMerge w:val="restart"/>
          </w:tcPr>
          <w:p>
            <w:pPr>
              <w:spacing w:after="0"/>
              <w:rPr>
                <w:sz w:val="20"/>
                <w:szCs w:val="20"/>
                <w:color w:val="auto"/>
              </w:rPr>
            </w:pPr>
            <w:r>
              <w:rPr>
                <w:rFonts w:ascii="Arial" w:cs="Arial" w:eastAsia="Arial" w:hAnsi="Arial"/>
                <w:sz w:val="14"/>
                <w:szCs w:val="14"/>
                <w:color w:val="auto"/>
              </w:rPr>
              <w:t>Grand Totals</w:t>
            </w: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gridSpan w:val="6"/>
            <w:vMerge w:val="continue"/>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203,855</w:t>
            </w:r>
          </w:p>
        </w:tc>
        <w:tc>
          <w:tcPr>
            <w:tcW w:w="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57,683</w:t>
            </w: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951,000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attributable to the Trust plus depreciation and amortization, net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attributable to the Trust to EBITDA and Adjusted EBITDA for the three and six months ended June 30, 2010 and 2009 is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22"/>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$31,114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31,178</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60,110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20" w:type="dxa"/>
            <w:vAlign w:val="bottom"/>
          </w:tcPr>
          <w:p>
            <w:pPr>
              <w:spacing w:after="0"/>
              <w:rPr>
                <w:sz w:val="18"/>
                <w:szCs w:val="18"/>
                <w:color w:val="auto"/>
              </w:rPr>
            </w:pPr>
          </w:p>
        </w:tc>
        <w:tc>
          <w:tcPr>
            <w:tcW w:w="8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87,677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174,410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147,157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(1,410)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86,267</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84,219</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173,000</w:t>
            </w:r>
          </w:p>
        </w:tc>
        <w:tc>
          <w:tcPr>
            <w:tcW w:w="4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3"/>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2019-12-10T00:34:36Z</dcterms:created>
  <dcterms:modified xsi:type="dcterms:W3CDTF">2019-12-10T00:34:36Z</dcterms:modified>
</cp:coreProperties>
</file>