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2013</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On October 31, 2013, Federal Realty Investment Trust issued supplemental data pertaining to its operations, as well as a press release, to report its financial results for the quarter ended September 30, 2013.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2013 (including press release dated October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October 31, 2013</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2013</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2013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Mixed Use Projects Phase 1</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2013 Significant Acquisition and Dispositions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49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2200" w:type="dxa"/>
            <w:vAlign w:val="bottom"/>
            <w:gridSpan w:val="2"/>
          </w:tcPr>
          <w:p>
            <w:pPr>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2200" w:type="dxa"/>
            <w:vAlign w:val="bottom"/>
            <w:gridSpan w:val="2"/>
          </w:tcPr>
          <w:p>
            <w:pPr>
              <w:spacing w:after="0"/>
              <w:rPr>
                <w:sz w:val="20"/>
                <w:szCs w:val="20"/>
                <w:color w:val="auto"/>
              </w:rPr>
            </w:pPr>
            <w:r>
              <w:rPr>
                <w:rFonts w:ascii="Arial" w:cs="Arial" w:eastAsia="Arial" w:hAnsi="Arial"/>
                <w:sz w:val="18"/>
                <w:szCs w:val="18"/>
                <w:color w:val="auto"/>
                <w:w w:val="99"/>
              </w:rPr>
              <w:t>Investor Relations Manager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4900" w:type="dxa"/>
            <w:vAlign w:val="bottom"/>
          </w:tcPr>
          <w:p>
            <w:pPr>
              <w:spacing w:after="0"/>
              <w:rPr>
                <w:sz w:val="22"/>
                <w:szCs w:val="22"/>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301/998-8265</w:t>
            </w:r>
          </w:p>
        </w:tc>
        <w:tc>
          <w:tcPr>
            <w:tcW w:w="84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w w:val="99"/>
              </w:rPr>
              <w:t>klennox@federalrealty.com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2013 OPERATING RESULTS</w:t>
      </w:r>
    </w:p>
    <w:p>
      <w:pPr>
        <w:spacing w:after="0" w:line="30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(October 31, 2013)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third quarter ended September 30,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third quarter 2013, Federal Realty generated funds from operations available for common shareholders (FFO) of $76.4 million, or $1.16 per diluted share. This compares to FFO of $72.1 million, or $1.12 per diluted share, in third quarter 2012 which benefited from an unusually large lease termination fee. For the nine months ended September 30, 2013, Federal Realty reported FFO of $221.6 million, or $3.38 per diluted share, compared to $205.5 million, or $3.20 per diluted share for the same nine-month period in 2012. Excluding early extinguishment of debt, for the nine months ended September 30, 2013, Federal Realty reported FFO of $224.9 million, or $3.43 per diluted share.</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$62.0 million and earnings per diluted share was $0.94 for the quarter ended September 30, 2013 versus $38.5 million and $0.60, respectively, for third quarter 2012. Year-to-date, Federal Realty reported net income available for common shareholders of $133.8 million and earnings per diluted share of $2.04. This compares to net income available for common shareholders of $113.8 million and earnings per diluted share of $1.77 for the nine months ended September 30, 2012.</w:t>
      </w:r>
    </w:p>
    <w:p>
      <w:pPr>
        <w:spacing w:after="0" w:line="29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third quarter 2013, same-center property operating income increased 5.7% excluding properties that are being redeveloped and 4.9% when including those properties. Both of those same-center comparisons exclude the aforementioned lease termination fee from Safeway in last year’s quarter to more properly reflect comparability.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95.3% leased as of September 30, 2013, compared to 95.3% on June 30, 2013 and 95.1% on September 30, 2012. Federal Realty’s same-center portfolio was 95.4% leased on September 30, 2013, compared to 95.3% on June 30, 2013 and 95.2% on September 30, 2012.</w:t>
      </w:r>
    </w:p>
    <w:p>
      <w:pPr>
        <w:spacing w:after="0" w:line="298"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the third quarter of 2013, Federal Realty signed 102 leases for 398,637 square feet of retail space. On a comparable space basis (i.e., spaces for which there was a former tenant), the Trust leased 273,505 square feet at an average cash basis contractual rent increase per square foot (i.e., excluding the impact of straight-line rents) of 20%. The average contractual rent on this comparable space for the first year of the new leases is $39.12 per square foot, compared to the average contractual rent of $32.66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34% for third quarter 2013. As of September 30, 2013, Federal Realty’s average contractual, cash basis minimum rent for retail and commercial space in its portfolio was $24.39 per square foot.</w:t>
      </w:r>
    </w:p>
    <w:p>
      <w:pPr>
        <w:spacing w:after="0" w:line="305"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“This was an extremely strong quarter operationally,” commented Don Wood, president and chief executive offer. “FFO per share of $1.16 is a quarterly record for us, with 20% more rent upon lease rollovers and 5.7% same store growth equally impressive. We remain very excited about the next couple of years as we supplement this fine performing core portfolio with new retail destinations in our key markets on both coasts.”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$0.78 per share, resulting in an indicated annual rate of $3.12 per share. The regular common dividend will be payable on January 15, 2014, to common shareholders of record as of January 2,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increased its guidance for 2013 FFO per diluted share to a range of $4.60 to $4.61 from $4.56 to $4.60, excluding the impact of early extinguishment of debt, and 2013 earnings per diluted share guidance of $2.66 to $2.67. In addition, Federal Realty provided initial 2014 FFO per diluted share guidance of $4.84 to $4.92 and 2014 earnings per diluted share guidance of $2.53 to $2.61.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240" w:hanging="232"/>
        <w:spacing w:after="0" w:line="360"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July/September, 2013 - Federal Realty closed on the sale of its buildings in Forest Hills, New York and San Diego, California. The total sales price for the two assets is $36 million. These asset sales are part of a reverse 1031 exchange in connection with the acquisition of our shopping center in Darien, Connecticut in April 2013.</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October 1, 2013 - Federal Realty acquired the adjacent 12 acre land parcel to Assembly Row for $18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third quarter 2013 earnings conference call, which is scheduled for November 1, 2013, at 10 a.m. Eastern Daylight Time. To participate, please call (800) 447-0521 five to ten minutes prior to the call start time and use the passcode 35668720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December 1, 2013, by dialing (888) 843-7419 and using the passcode 35668720.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95.3% leased to national, regional, and local retailers as of September 30, 2013, with no single tenant accounting for more than approximately 3.4% of annualized base rent. Federal Realty has paid quarterly dividends to its shareholders continuously since its founding in 1962, and has increased its dividend rate for 46 consecutive years, the longest record in the REIT industry. Federal Realty is an S&amp;P MidCap 400 company and its shares are traded on the NYSE under the symbol FRT.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44"/>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154,308</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146,943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460,136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428,330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157,232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473,567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450,006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82,609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53,604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49,680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34,847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119,615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106,451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282,876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261,634</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190,691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188,372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(85,744)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108,208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104,437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Results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133,011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105,514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138,005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117,374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134,225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114,233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61,962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38,508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133,819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113,827</w:t>
            </w:r>
          </w:p>
        </w:tc>
        <w:tc>
          <w:tcPr>
            <w:tcW w:w="0" w:type="dxa"/>
            <w:vAlign w:val="bottom"/>
          </w:tcPr>
          <w:p>
            <w:pPr>
              <w:spacing w:after="0"/>
              <w:rPr>
                <w:sz w:val="1"/>
                <w:szCs w:val="1"/>
                <w:color w:val="auto"/>
              </w:rPr>
            </w:pPr>
          </w:p>
        </w:tc>
      </w:tr>
      <w:tr>
        <w:trPr>
          <w:trHeight w:val="271"/>
        </w:trPr>
        <w:tc>
          <w:tcPr>
            <w:tcW w:w="6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65,504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63,711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63,891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$265,019 and $264,506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4,574,676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4,473,813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288,714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Assets held for sale (discontinued operations)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5,027,082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7"/>
              </w:rPr>
              <w:t>Less accumulated depreciation and amortization (including $17,327 and $12,024 of consolidated variable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(1,224,295)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3,710,724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127,831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55,648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143,520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4,159,476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Mortgages and capital lease obligations (including $203,423 and $205,299 of consolidated variable interest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792,862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832,482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299,828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299,575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1,076,545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328,348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284,950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2,493,552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1,397,995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1,276,815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1,407,992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1,286,812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1,431,110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1,310,593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4,159,476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9"/>
        </w:trPr>
        <w:tc>
          <w:tcPr>
            <w:tcW w:w="6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138,005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117,374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94,328</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8,330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r>
      <w:tr>
        <w:trPr>
          <w:trHeight w:val="237"/>
        </w:trPr>
        <w:tc>
          <w:tcPr>
            <w:tcW w:w="4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76,625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72,301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222,308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206,164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707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7"/>
        </w:trPr>
        <w:tc>
          <w:tcPr>
            <w:tcW w:w="4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76,368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72,061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221,566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205,495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Borders>
              <w:bottom w:val="single" w:sz="8" w:color="CCEEFF"/>
            </w:tcBorders>
          </w:tcPr>
          <w:p>
            <w:pPr>
              <w:spacing w:after="0"/>
              <w:rPr>
                <w:sz w:val="24"/>
                <w:szCs w:val="24"/>
                <w:color w:val="auto"/>
              </w:rPr>
            </w:pPr>
          </w:p>
        </w:tc>
        <w:tc>
          <w:tcPr>
            <w:tcW w:w="65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 excluding early extinguishment of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76,368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224,949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205,495</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65,933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64,227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3"/>
        </w:trPr>
        <w:tc>
          <w:tcPr>
            <w:tcW w:w="6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96,218</w:t>
            </w:r>
          </w:p>
        </w:tc>
      </w:tr>
      <w:tr>
        <w:trPr>
          <w:trHeight w:val="243"/>
        </w:trPr>
        <w:tc>
          <w:tcPr>
            <w:tcW w:w="40" w:type="dxa"/>
            <w:vAlign w:val="bottom"/>
          </w:tcPr>
          <w:p>
            <w:pPr>
              <w:spacing w:after="0"/>
              <w:rPr>
                <w:sz w:val="21"/>
                <w:szCs w:val="21"/>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23,527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119,745</w:t>
            </w:r>
          </w:p>
        </w:tc>
      </w:tr>
      <w:tr>
        <w:trPr>
          <w:trHeight w:val="243"/>
        </w:trPr>
        <w:tc>
          <w:tcPr>
            <w:tcW w:w="40" w:type="dxa"/>
            <w:vAlign w:val="bottom"/>
          </w:tcPr>
          <w:p>
            <w:pPr>
              <w:spacing w:after="0"/>
              <w:rPr>
                <w:sz w:val="21"/>
                <w:szCs w:val="21"/>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10,766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90,819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232,223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130,511</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3"/>
        </w:trPr>
        <w:tc>
          <w:tcPr>
            <w:tcW w:w="6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51,485</w:t>
            </w:r>
          </w:p>
        </w:tc>
        <w:tc>
          <w:tcPr>
            <w:tcW w:w="1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47,182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146,940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135,500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60" w:type="dxa"/>
            <w:vAlign w:val="bottom"/>
          </w:tcPr>
          <w:p>
            <w:pPr>
              <w:spacing w:after="0"/>
              <w:rPr>
                <w:sz w:val="21"/>
                <w:szCs w:val="21"/>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1"/>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1"/>
              <w:spacing w:after="0"/>
              <w:rPr>
                <w:sz w:val="20"/>
                <w:szCs w:val="20"/>
                <w:color w:val="auto"/>
              </w:rPr>
            </w:pPr>
            <w:r>
              <w:rPr>
                <w:rFonts w:ascii="Arial" w:cs="Arial" w:eastAsia="Arial" w:hAnsi="Arial"/>
                <w:sz w:val="18"/>
                <w:szCs w:val="18"/>
                <w:color w:val="auto"/>
                <w:w w:val="88"/>
              </w:rPr>
              <w:t>66%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66,036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64,621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105.30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6,699,352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7"/>
              </w:rPr>
              <w:t>6,804,591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6,709,352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6,814,591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2,306,198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2,178,415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9,015,550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8,993,006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do not include 285,722 and 324,140 Operating Partnership Units outstanding at September 30, 2013 and 2012,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40" w:hanging="652"/>
        <w:spacing w:after="0" w:line="30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$17.1 million and $17.2 million at September 30, 2013 and 2012, which is the Trust's 30% share of the total mortgages payable of $57.0 million and $57.2 million at September 30, 2013 and 2012,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111,928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2"/>
              </w:rPr>
              <w:t>105,858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w w:val="92"/>
              </w:rPr>
              <w:t>334,628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312,519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20,467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30,364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89,850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82,376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7,801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146,943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2"/>
              </w:rPr>
              <w:t>460,136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428,330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$1.1 million and $1.8 million for the three months ended September 30, 2013 and 2012, and $3.7 million and $3.8 million for the nine months ended September 30, 2013 and 2012, respectively, to recognize minimum rents on a straight-line basis. In addition, minimum rents include $0.8 million and $0.3 million for the three months ended September 30, 2013 and 2012, and $2.3 million and $0.8 million for the nine months ended September 30, 2013 and 2012,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As of September 30, 2013</w:t>
            </w: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Stated interest rate</w:t>
            </w:r>
          </w:p>
        </w:tc>
        <w:tc>
          <w:tcPr>
            <w:tcW w:w="180" w:type="dxa"/>
            <w:vAlign w:val="bottom"/>
          </w:tcPr>
          <w:p>
            <w:pPr>
              <w:spacing w:after="0"/>
              <w:rPr>
                <w:sz w:val="13"/>
                <w:szCs w:val="13"/>
                <w:color w:val="auto"/>
              </w:rPr>
            </w:pPr>
          </w:p>
        </w:tc>
        <w:tc>
          <w:tcPr>
            <w:tcW w:w="12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80" w:type="dxa"/>
            <w:vAlign w:val="bottom"/>
          </w:tcPr>
          <w:p>
            <w:pPr>
              <w:spacing w:after="0"/>
              <w:rPr>
                <w:sz w:val="13"/>
                <w:szCs w:val="13"/>
                <w:color w:val="auto"/>
              </w:rPr>
            </w:pPr>
          </w:p>
        </w:tc>
        <w:tc>
          <w:tcPr>
            <w:tcW w:w="140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9"/>
              </w:rPr>
              <w:t>(in thousands)</w:t>
            </w:r>
          </w:p>
        </w:tc>
        <w:tc>
          <w:tcPr>
            <w:tcW w:w="128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20" w:type="dxa"/>
            <w:vAlign w:val="bottom"/>
            <w:tcBorders>
              <w:bottom w:val="single" w:sz="8" w:color="CCEEFF"/>
            </w:tcBorders>
            <w:gridSpan w:val="3"/>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Idylwood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Leesburg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27,416</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Loehmann's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35,452</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Pentagon Row</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50,893</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Melville Mall (2)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20,917</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54,452</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Barracks Road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37,327</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Hauppauge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14,071</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Lawrence Park</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26,458</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Wildwood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23,256</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Wynnewood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26,963</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Brick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27,454</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East Bay Bridge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62,228</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29th Place (Shoppers' World)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5,162</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7,316</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710,437</w:t>
            </w:r>
          </w:p>
        </w:tc>
        <w:tc>
          <w:tcPr>
            <w:tcW w:w="1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10,748</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721,185</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(3)</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November 21, 2018</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LIBOR + 1.30%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Various (4)</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Various through 2028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15,428</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Escondido (municipal bonds) (5)</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0.07%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Revolving credit facility (6)</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LIBOR + 0.90%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299,828</w:t>
            </w:r>
          </w:p>
        </w:tc>
        <w:tc>
          <w:tcPr>
            <w:tcW w:w="1280" w:type="dxa"/>
            <w:vAlign w:val="bottom"/>
          </w:tcPr>
          <w:p>
            <w:pPr>
              <w:spacing w:after="0"/>
              <w:rPr>
                <w:sz w:val="18"/>
                <w:szCs w:val="18"/>
                <w:color w:val="auto"/>
              </w:rPr>
            </w:pPr>
          </w:p>
        </w:tc>
        <w:tc>
          <w:tcPr>
            <w:tcW w:w="1400" w:type="dxa"/>
            <w:vAlign w:val="bottom"/>
          </w:tcPr>
          <w:p>
            <w:pPr>
              <w:ind w:left="500"/>
              <w:spacing w:after="0"/>
              <w:rPr>
                <w:sz w:val="20"/>
                <w:szCs w:val="20"/>
                <w:color w:val="auto"/>
              </w:rPr>
            </w:pPr>
            <w:r>
              <w:rPr>
                <w:rFonts w:ascii="Arial" w:cs="Arial" w:eastAsia="Arial" w:hAnsi="Arial"/>
                <w:sz w:val="16"/>
                <w:szCs w:val="16"/>
                <w:color w:val="auto"/>
              </w:rPr>
              <w:t>3.24% (8)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8/15/2014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5.65%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6.20%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2.75%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1,219,200</w:t>
            </w: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discount</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1,213,508</w:t>
            </w:r>
          </w:p>
        </w:tc>
        <w:tc>
          <w:tcPr>
            <w:tcW w:w="1280" w:type="dxa"/>
            <w:vAlign w:val="bottom"/>
          </w:tcPr>
          <w:p>
            <w:pPr>
              <w:spacing w:after="0"/>
              <w:rPr>
                <w:sz w:val="18"/>
                <w:szCs w:val="18"/>
                <w:color w:val="auto"/>
              </w:rPr>
            </w:pPr>
          </w:p>
        </w:tc>
        <w:tc>
          <w:tcPr>
            <w:tcW w:w="1400" w:type="dxa"/>
            <w:vAlign w:val="bottom"/>
          </w:tcPr>
          <w:p>
            <w:pPr>
              <w:ind w:left="50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Various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71,677</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84"/>
        </w:trPr>
        <w:tc>
          <w:tcPr>
            <w:tcW w:w="362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2,306,198</w:t>
            </w:r>
          </w:p>
        </w:tc>
        <w:tc>
          <w:tcPr>
            <w:tcW w:w="1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2,296,798</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400" w:type="dxa"/>
            <w:vAlign w:val="bottom"/>
          </w:tcPr>
          <w:p>
            <w:pPr>
              <w:ind w:left="5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&lt;1%</w:t>
            </w:r>
          </w:p>
        </w:tc>
        <w:tc>
          <w:tcPr>
            <w:tcW w:w="1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1.41% (8)</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60" w:top="747" w:right="239" w:bottom="0" w:gutter="0" w:footer="0" w:header="0"/>
        </w:sectPr>
      </w:pPr>
    </w:p>
    <w:bookmarkStart w:id="15" w:name="page16"/>
    <w:bookmarkEnd w:id="15"/>
    <w:p>
      <w:pPr>
        <w:spacing w:after="0"/>
        <w:tabs>
          <w:tab w:leader="none" w:pos="7240" w:val="left"/>
          <w:tab w:leader="none" w:pos="7900" w:val="left"/>
          <w:tab w:leader="none" w:pos="9440" w:val="left"/>
          <w:tab w:leader="none" w:pos="104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4771390</wp:posOffset>
            </wp:positionH>
            <wp:positionV relativeFrom="page">
              <wp:posOffset>88900</wp:posOffset>
            </wp:positionV>
            <wp:extent cx="2349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9500" cy="8890"/>
                    </a:xfrm>
                    <a:prstGeom prst="rect">
                      <a:avLst/>
                    </a:prstGeom>
                    <a:noFill/>
                  </pic:spPr>
                </pic:pic>
              </a:graphicData>
            </a:graphic>
          </wp:anchor>
        </w:drawing>
        <w:t>Total debt and capital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2,306,198</w:t>
      </w:r>
      <w:r>
        <w:rPr>
          <w:sz w:val="20"/>
          <w:szCs w:val="20"/>
          <w:color w:val="auto"/>
        </w:rPr>
        <w:tab/>
      </w:r>
      <w:r>
        <w:rPr>
          <w:rFonts w:ascii="Arial" w:cs="Arial" w:eastAsia="Arial" w:hAnsi="Arial"/>
          <w:sz w:val="16"/>
          <w:szCs w:val="16"/>
          <w:color w:val="auto"/>
        </w:rPr>
        <w:t>100%</w:t>
      </w:r>
      <w:r>
        <w:rPr>
          <w:sz w:val="20"/>
          <w:szCs w:val="20"/>
          <w:color w:val="auto"/>
        </w:rPr>
        <w:tab/>
      </w:r>
      <w:r>
        <w:rPr>
          <w:rFonts w:ascii="Arial" w:cs="Arial" w:eastAsia="Arial" w:hAnsi="Arial"/>
          <w:sz w:val="15"/>
          <w:szCs w:val="15"/>
          <w:color w:val="auto"/>
        </w:rPr>
        <w:t>5.09%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34925</wp:posOffset>
            </wp:positionV>
            <wp:extent cx="2349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9500" cy="26035"/>
                    </a:xfrm>
                    <a:prstGeom prst="rect">
                      <a:avLst/>
                    </a:prstGeom>
                    <a:noFill/>
                  </pic:spPr>
                </pic:pic>
              </a:graphicData>
            </a:graphic>
          </wp:anchor>
        </w:drawing>
      </w:r>
    </w:p>
    <w:p>
      <w:pPr>
        <w:sectPr>
          <w:pgSz w:w="11900" w:h="16838" w:orient="portrait"/>
          <w:cols w:equalWidth="0" w:num="1">
            <w:col w:w="11140"/>
          </w:cols>
          <w:pgMar w:left="280" w:top="170" w:right="479" w:bottom="1440" w:gutter="0" w:footer="0" w:header="0"/>
        </w:sect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280" w:top="170" w:right="4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3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24"/>
                <w:szCs w:val="24"/>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21"/>
                <w:szCs w:val="21"/>
                <w:color w:val="auto"/>
              </w:rPr>
            </w:pPr>
          </w:p>
        </w:tc>
      </w:tr>
      <w:tr>
        <w:trPr>
          <w:trHeight w:val="202"/>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7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5.40% senior notes: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 (10)</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4.23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3.71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3.28</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 (10)</w:t>
            </w:r>
          </w:p>
        </w:tc>
        <w:tc>
          <w:tcPr>
            <w:tcW w:w="580" w:type="dxa"/>
            <w:vAlign w:val="bottom"/>
          </w:tcPr>
          <w:p>
            <w:pPr>
              <w:ind w:left="160"/>
              <w:spacing w:after="0"/>
              <w:rPr>
                <w:sz w:val="20"/>
                <w:szCs w:val="20"/>
                <w:color w:val="auto"/>
              </w:rPr>
            </w:pPr>
            <w:r>
              <w:rPr>
                <w:rFonts w:ascii="Arial" w:cs="Arial" w:eastAsia="Arial" w:hAnsi="Arial"/>
                <w:sz w:val="16"/>
                <w:szCs w:val="16"/>
                <w:color w:val="auto"/>
              </w:rPr>
              <w:t>3.45</w:t>
            </w:r>
          </w:p>
        </w:tc>
        <w:tc>
          <w:tcPr>
            <w:tcW w:w="240" w:type="dxa"/>
            <w:vAlign w:val="bottom"/>
          </w:tcPr>
          <w:p>
            <w:pPr>
              <w:ind w:left="2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3.31</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580" w:type="dxa"/>
            <w:vAlign w:val="bottom"/>
          </w:tcPr>
          <w:p>
            <w:pPr>
              <w:ind w:left="160"/>
              <w:spacing w:after="0"/>
              <w:rPr>
                <w:sz w:val="20"/>
                <w:szCs w:val="20"/>
                <w:color w:val="auto"/>
              </w:rPr>
            </w:pPr>
            <w:r>
              <w:rPr>
                <w:rFonts w:ascii="Arial" w:cs="Arial" w:eastAsia="Arial" w:hAnsi="Arial"/>
                <w:sz w:val="16"/>
                <w:szCs w:val="16"/>
                <w:color w:val="auto"/>
              </w:rPr>
              <w:t>3.39</w:t>
            </w:r>
          </w:p>
        </w:tc>
        <w:tc>
          <w:tcPr>
            <w:tcW w:w="240" w:type="dxa"/>
            <w:vAlign w:val="bottom"/>
          </w:tcPr>
          <w:p>
            <w:pPr>
              <w:ind w:left="20"/>
              <w:spacing w:after="0"/>
              <w:rPr>
                <w:sz w:val="20"/>
                <w:szCs w:val="20"/>
                <w:color w:val="auto"/>
              </w:rPr>
            </w:pPr>
            <w:r>
              <w:rPr>
                <w:rFonts w:ascii="Arial" w:cs="Arial" w:eastAsia="Arial" w:hAnsi="Arial"/>
                <w:sz w:val="16"/>
                <w:szCs w:val="16"/>
                <w:color w:val="auto"/>
              </w:rPr>
              <w:t>x</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3.16</w:t>
            </w:r>
          </w:p>
        </w:tc>
        <w:tc>
          <w:tcPr>
            <w:tcW w:w="2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5.40% senior notes:</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w:t>
            </w:r>
          </w:p>
        </w:tc>
        <w:tc>
          <w:tcPr>
            <w:tcW w:w="580" w:type="dxa"/>
            <w:vAlign w:val="bottom"/>
          </w:tcPr>
          <w:p>
            <w:pPr>
              <w:ind w:left="160"/>
              <w:spacing w:after="0"/>
              <w:rPr>
                <w:sz w:val="20"/>
                <w:szCs w:val="20"/>
                <w:color w:val="auto"/>
              </w:rPr>
            </w:pPr>
            <w:r>
              <w:rPr>
                <w:rFonts w:ascii="Arial" w:cs="Arial" w:eastAsia="Arial" w:hAnsi="Arial"/>
                <w:sz w:val="16"/>
                <w:szCs w:val="16"/>
                <w:color w:val="auto"/>
              </w:rPr>
              <w:t>4.23</w:t>
            </w:r>
          </w:p>
        </w:tc>
        <w:tc>
          <w:tcPr>
            <w:tcW w:w="240" w:type="dxa"/>
            <w:vAlign w:val="bottom"/>
          </w:tcPr>
          <w:p>
            <w:pPr>
              <w:ind w:left="2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3.31</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580" w:type="dxa"/>
            <w:vAlign w:val="bottom"/>
          </w:tcPr>
          <w:p>
            <w:pPr>
              <w:ind w:left="160"/>
              <w:spacing w:after="0"/>
              <w:rPr>
                <w:sz w:val="20"/>
                <w:szCs w:val="20"/>
                <w:color w:val="auto"/>
              </w:rPr>
            </w:pPr>
            <w:r>
              <w:rPr>
                <w:rFonts w:ascii="Arial" w:cs="Arial" w:eastAsia="Arial" w:hAnsi="Arial"/>
                <w:sz w:val="16"/>
                <w:szCs w:val="16"/>
                <w:color w:val="auto"/>
              </w:rPr>
              <w:t>3.58</w:t>
            </w:r>
          </w:p>
        </w:tc>
        <w:tc>
          <w:tcPr>
            <w:tcW w:w="240" w:type="dxa"/>
            <w:vAlign w:val="bottom"/>
          </w:tcPr>
          <w:p>
            <w:pPr>
              <w:ind w:left="20"/>
              <w:spacing w:after="0"/>
              <w:rPr>
                <w:sz w:val="20"/>
                <w:szCs w:val="20"/>
                <w:color w:val="auto"/>
              </w:rPr>
            </w:pPr>
            <w:r>
              <w:rPr>
                <w:rFonts w:ascii="Arial" w:cs="Arial" w:eastAsia="Arial" w:hAnsi="Arial"/>
                <w:sz w:val="16"/>
                <w:szCs w:val="16"/>
                <w:color w:val="auto"/>
              </w:rPr>
              <w:t>x</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3.28</w:t>
            </w:r>
          </w:p>
        </w:tc>
        <w:tc>
          <w:tcPr>
            <w:tcW w:w="2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3.45</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3.31</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3.16</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$57.0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2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that fix the LIBOR portion of the interest rate on the term loan at 1.72%. The spread on the term loan was reduced from 145 basis points to 130 basis points based on our credit rating at May 1, 2013 resulting in a fixed rate of 3.02%.</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of 5.37% represents the weighted average interest rate for ten unsecured fixed rate notes payable. These notes mature from November 15, 2014 to May 31, 2028.</w:t>
      </w:r>
    </w:p>
    <w:p>
      <w:pPr>
        <w:spacing w:after="0" w:line="66" w:lineRule="exact"/>
        <w:rPr>
          <w:rFonts w:ascii="Arial" w:cs="Arial" w:eastAsia="Arial" w:hAnsi="Arial"/>
          <w:sz w:val="13"/>
          <w:szCs w:val="13"/>
          <w:color w:val="auto"/>
        </w:rPr>
      </w:pPr>
    </w:p>
    <w:p>
      <w:pPr>
        <w:ind w:left="660" w:right="3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64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nine months ended September 30, 2013 was $76.0 million, and the weighted average interest rate on borrowings under our revolving credit facility, before amortization of debt fees, was 1.29%.</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outstanding balance on September 30, 2013. In addition, the weighted average effective interest rate is calculated using the fixed rate on our term loan of 3.02%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$23.9 million and $28.9 million gain on sale for the three and nine months ended September 30, 2013, respectively, and $11.9 million gain on sale for the nine months ended September 30, 2012. Adjusted EBITDA is reconciled to net income in the Glossary of Terms.</w:t>
      </w:r>
    </w:p>
    <w:p>
      <w:pPr>
        <w:spacing w:after="0" w:line="23" w:lineRule="exact"/>
        <w:rPr>
          <w:rFonts w:ascii="Arial" w:cs="Arial" w:eastAsia="Arial" w:hAnsi="Arial"/>
          <w:sz w:val="14"/>
          <w:szCs w:val="14"/>
          <w:color w:val="auto"/>
        </w:rPr>
      </w:pPr>
    </w:p>
    <w:p>
      <w:pPr>
        <w:ind w:left="660" w:right="2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exclude the $3.4 million of early extinguishment of debt charge for the nine months ended September 30, 2013, related to the make-whole premium paid as part of the early redemption of our 5.40% senior notes and the write-off of related unamortized debt fees.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Cumulative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Debt</w:t>
            </w:r>
          </w:p>
        </w:tc>
        <w:tc>
          <w:tcPr>
            <w:tcW w:w="1360" w:type="dxa"/>
            <w:vAlign w:val="bottom"/>
          </w:tcPr>
          <w:p>
            <w:pPr>
              <w:jc w:val="right"/>
              <w:ind w:right="271"/>
              <w:spacing w:after="0"/>
              <w:rPr>
                <w:sz w:val="20"/>
                <w:szCs w:val="20"/>
                <w:color w:val="auto"/>
              </w:rPr>
            </w:pPr>
            <w:r>
              <w:rPr>
                <w:rFonts w:ascii="Arial" w:cs="Arial" w:eastAsia="Arial" w:hAnsi="Arial"/>
                <w:sz w:val="16"/>
                <w:szCs w:val="16"/>
                <w:b w:val="1"/>
                <w:bCs w:val="1"/>
                <w:color w:val="auto"/>
              </w:rPr>
              <w:t>Weighted</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151"/>
              <w:spacing w:after="0"/>
              <w:rPr>
                <w:sz w:val="20"/>
                <w:szCs w:val="20"/>
                <w:color w:val="auto"/>
              </w:rPr>
            </w:pPr>
            <w:r>
              <w:rPr>
                <w:rFonts w:ascii="Arial" w:cs="Arial" w:eastAsia="Arial" w:hAnsi="Arial"/>
                <w:sz w:val="16"/>
                <w:szCs w:val="16"/>
                <w:b w:val="1"/>
                <w:bCs w:val="1"/>
                <w:color w:val="auto"/>
              </w:rPr>
              <w:t>Repayments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Repayments</w:t>
            </w:r>
          </w:p>
        </w:tc>
        <w:tc>
          <w:tcPr>
            <w:tcW w:w="1360" w:type="dxa"/>
            <w:vAlign w:val="bottom"/>
          </w:tcPr>
          <w:p>
            <w:pPr>
              <w:jc w:val="right"/>
              <w:ind w:right="31"/>
              <w:spacing w:after="0"/>
              <w:rPr>
                <w:sz w:val="20"/>
                <w:szCs w:val="20"/>
                <w:color w:val="auto"/>
              </w:rPr>
            </w:pPr>
            <w:r>
              <w:rPr>
                <w:rFonts w:ascii="Arial" w:cs="Arial" w:eastAsia="Arial" w:hAnsi="Arial"/>
                <w:sz w:val="16"/>
                <w:szCs w:val="16"/>
                <w:b w:val="1"/>
                <w:bCs w:val="1"/>
                <w:color w:val="auto"/>
                <w:w w:val="96"/>
              </w:rPr>
              <w:t>Average Rate (3)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11,284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307,864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319,148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480" w:type="dxa"/>
            <w:vAlign w:val="bottom"/>
          </w:tcPr>
          <w:p>
            <w:pPr>
              <w:jc w:val="right"/>
              <w:spacing w:after="0"/>
              <w:rPr>
                <w:sz w:val="20"/>
                <w:szCs w:val="20"/>
                <w:color w:val="auto"/>
              </w:rPr>
            </w:pPr>
            <w:r>
              <w:rPr>
                <w:rFonts w:ascii="Arial" w:cs="Arial" w:eastAsia="Arial" w:hAnsi="Arial"/>
                <w:sz w:val="18"/>
                <w:szCs w:val="18"/>
                <w:color w:val="auto"/>
              </w:rPr>
              <w:t>14.0%</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198,391</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206,331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3,156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194,013</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197,169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480" w:type="dxa"/>
            <w:vAlign w:val="bottom"/>
          </w:tcPr>
          <w:p>
            <w:pPr>
              <w:jc w:val="right"/>
              <w:spacing w:after="0"/>
              <w:rPr>
                <w:sz w:val="20"/>
                <w:szCs w:val="20"/>
                <w:color w:val="auto"/>
              </w:rPr>
            </w:pPr>
            <w:r>
              <w:rPr>
                <w:rFonts w:ascii="Arial" w:cs="Arial" w:eastAsia="Arial" w:hAnsi="Arial"/>
                <w:sz w:val="18"/>
                <w:szCs w:val="18"/>
                <w:color w:val="auto"/>
              </w:rPr>
              <w:t>31.5%</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375,000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378,049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275,000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278,220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480" w:type="dxa"/>
            <w:vAlign w:val="bottom"/>
          </w:tcPr>
          <w:p>
            <w:pPr>
              <w:jc w:val="right"/>
              <w:spacing w:after="0"/>
              <w:rPr>
                <w:sz w:val="20"/>
                <w:szCs w:val="20"/>
                <w:color w:val="auto"/>
              </w:rPr>
            </w:pPr>
            <w:r>
              <w:rPr>
                <w:rFonts w:ascii="Arial" w:cs="Arial" w:eastAsia="Arial" w:hAnsi="Arial"/>
                <w:sz w:val="18"/>
                <w:szCs w:val="18"/>
                <w:color w:val="auto"/>
              </w:rPr>
              <w:t>60.0%</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153,046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480" w:type="dxa"/>
            <w:vAlign w:val="bottom"/>
          </w:tcPr>
          <w:p>
            <w:pPr>
              <w:jc w:val="right"/>
              <w:spacing w:after="0"/>
              <w:rPr>
                <w:sz w:val="20"/>
                <w:szCs w:val="20"/>
                <w:color w:val="auto"/>
              </w:rPr>
            </w:pPr>
            <w:r>
              <w:rPr>
                <w:rFonts w:ascii="Arial" w:cs="Arial" w:eastAsia="Arial" w:hAnsi="Arial"/>
                <w:sz w:val="18"/>
                <w:szCs w:val="18"/>
                <w:color w:val="auto"/>
              </w:rPr>
              <w:t>67.7%</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313,618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314,684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22,466</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399,211</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421,677</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64,260</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2,236,882</w:t>
            </w:r>
          </w:p>
        </w:tc>
        <w:tc>
          <w:tcPr>
            <w:tcW w:w="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2,301,142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September 30, 2013, there was no balance outstanding on our revolving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September 30, 2013.</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Projected</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20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Property</w:t>
            </w:r>
          </w:p>
        </w:tc>
        <w:tc>
          <w:tcPr>
            <w:tcW w:w="12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Location</w:t>
            </w:r>
          </w:p>
        </w:tc>
        <w:tc>
          <w:tcPr>
            <w:tcW w:w="482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Opportunity</w:t>
            </w:r>
          </w:p>
        </w:tc>
        <w:tc>
          <w:tcPr>
            <w:tcW w:w="8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ROI (2)</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 (1)</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w w:val="93"/>
              </w:rPr>
              <w:t>Active Redevelopment Projects</w:t>
            </w:r>
          </w:p>
        </w:tc>
        <w:tc>
          <w:tcPr>
            <w:tcW w:w="12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Point</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 Segundo, CA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Addition of 90,000 square feet of retail, and 25,000 square feet of office space</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20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20" w:type="dxa"/>
            <w:vAlign w:val="bottom"/>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260" w:type="dxa"/>
            <w:vAlign w:val="bottom"/>
          </w:tcPr>
          <w:p>
            <w:pPr>
              <w:ind w:left="80"/>
              <w:spacing w:after="0" w:line="157" w:lineRule="exact"/>
              <w:rPr>
                <w:sz w:val="20"/>
                <w:szCs w:val="20"/>
                <w:color w:val="auto"/>
              </w:rPr>
            </w:pPr>
            <w:r>
              <w:rPr>
                <w:rFonts w:ascii="Arial" w:cs="Arial" w:eastAsia="Arial" w:hAnsi="Arial"/>
                <w:sz w:val="14"/>
                <w:szCs w:val="14"/>
                <w:color w:val="auto"/>
              </w:rPr>
              <w:t>San Jose, CA</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rPr>
              <w:t>Addition of a 5-story rental apartment building, which will include 212</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$75</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residential units and associated parking</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San Jose, CA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Facade and interior mall renovation, addition of food court and pad site</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20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20" w:type="dxa"/>
            <w:vAlign w:val="bottom"/>
          </w:tcPr>
          <w:p>
            <w:pPr>
              <w:ind w:left="40"/>
              <w:spacing w:after="0"/>
              <w:rPr>
                <w:sz w:val="20"/>
                <w:szCs w:val="20"/>
                <w:color w:val="auto"/>
              </w:rPr>
            </w:pPr>
            <w:r>
              <w:rPr>
                <w:rFonts w:ascii="Arial" w:cs="Arial" w:eastAsia="Arial" w:hAnsi="Arial"/>
                <w:sz w:val="14"/>
                <w:szCs w:val="14"/>
                <w:color w:val="auto"/>
              </w:rPr>
              <w:t>Chelsea Commons</w:t>
            </w:r>
          </w:p>
        </w:tc>
        <w:tc>
          <w:tcPr>
            <w:tcW w:w="1260" w:type="dxa"/>
            <w:vAlign w:val="bottom"/>
          </w:tcPr>
          <w:p>
            <w:pPr>
              <w:ind w:left="80"/>
              <w:spacing w:after="0"/>
              <w:rPr>
                <w:sz w:val="20"/>
                <w:szCs w:val="20"/>
                <w:color w:val="auto"/>
              </w:rPr>
            </w:pPr>
            <w:r>
              <w:rPr>
                <w:rFonts w:ascii="Arial" w:cs="Arial" w:eastAsia="Arial" w:hAnsi="Arial"/>
                <w:sz w:val="14"/>
                <w:szCs w:val="14"/>
                <w:color w:val="auto"/>
              </w:rPr>
              <w:t>Chelsea, MA</w:t>
            </w:r>
          </w:p>
        </w:tc>
        <w:tc>
          <w:tcPr>
            <w:tcW w:w="4820" w:type="dxa"/>
            <w:vAlign w:val="bottom"/>
          </w:tcPr>
          <w:p>
            <w:pPr>
              <w:ind w:left="60"/>
              <w:spacing w:after="0"/>
              <w:rPr>
                <w:sz w:val="20"/>
                <w:szCs w:val="20"/>
                <w:color w:val="auto"/>
              </w:rPr>
            </w:pPr>
            <w:r>
              <w:rPr>
                <w:rFonts w:ascii="Arial" w:cs="Arial" w:eastAsia="Arial" w:hAnsi="Arial"/>
                <w:sz w:val="14"/>
                <w:szCs w:val="14"/>
                <w:color w:val="auto"/>
              </w:rPr>
              <w:t>Addition of a 56 unit apartment building with above grade parking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Shops at Willow Lawn</w:t>
            </w:r>
          </w:p>
        </w:tc>
        <w:tc>
          <w:tcPr>
            <w:tcW w:w="12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Richmond, VA</w:t>
            </w:r>
          </w:p>
        </w:tc>
        <w:tc>
          <w:tcPr>
            <w:tcW w:w="48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7"/>
              </w:rPr>
              <w:t>Demo interior mall, relocate mall tenants, construct new exterior GLA, and gas</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6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station</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2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260" w:type="dxa"/>
            <w:vAlign w:val="bottom"/>
          </w:tcPr>
          <w:p>
            <w:pPr>
              <w:ind w:left="80"/>
              <w:spacing w:after="0" w:line="157" w:lineRule="exact"/>
              <w:rPr>
                <w:sz w:val="20"/>
                <w:szCs w:val="20"/>
                <w:color w:val="auto"/>
              </w:rPr>
            </w:pPr>
            <w:r>
              <w:rPr>
                <w:rFonts w:ascii="Arial" w:cs="Arial" w:eastAsia="Arial" w:hAnsi="Arial"/>
                <w:sz w:val="14"/>
                <w:szCs w:val="14"/>
                <w:color w:val="auto"/>
              </w:rPr>
              <w:t>Lawrenceville, NJ</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w w:val="97"/>
              </w:rPr>
              <w:t>Addition of 26,000 square feet of space including new in-line space, addition of</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bank pad and reconfiguration of existing pad site</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29th Place (Shoppers' World)</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Charlottesville, VA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Renovate canopy and reconfigure anchor spaces to accommodate new tenants.</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80"/>
        </w:trPr>
        <w:tc>
          <w:tcPr>
            <w:tcW w:w="20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w w:val="94"/>
              </w:rPr>
              <w:t>Property repositioning through demo of non-functional small shop space, creation</w:t>
            </w: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20" w:type="dxa"/>
            <w:vAlign w:val="bottom"/>
          </w:tcPr>
          <w:p>
            <w:pPr>
              <w:ind w:left="60"/>
              <w:spacing w:after="0" w:line="149" w:lineRule="exact"/>
              <w:rPr>
                <w:sz w:val="20"/>
                <w:szCs w:val="20"/>
                <w:color w:val="auto"/>
              </w:rPr>
            </w:pPr>
            <w:r>
              <w:rPr>
                <w:rFonts w:ascii="Arial" w:cs="Arial" w:eastAsia="Arial" w:hAnsi="Arial"/>
                <w:sz w:val="14"/>
                <w:szCs w:val="14"/>
                <w:color w:val="auto"/>
                <w:w w:val="96"/>
              </w:rPr>
              <w:t>of new anchor box, rightsizing of national office products tenant, and creation of</w:t>
            </w: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40"/>
              <w:spacing w:after="0"/>
              <w:rPr>
                <w:sz w:val="20"/>
                <w:szCs w:val="20"/>
                <w:color w:val="auto"/>
              </w:rPr>
            </w:pPr>
            <w:r>
              <w:rPr>
                <w:rFonts w:ascii="Arial" w:cs="Arial" w:eastAsia="Arial" w:hAnsi="Arial"/>
                <w:sz w:val="14"/>
                <w:szCs w:val="14"/>
                <w:color w:val="auto"/>
              </w:rPr>
              <w:t>Quince Orchard</w:t>
            </w:r>
          </w:p>
        </w:tc>
        <w:tc>
          <w:tcPr>
            <w:tcW w:w="1260" w:type="dxa"/>
            <w:vAlign w:val="bottom"/>
          </w:tcPr>
          <w:p>
            <w:pPr>
              <w:ind w:left="80"/>
              <w:spacing w:after="0"/>
              <w:rPr>
                <w:sz w:val="20"/>
                <w:szCs w:val="20"/>
                <w:color w:val="auto"/>
              </w:rPr>
            </w:pPr>
            <w:r>
              <w:rPr>
                <w:rFonts w:ascii="Arial" w:cs="Arial" w:eastAsia="Arial" w:hAnsi="Arial"/>
                <w:sz w:val="14"/>
                <w:szCs w:val="14"/>
                <w:color w:val="auto"/>
              </w:rPr>
              <w:t>Gaithersburg, MD</w:t>
            </w:r>
          </w:p>
        </w:tc>
        <w:tc>
          <w:tcPr>
            <w:tcW w:w="4820" w:type="dxa"/>
            <w:vAlign w:val="bottom"/>
          </w:tcPr>
          <w:p>
            <w:pPr>
              <w:ind w:left="60"/>
              <w:spacing w:after="0"/>
              <w:rPr>
                <w:sz w:val="20"/>
                <w:szCs w:val="20"/>
                <w:color w:val="auto"/>
              </w:rPr>
            </w:pPr>
            <w:r>
              <w:rPr>
                <w:rFonts w:ascii="Arial" w:cs="Arial" w:eastAsia="Arial" w:hAnsi="Arial"/>
                <w:sz w:val="14"/>
                <w:szCs w:val="14"/>
                <w:color w:val="auto"/>
              </w:rPr>
              <w:t>new visible small shop space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63"/>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Cherry Hill, NJ</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Property repositioning through retenanting, including new grocer and facade</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renovation</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20" w:type="dxa"/>
            <w:vAlign w:val="bottom"/>
          </w:tcPr>
          <w:p>
            <w:pPr>
              <w:ind w:left="40"/>
              <w:spacing w:after="0" w:line="157" w:lineRule="exact"/>
              <w:rPr>
                <w:sz w:val="20"/>
                <w:szCs w:val="20"/>
                <w:color w:val="auto"/>
              </w:rPr>
            </w:pPr>
            <w:r>
              <w:rPr>
                <w:rFonts w:ascii="Arial" w:cs="Arial" w:eastAsia="Arial" w:hAnsi="Arial"/>
                <w:sz w:val="14"/>
                <w:szCs w:val="14"/>
                <w:color w:val="auto"/>
              </w:rPr>
              <w:t>Hollywood Blvd. - Petersen</w:t>
            </w:r>
          </w:p>
        </w:tc>
        <w:tc>
          <w:tcPr>
            <w:tcW w:w="1260" w:type="dxa"/>
            <w:vAlign w:val="bottom"/>
          </w:tcPr>
          <w:p>
            <w:pPr>
              <w:ind w:left="80"/>
              <w:spacing w:after="0" w:line="157" w:lineRule="exact"/>
              <w:rPr>
                <w:sz w:val="20"/>
                <w:szCs w:val="20"/>
                <w:color w:val="auto"/>
              </w:rPr>
            </w:pPr>
            <w:r>
              <w:rPr>
                <w:rFonts w:ascii="Arial" w:cs="Arial" w:eastAsia="Arial" w:hAnsi="Arial"/>
                <w:sz w:val="14"/>
                <w:szCs w:val="14"/>
                <w:color w:val="auto"/>
              </w:rPr>
              <w:t>Hollywood, CA</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w w:val="98"/>
              </w:rPr>
              <w:t>Redevelop/retenant building and reconfigure space to accommodate 2nd floor</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19%</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88"/>
        </w:trPr>
        <w:tc>
          <w:tcPr>
            <w:tcW w:w="2020" w:type="dxa"/>
            <w:vAlign w:val="bottom"/>
          </w:tcPr>
          <w:p>
            <w:pPr>
              <w:ind w:left="40"/>
              <w:spacing w:after="0"/>
              <w:rPr>
                <w:sz w:val="20"/>
                <w:szCs w:val="20"/>
                <w:color w:val="auto"/>
              </w:rPr>
            </w:pPr>
            <w:r>
              <w:rPr>
                <w:rFonts w:ascii="Arial" w:cs="Arial" w:eastAsia="Arial" w:hAnsi="Arial"/>
                <w:sz w:val="14"/>
                <w:szCs w:val="14"/>
                <w:color w:val="auto"/>
              </w:rPr>
              <w:t>Building</w:t>
            </w:r>
          </w:p>
        </w:tc>
        <w:tc>
          <w:tcPr>
            <w:tcW w:w="12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tenant</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Charlottesville, VA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11,800 square foot multi-tenant pad building</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0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2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260" w:type="dxa"/>
            <w:vAlign w:val="bottom"/>
          </w:tcPr>
          <w:p>
            <w:pPr>
              <w:ind w:left="80"/>
              <w:spacing w:after="0"/>
              <w:rPr>
                <w:sz w:val="20"/>
                <w:szCs w:val="20"/>
                <w:color w:val="auto"/>
              </w:rPr>
            </w:pPr>
            <w:r>
              <w:rPr>
                <w:rFonts w:ascii="Arial" w:cs="Arial" w:eastAsia="Arial" w:hAnsi="Arial"/>
                <w:sz w:val="14"/>
                <w:szCs w:val="14"/>
                <w:color w:val="auto"/>
              </w:rPr>
              <w:t>Arlington, VA</w:t>
            </w:r>
          </w:p>
        </w:tc>
        <w:tc>
          <w:tcPr>
            <w:tcW w:w="4820" w:type="dxa"/>
            <w:vAlign w:val="bottom"/>
          </w:tcPr>
          <w:p>
            <w:pPr>
              <w:ind w:left="60"/>
              <w:spacing w:after="0"/>
              <w:rPr>
                <w:sz w:val="20"/>
                <w:szCs w:val="20"/>
                <w:color w:val="auto"/>
              </w:rPr>
            </w:pPr>
            <w:r>
              <w:rPr>
                <w:rFonts w:ascii="Arial" w:cs="Arial" w:eastAsia="Arial" w:hAnsi="Arial"/>
                <w:sz w:val="14"/>
                <w:szCs w:val="14"/>
                <w:color w:val="auto"/>
              </w:rPr>
              <w:t>Ice rink expansion and 1,500 square feet of new retail space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Brick, NJ</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 restaurant pad building</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0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20" w:type="dxa"/>
            <w:vAlign w:val="bottom"/>
          </w:tcPr>
          <w:p>
            <w:pPr>
              <w:ind w:left="40"/>
              <w:spacing w:after="0"/>
              <w:rPr>
                <w:sz w:val="20"/>
                <w:szCs w:val="20"/>
                <w:color w:val="auto"/>
              </w:rPr>
            </w:pPr>
            <w:r>
              <w:rPr>
                <w:rFonts w:ascii="Arial" w:cs="Arial" w:eastAsia="Arial" w:hAnsi="Arial"/>
                <w:sz w:val="14"/>
                <w:szCs w:val="14"/>
                <w:color w:val="auto"/>
              </w:rPr>
              <w:t>Huntington Square</w:t>
            </w:r>
          </w:p>
        </w:tc>
        <w:tc>
          <w:tcPr>
            <w:tcW w:w="1260" w:type="dxa"/>
            <w:vAlign w:val="bottom"/>
          </w:tcPr>
          <w:p>
            <w:pPr>
              <w:ind w:left="80"/>
              <w:spacing w:after="0"/>
              <w:rPr>
                <w:sz w:val="20"/>
                <w:szCs w:val="20"/>
                <w:color w:val="auto"/>
              </w:rPr>
            </w:pPr>
            <w:r>
              <w:rPr>
                <w:rFonts w:ascii="Arial" w:cs="Arial" w:eastAsia="Arial" w:hAnsi="Arial"/>
                <w:sz w:val="14"/>
                <w:szCs w:val="14"/>
                <w:color w:val="auto"/>
                <w:w w:val="98"/>
              </w:rPr>
              <w:t>East Northport, NY</w:t>
            </w:r>
          </w:p>
        </w:tc>
        <w:tc>
          <w:tcPr>
            <w:tcW w:w="4820" w:type="dxa"/>
            <w:vAlign w:val="bottom"/>
          </w:tcPr>
          <w:p>
            <w:pPr>
              <w:ind w:left="60"/>
              <w:spacing w:after="0"/>
              <w:rPr>
                <w:sz w:val="20"/>
                <w:szCs w:val="20"/>
                <w:color w:val="auto"/>
              </w:rPr>
            </w:pPr>
            <w:r>
              <w:rPr>
                <w:rFonts w:ascii="Arial" w:cs="Arial" w:eastAsia="Arial" w:hAnsi="Arial"/>
                <w:sz w:val="14"/>
                <w:szCs w:val="14"/>
                <w:color w:val="auto"/>
              </w:rPr>
              <w:t>Infrastructure investment to create additional restaurant capacity</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3280" w:type="dxa"/>
            <w:vAlign w:val="bottom"/>
            <w:tcBorders>
              <w:bottom w:val="single" w:sz="8" w:color="CCEEFF"/>
            </w:tcBorders>
            <w:gridSpan w:val="2"/>
          </w:tcPr>
          <w:p>
            <w:pPr>
              <w:spacing w:after="0"/>
              <w:rPr>
                <w:sz w:val="6"/>
                <w:szCs w:val="6"/>
                <w:color w:val="auto"/>
              </w:rPr>
            </w:pPr>
          </w:p>
        </w:tc>
        <w:tc>
          <w:tcPr>
            <w:tcW w:w="48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8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2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shd w:val="clear" w:color="auto" w:fill="CCEEFF"/>
          </w:tcPr>
          <w:p>
            <w:pPr>
              <w:spacing w:after="0"/>
              <w:rPr>
                <w:sz w:val="6"/>
                <w:szCs w:val="6"/>
                <w:color w:val="auto"/>
              </w:rPr>
            </w:pPr>
          </w:p>
        </w:tc>
        <w:tc>
          <w:tcPr>
            <w:tcW w:w="482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920" w:right="120" w:hanging="223"/>
        <w:spacing w:after="0" w:line="305" w:lineRule="auto"/>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920" w:right="120" w:hanging="223"/>
        <w:spacing w:after="0" w:line="256" w:lineRule="auto"/>
        <w:tabs>
          <w:tab w:leader="none" w:pos="9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spacing w:after="0" w:line="10" w:lineRule="exact"/>
        <w:rPr>
          <w:rFonts w:ascii="Arial" w:cs="Arial" w:eastAsia="Arial" w:hAnsi="Arial"/>
          <w:sz w:val="13"/>
          <w:szCs w:val="13"/>
          <w:color w:val="auto"/>
        </w:rPr>
      </w:pPr>
    </w:p>
    <w:p>
      <w:pPr>
        <w:ind w:left="920" w:hanging="223"/>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41" w:lineRule="exact"/>
        <w:rPr>
          <w:rFonts w:ascii="Arial" w:cs="Arial" w:eastAsia="Arial" w:hAnsi="Arial"/>
          <w:sz w:val="14"/>
          <w:szCs w:val="14"/>
          <w:color w:val="auto"/>
        </w:rPr>
      </w:pPr>
    </w:p>
    <w:p>
      <w:pPr>
        <w:ind w:left="920" w:hanging="223"/>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Mixed Use Projects Phase 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Phase I of the following development projects is currently being constructed by the Trust.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Total Cost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Cost to</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Anticipated</w:t>
            </w:r>
          </w:p>
        </w:tc>
        <w:tc>
          <w:tcPr>
            <w:tcW w:w="19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Opportunity</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representative</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Date</w:t>
            </w: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Stabilization Expected Opening Timeframe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56"/>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w w:val="98"/>
              </w:rPr>
              <w:t>Pike &amp; Rose (Mid-Pike) - Phase I</w:t>
            </w:r>
          </w:p>
        </w:tc>
        <w:tc>
          <w:tcPr>
            <w:tcW w:w="880" w:type="dxa"/>
            <w:vAlign w:val="bottom"/>
          </w:tcPr>
          <w:p>
            <w:pPr>
              <w:ind w:left="80"/>
              <w:spacing w:after="0" w:line="157" w:lineRule="exact"/>
              <w:rPr>
                <w:sz w:val="20"/>
                <w:szCs w:val="20"/>
                <w:color w:val="auto"/>
              </w:rPr>
            </w:pPr>
            <w:r>
              <w:rPr>
                <w:rFonts w:ascii="Arial" w:cs="Arial" w:eastAsia="Arial" w:hAnsi="Arial"/>
                <w:sz w:val="14"/>
                <w:szCs w:val="14"/>
                <w:color w:val="auto"/>
              </w:rPr>
              <w:t>Rockville,</w:t>
            </w:r>
          </w:p>
        </w:tc>
        <w:tc>
          <w:tcPr>
            <w:tcW w:w="2360" w:type="dxa"/>
            <w:vAlign w:val="bottom"/>
          </w:tcPr>
          <w:p>
            <w:pPr>
              <w:ind w:left="120"/>
              <w:spacing w:after="0" w:line="157" w:lineRule="exact"/>
              <w:rPr>
                <w:sz w:val="20"/>
                <w:szCs w:val="20"/>
                <w:color w:val="auto"/>
              </w:rPr>
            </w:pPr>
            <w:r>
              <w:rPr>
                <w:rFonts w:ascii="Arial" w:cs="Arial" w:eastAsia="Arial" w:hAnsi="Arial"/>
                <w:sz w:val="14"/>
                <w:szCs w:val="14"/>
                <w:color w:val="auto"/>
                <w:w w:val="93"/>
              </w:rPr>
              <w:t>Ground up mixed use development on</w:t>
            </w:r>
          </w:p>
        </w:tc>
        <w:tc>
          <w:tcPr>
            <w:tcW w:w="680" w:type="dxa"/>
            <w:vAlign w:val="bottom"/>
          </w:tcPr>
          <w:p>
            <w:pPr>
              <w:jc w:val="center"/>
              <w:spacing w:after="0" w:line="157" w:lineRule="exact"/>
              <w:rPr>
                <w:sz w:val="20"/>
                <w:szCs w:val="20"/>
                <w:color w:val="auto"/>
              </w:rPr>
            </w:pPr>
            <w:r>
              <w:rPr>
                <w:rFonts w:ascii="Arial" w:cs="Arial" w:eastAsia="Arial" w:hAnsi="Arial"/>
                <w:sz w:val="14"/>
                <w:szCs w:val="14"/>
                <w:color w:val="auto"/>
                <w:w w:val="94"/>
              </w:rPr>
              <w:t>8% - 9%</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3"/>
              </w:rPr>
              <w:t>$245 - $255</w:t>
            </w:r>
          </w:p>
        </w:tc>
        <w:tc>
          <w:tcPr>
            <w:tcW w:w="5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$81</w:t>
            </w: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2015/2016</w:t>
            </w:r>
          </w:p>
        </w:tc>
        <w:tc>
          <w:tcPr>
            <w:tcW w:w="1940" w:type="dxa"/>
            <w:vAlign w:val="bottom"/>
          </w:tcPr>
          <w:p>
            <w:pPr>
              <w:ind w:left="40"/>
              <w:spacing w:after="0" w:line="157" w:lineRule="exact"/>
              <w:rPr>
                <w:sz w:val="20"/>
                <w:szCs w:val="20"/>
                <w:color w:val="auto"/>
              </w:rPr>
            </w:pPr>
            <w:r>
              <w:rPr>
                <w:rFonts w:ascii="Arial" w:cs="Arial" w:eastAsia="Arial" w:hAnsi="Arial"/>
                <w:sz w:val="14"/>
                <w:szCs w:val="14"/>
                <w:color w:val="auto"/>
              </w:rPr>
              <w:t>•174 unit residential building</w:t>
            </w:r>
          </w:p>
        </w:tc>
        <w:tc>
          <w:tcPr>
            <w:tcW w:w="1360" w:type="dxa"/>
            <w:vAlign w:val="bottom"/>
          </w:tcPr>
          <w:p>
            <w:pPr>
              <w:ind w:left="20"/>
              <w:spacing w:after="0" w:line="157" w:lineRule="exact"/>
              <w:rPr>
                <w:sz w:val="20"/>
                <w:szCs w:val="20"/>
                <w:color w:val="auto"/>
              </w:rPr>
            </w:pPr>
            <w:r>
              <w:rPr>
                <w:rFonts w:ascii="Arial" w:cs="Arial" w:eastAsia="Arial" w:hAnsi="Arial"/>
                <w:sz w:val="14"/>
                <w:szCs w:val="14"/>
                <w:color w:val="auto"/>
              </w:rPr>
              <w:t>iPic Theater, Sport &amp;</w:t>
            </w:r>
          </w:p>
        </w:tc>
        <w:tc>
          <w:tcPr>
            <w:tcW w:w="0" w:type="dxa"/>
            <w:vAlign w:val="bottom"/>
          </w:tcPr>
          <w:p>
            <w:pPr>
              <w:spacing w:after="0"/>
              <w:rPr>
                <w:sz w:val="1"/>
                <w:szCs w:val="1"/>
                <w:color w:val="auto"/>
              </w:rPr>
            </w:pPr>
          </w:p>
        </w:tc>
      </w:tr>
      <w:tr>
        <w:trPr>
          <w:trHeight w:val="149"/>
        </w:trPr>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ind w:left="80"/>
              <w:spacing w:after="0" w:line="149" w:lineRule="exact"/>
              <w:rPr>
                <w:sz w:val="20"/>
                <w:szCs w:val="20"/>
                <w:color w:val="auto"/>
              </w:rPr>
            </w:pPr>
            <w:r>
              <w:rPr>
                <w:rFonts w:ascii="Arial" w:cs="Arial" w:eastAsia="Arial" w:hAnsi="Arial"/>
                <w:sz w:val="14"/>
                <w:szCs w:val="14"/>
                <w:color w:val="auto"/>
              </w:rPr>
              <w:t>MD</w:t>
            </w: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site of existing Mid-Pike Shopping</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Spring 2014 •Grand</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Health, Del Frisco's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Center. Phase I of development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of Retail Fall 2014</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Grille, M Street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involves demolition of roughly 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8"/>
              </w:rPr>
              <w:t>•Office and 319 unit residential</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Kitchen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of existing GLA, and construction of</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building to deliver in 2015</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6"/>
              </w:rPr>
              <w:t>493 residential units, 151,000 square</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feet of retail, and 79,000 square feet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of office space.</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Assembly Row - Phase I (1)</w:t>
            </w:r>
          </w:p>
        </w:tc>
        <w:tc>
          <w:tcPr>
            <w:tcW w:w="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Somerville,</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Ground up mixed use development.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 - 6%</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$190 - $200</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2015</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•Grand Opening in Summer</w:t>
            </w: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AMC Theater,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w:t>
            </w: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Initial phase consists of 450</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2014 •T Station open Summer</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LEGOLand Discovery</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 units (by AvalonBay), in</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2014</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Center, Saks Off 5th,</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 to 98,000 square feet of</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•Office to deliver in 2015</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Nike, Brooks</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 space and approximately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Brothers, Legal C Bar,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326,000 square feet of retail space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Earl's, Papagayo</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(including a restaurant pad site). A</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new Orange Line T-Stop will also be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constructed by Massachusetts Bay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Transit Authority, as part of Phase I.</w:t>
            </w:r>
          </w:p>
        </w:tc>
        <w:tc>
          <w:tcPr>
            <w:tcW w:w="6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Total Mixed Use Projects Phase 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$435 - $455</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$174</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280" w:right="140" w:hanging="231"/>
        <w:spacing w:after="0" w:line="238" w:lineRule="auto"/>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280" w:hanging="231"/>
        <w:spacing w:after="0"/>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280" w:hanging="231"/>
        <w:spacing w:after="0"/>
        <w:tabs>
          <w:tab w:leader="none" w:pos="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development projects reflects the deal specific cash, unleveraged Property Operating Income (POI) generated by the development and is calculated as POI divided by cost.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THE AVENUE @ White</w:t>
            </w:r>
          </w:p>
        </w:tc>
        <w:tc>
          <w:tcPr>
            <w:tcW w:w="19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Marsh</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Baltimore,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Flourtown</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Flourtown, PA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Congressional Plaza</w:t>
            </w:r>
          </w:p>
        </w:tc>
        <w:tc>
          <w:tcPr>
            <w:tcW w:w="1960" w:type="dxa"/>
            <w:vAlign w:val="bottom"/>
          </w:tcPr>
          <w:p>
            <w:pPr>
              <w:ind w:left="180"/>
              <w:spacing w:after="0"/>
              <w:rPr>
                <w:sz w:val="20"/>
                <w:szCs w:val="20"/>
                <w:color w:val="auto"/>
              </w:rPr>
            </w:pPr>
            <w:r>
              <w:rPr>
                <w:rFonts w:ascii="Arial" w:cs="Arial" w:eastAsia="Arial" w:hAnsi="Arial"/>
                <w:sz w:val="16"/>
                <w:szCs w:val="16"/>
                <w:color w:val="auto"/>
              </w:rPr>
              <w:t>Rockville, MD</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94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Dedham Plaza</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Dedham, MA</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Eastgate</w:t>
            </w:r>
          </w:p>
        </w:tc>
        <w:tc>
          <w:tcPr>
            <w:tcW w:w="1960" w:type="dxa"/>
            <w:vAlign w:val="bottom"/>
          </w:tcPr>
          <w:p>
            <w:pPr>
              <w:ind w:left="180"/>
              <w:spacing w:after="0"/>
              <w:rPr>
                <w:sz w:val="20"/>
                <w:szCs w:val="20"/>
                <w:color w:val="auto"/>
              </w:rPr>
            </w:pPr>
            <w:r>
              <w:rPr>
                <w:rFonts w:ascii="Arial" w:cs="Arial" w:eastAsia="Arial" w:hAnsi="Arial"/>
                <w:sz w:val="16"/>
                <w:szCs w:val="16"/>
                <w:color w:val="auto"/>
              </w:rPr>
              <w:t>Chapel Hill, NC</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940" w:type="dxa"/>
            <w:vAlign w:val="bottom"/>
          </w:tcPr>
          <w:p>
            <w:pPr>
              <w:ind w:left="420"/>
              <w:spacing w:after="0"/>
              <w:rPr>
                <w:sz w:val="20"/>
                <w:szCs w:val="20"/>
                <w:color w:val="auto"/>
              </w:rPr>
            </w:pPr>
            <w:r>
              <w:rPr>
                <w:rFonts w:ascii="Arial" w:cs="Arial" w:eastAsia="Arial" w:hAnsi="Arial"/>
                <w:sz w:val="16"/>
                <w:szCs w:val="16"/>
                <w:color w:val="auto"/>
              </w:rPr>
              <w:t>Lawrenceville, NJ</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Escondido, CA</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Fairfax, VA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1960" w:type="dxa"/>
            <w:vAlign w:val="bottom"/>
          </w:tcPr>
          <w:p>
            <w:pPr>
              <w:ind w:left="180"/>
              <w:spacing w:after="0"/>
              <w:rPr>
                <w:sz w:val="20"/>
                <w:szCs w:val="20"/>
                <w:color w:val="auto"/>
              </w:rPr>
            </w:pPr>
            <w:r>
              <w:rPr>
                <w:rFonts w:ascii="Arial" w:cs="Arial" w:eastAsia="Arial" w:hAnsi="Arial"/>
                <w:sz w:val="16"/>
                <w:szCs w:val="16"/>
                <w:color w:val="auto"/>
              </w:rPr>
              <w:t>Rockville, MD</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94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7"/>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Finley Square</w:t>
            </w:r>
          </w:p>
        </w:tc>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Downers Grove, IL</w:t>
            </w:r>
          </w:p>
        </w:tc>
        <w:tc>
          <w:tcPr>
            <w:tcW w:w="202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5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90"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ind w:left="620"/>
              <w:spacing w:after="0"/>
              <w:rPr>
                <w:sz w:val="20"/>
                <w:szCs w:val="20"/>
                <w:color w:val="auto"/>
              </w:rPr>
            </w:pPr>
            <w:r>
              <w:rPr>
                <w:rFonts w:ascii="Arial" w:cs="Arial" w:eastAsia="Arial" w:hAnsi="Arial"/>
                <w:sz w:val="16"/>
                <w:szCs w:val="16"/>
                <w:b w:val="1"/>
                <w:bCs w:val="1"/>
                <w:color w:val="auto"/>
              </w:rPr>
              <w:t>Assembly Row</w:t>
            </w:r>
          </w:p>
        </w:tc>
        <w:tc>
          <w:tcPr>
            <w:tcW w:w="2260" w:type="dxa"/>
            <w:vAlign w:val="bottom"/>
          </w:tcPr>
          <w:p>
            <w:pPr>
              <w:ind w:left="480"/>
              <w:spacing w:after="0"/>
              <w:rPr>
                <w:sz w:val="20"/>
                <w:szCs w:val="20"/>
                <w:color w:val="auto"/>
              </w:rPr>
            </w:pPr>
            <w:r>
              <w:rPr>
                <w:rFonts w:ascii="Arial" w:cs="Arial" w:eastAsia="Arial" w:hAnsi="Arial"/>
                <w:sz w:val="16"/>
                <w:szCs w:val="16"/>
                <w:color w:val="auto"/>
              </w:rPr>
              <w:t>Somerville, MA</w:t>
            </w:r>
          </w:p>
        </w:tc>
        <w:tc>
          <w:tcPr>
            <w:tcW w:w="232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640" w:type="dxa"/>
            <w:vAlign w:val="bottom"/>
          </w:tcPr>
          <w:p>
            <w:pPr>
              <w:ind w:left="120"/>
              <w:spacing w:after="0"/>
              <w:rPr>
                <w:sz w:val="20"/>
                <w:szCs w:val="20"/>
                <w:color w:val="auto"/>
              </w:rPr>
            </w:pPr>
            <w:r>
              <w:rPr>
                <w:rFonts w:ascii="Arial" w:cs="Arial" w:eastAsia="Arial" w:hAnsi="Arial"/>
                <w:sz w:val="16"/>
                <w:szCs w:val="16"/>
                <w:color w:val="auto"/>
              </w:rPr>
              <w:t>Lawrenceville, NJ</w:t>
            </w:r>
          </w:p>
        </w:tc>
      </w:tr>
      <w:tr>
        <w:trPr>
          <w:trHeight w:val="33"/>
        </w:trPr>
        <w:tc>
          <w:tcPr>
            <w:tcW w:w="2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Charlottesville, VA</w:t>
            </w:r>
          </w:p>
        </w:tc>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Rockville, MD</w:t>
            </w:r>
          </w:p>
        </w:tc>
      </w:tr>
      <w:tr>
        <w:trPr>
          <w:trHeight w:val="237"/>
        </w:trPr>
        <w:tc>
          <w:tcPr>
            <w:tcW w:w="2200" w:type="dxa"/>
            <w:vAlign w:val="bottom"/>
          </w:tcPr>
          <w:p>
            <w:pPr>
              <w:ind w:left="620"/>
              <w:spacing w:after="0"/>
              <w:rPr>
                <w:sz w:val="20"/>
                <w:szCs w:val="20"/>
                <w:color w:val="auto"/>
              </w:rPr>
            </w:pPr>
            <w:r>
              <w:rPr>
                <w:rFonts w:ascii="Arial" w:cs="Arial" w:eastAsia="Arial" w:hAnsi="Arial"/>
                <w:sz w:val="16"/>
                <w:szCs w:val="16"/>
                <w:b w:val="1"/>
                <w:bCs w:val="1"/>
                <w:color w:val="auto"/>
              </w:rPr>
              <w:t>Crossroads</w:t>
            </w:r>
          </w:p>
        </w:tc>
        <w:tc>
          <w:tcPr>
            <w:tcW w:w="2260" w:type="dxa"/>
            <w:vAlign w:val="bottom"/>
          </w:tcPr>
          <w:p>
            <w:pPr>
              <w:ind w:left="480"/>
              <w:spacing w:after="0"/>
              <w:rPr>
                <w:sz w:val="20"/>
                <w:szCs w:val="20"/>
                <w:color w:val="auto"/>
              </w:rPr>
            </w:pPr>
            <w:r>
              <w:rPr>
                <w:rFonts w:ascii="Arial" w:cs="Arial" w:eastAsia="Arial" w:hAnsi="Arial"/>
                <w:sz w:val="16"/>
                <w:szCs w:val="16"/>
                <w:color w:val="auto"/>
              </w:rPr>
              <w:t>Highland Park, IL</w:t>
            </w:r>
          </w:p>
        </w:tc>
        <w:tc>
          <w:tcPr>
            <w:tcW w:w="2320" w:type="dxa"/>
            <w:vAlign w:val="bottom"/>
          </w:tcPr>
          <w:p>
            <w:pPr>
              <w:ind w:left="520"/>
              <w:spacing w:after="0"/>
              <w:rPr>
                <w:sz w:val="20"/>
                <w:szCs w:val="20"/>
                <w:color w:val="auto"/>
              </w:rPr>
            </w:pPr>
            <w:r>
              <w:rPr>
                <w:rFonts w:ascii="Arial" w:cs="Arial" w:eastAsia="Arial" w:hAnsi="Arial"/>
                <w:sz w:val="16"/>
                <w:szCs w:val="16"/>
                <w:b w:val="1"/>
                <w:bCs w:val="1"/>
                <w:color w:val="auto"/>
                <w:w w:val="98"/>
              </w:rPr>
              <w:t>Third Street Promenade</w:t>
            </w:r>
          </w:p>
        </w:tc>
        <w:tc>
          <w:tcPr>
            <w:tcW w:w="4640" w:type="dxa"/>
            <w:vAlign w:val="bottom"/>
          </w:tcPr>
          <w:p>
            <w:pPr>
              <w:ind w:left="120"/>
              <w:spacing w:after="0"/>
              <w:rPr>
                <w:sz w:val="20"/>
                <w:szCs w:val="20"/>
                <w:color w:val="auto"/>
              </w:rPr>
            </w:pPr>
            <w:r>
              <w:rPr>
                <w:rFonts w:ascii="Arial" w:cs="Arial" w:eastAsia="Arial" w:hAnsi="Arial"/>
                <w:sz w:val="16"/>
                <w:szCs w:val="16"/>
                <w:color w:val="auto"/>
              </w:rPr>
              <w:t>Santa Monica, CA</w:t>
            </w:r>
          </w:p>
        </w:tc>
      </w:tr>
      <w:tr>
        <w:trPr>
          <w:trHeight w:val="33"/>
        </w:trPr>
        <w:tc>
          <w:tcPr>
            <w:tcW w:w="2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Darien</w:t>
            </w:r>
          </w:p>
        </w:tc>
        <w:tc>
          <w:tcPr>
            <w:tcW w:w="2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Darien, CT</w:t>
            </w:r>
          </w:p>
        </w:tc>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Tower Shops</w:t>
            </w: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Davie, FL</w:t>
            </w:r>
          </w:p>
        </w:tc>
      </w:tr>
      <w:tr>
        <w:trPr>
          <w:trHeight w:val="237"/>
        </w:trPr>
        <w:tc>
          <w:tcPr>
            <w:tcW w:w="22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60" w:type="dxa"/>
            <w:vAlign w:val="bottom"/>
          </w:tcPr>
          <w:p>
            <w:pPr>
              <w:ind w:left="480"/>
              <w:spacing w:after="0"/>
              <w:rPr>
                <w:sz w:val="20"/>
                <w:szCs w:val="20"/>
                <w:color w:val="auto"/>
              </w:rPr>
            </w:pPr>
            <w:r>
              <w:rPr>
                <w:rFonts w:ascii="Arial" w:cs="Arial" w:eastAsia="Arial" w:hAnsi="Arial"/>
                <w:sz w:val="16"/>
                <w:szCs w:val="16"/>
                <w:color w:val="auto"/>
              </w:rPr>
              <w:t>Queens, NY</w:t>
            </w:r>
          </w:p>
        </w:tc>
        <w:tc>
          <w:tcPr>
            <w:tcW w:w="232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640" w:type="dxa"/>
            <w:vAlign w:val="bottom"/>
          </w:tcPr>
          <w:p>
            <w:pPr>
              <w:ind w:left="120"/>
              <w:spacing w:after="0"/>
              <w:rPr>
                <w:sz w:val="20"/>
                <w:szCs w:val="20"/>
                <w:color w:val="auto"/>
              </w:rPr>
            </w:pPr>
            <w:r>
              <w:rPr>
                <w:rFonts w:ascii="Arial" w:cs="Arial" w:eastAsia="Arial" w:hAnsi="Arial"/>
                <w:sz w:val="16"/>
                <w:szCs w:val="16"/>
                <w:color w:val="auto"/>
              </w:rPr>
              <w:t>Bethesda, MD</w:t>
            </w:r>
          </w:p>
        </w:tc>
      </w:tr>
      <w:tr>
        <w:trPr>
          <w:trHeight w:val="33"/>
        </w:trPr>
        <w:tc>
          <w:tcPr>
            <w:tcW w:w="2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97"/>
        </w:trPr>
        <w:tc>
          <w:tcPr>
            <w:tcW w:w="22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Charlottesville, VA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Arlington,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Del Mar Village</w:t>
            </w:r>
          </w:p>
        </w:tc>
        <w:tc>
          <w:tcPr>
            <w:tcW w:w="2080" w:type="dxa"/>
            <w:vAlign w:val="bottom"/>
          </w:tcPr>
          <w:p>
            <w:pPr>
              <w:ind w:left="300"/>
              <w:spacing w:after="0"/>
              <w:rPr>
                <w:sz w:val="20"/>
                <w:szCs w:val="20"/>
                <w:color w:val="auto"/>
              </w:rPr>
            </w:pPr>
            <w:r>
              <w:rPr>
                <w:rFonts w:ascii="Arial" w:cs="Arial" w:eastAsia="Arial" w:hAnsi="Arial"/>
                <w:sz w:val="16"/>
                <w:szCs w:val="16"/>
                <w:color w:val="auto"/>
              </w:rPr>
              <w:t>Boca Raton, FL</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4660" w:type="dxa"/>
            <w:vAlign w:val="bottom"/>
          </w:tcPr>
          <w:p>
            <w:pPr>
              <w:ind w:left="140"/>
              <w:spacing w:after="0"/>
              <w:rPr>
                <w:sz w:val="20"/>
                <w:szCs w:val="20"/>
                <w:color w:val="auto"/>
              </w:rPr>
            </w:pPr>
            <w:r>
              <w:rPr>
                <w:rFonts w:ascii="Arial" w:cs="Arial" w:eastAsia="Arial" w:hAnsi="Arial"/>
                <w:sz w:val="16"/>
                <w:szCs w:val="16"/>
                <w:color w:val="auto"/>
              </w:rPr>
              <w:t>Towson, MD</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40" w:type="dxa"/>
            <w:vAlign w:val="bottom"/>
            <w:gridSpan w:val="3"/>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24"/>
        </w:trPr>
        <w:tc>
          <w:tcPr>
            <w:tcW w:w="4460" w:type="dxa"/>
            <w:vAlign w:val="bottom"/>
            <w:gridSpan w:val="5"/>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Somerville, MA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Rockville,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Pr>
          <w:p>
            <w:pPr>
              <w:ind w:left="300"/>
              <w:spacing w:after="0"/>
              <w:rPr>
                <w:sz w:val="20"/>
                <w:szCs w:val="20"/>
                <w:color w:val="auto"/>
              </w:rPr>
            </w:pPr>
            <w:r>
              <w:rPr>
                <w:rFonts w:ascii="Arial" w:cs="Arial" w:eastAsia="Arial" w:hAnsi="Arial"/>
                <w:sz w:val="16"/>
                <w:szCs w:val="16"/>
                <w:color w:val="auto"/>
              </w:rPr>
              <w:t>Bala Cynwyd, PA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Pr>
          <w:p>
            <w:pPr>
              <w:ind w:left="14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Pike 7</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Vienna, VA</w:t>
            </w:r>
          </w:p>
        </w:tc>
        <w:tc>
          <w:tcPr>
            <w:tcW w:w="230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5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8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5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w:t>
            </w:r>
          </w:p>
        </w:tc>
        <w:tc>
          <w:tcPr>
            <w:tcW w:w="182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Assembly Row</w:t>
            </w:r>
          </w:p>
        </w:tc>
        <w:tc>
          <w:tcPr>
            <w:tcW w:w="9040" w:type="dxa"/>
            <w:vAlign w:val="bottom"/>
            <w:gridSpan w:val="3"/>
          </w:tcPr>
          <w:p>
            <w:pPr>
              <w:ind w:left="300"/>
              <w:spacing w:after="0" w:line="157" w:lineRule="exact"/>
              <w:rPr>
                <w:sz w:val="20"/>
                <w:szCs w:val="20"/>
                <w:color w:val="auto"/>
              </w:rPr>
            </w:pPr>
            <w:r>
              <w:rPr>
                <w:rFonts w:ascii="Arial" w:cs="Arial" w:eastAsia="Arial" w:hAnsi="Arial"/>
                <w:sz w:val="14"/>
                <w:szCs w:val="14"/>
                <w:color w:val="auto"/>
                <w:w w:val="96"/>
              </w:rPr>
              <w:t>Remaining entitlements after Phase 1 include approximately 1.9 million square feet of commercial-use buildings, 1,650 residential units, and a 200</w:t>
            </w:r>
          </w:p>
        </w:tc>
      </w:tr>
      <w:tr>
        <w:trPr>
          <w:trHeight w:val="188"/>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80" w:type="dxa"/>
            <w:vAlign w:val="bottom"/>
          </w:tcPr>
          <w:p>
            <w:pPr>
              <w:ind w:left="300"/>
              <w:spacing w:after="0"/>
              <w:rPr>
                <w:sz w:val="20"/>
                <w:szCs w:val="20"/>
                <w:color w:val="auto"/>
              </w:rPr>
            </w:pPr>
            <w:r>
              <w:rPr>
                <w:rFonts w:ascii="Arial" w:cs="Arial" w:eastAsia="Arial" w:hAnsi="Arial"/>
                <w:sz w:val="14"/>
                <w:szCs w:val="14"/>
                <w:color w:val="auto"/>
              </w:rPr>
              <w:t>room hotel.</w:t>
            </w:r>
          </w:p>
        </w:tc>
        <w:tc>
          <w:tcPr>
            <w:tcW w:w="2300" w:type="dxa"/>
            <w:vAlign w:val="bottom"/>
          </w:tcPr>
          <w:p>
            <w:pPr>
              <w:spacing w:after="0"/>
              <w:rPr>
                <w:sz w:val="16"/>
                <w:szCs w:val="16"/>
                <w:color w:val="auto"/>
              </w:rPr>
            </w:pPr>
          </w:p>
        </w:tc>
        <w:tc>
          <w:tcPr>
            <w:tcW w:w="4660" w:type="dxa"/>
            <w:vAlign w:val="bottom"/>
          </w:tcPr>
          <w:p>
            <w:pPr>
              <w:spacing w:after="0"/>
              <w:rPr>
                <w:sz w:val="16"/>
                <w:szCs w:val="16"/>
                <w:color w:val="auto"/>
              </w:rPr>
            </w:pPr>
          </w:p>
        </w:tc>
      </w:tr>
      <w:tr>
        <w:trPr>
          <w:trHeight w:val="209"/>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182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Pike &amp; Rose (Mid-Pike)</w:t>
            </w:r>
          </w:p>
        </w:tc>
        <w:tc>
          <w:tcPr>
            <w:tcW w:w="90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191"/>
        </w:trPr>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(3)</w:t>
            </w:r>
          </w:p>
        </w:tc>
        <w:tc>
          <w:tcPr>
            <w:tcW w:w="1820" w:type="dxa"/>
            <w:vAlign w:val="bottom"/>
          </w:tcPr>
          <w:p>
            <w:pPr>
              <w:ind w:left="60"/>
              <w:spacing w:after="0"/>
              <w:rPr>
                <w:sz w:val="20"/>
                <w:szCs w:val="20"/>
                <w:color w:val="auto"/>
              </w:rPr>
            </w:pPr>
            <w:r>
              <w:rPr>
                <w:rFonts w:ascii="Arial" w:cs="Arial" w:eastAsia="Arial" w:hAnsi="Arial"/>
                <w:sz w:val="14"/>
                <w:szCs w:val="14"/>
                <w:b w:val="1"/>
                <w:bCs w:val="1"/>
                <w:color w:val="auto"/>
              </w:rPr>
              <w:t>Santana Row</w:t>
            </w:r>
          </w:p>
        </w:tc>
        <w:tc>
          <w:tcPr>
            <w:tcW w:w="9040" w:type="dxa"/>
            <w:vAlign w:val="bottom"/>
            <w:gridSpan w:val="3"/>
          </w:tcPr>
          <w:p>
            <w:pPr>
              <w:ind w:left="300"/>
              <w:spacing w:after="0"/>
              <w:rPr>
                <w:sz w:val="20"/>
                <w:szCs w:val="20"/>
                <w:color w:val="auto"/>
              </w:rPr>
            </w:pPr>
            <w:r>
              <w:rPr>
                <w:rFonts w:ascii="Arial" w:cs="Arial" w:eastAsia="Arial" w:hAnsi="Arial"/>
                <w:sz w:val="14"/>
                <w:szCs w:val="14"/>
                <w:color w:val="auto"/>
                <w:w w:val="99"/>
              </w:rPr>
              <w:t>Current remaining entitlements for this property include 348 residential units and 305,000 square feet of commercial space for retail and office.</w:t>
            </w: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00" w:type="dxa"/>
            <w:vAlign w:val="bottom"/>
          </w:tcPr>
          <w:p>
            <w:pPr>
              <w:ind w:left="1160"/>
              <w:spacing w:after="0"/>
              <w:rPr>
                <w:sz w:val="20"/>
                <w:szCs w:val="20"/>
                <w:color w:val="auto"/>
              </w:rPr>
            </w:pPr>
            <w:r>
              <w:rPr>
                <w:rFonts w:ascii="Arial" w:cs="Arial" w:eastAsia="Arial" w:hAnsi="Arial"/>
                <w:sz w:val="18"/>
                <w:szCs w:val="18"/>
                <w:color w:val="auto"/>
              </w:rPr>
              <w:t>17</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2013 Significant Acquisition &amp; Dispositions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Acquisition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7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Property</w:t>
            </w:r>
          </w:p>
        </w:tc>
        <w:tc>
          <w:tcPr>
            <w:tcW w:w="21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City/State</w:t>
            </w:r>
          </w:p>
        </w:tc>
        <w:tc>
          <w:tcPr>
            <w:tcW w:w="1860" w:type="dxa"/>
            <w:vAlign w:val="bottom"/>
            <w:tcBorders>
              <w:bottom w:val="single" w:sz="8" w:color="auto"/>
            </w:tcBorders>
          </w:tcPr>
          <w:p>
            <w:pPr>
              <w:jc w:val="center"/>
              <w:ind w:left="325"/>
              <w:spacing w:after="0"/>
              <w:rPr>
                <w:sz w:val="20"/>
                <w:szCs w:val="20"/>
                <w:color w:val="auto"/>
              </w:rPr>
            </w:pPr>
            <w:r>
              <w:rPr>
                <w:rFonts w:ascii="Arial" w:cs="Arial" w:eastAsia="Arial" w:hAnsi="Arial"/>
                <w:sz w:val="14"/>
                <w:szCs w:val="14"/>
                <w:b w:val="1"/>
                <w:bCs w:val="1"/>
                <w:color w:val="auto"/>
              </w:rPr>
              <w:t>GLA</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89"/>
              </w:rPr>
              <w:t>Purchase price</w:t>
            </w:r>
          </w:p>
        </w:tc>
        <w:tc>
          <w:tcPr>
            <w:tcW w:w="26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Anchor Tenants</w:t>
            </w:r>
          </w:p>
        </w:tc>
      </w:tr>
      <w:tr>
        <w:trPr>
          <w:trHeight w:val="190"/>
        </w:trPr>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jc w:val="center"/>
              <w:ind w:left="325"/>
              <w:spacing w:after="0"/>
              <w:rPr>
                <w:sz w:val="20"/>
                <w:szCs w:val="20"/>
                <w:color w:val="auto"/>
              </w:rPr>
            </w:pPr>
            <w:r>
              <w:rPr>
                <w:rFonts w:ascii="Arial" w:cs="Arial" w:eastAsia="Arial" w:hAnsi="Arial"/>
                <w:sz w:val="14"/>
                <w:szCs w:val="14"/>
                <w:b w:val="1"/>
                <w:bCs w:val="1"/>
                <w:color w:val="auto"/>
                <w:w w:val="93"/>
              </w:rPr>
              <w:t>(in square feet)</w:t>
            </w:r>
          </w:p>
        </w:tc>
        <w:tc>
          <w:tcPr>
            <w:tcW w:w="380" w:type="dxa"/>
            <w:vAlign w:val="bottom"/>
          </w:tcPr>
          <w:p>
            <w:pPr>
              <w:spacing w:after="0"/>
              <w:rPr>
                <w:sz w:val="16"/>
                <w:szCs w:val="16"/>
                <w:color w:val="auto"/>
              </w:rPr>
            </w:pPr>
          </w:p>
        </w:tc>
        <w:tc>
          <w:tcPr>
            <w:tcW w:w="1240" w:type="dxa"/>
            <w:vAlign w:val="bottom"/>
          </w:tcPr>
          <w:p>
            <w:pPr>
              <w:jc w:val="center"/>
              <w:ind w:right="185"/>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r>
      <w:tr>
        <w:trPr>
          <w:trHeight w:val="80"/>
        </w:trPr>
        <w:tc>
          <w:tcPr>
            <w:tcW w:w="1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4"/>
        </w:trPr>
        <w:tc>
          <w:tcPr>
            <w:tcW w:w="1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3, 2013</w:t>
            </w:r>
          </w:p>
        </w:tc>
        <w:tc>
          <w:tcPr>
            <w:tcW w:w="1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Darien</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Darien, CT</w:t>
            </w:r>
          </w:p>
        </w:tc>
        <w:tc>
          <w:tcPr>
            <w:tcW w:w="1860" w:type="dxa"/>
            <w:vAlign w:val="bottom"/>
            <w:shd w:val="clear" w:color="auto" w:fill="CCEEFF"/>
          </w:tcPr>
          <w:p>
            <w:pPr>
              <w:jc w:val="center"/>
              <w:ind w:left="325"/>
              <w:spacing w:after="0"/>
              <w:rPr>
                <w:sz w:val="20"/>
                <w:szCs w:val="20"/>
                <w:color w:val="auto"/>
              </w:rPr>
            </w:pPr>
            <w:r>
              <w:rPr>
                <w:rFonts w:ascii="Arial" w:cs="Arial" w:eastAsia="Arial" w:hAnsi="Arial"/>
                <w:sz w:val="16"/>
                <w:szCs w:val="16"/>
                <w:color w:val="auto"/>
                <w:w w:val="93"/>
              </w:rPr>
              <w:t>95,000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47.3</w:t>
            </w:r>
          </w:p>
        </w:tc>
        <w:tc>
          <w:tcPr>
            <w:tcW w:w="2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Equinox / Stop &amp; Shop</w:t>
            </w:r>
          </w:p>
        </w:tc>
      </w:tr>
      <w:tr>
        <w:trPr>
          <w:trHeight w:val="47"/>
        </w:trPr>
        <w:tc>
          <w:tcPr>
            <w:tcW w:w="144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212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60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Dispositions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7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Property</w:t>
            </w:r>
          </w:p>
        </w:tc>
        <w:tc>
          <w:tcPr>
            <w:tcW w:w="21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City/State</w:t>
            </w:r>
          </w:p>
        </w:tc>
        <w:tc>
          <w:tcPr>
            <w:tcW w:w="1700" w:type="dxa"/>
            <w:vAlign w:val="bottom"/>
            <w:tcBorders>
              <w:bottom w:val="single" w:sz="8" w:color="auto"/>
            </w:tcBorders>
          </w:tcPr>
          <w:p>
            <w:pPr>
              <w:jc w:val="center"/>
              <w:ind w:left="163"/>
              <w:spacing w:after="0"/>
              <w:rPr>
                <w:sz w:val="20"/>
                <w:szCs w:val="20"/>
                <w:color w:val="auto"/>
              </w:rPr>
            </w:pPr>
            <w:r>
              <w:rPr>
                <w:rFonts w:ascii="Arial" w:cs="Arial" w:eastAsia="Arial" w:hAnsi="Arial"/>
                <w:sz w:val="14"/>
                <w:szCs w:val="14"/>
                <w:b w:val="1"/>
                <w:bCs w:val="1"/>
                <w:color w:val="auto"/>
              </w:rPr>
              <w:t>GLA</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Sales Price</w:t>
            </w:r>
          </w:p>
        </w:tc>
      </w:tr>
      <w:tr>
        <w:trPr>
          <w:trHeight w:val="190"/>
        </w:trPr>
        <w:tc>
          <w:tcPr>
            <w:tcW w:w="1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00" w:type="dxa"/>
            <w:vAlign w:val="bottom"/>
          </w:tcPr>
          <w:p>
            <w:pPr>
              <w:jc w:val="center"/>
              <w:ind w:left="163"/>
              <w:spacing w:after="0"/>
              <w:rPr>
                <w:sz w:val="20"/>
                <w:szCs w:val="20"/>
                <w:color w:val="auto"/>
              </w:rPr>
            </w:pPr>
            <w:r>
              <w:rPr>
                <w:rFonts w:ascii="Arial" w:cs="Arial" w:eastAsia="Arial" w:hAnsi="Arial"/>
                <w:sz w:val="14"/>
                <w:szCs w:val="14"/>
                <w:b w:val="1"/>
                <w:bCs w:val="1"/>
                <w:color w:val="auto"/>
                <w:w w:val="93"/>
              </w:rPr>
              <w:t>(in square feet)</w:t>
            </w:r>
          </w:p>
        </w:tc>
        <w:tc>
          <w:tcPr>
            <w:tcW w:w="420" w:type="dxa"/>
            <w:vAlign w:val="bottom"/>
          </w:tcPr>
          <w:p>
            <w:pPr>
              <w:spacing w:after="0"/>
              <w:rPr>
                <w:sz w:val="16"/>
                <w:szCs w:val="16"/>
                <w:color w:val="auto"/>
              </w:rPr>
            </w:pPr>
          </w:p>
        </w:tc>
        <w:tc>
          <w:tcPr>
            <w:tcW w:w="1080" w:type="dxa"/>
            <w:vAlign w:val="bottom"/>
          </w:tcPr>
          <w:p>
            <w:pPr>
              <w:jc w:val="right"/>
              <w:ind w:right="183"/>
              <w:spacing w:after="0"/>
              <w:rPr>
                <w:sz w:val="20"/>
                <w:szCs w:val="20"/>
                <w:color w:val="auto"/>
              </w:rPr>
            </w:pPr>
            <w:r>
              <w:rPr>
                <w:rFonts w:ascii="Arial" w:cs="Arial" w:eastAsia="Arial" w:hAnsi="Arial"/>
                <w:sz w:val="14"/>
                <w:szCs w:val="14"/>
                <w:b w:val="1"/>
                <w:bCs w:val="1"/>
                <w:color w:val="auto"/>
              </w:rPr>
              <w:t>(in millions)</w:t>
            </w:r>
          </w:p>
        </w:tc>
      </w:tr>
      <w:tr>
        <w:trPr>
          <w:trHeight w:val="80"/>
        </w:trPr>
        <w:tc>
          <w:tcPr>
            <w:tcW w:w="16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22, 2013</w:t>
            </w:r>
          </w:p>
        </w:tc>
        <w:tc>
          <w:tcPr>
            <w:tcW w:w="1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Fifth Avenue</w:t>
            </w:r>
          </w:p>
        </w:tc>
        <w:tc>
          <w:tcPr>
            <w:tcW w:w="2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San Diego, CA</w:t>
            </w:r>
          </w:p>
        </w:tc>
        <w:tc>
          <w:tcPr>
            <w:tcW w:w="1700" w:type="dxa"/>
            <w:vAlign w:val="bottom"/>
            <w:tcBorders>
              <w:bottom w:val="single" w:sz="8" w:color="CCEEFF"/>
            </w:tcBorders>
            <w:shd w:val="clear" w:color="auto" w:fill="CCEEFF"/>
          </w:tcPr>
          <w:p>
            <w:pPr>
              <w:jc w:val="center"/>
              <w:ind w:left="163"/>
              <w:spacing w:after="0"/>
              <w:rPr>
                <w:sz w:val="20"/>
                <w:szCs w:val="20"/>
                <w:color w:val="auto"/>
              </w:rPr>
            </w:pPr>
            <w:r>
              <w:rPr>
                <w:rFonts w:ascii="Arial" w:cs="Arial" w:eastAsia="Arial" w:hAnsi="Arial"/>
                <w:sz w:val="16"/>
                <w:szCs w:val="16"/>
                <w:color w:val="auto"/>
                <w:w w:val="93"/>
              </w:rPr>
              <w:t>18,000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w:t>
            </w: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color w:val="auto"/>
              </w:rPr>
              <w:t>September 10, 2013</w:t>
            </w:r>
          </w:p>
        </w:tc>
        <w:tc>
          <w:tcPr>
            <w:tcW w:w="1720" w:type="dxa"/>
            <w:vAlign w:val="bottom"/>
          </w:tcPr>
          <w:p>
            <w:pPr>
              <w:ind w:left="320"/>
              <w:spacing w:after="0"/>
              <w:rPr>
                <w:sz w:val="20"/>
                <w:szCs w:val="20"/>
                <w:color w:val="auto"/>
              </w:rPr>
            </w:pPr>
            <w:r>
              <w:rPr>
                <w:rFonts w:ascii="Arial" w:cs="Arial" w:eastAsia="Arial" w:hAnsi="Arial"/>
                <w:sz w:val="16"/>
                <w:szCs w:val="16"/>
                <w:color w:val="auto"/>
              </w:rPr>
              <w:t>Forest Hills</w:t>
            </w:r>
          </w:p>
        </w:tc>
        <w:tc>
          <w:tcPr>
            <w:tcW w:w="2120" w:type="dxa"/>
            <w:vAlign w:val="bottom"/>
          </w:tcPr>
          <w:p>
            <w:pPr>
              <w:ind w:left="540"/>
              <w:spacing w:after="0"/>
              <w:rPr>
                <w:sz w:val="20"/>
                <w:szCs w:val="20"/>
                <w:color w:val="auto"/>
              </w:rPr>
            </w:pPr>
            <w:r>
              <w:rPr>
                <w:rFonts w:ascii="Arial" w:cs="Arial" w:eastAsia="Arial" w:hAnsi="Arial"/>
                <w:sz w:val="16"/>
                <w:szCs w:val="16"/>
                <w:color w:val="auto"/>
              </w:rPr>
              <w:t>Forest Hills, NY</w:t>
            </w:r>
          </w:p>
        </w:tc>
        <w:tc>
          <w:tcPr>
            <w:tcW w:w="1700" w:type="dxa"/>
            <w:vAlign w:val="bottom"/>
          </w:tcPr>
          <w:p>
            <w:pPr>
              <w:jc w:val="center"/>
              <w:ind w:left="163"/>
              <w:spacing w:after="0"/>
              <w:rPr>
                <w:sz w:val="20"/>
                <w:szCs w:val="20"/>
                <w:color w:val="auto"/>
              </w:rPr>
            </w:pPr>
            <w:r>
              <w:rPr>
                <w:rFonts w:ascii="Arial" w:cs="Arial" w:eastAsia="Arial" w:hAnsi="Arial"/>
                <w:sz w:val="16"/>
                <w:szCs w:val="16"/>
                <w:color w:val="auto"/>
                <w:w w:val="93"/>
              </w:rPr>
              <w:t>48,000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20.4</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080" w:type="dxa"/>
            <w:vAlign w:val="bottom"/>
          </w:tcPr>
          <w:p>
            <w:pPr>
              <w:spacing w:after="0"/>
              <w:rPr>
                <w:sz w:val="11"/>
                <w:szCs w:val="11"/>
                <w:color w:val="auto"/>
              </w:rPr>
            </w:pPr>
          </w:p>
        </w:tc>
      </w:tr>
      <w:tr>
        <w:trPr>
          <w:trHeight w:val="174"/>
        </w:trPr>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10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3"/>
                <w:szCs w:val="13"/>
                <w:b w:val="1"/>
                <w:bCs w:val="1"/>
                <w:color w:val="auto"/>
                <w:w w:val="95"/>
              </w:rPr>
              <w:t>Year Acquired</w:t>
            </w: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at Cost</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color w:val="auto"/>
                <w:w w:val="86"/>
              </w:rPr>
              <w:t>(in thousands)</w:t>
            </w:r>
          </w:p>
        </w:tc>
        <w:tc>
          <w:tcPr>
            <w:tcW w:w="80" w:type="dxa"/>
            <w:vAlign w:val="bottom"/>
          </w:tcPr>
          <w:p>
            <w:pPr>
              <w:spacing w:after="0"/>
              <w:rPr>
                <w:sz w:val="11"/>
                <w:szCs w:val="11"/>
                <w:color w:val="auto"/>
              </w:rPr>
            </w:pPr>
          </w:p>
        </w:tc>
        <w:tc>
          <w:tcPr>
            <w:tcW w:w="580" w:type="dxa"/>
            <w:vAlign w:val="bottom"/>
          </w:tcPr>
          <w:p>
            <w:pPr>
              <w:jc w:val="center"/>
              <w:ind w:right="38"/>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1993- $</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218,339</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080" w:type="dxa"/>
            <w:vAlign w:val="bottom"/>
          </w:tcPr>
          <w:p>
            <w:pPr>
              <w:ind w:left="60"/>
              <w:spacing w:after="0" w:line="148" w:lineRule="exact"/>
              <w:rPr>
                <w:sz w:val="20"/>
                <w:szCs w:val="20"/>
                <w:color w:val="auto"/>
              </w:rPr>
            </w:pPr>
            <w:r>
              <w:rPr>
                <w:rFonts w:ascii="Arial" w:cs="Arial" w:eastAsia="Arial" w:hAnsi="Arial"/>
                <w:sz w:val="13"/>
                <w:szCs w:val="13"/>
                <w:color w:val="auto"/>
                <w:w w:val="93"/>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91"/>
              </w:rPr>
              <w:t>2006/2008/2010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74,841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Fresh Market</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4,696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Falls Plaza/Falls Plaza-East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1989</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65,393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14,000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08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36,182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25,480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16,626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15,756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0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1986</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51,084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35,271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27,416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1983</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33,270</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35,452</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Mid-Pike Plaza/Pike &amp; Rose</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155,563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(4)</w:t>
            </w: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14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141,934</w:t>
            </w:r>
          </w:p>
        </w:tc>
        <w:tc>
          <w:tcPr>
            <w:tcW w:w="80" w:type="dxa"/>
            <w:vAlign w:val="bottom"/>
          </w:tcPr>
          <w:p>
            <w:pPr>
              <w:spacing w:after="0"/>
              <w:rPr>
                <w:sz w:val="12"/>
                <w:szCs w:val="12"/>
                <w:color w:val="auto"/>
              </w:rPr>
            </w:pP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77,700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080" w:type="dxa"/>
            <w:vAlign w:val="bottom"/>
          </w:tcPr>
          <w:p>
            <w:pPr>
              <w:ind w:left="60"/>
              <w:spacing w:after="0" w:line="148" w:lineRule="exact"/>
              <w:rPr>
                <w:sz w:val="20"/>
                <w:szCs w:val="20"/>
                <w:color w:val="auto"/>
              </w:rPr>
            </w:pPr>
            <w:r>
              <w:rPr>
                <w:rFonts w:ascii="Arial" w:cs="Arial" w:eastAsia="Arial" w:hAnsi="Arial"/>
                <w:sz w:val="13"/>
                <w:szCs w:val="13"/>
                <w:color w:val="auto"/>
              </w:rPr>
              <w:t>Marshalls / Sports Authority / Barnes &amp; Noble / A.C.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Moore</w:t>
            </w:r>
          </w:p>
        </w:tc>
      </w:tr>
      <w:tr>
        <w:trPr>
          <w:trHeight w:val="15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Mount Vernon/South</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2003/2006</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80,063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89"/>
              </w:rPr>
              <w:t>Shoppers Food</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Bed, Bath &amp; Beyond / Michaels / Home Depot / TJ Maxx /</w:t>
            </w:r>
          </w:p>
        </w:tc>
      </w:tr>
      <w:tr>
        <w:trPr>
          <w:trHeight w:val="17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Valley/7770 Richmond Hwy</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Gold's Gym / Staples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1976</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6,476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308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28,670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1998/2010</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93,327</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50,893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08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35,692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27,381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71%</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48"/>
        </w:trPr>
        <w:tc>
          <w:tcPr>
            <w:tcW w:w="16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Rockville Town Square</w:t>
            </w:r>
          </w:p>
        </w:tc>
        <w:tc>
          <w:tcPr>
            <w:tcW w:w="3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w:t>
            </w:r>
          </w:p>
        </w:tc>
        <w:tc>
          <w:tcPr>
            <w:tcW w:w="1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50,572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4,528</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30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080" w:type="dxa"/>
            <w:vAlign w:val="bottom"/>
            <w:shd w:val="clear" w:color="auto" w:fill="CCEEFF"/>
          </w:tcPr>
          <w:p>
            <w:pPr>
              <w:spacing w:after="0"/>
              <w:rPr>
                <w:sz w:val="15"/>
                <w:szCs w:val="15"/>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9,606</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22,616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12,862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21,168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900" w:type="dxa"/>
            <w:vAlign w:val="bottom"/>
          </w:tcPr>
          <w:p>
            <w:pPr>
              <w:ind w:left="80"/>
              <w:spacing w:after="0"/>
              <w:rPr>
                <w:sz w:val="20"/>
                <w:szCs w:val="20"/>
                <w:color w:val="auto"/>
              </w:rPr>
            </w:pPr>
            <w:r>
              <w:rPr>
                <w:rFonts w:ascii="Arial" w:cs="Arial" w:eastAsia="Arial" w:hAnsi="Arial"/>
                <w:sz w:val="13"/>
                <w:szCs w:val="13"/>
                <w:color w:val="auto"/>
              </w:rPr>
              <w:t>L.A. Mart</w:t>
            </w:r>
          </w:p>
        </w:tc>
        <w:tc>
          <w:tcPr>
            <w:tcW w:w="308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0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32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1995</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58,059</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6,435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08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18,391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23,256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20" w:type="dxa"/>
            <w:vAlign w:val="bottom"/>
            <w:gridSpan w:val="2"/>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Washington Metropolitan Area</w:t>
            </w: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1,318,065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5,344,000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94"/>
              </w:rPr>
              <w:t>Philadelphia Metropolitan Area</w:t>
            </w:r>
          </w:p>
        </w:tc>
        <w:tc>
          <w:tcPr>
            <w:tcW w:w="1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080" w:type="dxa"/>
            <w:vAlign w:val="bottom"/>
            <w:tcBorders>
              <w:top w:val="single" w:sz="8" w:color="CCEEFF"/>
            </w:tcBorders>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Andorra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1988</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25,512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tcPr>
          <w:p>
            <w:pPr>
              <w:ind w:left="60"/>
              <w:spacing w:after="0"/>
              <w:rPr>
                <w:sz w:val="20"/>
                <w:szCs w:val="20"/>
                <w:color w:val="auto"/>
              </w:rPr>
            </w:pPr>
            <w:r>
              <w:rPr>
                <w:rFonts w:ascii="Arial" w:cs="Arial" w:eastAsia="Arial" w:hAnsi="Arial"/>
                <w:sz w:val="13"/>
                <w:szCs w:val="13"/>
                <w:color w:val="auto"/>
              </w:rPr>
              <w:t>Kohl's / Staples / L.A. Fitness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39,701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1992</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30,238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13,810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14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20,553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308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0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3080" w:type="dxa"/>
            <w:vAlign w:val="bottom"/>
          </w:tcPr>
          <w:p>
            <w:pPr>
              <w:spacing w:after="0"/>
              <w:rPr>
                <w:sz w:val="14"/>
                <w:szCs w:val="14"/>
                <w:color w:val="auto"/>
              </w:rPr>
            </w:pPr>
          </w:p>
        </w:tc>
      </w:tr>
      <w:tr>
        <w:trPr>
          <w:trHeight w:val="18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31,296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26,458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1983</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24,580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Town Center of New Britain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1984</w:t>
            </w:r>
          </w:p>
        </w:tc>
        <w:tc>
          <w:tcPr>
            <w:tcW w:w="14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29,377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37,156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26,963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20" w:type="dxa"/>
            <w:vAlign w:val="bottom"/>
            <w:gridSpan w:val="2"/>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Total Philadelphia Metropolitan Area</w:t>
            </w: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266,928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2,435,000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080" w:type="dxa"/>
            <w:vAlign w:val="bottom"/>
            <w:tcBorders>
              <w:top w:val="single" w:sz="8" w:color="CCEEFF"/>
            </w:tcBorders>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89"/>
              </w:rPr>
              <w:t>Los Angeles-Long Beach,</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14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18,120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Ramon,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85,249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5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055"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6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70"/>
        </w:trPr>
        <w:tc>
          <w:tcPr>
            <w:tcW w:w="1640" w:type="dxa"/>
            <w:vAlign w:val="bottom"/>
            <w:gridSpan w:val="5"/>
          </w:tcPr>
          <w:p>
            <w:pPr>
              <w:ind w:left="40"/>
              <w:spacing w:after="0"/>
              <w:rPr>
                <w:sz w:val="20"/>
                <w:szCs w:val="20"/>
                <w:color w:val="auto"/>
              </w:rPr>
            </w:pPr>
            <w:r>
              <w:rPr>
                <w:rFonts w:ascii="Arial" w:cs="Arial" w:eastAsia="Arial" w:hAnsi="Arial"/>
                <w:sz w:val="13"/>
                <w:szCs w:val="13"/>
                <w:color w:val="auto"/>
              </w:rPr>
              <w:t>East Bay Bridge</w:t>
            </w: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Francisco-Oakland-</w:t>
            </w:r>
          </w:p>
        </w:tc>
        <w:tc>
          <w:tcPr>
            <w:tcW w:w="600" w:type="dxa"/>
            <w:vAlign w:val="bottom"/>
          </w:tcPr>
          <w:p>
            <w:pPr>
              <w:jc w:val="right"/>
              <w:spacing w:after="0"/>
              <w:rPr>
                <w:sz w:val="20"/>
                <w:szCs w:val="20"/>
                <w:color w:val="auto"/>
              </w:rPr>
            </w:pPr>
            <w:r>
              <w:rPr>
                <w:rFonts w:ascii="Arial" w:cs="Arial" w:eastAsia="Arial" w:hAnsi="Arial"/>
                <w:sz w:val="13"/>
                <w:szCs w:val="13"/>
                <w:color w:val="auto"/>
              </w:rPr>
              <w:t>2012</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167,338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62,228</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59,000</w:t>
            </w:r>
          </w:p>
        </w:tc>
        <w:tc>
          <w:tcPr>
            <w:tcW w:w="940" w:type="dxa"/>
            <w:vAlign w:val="bottom"/>
          </w:tcPr>
          <w:p>
            <w:pPr>
              <w:ind w:left="80"/>
              <w:spacing w:after="0"/>
              <w:rPr>
                <w:sz w:val="20"/>
                <w:szCs w:val="20"/>
                <w:color w:val="auto"/>
              </w:rPr>
            </w:pPr>
            <w:r>
              <w:rPr>
                <w:rFonts w:ascii="Arial" w:cs="Arial" w:eastAsia="Arial" w:hAnsi="Arial"/>
                <w:sz w:val="13"/>
                <w:szCs w:val="13"/>
                <w:color w:val="auto"/>
              </w:rPr>
              <w:t>Pak-N-Save</w:t>
            </w:r>
          </w:p>
        </w:tc>
        <w:tc>
          <w:tcPr>
            <w:tcW w:w="3200" w:type="dxa"/>
            <w:vAlign w:val="bottom"/>
          </w:tcPr>
          <w:p>
            <w:pPr>
              <w:ind w:left="6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1996/2010</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46,926</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TJ Maxx / Toys R Us / Dick’s Sporting Goods / Ross Dress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For Less</w:t>
            </w: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Hermosa Ave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5,799</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CA</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Los Angeles-Long Beach,</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40,388</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Fresh &amp; Easy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L.A.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Kings Court</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11,639</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w w:val="92"/>
              </w:rPr>
              <w:t>Lunardi's Super</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Market</w:t>
            </w:r>
          </w:p>
        </w:tc>
        <w:tc>
          <w:tcPr>
            <w:tcW w:w="3200" w:type="dxa"/>
            <w:vAlign w:val="bottom"/>
          </w:tcPr>
          <w:p>
            <w:pPr>
              <w:spacing w:after="0"/>
              <w:rPr>
                <w:sz w:val="14"/>
                <w:szCs w:val="14"/>
                <w:color w:val="auto"/>
              </w:rPr>
            </w:pPr>
          </w:p>
        </w:tc>
      </w:tr>
      <w:tr>
        <w:trPr>
          <w:trHeight w:val="181"/>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37,117</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(4)</w:t>
            </w: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221,223</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Whole Foods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1"/>
              </w:rPr>
              <w:t>Anthropologie / Best Buy / Container Store / Dick's Sporting</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w:t>
            </w:r>
          </w:p>
        </w:tc>
        <w:tc>
          <w:tcPr>
            <w:tcW w:w="1500" w:type="dxa"/>
            <w:vAlign w:val="bottom"/>
          </w:tcPr>
          <w:p>
            <w:pPr>
              <w:ind w:left="60"/>
              <w:spacing w:after="0"/>
              <w:rPr>
                <w:sz w:val="20"/>
                <w:szCs w:val="20"/>
                <w:color w:val="auto"/>
              </w:rPr>
            </w:pPr>
            <w:r>
              <w:rPr>
                <w:rFonts w:ascii="Arial" w:cs="Arial" w:eastAsia="Arial" w:hAnsi="Arial"/>
                <w:sz w:val="13"/>
                <w:szCs w:val="13"/>
                <w:color w:val="auto"/>
              </w:rPr>
              <w:t>CA</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Goods / H&amp;M / HomeGoods</w:t>
            </w: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662,718</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Crate &amp; Barrel / Container Store / Best Buy / CineArts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Theatre / Hotel Valencia / H&amp;M</w:t>
            </w: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Third St Promenade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78,115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9"/>
              </w:rPr>
              <w:t>J. Crew / Banana Republic / Old Navy / Abercrombie &amp;</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CA</w:t>
            </w:r>
          </w:p>
        </w:tc>
        <w:tc>
          <w:tcPr>
            <w:tcW w:w="600" w:type="dxa"/>
            <w:vAlign w:val="bottom"/>
          </w:tcPr>
          <w:p>
            <w:pPr>
              <w:jc w:val="right"/>
              <w:spacing w:after="0"/>
              <w:rPr>
                <w:sz w:val="20"/>
                <w:szCs w:val="20"/>
                <w:color w:val="auto"/>
              </w:rPr>
            </w:pPr>
            <w:r>
              <w:rPr>
                <w:rFonts w:ascii="Arial" w:cs="Arial" w:eastAsia="Arial" w:hAnsi="Arial"/>
                <w:sz w:val="13"/>
                <w:szCs w:val="13"/>
                <w:color w:val="auto"/>
              </w:rPr>
              <w:t>2000</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Fitch</w:t>
            </w: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132,984</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38,000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Target / Burlington Coat Factory / Ross Dress For Less /</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Michaels / Nordstrom Rack</w:t>
            </w:r>
          </w:p>
        </w:tc>
      </w:tr>
      <w:tr>
        <w:trPr>
          <w:trHeight w:val="173"/>
        </w:trPr>
        <w:tc>
          <w:tcPr>
            <w:tcW w:w="1640" w:type="dxa"/>
            <w:vAlign w:val="bottom"/>
            <w:gridSpan w:val="5"/>
          </w:tcPr>
          <w:p>
            <w:pPr>
              <w:ind w:left="40"/>
              <w:spacing w:after="0"/>
              <w:rPr>
                <w:sz w:val="20"/>
                <w:szCs w:val="20"/>
                <w:color w:val="auto"/>
              </w:rPr>
            </w:pPr>
            <w:r>
              <w:rPr>
                <w:rFonts w:ascii="Arial" w:cs="Arial" w:eastAsia="Arial" w:hAnsi="Arial"/>
                <w:sz w:val="13"/>
                <w:szCs w:val="13"/>
                <w:color w:val="auto"/>
              </w:rPr>
              <w:t>150 Post Street</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00" w:type="dxa"/>
            <w:vAlign w:val="bottom"/>
          </w:tcPr>
          <w:p>
            <w:pPr>
              <w:jc w:val="right"/>
              <w:ind w:right="257"/>
              <w:spacing w:after="0"/>
              <w:rPr>
                <w:sz w:val="20"/>
                <w:szCs w:val="20"/>
                <w:color w:val="auto"/>
              </w:rPr>
            </w:pPr>
            <w:r>
              <w:rPr>
                <w:rFonts w:ascii="Arial" w:cs="Arial" w:eastAsia="Arial" w:hAnsi="Arial"/>
                <w:sz w:val="13"/>
                <w:szCs w:val="13"/>
                <w:color w:val="auto"/>
                <w:w w:val="89"/>
              </w:rPr>
              <w:t>1997</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37,253</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50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32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1,544,869</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3,357,000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2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auto"/>
              </w:rPr>
              <w:t>NY Metro/New Jersey</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Monmouth-Ocean, 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59,495</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27,454</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Barnes &amp; Noble / Sports Authority</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Darien</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48,124</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Stamford-Waterbury</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78,369</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Island of Gold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Kohl's / Michaels / Modell's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Stamford-Waterbury</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27,760</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14,071</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Huntington</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w w:val="91"/>
              </w:rPr>
              <w:t>1988/2007</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43,295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0"/>
              </w:rPr>
              <w:t>Buy Buy Baby / Bed, Bath &amp; Beyond / Michaels / Nordstrom</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Rack</w:t>
            </w:r>
          </w:p>
        </w:tc>
      </w:tr>
      <w:tr>
        <w:trPr>
          <w:trHeight w:val="181"/>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11,121</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40" w:type="dxa"/>
            <w:vAlign w:val="bottom"/>
            <w:gridSpan w:val="5"/>
          </w:tcPr>
          <w:p>
            <w:pPr>
              <w:ind w:left="40"/>
              <w:spacing w:after="0"/>
              <w:rPr>
                <w:sz w:val="20"/>
                <w:szCs w:val="20"/>
                <w:color w:val="auto"/>
              </w:rPr>
            </w:pPr>
            <w:r>
              <w:rPr>
                <w:rFonts w:ascii="Arial" w:cs="Arial" w:eastAsia="Arial" w:hAnsi="Arial"/>
                <w:sz w:val="13"/>
                <w:szCs w:val="13"/>
                <w:color w:val="auto"/>
              </w:rPr>
              <w:t>Melville Mall</w:t>
            </w:r>
          </w:p>
        </w:tc>
        <w:tc>
          <w:tcPr>
            <w:tcW w:w="360" w:type="dxa"/>
            <w:vAlign w:val="bottom"/>
          </w:tcPr>
          <w:p>
            <w:pPr>
              <w:jc w:val="right"/>
              <w:spacing w:after="0"/>
              <w:rPr>
                <w:sz w:val="20"/>
                <w:szCs w:val="20"/>
                <w:color w:val="auto"/>
              </w:rPr>
            </w:pPr>
            <w:r>
              <w:rPr>
                <w:rFonts w:ascii="Arial" w:cs="Arial" w:eastAsia="Arial" w:hAnsi="Arial"/>
                <w:sz w:val="13"/>
                <w:szCs w:val="13"/>
                <w:color w:val="auto"/>
              </w:rPr>
              <w:t>(8)</w:t>
            </w:r>
          </w:p>
        </w:tc>
        <w:tc>
          <w:tcPr>
            <w:tcW w:w="15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00" w:type="dxa"/>
            <w:vAlign w:val="bottom"/>
          </w:tcPr>
          <w:p>
            <w:pPr>
              <w:jc w:val="right"/>
              <w:spacing w:after="0"/>
              <w:rPr>
                <w:sz w:val="20"/>
                <w:szCs w:val="20"/>
                <w:color w:val="auto"/>
              </w:rPr>
            </w:pPr>
            <w:r>
              <w:rPr>
                <w:rFonts w:ascii="Arial" w:cs="Arial" w:eastAsia="Arial" w:hAnsi="Arial"/>
                <w:sz w:val="13"/>
                <w:szCs w:val="13"/>
                <w:color w:val="auto"/>
              </w:rPr>
              <w:t>2006</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69,501</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20,917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54,000</w:t>
            </w:r>
          </w:p>
        </w:tc>
        <w:tc>
          <w:tcPr>
            <w:tcW w:w="9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200" w:type="dxa"/>
            <w:vAlign w:val="bottom"/>
          </w:tcPr>
          <w:p>
            <w:pPr>
              <w:ind w:left="60"/>
              <w:spacing w:after="0"/>
              <w:rPr>
                <w:sz w:val="20"/>
                <w:szCs w:val="20"/>
                <w:color w:val="auto"/>
              </w:rPr>
            </w:pPr>
            <w:r>
              <w:rPr>
                <w:rFonts w:ascii="Arial" w:cs="Arial" w:eastAsia="Arial" w:hAnsi="Arial"/>
                <w:sz w:val="13"/>
                <w:szCs w:val="13"/>
                <w:color w:val="auto"/>
              </w:rPr>
              <w:t>Dick’s Sporting Goods / Kohl's / Marshalls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4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Mercer Mall</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w:t>
            </w: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Trenton, NJ</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7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109,568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55,807</w:t>
            </w: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500,000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75,000</w:t>
            </w:r>
          </w:p>
        </w:tc>
        <w:tc>
          <w:tcPr>
            <w:tcW w:w="9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Bed, Bath &amp; Beyond / DSW / TJ Maxx / Raymour &amp;</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Flanigan</w:t>
            </w:r>
          </w:p>
        </w:tc>
      </w:tr>
      <w:tr>
        <w:trPr>
          <w:trHeight w:val="173"/>
        </w:trPr>
        <w:tc>
          <w:tcPr>
            <w:tcW w:w="1640" w:type="dxa"/>
            <w:vAlign w:val="bottom"/>
            <w:gridSpan w:val="5"/>
          </w:tcPr>
          <w:p>
            <w:pPr>
              <w:ind w:left="40"/>
              <w:spacing w:after="0"/>
              <w:rPr>
                <w:sz w:val="20"/>
                <w:szCs w:val="20"/>
                <w:color w:val="auto"/>
              </w:rPr>
            </w:pPr>
            <w:r>
              <w:rPr>
                <w:rFonts w:ascii="Arial" w:cs="Arial" w:eastAsia="Arial" w:hAnsi="Arial"/>
                <w:sz w:val="13"/>
                <w:szCs w:val="13"/>
                <w:color w:val="auto"/>
              </w:rPr>
              <w:t>Troy</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00" w:type="dxa"/>
            <w:vAlign w:val="bottom"/>
          </w:tcPr>
          <w:p>
            <w:pPr>
              <w:jc w:val="right"/>
              <w:spacing w:after="0"/>
              <w:rPr>
                <w:sz w:val="20"/>
                <w:szCs w:val="20"/>
                <w:color w:val="auto"/>
              </w:rPr>
            </w:pPr>
            <w:r>
              <w:rPr>
                <w:rFonts w:ascii="Arial" w:cs="Arial" w:eastAsia="Arial" w:hAnsi="Arial"/>
                <w:sz w:val="13"/>
                <w:szCs w:val="13"/>
                <w:color w:val="auto"/>
              </w:rPr>
              <w:t>1980</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29,848</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ind w:left="60"/>
              <w:spacing w:after="0"/>
              <w:rPr>
                <w:sz w:val="20"/>
                <w:szCs w:val="20"/>
                <w:color w:val="auto"/>
              </w:rPr>
            </w:pPr>
            <w:r>
              <w:rPr>
                <w:rFonts w:ascii="Arial" w:cs="Arial" w:eastAsia="Arial" w:hAnsi="Arial"/>
                <w:sz w:val="13"/>
                <w:szCs w:val="13"/>
                <w:color w:val="auto"/>
              </w:rPr>
              <w:t>64,000</w:t>
            </w:r>
          </w:p>
        </w:tc>
        <w:tc>
          <w:tcPr>
            <w:tcW w:w="940" w:type="dxa"/>
            <w:vAlign w:val="bottom"/>
          </w:tcPr>
          <w:p>
            <w:pPr>
              <w:ind w:left="80"/>
              <w:spacing w:after="0"/>
              <w:rPr>
                <w:sz w:val="20"/>
                <w:szCs w:val="20"/>
                <w:color w:val="auto"/>
              </w:rPr>
            </w:pPr>
            <w:r>
              <w:rPr>
                <w:rFonts w:ascii="Arial" w:cs="Arial" w:eastAsia="Arial" w:hAnsi="Arial"/>
                <w:sz w:val="13"/>
                <w:szCs w:val="13"/>
                <w:color w:val="auto"/>
              </w:rPr>
              <w:t>Pathmark</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w:t>
            </w:r>
          </w:p>
        </w:tc>
      </w:tr>
      <w:tr>
        <w:trPr>
          <w:trHeight w:val="97"/>
        </w:trPr>
        <w:tc>
          <w:tcPr>
            <w:tcW w:w="4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2100" w:type="dxa"/>
            <w:vAlign w:val="bottom"/>
            <w:tcBorders>
              <w:bottom w:val="single" w:sz="8" w:color="CCEEFF"/>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32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Total NY Metro/New Jersey</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491,050</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2,392,000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2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4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w:t>
            </w:r>
          </w:p>
        </w:tc>
        <w:tc>
          <w:tcPr>
            <w:tcW w:w="7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310,769</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3"/>
              </w:rPr>
              <w:t>AC Moore / Bed, Bath &amp; Beyond / Christmas Tree Shops /</w:t>
            </w:r>
          </w:p>
        </w:tc>
      </w:tr>
      <w:tr>
        <w:trPr>
          <w:trHeight w:val="17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w w:val="98"/>
              </w:rPr>
              <w:t>Marketplace/Assembly Row</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 / Staples / Sports Authority / TJ Maxx</w:t>
            </w: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42,561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7,316</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00" w:type="dxa"/>
            <w:vAlign w:val="bottom"/>
          </w:tcPr>
          <w:p>
            <w:pPr>
              <w:jc w:val="right"/>
              <w:spacing w:after="0"/>
              <w:rPr>
                <w:sz w:val="20"/>
                <w:szCs w:val="20"/>
                <w:color w:val="auto"/>
              </w:rPr>
            </w:pPr>
            <w:r>
              <w:rPr>
                <w:rFonts w:ascii="Arial" w:cs="Arial" w:eastAsia="Arial" w:hAnsi="Arial"/>
                <w:sz w:val="13"/>
                <w:szCs w:val="13"/>
                <w:color w:val="auto"/>
              </w:rPr>
              <w:t>2008</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34,507</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2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Linden Square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146,525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r>
      <w:tr>
        <w:trPr>
          <w:trHeight w:val="148"/>
        </w:trPr>
        <w:tc>
          <w:tcPr>
            <w:tcW w:w="16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17,968</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14,812</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 Stop &amp;</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2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576,510</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1,390,000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216"/>
        </w:trPr>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auto"/>
              </w:rPr>
              <w:t>Baltimore</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26,616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6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Acquired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Perring Plaza</w:t>
            </w: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rPr>
                <w:sz w:val="20"/>
                <w:szCs w:val="20"/>
                <w:color w:val="auto"/>
              </w:rPr>
            </w:pPr>
            <w:r>
              <w:rPr>
                <w:rFonts w:ascii="Arial" w:cs="Arial" w:eastAsia="Arial" w:hAnsi="Arial"/>
                <w:sz w:val="13"/>
                <w:szCs w:val="13"/>
                <w:color w:val="auto"/>
              </w:rPr>
              <w:t>1985</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29,724</w:t>
            </w:r>
          </w:p>
        </w:tc>
        <w:tc>
          <w:tcPr>
            <w:tcW w:w="68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395,000</w:t>
            </w: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ind w:left="60"/>
              <w:spacing w:after="0"/>
              <w:rPr>
                <w:sz w:val="20"/>
                <w:szCs w:val="20"/>
                <w:color w:val="auto"/>
              </w:rPr>
            </w:pPr>
            <w:r>
              <w:rPr>
                <w:rFonts w:ascii="Arial" w:cs="Arial" w:eastAsia="Arial" w:hAnsi="Arial"/>
                <w:sz w:val="13"/>
                <w:szCs w:val="13"/>
                <w:color w:val="auto"/>
              </w:rPr>
              <w:t>58,000</w:t>
            </w:r>
          </w:p>
        </w:tc>
        <w:tc>
          <w:tcPr>
            <w:tcW w:w="920" w:type="dxa"/>
            <w:vAlign w:val="bottom"/>
          </w:tcPr>
          <w:p>
            <w:pPr>
              <w:ind w:left="80"/>
              <w:spacing w:after="0"/>
              <w:rPr>
                <w:sz w:val="20"/>
                <w:szCs w:val="20"/>
                <w:color w:val="auto"/>
              </w:rPr>
            </w:pPr>
            <w:r>
              <w:rPr>
                <w:rFonts w:ascii="Arial" w:cs="Arial" w:eastAsia="Arial" w:hAnsi="Arial"/>
                <w:sz w:val="13"/>
                <w:szCs w:val="13"/>
                <w:color w:val="auto"/>
                <w:w w:val="92"/>
              </w:rPr>
              <w:t>Shoppers Food</w:t>
            </w:r>
          </w:p>
        </w:tc>
        <w:tc>
          <w:tcPr>
            <w:tcW w:w="3220" w:type="dxa"/>
            <w:vAlign w:val="bottom"/>
          </w:tcPr>
          <w:p>
            <w:pPr>
              <w:ind w:left="80"/>
              <w:spacing w:after="0"/>
              <w:rPr>
                <w:sz w:val="20"/>
                <w:szCs w:val="20"/>
                <w:color w:val="auto"/>
              </w:rPr>
            </w:pPr>
            <w:r>
              <w:rPr>
                <w:rFonts w:ascii="Arial" w:cs="Arial" w:eastAsia="Arial" w:hAnsi="Arial"/>
                <w:sz w:val="13"/>
                <w:szCs w:val="13"/>
                <w:color w:val="auto"/>
                <w:w w:val="97"/>
              </w:rPr>
              <w:t>Home Depot / Burlington Coat Factory / Jo-Ann Stores /</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tcPr>
          <w:p>
            <w:pPr>
              <w:ind w:left="80"/>
              <w:spacing w:after="0"/>
              <w:rPr>
                <w:sz w:val="20"/>
                <w:szCs w:val="20"/>
                <w:color w:val="auto"/>
              </w:rPr>
            </w:pPr>
            <w:r>
              <w:rPr>
                <w:rFonts w:ascii="Arial" w:cs="Arial" w:eastAsia="Arial" w:hAnsi="Arial"/>
                <w:sz w:val="13"/>
                <w:szCs w:val="13"/>
                <w:color w:val="auto"/>
              </w:rPr>
              <w:t>Micro Center</w:t>
            </w: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w w:val="91"/>
              </w:rPr>
              <w:t>THE AVENUE at White Marsh</w:t>
            </w:r>
          </w:p>
        </w:tc>
        <w:tc>
          <w:tcPr>
            <w:tcW w:w="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97,140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54,452</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AMC Loews / Old Navy / Barnes &amp; Noble / AC Moore</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20" w:type="dxa"/>
            <w:vAlign w:val="bottom"/>
            <w:gridSpan w:val="5"/>
          </w:tcPr>
          <w:p>
            <w:pPr>
              <w:spacing w:after="0" w:line="148" w:lineRule="exact"/>
              <w:rPr>
                <w:sz w:val="20"/>
                <w:szCs w:val="20"/>
                <w:color w:val="auto"/>
              </w:rPr>
            </w:pPr>
            <w:r>
              <w:rPr>
                <w:rFonts w:ascii="Arial" w:cs="Arial" w:eastAsia="Arial" w:hAnsi="Arial"/>
                <w:sz w:val="13"/>
                <w:szCs w:val="13"/>
                <w:color w:val="auto"/>
                <w:w w:val="98"/>
              </w:rPr>
              <w:t>The Shoppes at Nottingham</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17,327</w:t>
            </w:r>
          </w:p>
        </w:tc>
        <w:tc>
          <w:tcPr>
            <w:tcW w:w="68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Square</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White Marsh Plaza</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25,088</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White Marsh Other</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rPr>
                <w:sz w:val="20"/>
                <w:szCs w:val="20"/>
                <w:color w:val="auto"/>
              </w:rPr>
            </w:pPr>
            <w:r>
              <w:rPr>
                <w:rFonts w:ascii="Arial" w:cs="Arial" w:eastAsia="Arial" w:hAnsi="Arial"/>
                <w:sz w:val="13"/>
                <w:szCs w:val="13"/>
                <w:color w:val="auto"/>
              </w:rPr>
              <w:t>2007</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36,194</w:t>
            </w:r>
          </w:p>
        </w:tc>
        <w:tc>
          <w:tcPr>
            <w:tcW w:w="68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Baltimore</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232,089</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1,141,000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Crossroads</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30,927</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Golfsmith / Guitar Center / L.A. Fitness</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Finley Square</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00" w:type="dxa"/>
            <w:vAlign w:val="bottom"/>
          </w:tcPr>
          <w:p>
            <w:pPr>
              <w:jc w:val="right"/>
              <w:spacing w:after="0"/>
              <w:rPr>
                <w:sz w:val="20"/>
                <w:szCs w:val="20"/>
                <w:color w:val="auto"/>
              </w:rPr>
            </w:pPr>
            <w:r>
              <w:rPr>
                <w:rFonts w:ascii="Arial" w:cs="Arial" w:eastAsia="Arial" w:hAnsi="Arial"/>
                <w:sz w:val="13"/>
                <w:szCs w:val="13"/>
                <w:color w:val="auto"/>
              </w:rPr>
              <w:t>1995</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32,444</w:t>
            </w:r>
          </w:p>
        </w:tc>
        <w:tc>
          <w:tcPr>
            <w:tcW w:w="68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314,000</w:t>
            </w: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20" w:type="dxa"/>
            <w:vAlign w:val="bottom"/>
          </w:tcPr>
          <w:p>
            <w:pPr>
              <w:ind w:left="80"/>
              <w:spacing w:after="0"/>
              <w:rPr>
                <w:sz w:val="20"/>
                <w:szCs w:val="20"/>
                <w:color w:val="auto"/>
              </w:rPr>
            </w:pPr>
            <w:r>
              <w:rPr>
                <w:rFonts w:ascii="Arial" w:cs="Arial" w:eastAsia="Arial" w:hAnsi="Arial"/>
                <w:sz w:val="13"/>
                <w:szCs w:val="13"/>
                <w:color w:val="auto"/>
              </w:rPr>
              <w:t>Bed, Bath &amp; Beyond / Buy Buy Baby / Petsmart</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Garden Market</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12,577</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North Lake Commons</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00" w:type="dxa"/>
            <w:vAlign w:val="bottom"/>
          </w:tcPr>
          <w:p>
            <w:pPr>
              <w:jc w:val="right"/>
              <w:spacing w:after="0"/>
              <w:rPr>
                <w:sz w:val="20"/>
                <w:szCs w:val="20"/>
                <w:color w:val="auto"/>
              </w:rPr>
            </w:pPr>
            <w:r>
              <w:rPr>
                <w:rFonts w:ascii="Arial" w:cs="Arial" w:eastAsia="Arial" w:hAnsi="Arial"/>
                <w:sz w:val="13"/>
                <w:szCs w:val="13"/>
                <w:color w:val="auto"/>
              </w:rPr>
              <w:t>1994</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16,523</w:t>
            </w:r>
          </w:p>
        </w:tc>
        <w:tc>
          <w:tcPr>
            <w:tcW w:w="68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77,000</w:t>
            </w:r>
          </w:p>
        </w:tc>
        <w:tc>
          <w:tcPr>
            <w:tcW w:w="92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Chicago</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92,471</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751,000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Courtyard Shops</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Miami-Ft Lauderdale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40,534</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Del Mar Village</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Miami-Ft Lauderdale</w:t>
            </w:r>
          </w:p>
        </w:tc>
        <w:tc>
          <w:tcPr>
            <w:tcW w:w="600" w:type="dxa"/>
            <w:vAlign w:val="bottom"/>
          </w:tcPr>
          <w:p>
            <w:pPr>
              <w:jc w:val="right"/>
              <w:spacing w:after="0"/>
              <w:rPr>
                <w:sz w:val="20"/>
                <w:szCs w:val="20"/>
                <w:color w:val="auto"/>
              </w:rPr>
            </w:pPr>
            <w:r>
              <w:rPr>
                <w:rFonts w:ascii="Arial" w:cs="Arial" w:eastAsia="Arial" w:hAnsi="Arial"/>
                <w:sz w:val="13"/>
                <w:szCs w:val="13"/>
                <w:color w:val="auto"/>
              </w:rPr>
              <w:t>2008</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55,704</w:t>
            </w:r>
          </w:p>
        </w:tc>
        <w:tc>
          <w:tcPr>
            <w:tcW w:w="68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Pr>
          <w:p>
            <w:pPr>
              <w:jc w:val="right"/>
              <w:spacing w:after="0"/>
              <w:rPr>
                <w:sz w:val="20"/>
                <w:szCs w:val="20"/>
                <w:color w:val="auto"/>
              </w:rPr>
            </w:pPr>
            <w:r>
              <w:rPr>
                <w:rFonts w:ascii="Arial" w:cs="Arial" w:eastAsia="Arial" w:hAnsi="Arial"/>
                <w:sz w:val="13"/>
                <w:szCs w:val="13"/>
                <w:color w:val="auto"/>
              </w:rPr>
              <w:t>79%</w:t>
            </w:r>
          </w:p>
        </w:tc>
        <w:tc>
          <w:tcPr>
            <w:tcW w:w="580" w:type="dxa"/>
            <w:vAlign w:val="bottom"/>
          </w:tcPr>
          <w:p>
            <w:pPr>
              <w:ind w:left="60"/>
              <w:spacing w:after="0"/>
              <w:rPr>
                <w:sz w:val="20"/>
                <w:szCs w:val="20"/>
                <w:color w:val="auto"/>
              </w:rPr>
            </w:pPr>
            <w:r>
              <w:rPr>
                <w:rFonts w:ascii="Arial" w:cs="Arial" w:eastAsia="Arial" w:hAnsi="Arial"/>
                <w:sz w:val="13"/>
                <w:szCs w:val="13"/>
                <w:color w:val="auto"/>
              </w:rPr>
              <w:t>44,000</w:t>
            </w:r>
          </w:p>
        </w:tc>
        <w:tc>
          <w:tcPr>
            <w:tcW w:w="9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Pr>
          <w:p>
            <w:pPr>
              <w:ind w:left="8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2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color w:val="auto"/>
              </w:rPr>
              <w:t>Tower Shops</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Miami-Ft Lauderdale</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7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77,801</w:t>
            </w: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369,000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 Ulta</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South Florida</w:t>
            </w:r>
          </w:p>
        </w:tc>
        <w:tc>
          <w:tcPr>
            <w:tcW w:w="6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174,039</w:t>
            </w:r>
          </w:p>
        </w:tc>
        <w:tc>
          <w:tcPr>
            <w:tcW w:w="68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678,000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2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20" w:type="dxa"/>
            <w:vAlign w:val="bottom"/>
            <w:gridSpan w:val="5"/>
          </w:tcPr>
          <w:p>
            <w:pPr>
              <w:spacing w:after="0" w:line="148" w:lineRule="exact"/>
              <w:rPr>
                <w:sz w:val="20"/>
                <w:szCs w:val="20"/>
                <w:color w:val="auto"/>
              </w:rPr>
            </w:pPr>
            <w:r>
              <w:rPr>
                <w:rFonts w:ascii="Arial" w:cs="Arial" w:eastAsia="Arial" w:hAnsi="Arial"/>
                <w:sz w:val="13"/>
                <w:szCs w:val="13"/>
                <w:color w:val="auto"/>
              </w:rPr>
              <w:t>Barracks Road</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Charlottesville, VA</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58,369</w:t>
            </w:r>
          </w:p>
        </w:tc>
        <w:tc>
          <w:tcPr>
            <w:tcW w:w="6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37,327</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8"/>
              </w:rPr>
              <w:t>Harris Teeter /</w:t>
            </w:r>
          </w:p>
        </w:tc>
        <w:tc>
          <w:tcPr>
            <w:tcW w:w="3220" w:type="dxa"/>
            <w:vAlign w:val="bottom"/>
          </w:tcPr>
          <w:p>
            <w:pPr>
              <w:ind w:left="80"/>
              <w:spacing w:after="0" w:line="148" w:lineRule="exact"/>
              <w:rPr>
                <w:sz w:val="20"/>
                <w:szCs w:val="20"/>
                <w:color w:val="auto"/>
              </w:rPr>
            </w:pPr>
            <w:r>
              <w:rPr>
                <w:rFonts w:ascii="Arial" w:cs="Arial" w:eastAsia="Arial" w:hAnsi="Arial"/>
                <w:sz w:val="13"/>
                <w:szCs w:val="13"/>
                <w:color w:val="auto"/>
                <w:w w:val="91"/>
              </w:rPr>
              <w:t>Anthropologie / Bed, Bath &amp; Beyond / Barnes &amp; Noble / Old</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80"/>
              <w:spacing w:after="0"/>
              <w:rPr>
                <w:sz w:val="20"/>
                <w:szCs w:val="20"/>
                <w:color w:val="auto"/>
              </w:rPr>
            </w:pPr>
            <w:r>
              <w:rPr>
                <w:rFonts w:ascii="Arial" w:cs="Arial" w:eastAsia="Arial" w:hAnsi="Arial"/>
                <w:sz w:val="13"/>
                <w:szCs w:val="13"/>
                <w:color w:val="auto"/>
              </w:rPr>
              <w:t>Navy / Michaels / Ulta</w:t>
            </w: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Bristol Plaza</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Hartford, CT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29,549</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20" w:type="dxa"/>
            <w:vAlign w:val="bottom"/>
            <w:gridSpan w:val="5"/>
          </w:tcPr>
          <w:p>
            <w:pPr>
              <w:spacing w:after="0" w:line="148" w:lineRule="exact"/>
              <w:rPr>
                <w:sz w:val="20"/>
                <w:szCs w:val="20"/>
                <w:color w:val="auto"/>
              </w:rPr>
            </w:pPr>
            <w:r>
              <w:rPr>
                <w:rFonts w:ascii="Arial" w:cs="Arial" w:eastAsia="Arial" w:hAnsi="Arial"/>
                <w:sz w:val="13"/>
                <w:szCs w:val="13"/>
                <w:color w:val="auto"/>
              </w:rPr>
              <w:t>Eastgate</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8"/>
              </w:rPr>
              <w:t>Raleigh-Durham-Chapel</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26,935</w:t>
            </w:r>
          </w:p>
        </w:tc>
        <w:tc>
          <w:tcPr>
            <w:tcW w:w="68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152,000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tcPr>
          <w:p>
            <w:pPr>
              <w:ind w:left="80"/>
              <w:spacing w:after="0" w:line="148"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Hill, NC</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Gratiot Plaza</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Detroit, MI</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19,056</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Bed, Bath &amp; Beyond / Best Buy / DSW</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Houston St</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Antonio, TX</w:t>
            </w:r>
          </w:p>
        </w:tc>
        <w:tc>
          <w:tcPr>
            <w:tcW w:w="600" w:type="dxa"/>
            <w:vAlign w:val="bottom"/>
          </w:tcPr>
          <w:p>
            <w:pPr>
              <w:jc w:val="right"/>
              <w:spacing w:after="0"/>
              <w:rPr>
                <w:sz w:val="20"/>
                <w:szCs w:val="20"/>
                <w:color w:val="auto"/>
              </w:rPr>
            </w:pPr>
            <w:r>
              <w:rPr>
                <w:rFonts w:ascii="Arial" w:cs="Arial" w:eastAsia="Arial" w:hAnsi="Arial"/>
                <w:sz w:val="13"/>
                <w:szCs w:val="13"/>
                <w:color w:val="auto"/>
              </w:rPr>
              <w:t>1998</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61,781</w:t>
            </w:r>
          </w:p>
        </w:tc>
        <w:tc>
          <w:tcPr>
            <w:tcW w:w="68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175,000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20" w:type="dxa"/>
            <w:vAlign w:val="bottom"/>
          </w:tcPr>
          <w:p>
            <w:pPr>
              <w:ind w:left="80"/>
              <w:spacing w:after="0"/>
              <w:rPr>
                <w:sz w:val="20"/>
                <w:szCs w:val="20"/>
                <w:color w:val="auto"/>
              </w:rPr>
            </w:pPr>
            <w:r>
              <w:rPr>
                <w:rFonts w:ascii="Arial" w:cs="Arial" w:eastAsia="Arial" w:hAnsi="Arial"/>
                <w:sz w:val="13"/>
                <w:szCs w:val="13"/>
                <w:color w:val="auto"/>
              </w:rPr>
              <w:t>Hotel Valencia / Walgreens</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Lancaster</w:t>
            </w:r>
          </w:p>
        </w:tc>
        <w:tc>
          <w:tcPr>
            <w:tcW w:w="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(7)</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Lancaster, PA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13,519</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4,907</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w w:val="94"/>
              </w:rPr>
              <w:t>29th Place (Shoppers' World)</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Charlottesville, VA</w:t>
            </w:r>
          </w:p>
        </w:tc>
        <w:tc>
          <w:tcPr>
            <w:tcW w:w="600" w:type="dxa"/>
            <w:vAlign w:val="bottom"/>
          </w:tcPr>
          <w:p>
            <w:pPr>
              <w:jc w:val="right"/>
              <w:spacing w:after="0"/>
              <w:rPr>
                <w:sz w:val="20"/>
                <w:szCs w:val="20"/>
                <w:color w:val="auto"/>
              </w:rPr>
            </w:pPr>
            <w:r>
              <w:rPr>
                <w:rFonts w:ascii="Arial" w:cs="Arial" w:eastAsia="Arial" w:hAnsi="Arial"/>
                <w:sz w:val="13"/>
                <w:szCs w:val="13"/>
                <w:color w:val="auto"/>
              </w:rPr>
              <w:t>2007</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39,705</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5,162</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20" w:type="dxa"/>
            <w:vAlign w:val="bottom"/>
          </w:tcPr>
          <w:p>
            <w:pPr>
              <w:ind w:left="80"/>
              <w:spacing w:after="0"/>
              <w:rPr>
                <w:sz w:val="20"/>
                <w:szCs w:val="20"/>
                <w:color w:val="auto"/>
              </w:rPr>
            </w:pPr>
            <w:r>
              <w:rPr>
                <w:rFonts w:ascii="Arial" w:cs="Arial" w:eastAsia="Arial" w:hAnsi="Arial"/>
                <w:sz w:val="13"/>
                <w:szCs w:val="13"/>
                <w:color w:val="auto"/>
              </w:rPr>
              <w:t>DSW / HomeGoods / Staples / Stein Mart</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Shops at Willow Lawn</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Richmond-Petersburg, VA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82,147</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9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Old Navy / Staples / Ross Dress For Less</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Other</w:t>
            </w:r>
          </w:p>
        </w:tc>
        <w:tc>
          <w:tcPr>
            <w:tcW w:w="6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331,061</w:t>
            </w:r>
          </w:p>
        </w:tc>
        <w:tc>
          <w:tcPr>
            <w:tcW w:w="68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2,043,000</w:t>
            </w: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3"/>
                <w:szCs w:val="13"/>
                <w:b w:val="1"/>
                <w:bCs w:val="1"/>
                <w:color w:val="auto"/>
              </w:rPr>
              <w:t>Grand Total</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$ 5,027,082</w:t>
            </w:r>
          </w:p>
        </w:tc>
        <w:tc>
          <w:tcPr>
            <w:tcW w:w="680" w:type="dxa"/>
            <w:vAlign w:val="bottom"/>
          </w:tcPr>
          <w:p>
            <w:pPr>
              <w:jc w:val="right"/>
              <w:ind w:right="58"/>
              <w:spacing w:after="0"/>
              <w:rPr>
                <w:sz w:val="20"/>
                <w:szCs w:val="20"/>
                <w:color w:val="auto"/>
              </w:rPr>
            </w:pPr>
            <w:r>
              <w:rPr>
                <w:rFonts w:ascii="Arial" w:cs="Arial" w:eastAsia="Arial" w:hAnsi="Arial"/>
                <w:sz w:val="13"/>
                <w:szCs w:val="13"/>
                <w:b w:val="1"/>
                <w:bCs w:val="1"/>
                <w:color w:val="auto"/>
                <w:w w:val="93"/>
              </w:rPr>
              <w:t>$ 782,114</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19,531,000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620" w:type="dxa"/>
            <w:vAlign w:val="bottom"/>
            <w:gridSpan w:val="5"/>
          </w:tcPr>
          <w:p>
            <w:pPr>
              <w:spacing w:after="0"/>
              <w:rPr>
                <w:sz w:val="20"/>
                <w:szCs w:val="20"/>
                <w:color w:val="auto"/>
              </w:rPr>
            </w:pPr>
            <w:r>
              <w:rPr>
                <w:rFonts w:ascii="Arial" w:cs="Arial" w:eastAsia="Arial" w:hAnsi="Arial"/>
                <w:sz w:val="13"/>
                <w:szCs w:val="13"/>
                <w:color w:val="auto"/>
              </w:rPr>
              <w:t>Notes: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7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60" w:type="dxa"/>
            <w:vAlign w:val="bottom"/>
            <w:gridSpan w:val="10"/>
          </w:tcPr>
          <w:p>
            <w:pPr>
              <w:ind w:left="40"/>
              <w:spacing w:after="0"/>
              <w:rPr>
                <w:sz w:val="20"/>
                <w:szCs w:val="20"/>
                <w:color w:val="auto"/>
              </w:rPr>
            </w:pPr>
            <w:r>
              <w:rPr>
                <w:rFonts w:ascii="Arial" w:cs="Arial" w:eastAsia="Arial" w:hAnsi="Arial"/>
                <w:sz w:val="13"/>
                <w:szCs w:val="13"/>
                <w:color w:val="auto"/>
                <w:w w:val="93"/>
              </w:rPr>
              <w:t>The mortgage or capital lease obligations differ from the total reported on the consolidated balance sheet due to the unamortized discount or premium on certain mortgage payables.</w:t>
            </w:r>
          </w:p>
        </w:tc>
        <w:tc>
          <w:tcPr>
            <w:tcW w:w="0" w:type="dxa"/>
            <w:vAlign w:val="bottom"/>
          </w:tcPr>
          <w:p>
            <w:pPr>
              <w:spacing w:after="0"/>
              <w:rPr>
                <w:sz w:val="1"/>
                <w:szCs w:val="1"/>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40" w:type="dxa"/>
            <w:vAlign w:val="bottom"/>
            <w:gridSpan w:val="9"/>
          </w:tcPr>
          <w:p>
            <w:pPr>
              <w:ind w:left="40"/>
              <w:spacing w:after="0"/>
              <w:rPr>
                <w:sz w:val="20"/>
                <w:szCs w:val="20"/>
                <w:color w:val="auto"/>
              </w:rPr>
            </w:pPr>
            <w:r>
              <w:rPr>
                <w:rFonts w:ascii="Arial" w:cs="Arial" w:eastAsia="Arial" w:hAnsi="Arial"/>
                <w:sz w:val="13"/>
                <w:szCs w:val="13"/>
                <w:color w:val="auto"/>
                <w:w w:val="93"/>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160" w:type="dxa"/>
            <w:vAlign w:val="bottom"/>
            <w:gridSpan w:val="4"/>
          </w:tcPr>
          <w:p>
            <w:pPr>
              <w:ind w:left="40"/>
              <w:spacing w:after="0"/>
              <w:rPr>
                <w:sz w:val="20"/>
                <w:szCs w:val="20"/>
                <w:color w:val="auto"/>
              </w:rPr>
            </w:pPr>
            <w:r>
              <w:rPr>
                <w:rFonts w:ascii="Arial" w:cs="Arial" w:eastAsia="Arial" w:hAnsi="Arial"/>
                <w:sz w:val="13"/>
                <w:szCs w:val="13"/>
                <w:color w:val="auto"/>
              </w:rPr>
              <w:t>Portion of property subject to capital lease obligation.</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160" w:type="dxa"/>
            <w:vAlign w:val="bottom"/>
            <w:gridSpan w:val="4"/>
          </w:tcPr>
          <w:p>
            <w:pPr>
              <w:ind w:left="40"/>
              <w:spacing w:after="0"/>
              <w:rPr>
                <w:sz w:val="20"/>
                <w:szCs w:val="20"/>
                <w:color w:val="auto"/>
              </w:rPr>
            </w:pPr>
            <w:r>
              <w:rPr>
                <w:rFonts w:ascii="Arial" w:cs="Arial" w:eastAsia="Arial" w:hAnsi="Arial"/>
                <w:sz w:val="13"/>
                <w:szCs w:val="13"/>
                <w:color w:val="auto"/>
                <w:w w:val="90"/>
              </w:rPr>
              <w:t>The Trust has a controlling financial interest in this property.</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60" w:type="dxa"/>
            <w:vAlign w:val="bottom"/>
            <w:gridSpan w:val="10"/>
          </w:tcPr>
          <w:p>
            <w:pPr>
              <w:ind w:left="40"/>
              <w:spacing w:after="0"/>
              <w:rPr>
                <w:sz w:val="20"/>
                <w:szCs w:val="20"/>
                <w:color w:val="auto"/>
              </w:rPr>
            </w:pPr>
            <w:r>
              <w:rPr>
                <w:rFonts w:ascii="Arial" w:cs="Arial" w:eastAsia="Arial" w:hAnsi="Arial"/>
                <w:sz w:val="13"/>
                <w:szCs w:val="13"/>
                <w:color w:val="auto"/>
                <w:w w:val="91"/>
              </w:rPr>
              <w:t>All or a portion of the property is owned in a "downreit" partnership, of which a wholly owned subsidiary of the Trust is the sole general partner, with third party partners holding operating</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80" w:type="dxa"/>
            <w:vAlign w:val="bottom"/>
            <w:gridSpan w:val="2"/>
          </w:tcPr>
          <w:p>
            <w:pPr>
              <w:ind w:left="40"/>
              <w:spacing w:after="0"/>
              <w:rPr>
                <w:sz w:val="20"/>
                <w:szCs w:val="20"/>
                <w:color w:val="auto"/>
              </w:rPr>
            </w:pPr>
            <w:r>
              <w:rPr>
                <w:rFonts w:ascii="Arial" w:cs="Arial" w:eastAsia="Arial" w:hAnsi="Arial"/>
                <w:sz w:val="13"/>
                <w:szCs w:val="13"/>
                <w:color w:val="auto"/>
              </w:rPr>
              <w:t>partnership units.</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500" w:type="dxa"/>
            <w:vAlign w:val="bottom"/>
            <w:gridSpan w:val="6"/>
          </w:tcPr>
          <w:p>
            <w:pPr>
              <w:ind w:left="40"/>
              <w:spacing w:after="0"/>
              <w:rPr>
                <w:sz w:val="20"/>
                <w:szCs w:val="20"/>
                <w:color w:val="auto"/>
              </w:rPr>
            </w:pPr>
            <w:r>
              <w:rPr>
                <w:rFonts w:ascii="Arial" w:cs="Arial" w:eastAsia="Arial" w:hAnsi="Arial"/>
                <w:sz w:val="13"/>
                <w:szCs w:val="13"/>
                <w:color w:val="auto"/>
                <w:w w:val="89"/>
              </w:rPr>
              <w:t>Includes a 100% owned, 8.1 acre land parcel to be used for The Point redevelopment.</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gridSpan w:val="3"/>
          </w:tcPr>
          <w:p>
            <w:pPr>
              <w:ind w:left="40"/>
              <w:spacing w:after="0"/>
              <w:rPr>
                <w:sz w:val="20"/>
                <w:szCs w:val="20"/>
                <w:color w:val="auto"/>
              </w:rPr>
            </w:pPr>
            <w:r>
              <w:rPr>
                <w:rFonts w:ascii="Arial" w:cs="Arial" w:eastAsia="Arial" w:hAnsi="Arial"/>
                <w:sz w:val="13"/>
                <w:szCs w:val="13"/>
                <w:color w:val="auto"/>
                <w:w w:val="93"/>
              </w:rPr>
              <w:t>Property subject to capital lease obligation.</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60" w:type="dxa"/>
            <w:vAlign w:val="bottom"/>
            <w:gridSpan w:val="10"/>
          </w:tcPr>
          <w:p>
            <w:pPr>
              <w:ind w:left="40"/>
              <w:spacing w:after="0"/>
              <w:rPr>
                <w:sz w:val="20"/>
                <w:szCs w:val="20"/>
                <w:color w:val="auto"/>
              </w:rPr>
            </w:pPr>
            <w:r>
              <w:rPr>
                <w:rFonts w:ascii="Arial" w:cs="Arial" w:eastAsia="Arial" w:hAnsi="Arial"/>
                <w:sz w:val="13"/>
                <w:szCs w:val="13"/>
                <w:color w:val="auto"/>
                <w:w w:val="89"/>
              </w:rPr>
              <w:t>On October 16, 2006, the Trust acquired control of Melville Mall through a 20 year master lease and secondary financing. Since the Trust controls this property and retains substantially all of</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40" w:type="dxa"/>
            <w:vAlign w:val="bottom"/>
            <w:gridSpan w:val="7"/>
          </w:tcPr>
          <w:p>
            <w:pPr>
              <w:ind w:left="40"/>
              <w:spacing w:after="0"/>
              <w:rPr>
                <w:sz w:val="20"/>
                <w:szCs w:val="20"/>
                <w:color w:val="auto"/>
              </w:rPr>
            </w:pPr>
            <w:r>
              <w:rPr>
                <w:rFonts w:ascii="Arial" w:cs="Arial" w:eastAsia="Arial" w:hAnsi="Arial"/>
                <w:sz w:val="13"/>
                <w:szCs w:val="13"/>
                <w:color w:val="auto"/>
                <w:w w:val="89"/>
              </w:rPr>
              <w:t>the economic benefit and risks associated with it, we consolidate this property and its operations.</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58"/>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58"/>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58"/>
        <w:spacing w:after="0"/>
        <w:rPr>
          <w:sz w:val="20"/>
          <w:szCs w:val="20"/>
          <w:color w:val="auto"/>
        </w:rPr>
      </w:pPr>
      <w:r>
        <w:rPr>
          <w:rFonts w:ascii="Arial" w:cs="Arial" w:eastAsia="Arial" w:hAnsi="Arial"/>
          <w:sz w:val="16"/>
          <w:szCs w:val="16"/>
          <w:b w:val="1"/>
          <w:bCs w:val="1"/>
          <w:color w:val="auto"/>
        </w:rPr>
        <w:t>September 30, 2013</w:t>
      </w:r>
    </w:p>
    <w:p>
      <w:pPr>
        <w:spacing w:after="0" w:line="266" w:lineRule="exact"/>
        <w:rPr>
          <w:sz w:val="20"/>
          <w:szCs w:val="20"/>
          <w:color w:val="auto"/>
        </w:rPr>
      </w:pPr>
    </w:p>
    <w:p>
      <w:pPr>
        <w:ind w:left="58"/>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38"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76"/>
              <w:spacing w:after="0"/>
              <w:rPr>
                <w:sz w:val="20"/>
                <w:szCs w:val="20"/>
                <w:color w:val="auto"/>
              </w:rPr>
            </w:pPr>
            <w:r>
              <w:rPr>
                <w:rFonts w:ascii="Arial" w:cs="Arial" w:eastAsia="Arial" w:hAnsi="Arial"/>
                <w:sz w:val="11"/>
                <w:szCs w:val="11"/>
                <w:b w:val="1"/>
                <w:bCs w:val="1"/>
                <w:color w:val="auto"/>
                <w:w w:val="88"/>
              </w:rPr>
              <w:t>Tenant</w:t>
            </w:r>
          </w:p>
        </w:tc>
        <w:tc>
          <w:tcPr>
            <w:tcW w:w="280" w:type="dxa"/>
            <w:vAlign w:val="bottom"/>
          </w:tcPr>
          <w:p>
            <w:pPr>
              <w:spacing w:after="0"/>
              <w:rPr>
                <w:sz w:val="10"/>
                <w:szCs w:val="10"/>
                <w:color w:val="auto"/>
              </w:rPr>
            </w:pP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Prior Rent</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3"/>
              </w:rPr>
              <w:t>% Increase</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Basis %</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40" w:type="dxa"/>
            <w:vAlign w:val="bottom"/>
            <w:gridSpan w:val="2"/>
          </w:tcPr>
          <w:p>
            <w:pPr>
              <w:jc w:val="center"/>
              <w:ind w:right="16"/>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280" w:type="dxa"/>
            <w:vAlign w:val="bottom"/>
          </w:tcPr>
          <w:p>
            <w:pPr>
              <w:spacing w:after="0"/>
              <w:rPr>
                <w:sz w:val="10"/>
                <w:szCs w:val="10"/>
                <w:color w:val="auto"/>
              </w:rPr>
            </w:pP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Comparable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(4) Per Sq.</w:t>
            </w: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6"/>
              </w:rPr>
              <w:t>Over Prior</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4"/>
              </w:rPr>
              <w:t>Incentives Per Sq.</w:t>
            </w:r>
          </w:p>
        </w:tc>
        <w:tc>
          <w:tcPr>
            <w:tcW w:w="280" w:type="dxa"/>
            <w:vAlign w:val="bottom"/>
          </w:tcPr>
          <w:p>
            <w:pPr>
              <w:spacing w:after="0"/>
              <w:rPr>
                <w:sz w:val="10"/>
                <w:szCs w:val="10"/>
                <w:color w:val="auto"/>
              </w:rPr>
            </w:pPr>
          </w:p>
        </w:tc>
      </w:tr>
      <w:tr>
        <w:trPr>
          <w:trHeight w:val="140"/>
        </w:trPr>
        <w:tc>
          <w:tcPr>
            <w:tcW w:w="1460" w:type="dxa"/>
            <w:vAlign w:val="bottom"/>
          </w:tcPr>
          <w:p>
            <w:pPr>
              <w:ind w:left="54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ind w:left="20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in Rent</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60" w:type="dxa"/>
            <w:vAlign w:val="bottom"/>
          </w:tcPr>
          <w:p>
            <w:pPr>
              <w:jc w:val="center"/>
              <w:ind w:right="176"/>
              <w:spacing w:after="0"/>
              <w:rPr>
                <w:sz w:val="20"/>
                <w:szCs w:val="20"/>
                <w:color w:val="auto"/>
              </w:rPr>
            </w:pPr>
            <w:r>
              <w:rPr>
                <w:rFonts w:ascii="Arial" w:cs="Arial" w:eastAsia="Arial" w:hAnsi="Arial"/>
                <w:sz w:val="11"/>
                <w:szCs w:val="11"/>
                <w:b w:val="1"/>
                <w:bCs w:val="1"/>
                <w:color w:val="auto"/>
                <w:w w:val="88"/>
              </w:rPr>
              <w:t>Ft.</w:t>
            </w:r>
          </w:p>
        </w:tc>
        <w:tc>
          <w:tcPr>
            <w:tcW w:w="280" w:type="dxa"/>
            <w:vAlign w:val="bottom"/>
          </w:tcPr>
          <w:p>
            <w:pPr>
              <w:spacing w:after="0"/>
              <w:rPr>
                <w:sz w:val="12"/>
                <w:szCs w:val="12"/>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50"/>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273,505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39.12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w w:val="96"/>
              </w:rPr>
              <w:t>1,767,856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5,355,091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19.58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3"/>
        </w:trPr>
        <w:tc>
          <w:tcPr>
            <w:tcW w:w="1460" w:type="dxa"/>
            <w:vAlign w:val="bottom"/>
          </w:tcPr>
          <w:p>
            <w:pPr>
              <w:ind w:left="20"/>
              <w:spacing w:after="0"/>
              <w:rPr>
                <w:sz w:val="20"/>
                <w:szCs w:val="20"/>
                <w:color w:val="auto"/>
              </w:rPr>
            </w:pPr>
            <w:r>
              <w:rPr>
                <w:rFonts w:ascii="Arial" w:cs="Arial" w:eastAsia="Arial" w:hAnsi="Arial"/>
                <w:sz w:val="14"/>
                <w:szCs w:val="14"/>
                <w:color w:val="auto"/>
              </w:rPr>
              <w:t>2nd Quarter 2013 (8)</w:t>
            </w:r>
          </w:p>
        </w:tc>
        <w:tc>
          <w:tcPr>
            <w:tcW w:w="580" w:type="dxa"/>
            <w:vAlign w:val="bottom"/>
          </w:tcPr>
          <w:p>
            <w:pPr>
              <w:jc w:val="right"/>
              <w:ind w:right="5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446,334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8"/>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$25.42</w:t>
            </w:r>
          </w:p>
        </w:tc>
        <w:tc>
          <w:tcPr>
            <w:tcW w:w="100" w:type="dxa"/>
            <w:vAlign w:val="bottom"/>
          </w:tcPr>
          <w:p>
            <w:pPr>
              <w:spacing w:after="0"/>
              <w:rPr>
                <w:sz w:val="22"/>
                <w:szCs w:val="22"/>
                <w:color w:val="auto"/>
              </w:rPr>
            </w:pP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5"/>
              <w:spacing w:after="0"/>
              <w:rPr>
                <w:sz w:val="20"/>
                <w:szCs w:val="20"/>
                <w:color w:val="auto"/>
              </w:rPr>
            </w:pPr>
            <w:r>
              <w:rPr>
                <w:rFonts w:ascii="Arial" w:cs="Arial" w:eastAsia="Arial" w:hAnsi="Arial"/>
                <w:sz w:val="14"/>
                <w:szCs w:val="14"/>
                <w:color w:val="auto"/>
                <w:w w:val="96"/>
              </w:rPr>
              <w:t>2,476,132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8,518,843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6"/>
              <w:spacing w:after="0"/>
              <w:rPr>
                <w:sz w:val="20"/>
                <w:szCs w:val="20"/>
                <w:color w:val="auto"/>
              </w:rPr>
            </w:pPr>
            <w:r>
              <w:rPr>
                <w:rFonts w:ascii="Arial" w:cs="Arial" w:eastAsia="Arial" w:hAnsi="Arial"/>
                <w:sz w:val="14"/>
                <w:szCs w:val="14"/>
                <w:color w:val="auto"/>
              </w:rPr>
              <w:t>19.09</w:t>
            </w:r>
          </w:p>
        </w:tc>
        <w:tc>
          <w:tcPr>
            <w:tcW w:w="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7"/>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1st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254,282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989,501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7,291,311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28.67</w:t>
            </w:r>
          </w:p>
        </w:tc>
        <w:tc>
          <w:tcPr>
            <w:tcW w:w="280" w:type="dxa"/>
            <w:vAlign w:val="bottom"/>
            <w:shd w:val="clear" w:color="auto" w:fill="CCEEFF"/>
          </w:tcPr>
          <w:p>
            <w:pPr>
              <w:spacing w:after="0"/>
              <w:rPr>
                <w:sz w:val="24"/>
                <w:szCs w:val="24"/>
                <w:color w:val="auto"/>
              </w:rPr>
            </w:pPr>
          </w:p>
        </w:tc>
      </w:tr>
      <w:tr>
        <w:trPr>
          <w:trHeight w:val="264"/>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4th Quarter 2012</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478,913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32.17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$28.71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6"/>
              </w:rPr>
              <w:t>1,657,748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7,982,782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16.67</w:t>
            </w:r>
          </w:p>
        </w:tc>
        <w:tc>
          <w:tcPr>
            <w:tcW w:w="280" w:type="dxa"/>
            <w:vAlign w:val="bottom"/>
            <w:tcBorders>
              <w:bottom w:val="single" w:sz="8" w:color="auto"/>
            </w:tcBorders>
          </w:tcPr>
          <w:p>
            <w:pPr>
              <w:spacing w:after="0"/>
              <w:rPr>
                <w:sz w:val="22"/>
                <w:szCs w:val="22"/>
                <w:color w:val="auto"/>
              </w:rPr>
            </w:pPr>
          </w:p>
        </w:tc>
      </w:tr>
      <w:tr>
        <w:trPr>
          <w:trHeight w:val="27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4"/>
                <w:szCs w:val="14"/>
                <w:color w:val="auto"/>
                <w:w w:val="86"/>
              </w:rPr>
              <w:t>1,453,034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33.74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w w:val="96"/>
              </w:rPr>
              <w:t>6,891,237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29,148,027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rPr>
              <w:t>20.06</w:t>
            </w:r>
          </w:p>
        </w:tc>
        <w:tc>
          <w:tcPr>
            <w:tcW w:w="280" w:type="dxa"/>
            <w:vAlign w:val="bottom"/>
            <w:tcBorders>
              <w:bottom w:val="single" w:sz="8" w:color="auto"/>
            </w:tcBorders>
            <w:shd w:val="clear" w:color="auto" w:fill="CCEEFF"/>
          </w:tcPr>
          <w:p>
            <w:pPr>
              <w:spacing w:after="0"/>
              <w:rPr>
                <w:sz w:val="23"/>
                <w:szCs w:val="23"/>
                <w:color w:val="auto"/>
              </w:rPr>
            </w:pPr>
          </w:p>
        </w:tc>
      </w:tr>
      <w:tr>
        <w:trPr>
          <w:trHeight w:val="20"/>
        </w:trPr>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58"/>
        <w:spacing w:after="0"/>
        <w:rPr>
          <w:sz w:val="20"/>
          <w:szCs w:val="20"/>
          <w:color w:val="auto"/>
        </w:rPr>
      </w:pPr>
      <w:r>
        <w:rPr>
          <w:rFonts w:ascii="Arial" w:cs="Arial" w:eastAsia="Arial" w:hAnsi="Arial"/>
          <w:sz w:val="14"/>
          <w:szCs w:val="14"/>
          <w:b w:val="1"/>
          <w:bCs w:val="1"/>
          <w:u w:val="single" w:color="auto"/>
          <w:color w:val="auto"/>
        </w:rPr>
        <w:t>New Lease Summary - Comparable (2)</w:t>
      </w:r>
    </w:p>
    <w:p>
      <w:pPr>
        <w:spacing w:after="0" w:line="46" w:lineRule="exact"/>
        <w:rPr>
          <w:sz w:val="20"/>
          <w:szCs w:val="20"/>
          <w:color w:val="auto"/>
        </w:rPr>
      </w:pPr>
    </w:p>
    <w:tbl>
      <w:tblPr>
        <w:tblLayout w:type="fixed"/>
        <w:tblInd w:w="38"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76"/>
              <w:spacing w:after="0"/>
              <w:rPr>
                <w:sz w:val="20"/>
                <w:szCs w:val="20"/>
                <w:color w:val="auto"/>
              </w:rPr>
            </w:pPr>
            <w:r>
              <w:rPr>
                <w:rFonts w:ascii="Arial" w:cs="Arial" w:eastAsia="Arial" w:hAnsi="Arial"/>
                <w:sz w:val="11"/>
                <w:szCs w:val="11"/>
                <w:b w:val="1"/>
                <w:bCs w:val="1"/>
                <w:color w:val="auto"/>
                <w:w w:val="88"/>
              </w:rPr>
              <w:t>Tenant</w:t>
            </w:r>
          </w:p>
        </w:tc>
        <w:tc>
          <w:tcPr>
            <w:tcW w:w="280" w:type="dxa"/>
            <w:vAlign w:val="bottom"/>
          </w:tcPr>
          <w:p>
            <w:pPr>
              <w:spacing w:after="0"/>
              <w:rPr>
                <w:sz w:val="10"/>
                <w:szCs w:val="10"/>
                <w:color w:val="auto"/>
              </w:rPr>
            </w:pP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Prior Rent</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3"/>
              </w:rPr>
              <w:t>% Increase</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Basis %</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40" w:type="dxa"/>
            <w:vAlign w:val="bottom"/>
            <w:gridSpan w:val="2"/>
          </w:tcPr>
          <w:p>
            <w:pPr>
              <w:jc w:val="center"/>
              <w:ind w:right="16"/>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280" w:type="dxa"/>
            <w:vAlign w:val="bottom"/>
          </w:tcPr>
          <w:p>
            <w:pPr>
              <w:spacing w:after="0"/>
              <w:rPr>
                <w:sz w:val="10"/>
                <w:szCs w:val="10"/>
                <w:color w:val="auto"/>
              </w:rPr>
            </w:pP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Comparable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(4) Per Sq.</w:t>
            </w: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6"/>
              </w:rPr>
              <w:t>Over Prior</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4"/>
              </w:rPr>
              <w:t>Incentives Per Sq.</w:t>
            </w:r>
          </w:p>
        </w:tc>
        <w:tc>
          <w:tcPr>
            <w:tcW w:w="280" w:type="dxa"/>
            <w:vAlign w:val="bottom"/>
          </w:tcPr>
          <w:p>
            <w:pPr>
              <w:spacing w:after="0"/>
              <w:rPr>
                <w:sz w:val="10"/>
                <w:szCs w:val="10"/>
                <w:color w:val="auto"/>
              </w:rPr>
            </w:pPr>
          </w:p>
        </w:tc>
      </w:tr>
      <w:tr>
        <w:trPr>
          <w:trHeight w:val="140"/>
        </w:trPr>
        <w:tc>
          <w:tcPr>
            <w:tcW w:w="1460" w:type="dxa"/>
            <w:vAlign w:val="bottom"/>
          </w:tcPr>
          <w:p>
            <w:pPr>
              <w:ind w:left="54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ind w:left="20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in Rent</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60" w:type="dxa"/>
            <w:vAlign w:val="bottom"/>
          </w:tcPr>
          <w:p>
            <w:pPr>
              <w:jc w:val="center"/>
              <w:ind w:right="176"/>
              <w:spacing w:after="0"/>
              <w:rPr>
                <w:sz w:val="20"/>
                <w:szCs w:val="20"/>
                <w:color w:val="auto"/>
              </w:rPr>
            </w:pPr>
            <w:r>
              <w:rPr>
                <w:rFonts w:ascii="Arial" w:cs="Arial" w:eastAsia="Arial" w:hAnsi="Arial"/>
                <w:sz w:val="11"/>
                <w:szCs w:val="11"/>
                <w:b w:val="1"/>
                <w:bCs w:val="1"/>
                <w:color w:val="auto"/>
                <w:w w:val="88"/>
              </w:rPr>
              <w:t>Ft.</w:t>
            </w:r>
          </w:p>
        </w:tc>
        <w:tc>
          <w:tcPr>
            <w:tcW w:w="280" w:type="dxa"/>
            <w:vAlign w:val="bottom"/>
          </w:tcPr>
          <w:p>
            <w:pPr>
              <w:spacing w:after="0"/>
              <w:rPr>
                <w:sz w:val="12"/>
                <w:szCs w:val="12"/>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50"/>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104,298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w w:val="96"/>
              </w:rPr>
              <w:t>1,283,589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4,636,228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44.45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3"/>
        </w:trPr>
        <w:tc>
          <w:tcPr>
            <w:tcW w:w="1460" w:type="dxa"/>
            <w:vAlign w:val="bottom"/>
          </w:tcPr>
          <w:p>
            <w:pPr>
              <w:ind w:left="20"/>
              <w:spacing w:after="0"/>
              <w:rPr>
                <w:sz w:val="20"/>
                <w:szCs w:val="20"/>
                <w:color w:val="auto"/>
              </w:rPr>
            </w:pPr>
            <w:r>
              <w:rPr>
                <w:rFonts w:ascii="Arial" w:cs="Arial" w:eastAsia="Arial" w:hAnsi="Arial"/>
                <w:sz w:val="14"/>
                <w:szCs w:val="14"/>
                <w:color w:val="auto"/>
              </w:rPr>
              <w:t>2nd Quarter 2013 (8)</w:t>
            </w:r>
          </w:p>
        </w:tc>
        <w:tc>
          <w:tcPr>
            <w:tcW w:w="580" w:type="dxa"/>
            <w:vAlign w:val="bottom"/>
          </w:tcPr>
          <w:p>
            <w:pPr>
              <w:jc w:val="right"/>
              <w:ind w:right="5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233,544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8"/>
              <w:spacing w:after="0"/>
              <w:rPr>
                <w:sz w:val="20"/>
                <w:szCs w:val="20"/>
                <w:color w:val="auto"/>
              </w:rPr>
            </w:pPr>
            <w:r>
              <w:rPr>
                <w:rFonts w:ascii="Arial" w:cs="Arial" w:eastAsia="Arial" w:hAnsi="Arial"/>
                <w:sz w:val="14"/>
                <w:szCs w:val="14"/>
                <w:color w:val="auto"/>
              </w:rPr>
              <w:t>31.30</w:t>
            </w:r>
          </w:p>
        </w:tc>
        <w:tc>
          <w:tcPr>
            <w:tcW w:w="12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22"/>
                <w:szCs w:val="22"/>
                <w:color w:val="auto"/>
              </w:rPr>
            </w:pP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5"/>
              <w:spacing w:after="0"/>
              <w:rPr>
                <w:sz w:val="20"/>
                <w:szCs w:val="20"/>
                <w:color w:val="auto"/>
              </w:rPr>
            </w:pPr>
            <w:r>
              <w:rPr>
                <w:rFonts w:ascii="Arial" w:cs="Arial" w:eastAsia="Arial" w:hAnsi="Arial"/>
                <w:sz w:val="14"/>
                <w:szCs w:val="14"/>
                <w:color w:val="auto"/>
                <w:w w:val="96"/>
              </w:rPr>
              <w:t>2,122,806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8,499,743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6"/>
              <w:spacing w:after="0"/>
              <w:rPr>
                <w:sz w:val="20"/>
                <w:szCs w:val="20"/>
                <w:color w:val="auto"/>
              </w:rPr>
            </w:pPr>
            <w:r>
              <w:rPr>
                <w:rFonts w:ascii="Arial" w:cs="Arial" w:eastAsia="Arial" w:hAnsi="Arial"/>
                <w:sz w:val="14"/>
                <w:szCs w:val="14"/>
                <w:color w:val="auto"/>
              </w:rPr>
              <w:t>36.39</w:t>
            </w:r>
          </w:p>
        </w:tc>
        <w:tc>
          <w:tcPr>
            <w:tcW w:w="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7"/>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1st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138,922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29.47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803,391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7,278,811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52.39</w:t>
            </w:r>
          </w:p>
        </w:tc>
        <w:tc>
          <w:tcPr>
            <w:tcW w:w="280" w:type="dxa"/>
            <w:vAlign w:val="bottom"/>
            <w:shd w:val="clear" w:color="auto" w:fill="CCEEFF"/>
          </w:tcPr>
          <w:p>
            <w:pPr>
              <w:spacing w:after="0"/>
              <w:rPr>
                <w:sz w:val="24"/>
                <w:szCs w:val="24"/>
                <w:color w:val="auto"/>
              </w:rPr>
            </w:pPr>
          </w:p>
        </w:tc>
      </w:tr>
      <w:tr>
        <w:trPr>
          <w:trHeight w:val="264"/>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4th Quarter 2012</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191,780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36.20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$29.77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6"/>
              </w:rPr>
              <w:t>1,232,998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7,537,155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39.30</w:t>
            </w:r>
          </w:p>
        </w:tc>
        <w:tc>
          <w:tcPr>
            <w:tcW w:w="280" w:type="dxa"/>
            <w:vAlign w:val="bottom"/>
            <w:tcBorders>
              <w:bottom w:val="single" w:sz="8" w:color="auto"/>
            </w:tcBorders>
          </w:tcPr>
          <w:p>
            <w:pPr>
              <w:spacing w:after="0"/>
              <w:rPr>
                <w:sz w:val="22"/>
                <w:szCs w:val="22"/>
                <w:color w:val="auto"/>
              </w:rPr>
            </w:pPr>
          </w:p>
        </w:tc>
      </w:tr>
      <w:tr>
        <w:trPr>
          <w:trHeight w:val="27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668,544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34.32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w w:val="96"/>
              </w:rPr>
              <w:t>5,442,784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27,951,937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rPr>
              <w:t>41.81</w:t>
            </w:r>
          </w:p>
        </w:tc>
        <w:tc>
          <w:tcPr>
            <w:tcW w:w="280" w:type="dxa"/>
            <w:vAlign w:val="bottom"/>
            <w:tcBorders>
              <w:bottom w:val="single" w:sz="8" w:color="auto"/>
            </w:tcBorders>
            <w:shd w:val="clear" w:color="auto" w:fill="CCEEFF"/>
          </w:tcPr>
          <w:p>
            <w:pPr>
              <w:spacing w:after="0"/>
              <w:rPr>
                <w:sz w:val="23"/>
                <w:szCs w:val="23"/>
                <w:color w:val="auto"/>
              </w:rPr>
            </w:pPr>
          </w:p>
        </w:tc>
      </w:tr>
      <w:tr>
        <w:trPr>
          <w:trHeight w:val="20"/>
        </w:trPr>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58"/>
        <w:spacing w:after="0"/>
        <w:rPr>
          <w:sz w:val="20"/>
          <w:szCs w:val="20"/>
          <w:color w:val="auto"/>
        </w:rPr>
      </w:pPr>
      <w:r>
        <w:rPr>
          <w:rFonts w:ascii="Arial" w:cs="Arial" w:eastAsia="Arial" w:hAnsi="Arial"/>
          <w:sz w:val="14"/>
          <w:szCs w:val="14"/>
          <w:b w:val="1"/>
          <w:bCs w:val="1"/>
          <w:u w:val="single" w:color="auto"/>
          <w:color w:val="auto"/>
        </w:rPr>
        <w:t>Renewal Lease Summary - Comparable (2) (9)</w:t>
      </w:r>
    </w:p>
    <w:p>
      <w:pPr>
        <w:spacing w:after="0" w:line="46" w:lineRule="exact"/>
        <w:rPr>
          <w:sz w:val="20"/>
          <w:szCs w:val="20"/>
          <w:color w:val="auto"/>
        </w:rPr>
      </w:pPr>
    </w:p>
    <w:tbl>
      <w:tblPr>
        <w:tblLayout w:type="fixed"/>
        <w:tblInd w:w="38"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456"/>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Prior Rent</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3"/>
              </w:rPr>
              <w:t>% Increase</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Basis %</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220" w:type="dxa"/>
            <w:vAlign w:val="bottom"/>
            <w:gridSpan w:val="2"/>
          </w:tcPr>
          <w:p>
            <w:pPr>
              <w:jc w:val="center"/>
              <w:ind w:right="296"/>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Comparable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(4) Per Sq.</w:t>
            </w: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6"/>
              </w:rPr>
              <w:t>Over Prior</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2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Incentives Per Sq.</w:t>
            </w:r>
          </w:p>
        </w:tc>
      </w:tr>
      <w:tr>
        <w:trPr>
          <w:trHeight w:val="140"/>
        </w:trPr>
        <w:tc>
          <w:tcPr>
            <w:tcW w:w="1460" w:type="dxa"/>
            <w:vAlign w:val="bottom"/>
          </w:tcPr>
          <w:p>
            <w:pPr>
              <w:ind w:left="54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ind w:left="20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in Rent</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1040" w:type="dxa"/>
            <w:vAlign w:val="bottom"/>
          </w:tcPr>
          <w:p>
            <w:pPr>
              <w:jc w:val="center"/>
              <w:ind w:right="456"/>
              <w:spacing w:after="0"/>
              <w:rPr>
                <w:sz w:val="20"/>
                <w:szCs w:val="20"/>
                <w:color w:val="auto"/>
              </w:rPr>
            </w:pPr>
            <w:r>
              <w:rPr>
                <w:rFonts w:ascii="Arial" w:cs="Arial" w:eastAsia="Arial" w:hAnsi="Arial"/>
                <w:sz w:val="11"/>
                <w:szCs w:val="11"/>
                <w:b w:val="1"/>
                <w:bCs w:val="1"/>
                <w:color w:val="auto"/>
                <w:w w:val="88"/>
              </w:rPr>
              <w:t>Ft.</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169,207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484,267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718,863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4"/>
                <w:szCs w:val="14"/>
                <w:color w:val="auto"/>
              </w:rPr>
              <w:t>4.25</w:t>
            </w:r>
          </w:p>
        </w:tc>
      </w:tr>
      <w:tr>
        <w:trPr>
          <w:trHeight w:val="263"/>
        </w:trPr>
        <w:tc>
          <w:tcPr>
            <w:tcW w:w="1460" w:type="dxa"/>
            <w:vAlign w:val="bottom"/>
          </w:tcPr>
          <w:p>
            <w:pPr>
              <w:ind w:left="20"/>
              <w:spacing w:after="0"/>
              <w:rPr>
                <w:sz w:val="20"/>
                <w:szCs w:val="20"/>
                <w:color w:val="auto"/>
              </w:rPr>
            </w:pPr>
            <w:r>
              <w:rPr>
                <w:rFonts w:ascii="Arial" w:cs="Arial" w:eastAsia="Arial" w:hAnsi="Arial"/>
                <w:sz w:val="14"/>
                <w:szCs w:val="14"/>
                <w:color w:val="auto"/>
              </w:rPr>
              <w:t>2nd Quarter 2013</w:t>
            </w:r>
          </w:p>
        </w:tc>
        <w:tc>
          <w:tcPr>
            <w:tcW w:w="580" w:type="dxa"/>
            <w:vAlign w:val="bottom"/>
          </w:tcPr>
          <w:p>
            <w:pPr>
              <w:jc w:val="right"/>
              <w:ind w:right="5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212,790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8"/>
              <w:spacing w:after="0"/>
              <w:rPr>
                <w:sz w:val="20"/>
                <w:szCs w:val="20"/>
                <w:color w:val="auto"/>
              </w:rPr>
            </w:pPr>
            <w:r>
              <w:rPr>
                <w:rFonts w:ascii="Arial" w:cs="Arial" w:eastAsia="Arial" w:hAnsi="Arial"/>
                <w:sz w:val="14"/>
                <w:szCs w:val="14"/>
                <w:color w:val="auto"/>
              </w:rPr>
              <w:t>30.60</w:t>
            </w:r>
          </w:p>
        </w:tc>
        <w:tc>
          <w:tcPr>
            <w:tcW w:w="12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$28.94</w:t>
            </w:r>
          </w:p>
        </w:tc>
        <w:tc>
          <w:tcPr>
            <w:tcW w:w="100" w:type="dxa"/>
            <w:vAlign w:val="bottom"/>
          </w:tcPr>
          <w:p>
            <w:pPr>
              <w:spacing w:after="0"/>
              <w:rPr>
                <w:sz w:val="22"/>
                <w:szCs w:val="22"/>
                <w:color w:val="auto"/>
              </w:rPr>
            </w:pP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5"/>
              <w:spacing w:after="0"/>
              <w:rPr>
                <w:sz w:val="20"/>
                <w:szCs w:val="20"/>
                <w:color w:val="auto"/>
              </w:rPr>
            </w:pPr>
            <w:r>
              <w:rPr>
                <w:rFonts w:ascii="Arial" w:cs="Arial" w:eastAsia="Arial" w:hAnsi="Arial"/>
                <w:sz w:val="14"/>
                <w:szCs w:val="14"/>
                <w:color w:val="auto"/>
              </w:rPr>
              <w:t>353,326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19,100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76"/>
              <w:spacing w:after="0"/>
              <w:rPr>
                <w:sz w:val="20"/>
                <w:szCs w:val="20"/>
                <w:color w:val="auto"/>
              </w:rPr>
            </w:pPr>
            <w:r>
              <w:rPr>
                <w:rFonts w:ascii="Arial" w:cs="Arial" w:eastAsia="Arial" w:hAnsi="Arial"/>
                <w:sz w:val="14"/>
                <w:szCs w:val="14"/>
                <w:color w:val="auto"/>
              </w:rPr>
              <w:t>0.09</w:t>
            </w:r>
          </w:p>
        </w:tc>
      </w:tr>
      <w:tr>
        <w:trPr>
          <w:trHeight w:val="277"/>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1st Quarter 2013</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115,360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43.39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186,110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12,500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4"/>
                <w:szCs w:val="14"/>
                <w:color w:val="auto"/>
              </w:rPr>
              <w:t>0.11</w:t>
            </w:r>
          </w:p>
        </w:tc>
      </w:tr>
      <w:tr>
        <w:trPr>
          <w:trHeight w:val="264"/>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4th Quarter 2012</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287,133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29.48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$28.00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424,750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445,627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1.55</w:t>
            </w:r>
          </w:p>
        </w:tc>
      </w:tr>
      <w:tr>
        <w:trPr>
          <w:trHeight w:val="27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784,490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33.25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w w:val="96"/>
              </w:rPr>
              <w:t>1,448,453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1,196,090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color w:val="auto"/>
              </w:rPr>
              <w:t>1.52</w:t>
            </w:r>
          </w:p>
        </w:tc>
      </w:tr>
      <w:tr>
        <w:trPr>
          <w:trHeight w:val="20"/>
        </w:trPr>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8"/>
        <w:spacing w:after="0"/>
        <w:rPr>
          <w:sz w:val="20"/>
          <w:szCs w:val="20"/>
          <w:color w:val="auto"/>
        </w:rPr>
      </w:pPr>
      <w:r>
        <w:rPr>
          <w:rFonts w:ascii="Arial" w:cs="Arial" w:eastAsia="Arial" w:hAnsi="Arial"/>
          <w:sz w:val="14"/>
          <w:szCs w:val="14"/>
          <w:b w:val="1"/>
          <w:bCs w:val="1"/>
          <w:u w:val="single" w:color="auto"/>
          <w:color w:val="auto"/>
        </w:rPr>
        <w:t>Total Lease Summary - Comparable and Non-comparable (2) (10)</w:t>
      </w:r>
    </w:p>
    <w:p>
      <w:pPr>
        <w:spacing w:after="0" w:line="46" w:lineRule="exact"/>
        <w:rPr>
          <w:sz w:val="20"/>
          <w:szCs w:val="20"/>
          <w:color w:val="auto"/>
        </w:rPr>
      </w:pPr>
    </w:p>
    <w:tbl>
      <w:tblPr>
        <w:tblLayout w:type="fixed"/>
        <w:tblInd w:w="38"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456"/>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220" w:type="dxa"/>
            <w:vAlign w:val="bottom"/>
            <w:gridSpan w:val="2"/>
          </w:tcPr>
          <w:p>
            <w:pPr>
              <w:jc w:val="center"/>
              <w:ind w:right="296"/>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2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Incentives Per Sq.</w:t>
            </w:r>
          </w:p>
        </w:tc>
      </w:tr>
      <w:tr>
        <w:trPr>
          <w:trHeight w:val="140"/>
        </w:trPr>
        <w:tc>
          <w:tcPr>
            <w:tcW w:w="4900" w:type="dxa"/>
            <w:vAlign w:val="bottom"/>
            <w:gridSpan w:val="2"/>
          </w:tcPr>
          <w:p>
            <w:pPr>
              <w:ind w:left="540"/>
              <w:spacing w:after="0"/>
              <w:rPr>
                <w:sz w:val="20"/>
                <w:szCs w:val="20"/>
                <w:color w:val="auto"/>
              </w:rPr>
            </w:pPr>
            <w:r>
              <w:rPr>
                <w:rFonts w:ascii="Arial" w:cs="Arial" w:eastAsia="Arial" w:hAnsi="Arial"/>
                <w:sz w:val="11"/>
                <w:szCs w:val="11"/>
                <w:b w:val="1"/>
                <w:bCs w:val="1"/>
                <w:color w:val="auto"/>
              </w:rPr>
              <w:t>Quarter</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700" w:type="dxa"/>
            <w:vAlign w:val="bottom"/>
            <w:gridSpan w:val="2"/>
          </w:tcPr>
          <w:p>
            <w:pPr>
              <w:ind w:left="5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1040" w:type="dxa"/>
            <w:vAlign w:val="bottom"/>
          </w:tcPr>
          <w:p>
            <w:pPr>
              <w:jc w:val="center"/>
              <w:ind w:right="456"/>
              <w:spacing w:after="0"/>
              <w:rPr>
                <w:sz w:val="20"/>
                <w:szCs w:val="20"/>
                <w:color w:val="auto"/>
              </w:rPr>
            </w:pPr>
            <w:r>
              <w:rPr>
                <w:rFonts w:ascii="Arial" w:cs="Arial" w:eastAsia="Arial" w:hAnsi="Arial"/>
                <w:sz w:val="11"/>
                <w:szCs w:val="11"/>
                <w:b w:val="1"/>
                <w:bCs w:val="1"/>
                <w:color w:val="auto"/>
                <w:w w:val="88"/>
              </w:rPr>
              <w:t>Ft.</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3rd Quarter 2013</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398,637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6,813,820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4"/>
                <w:szCs w:val="14"/>
                <w:color w:val="auto"/>
              </w:rPr>
              <w:t>17.09</w:t>
            </w: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2nd Quarter 2013</w:t>
            </w:r>
          </w:p>
        </w:tc>
        <w:tc>
          <w:tcPr>
            <w:tcW w:w="560" w:type="dxa"/>
            <w:vAlign w:val="bottom"/>
          </w:tcPr>
          <w:p>
            <w:pPr>
              <w:jc w:val="right"/>
              <w:ind w:right="5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480,107</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1"/>
              </w:rPr>
              <w:t>7.9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8,973,443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76"/>
              <w:spacing w:after="0"/>
              <w:rPr>
                <w:sz w:val="20"/>
                <w:szCs w:val="20"/>
                <w:color w:val="auto"/>
              </w:rPr>
            </w:pPr>
            <w:r>
              <w:rPr>
                <w:rFonts w:ascii="Arial" w:cs="Arial" w:eastAsia="Arial" w:hAnsi="Arial"/>
                <w:sz w:val="14"/>
                <w:szCs w:val="14"/>
                <w:color w:val="auto"/>
              </w:rPr>
              <w:t>18.69</w:t>
            </w:r>
          </w:p>
        </w:tc>
      </w:tr>
      <w:tr>
        <w:trPr>
          <w:trHeight w:val="277"/>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1st Quarter 2013</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266,451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36.67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7,358,311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4"/>
                <w:szCs w:val="14"/>
                <w:color w:val="auto"/>
              </w:rPr>
              <w:t>27.62</w:t>
            </w:r>
          </w:p>
        </w:tc>
      </w:tr>
      <w:tr>
        <w:trPr>
          <w:trHeight w:val="264"/>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4th Quarter 2012</w:t>
            </w: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485,215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32.07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7.7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8,079,952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16.65</w:t>
            </w:r>
          </w:p>
        </w:tc>
      </w:tr>
      <w:tr>
        <w:trPr>
          <w:trHeight w:val="27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- 12 months</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rPr>
              <w:t>1,630,410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1"/>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31,225,526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color w:val="auto"/>
              </w:rPr>
              <w:t>19.15</w:t>
            </w:r>
          </w:p>
        </w:tc>
      </w:tr>
      <w:tr>
        <w:trPr>
          <w:trHeight w:val="20"/>
        </w:trPr>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
        <w:spacing w:after="0"/>
        <w:rPr>
          <w:sz w:val="20"/>
          <w:szCs w:val="20"/>
          <w:color w:val="auto"/>
        </w:rPr>
      </w:pPr>
      <w:r>
        <w:rPr>
          <w:rFonts w:ascii="Arial" w:cs="Arial" w:eastAsia="Arial" w:hAnsi="Arial"/>
          <w:sz w:val="13"/>
          <w:szCs w:val="13"/>
          <w:u w:val="single" w:color="auto"/>
          <w:color w:val="auto"/>
        </w:rPr>
        <w:t>Notes:</w:t>
      </w:r>
    </w:p>
    <w:p>
      <w:pPr>
        <w:spacing w:after="0" w:line="187" w:lineRule="exact"/>
        <w:rPr>
          <w:sz w:val="20"/>
          <w:szCs w:val="20"/>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Leases on this report represent retail activity only; office and residential leases are not included.</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Comparable leases represent those leases signed on spaces for which there was a former tenant.</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Weighted average is determined on the basis of contractual rent for the first 12 months of the term.</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See Glossary of Terms.</w:t>
      </w:r>
    </w:p>
    <w:p>
      <w:pPr>
        <w:spacing w:after="0" w:line="28" w:lineRule="exact"/>
        <w:rPr>
          <w:rFonts w:ascii="Arial" w:cs="Arial" w:eastAsia="Arial" w:hAnsi="Arial"/>
          <w:sz w:val="14"/>
          <w:szCs w:val="14"/>
          <w:color w:val="auto"/>
        </w:rPr>
      </w:pPr>
    </w:p>
    <w:p>
      <w:pPr>
        <w:ind w:left="298" w:right="40" w:hanging="298"/>
        <w:spacing w:after="0" w:line="290" w:lineRule="auto"/>
        <w:tabs>
          <w:tab w:leader="none" w:pos="298" w:val="left"/>
        </w:tabs>
        <w:numPr>
          <w:ilvl w:val="0"/>
          <w:numId w:val="13"/>
        </w:numPr>
        <w:rPr>
          <w:rFonts w:ascii="Arial" w:cs="Arial" w:eastAsia="Arial" w:hAnsi="Arial"/>
          <w:sz w:val="12"/>
          <w:szCs w:val="12"/>
          <w:color w:val="auto"/>
        </w:rPr>
      </w:pPr>
      <w:r>
        <w:rPr>
          <w:rFonts w:ascii="Arial" w:cs="Arial" w:eastAsia="Arial" w:hAnsi="Arial"/>
          <w:sz w:val="11"/>
          <w:szCs w:val="11"/>
          <w:color w:val="auto"/>
        </w:rPr>
        <w:t>Approximately $2.5 million ($6.23 per square foot) in 3rd Quarter 2013 and $4.1 million ($6.75 per square foot) in 2nd Quarter 2013 of the Tenant Improvements &amp; Incentives are for properties under active redevelopment (e.g. Westgate Center, Willow Lawn, Barracks Road, Hollywood Boulevard) and are included in the Projected Cost for those projects on the Summary of Development and Redevelopment Opportunities.</w:t>
      </w:r>
    </w:p>
    <w:p>
      <w:pPr>
        <w:spacing w:after="0" w:line="17" w:lineRule="exact"/>
        <w:rPr>
          <w:rFonts w:ascii="Arial" w:cs="Arial" w:eastAsia="Arial" w:hAnsi="Arial"/>
          <w:sz w:val="12"/>
          <w:szCs w:val="12"/>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2nd Quarter 2013 has been revised to exclude the lease signed to backfill a portion of the Best Buy box at Santana Row as Best Buy has exercised their option to remain in the center.</w:t>
      </w:r>
    </w:p>
    <w:p>
      <w:pPr>
        <w:spacing w:after="0" w:line="41" w:lineRule="exact"/>
        <w:rPr>
          <w:rFonts w:ascii="Arial" w:cs="Arial" w:eastAsia="Arial" w:hAnsi="Arial"/>
          <w:sz w:val="14"/>
          <w:szCs w:val="14"/>
          <w:color w:val="auto"/>
        </w:rPr>
      </w:pPr>
    </w:p>
    <w:p>
      <w:pPr>
        <w:ind w:left="298" w:hanging="298"/>
        <w:spacing w:after="0"/>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28" w:lineRule="exact"/>
        <w:rPr>
          <w:rFonts w:ascii="Arial" w:cs="Arial" w:eastAsia="Arial" w:hAnsi="Arial"/>
          <w:sz w:val="14"/>
          <w:szCs w:val="14"/>
          <w:color w:val="auto"/>
        </w:rPr>
      </w:pPr>
    </w:p>
    <w:p>
      <w:pPr>
        <w:ind w:left="298" w:hanging="298"/>
        <w:spacing w:after="0" w:line="224" w:lineRule="auto"/>
        <w:tabs>
          <w:tab w:leader="none" w:pos="298" w:val="left"/>
        </w:tabs>
        <w:numPr>
          <w:ilvl w:val="0"/>
          <w:numId w:val="13"/>
        </w:numPr>
        <w:rPr>
          <w:rFonts w:ascii="Arial" w:cs="Arial" w:eastAsia="Arial" w:hAnsi="Arial"/>
          <w:sz w:val="14"/>
          <w:szCs w:val="14"/>
          <w:color w:val="auto"/>
        </w:rPr>
      </w:pPr>
      <w:r>
        <w:rPr>
          <w:rFonts w:ascii="Arial" w:cs="Arial" w:eastAsia="Arial" w:hAnsi="Arial"/>
          <w:sz w:val="13"/>
          <w:szCs w:val="13"/>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information on leases signed for those projects; these amounts for leases signed for Assembly Row and Pike &amp; Rose are included in the Projected Cost column for those projects shown on the Mixed Use Projects Phase 1 schedule.</w:t>
      </w:r>
    </w:p>
    <w:p>
      <w:pPr>
        <w:sectPr>
          <w:pgSz w:w="11900" w:h="16838" w:orient="portrait"/>
          <w:cols w:equalWidth="0" w:num="1">
            <w:col w:w="11338"/>
          </w:cols>
          <w:pgMar w:left="282" w:top="976" w:right="279" w:bottom="100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38"/>
          </w:cols>
          <w:pgMar w:left="282" w:top="976" w:right="279" w:bottom="100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764,000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14.64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742,000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1,505,000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878,000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1,096,000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34.29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1,975,000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26.52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1,510,000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14.62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878,000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37.87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2,388,000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547,000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381,000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33.69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927,000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39.65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1,216,000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10,921,000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16.92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7,538,000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35.21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18,458,000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533,000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37.08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616,000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530,000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872,000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395,000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538,000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23.98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606,000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11,813,000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10,921,000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16.92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7,538,000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35.21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18,458,000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September 30,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right="1260"/>
        <w:spacing w:after="0" w:line="355" w:lineRule="auto"/>
        <w:rPr>
          <w:sz w:val="20"/>
          <w:szCs w:val="20"/>
          <w:color w:val="auto"/>
        </w:rPr>
      </w:pPr>
      <w:r>
        <w:rPr>
          <w:rFonts w:ascii="Arial" w:cs="Arial" w:eastAsia="Arial" w:hAnsi="Arial"/>
          <w:sz w:val="17"/>
          <w:szCs w:val="17"/>
          <w:b w:val="1"/>
          <w:bCs w:val="1"/>
          <w:color w:val="auto"/>
        </w:rPr>
        <w:t>Federal Realty Investment Trust Portfolio Leased Statistics September 30, 2013</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2013</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2012</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19,531,000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18,623,000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19,122,000</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18,179,000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95.1%</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1,114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1,055</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1,025</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96.9%</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2013</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2012</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(5) (sf)</w:t>
            </w:r>
          </w:p>
        </w:tc>
        <w:tc>
          <w:tcPr>
            <w:tcW w:w="2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17,225,000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16,427,000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95.4%</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17,203,000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16,372,000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270"/>
        </w:trPr>
        <w:tc>
          <w:tcPr>
            <w:tcW w:w="3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1,011</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964</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1,011</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978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33"/>
        </w:trPr>
        <w:tc>
          <w:tcPr>
            <w:tcW w:w="33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2013 leased percentage was 98.9% for anchor tenants and 90.6% for small shop tenants.</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Occupied percentage was 94.6% at September 30, 2013 and 94.2% at September 30, 2012.</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2.75%</w:t>
            </w:r>
          </w:p>
        </w:tc>
        <w:tc>
          <w:tcPr>
            <w:tcW w:w="980" w:type="dxa"/>
            <w:vAlign w:val="bottom"/>
          </w:tcPr>
          <w:p>
            <w:pPr>
              <w:jc w:val="right"/>
              <w:spacing w:after="0"/>
              <w:rPr>
                <w:sz w:val="20"/>
                <w:szCs w:val="20"/>
                <w:color w:val="auto"/>
              </w:rPr>
            </w:pPr>
            <w:r>
              <w:rPr>
                <w:rFonts w:ascii="Arial" w:cs="Arial" w:eastAsia="Arial" w:hAnsi="Arial"/>
                <w:sz w:val="16"/>
                <w:szCs w:val="16"/>
                <w:color w:val="auto"/>
              </w:rPr>
              <w:t>728,000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1.83%</w:t>
            </w:r>
          </w:p>
        </w:tc>
        <w:tc>
          <w:tcPr>
            <w:tcW w:w="980" w:type="dxa"/>
            <w:vAlign w:val="bottom"/>
          </w:tcPr>
          <w:p>
            <w:pPr>
              <w:jc w:val="right"/>
              <w:spacing w:after="0"/>
              <w:rPr>
                <w:sz w:val="20"/>
                <w:szCs w:val="20"/>
                <w:color w:val="auto"/>
              </w:rPr>
            </w:pPr>
            <w:r>
              <w:rPr>
                <w:rFonts w:ascii="Arial" w:cs="Arial" w:eastAsia="Arial" w:hAnsi="Arial"/>
                <w:sz w:val="16"/>
                <w:szCs w:val="16"/>
                <w:color w:val="auto"/>
              </w:rPr>
              <w:t>417,000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6,812,000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1.51%</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0.97%</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3,549,000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Sports Authority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134,088,000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29.78%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6,604,000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33.82%</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450,128,000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19,531,000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540" w:hanging="482"/>
        <w:spacing w:after="0" w:line="29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September 30, 2013.</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3"/>
              </w:rPr>
              <w:t>2013 Guidance</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gridSpan w:val="3"/>
          </w:tcPr>
          <w:p>
            <w:pPr>
              <w:jc w:val="center"/>
              <w:ind w:left="53"/>
              <w:spacing w:after="0"/>
              <w:rPr>
                <w:sz w:val="20"/>
                <w:szCs w:val="20"/>
                <w:color w:val="auto"/>
              </w:rPr>
            </w:pPr>
            <w:r>
              <w:rPr>
                <w:rFonts w:ascii="Arial" w:cs="Arial" w:eastAsia="Arial" w:hAnsi="Arial"/>
                <w:sz w:val="14"/>
                <w:szCs w:val="14"/>
                <w:color w:val="auto"/>
                <w:w w:val="97"/>
              </w:rPr>
              <w:t>(Dollars in millions except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gridSpan w:val="3"/>
          </w:tcPr>
          <w:p>
            <w:pPr>
              <w:jc w:val="center"/>
              <w:ind w:left="93"/>
              <w:spacing w:after="0"/>
              <w:rPr>
                <w:sz w:val="20"/>
                <w:szCs w:val="20"/>
                <w:color w:val="auto"/>
              </w:rPr>
            </w:pPr>
            <w:r>
              <w:rPr>
                <w:rFonts w:ascii="Arial" w:cs="Arial" w:eastAsia="Arial" w:hAnsi="Arial"/>
                <w:sz w:val="14"/>
                <w:szCs w:val="14"/>
                <w:color w:val="auto"/>
                <w:w w:val="91"/>
              </w:rPr>
              <w:t>per share amounts) (1)</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46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06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Prepayment Premium on 5.40% Notes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Funds from operations excluding Prepayment Premium on 5.40% Notes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Dividends on preferred shares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Income attributable to unvested shares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FFO excluding Prepayment Premium on 5.40% Notes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3"/>
              </w:rPr>
              <w:t>2014 Guidance</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gridSpan w:val="3"/>
          </w:tcPr>
          <w:p>
            <w:pPr>
              <w:jc w:val="center"/>
              <w:ind w:left="53"/>
              <w:spacing w:after="0"/>
              <w:rPr>
                <w:sz w:val="20"/>
                <w:szCs w:val="20"/>
                <w:color w:val="auto"/>
              </w:rPr>
            </w:pPr>
            <w:r>
              <w:rPr>
                <w:rFonts w:ascii="Arial" w:cs="Arial" w:eastAsia="Arial" w:hAnsi="Arial"/>
                <w:sz w:val="14"/>
                <w:szCs w:val="14"/>
                <w:color w:val="auto"/>
                <w:w w:val="97"/>
              </w:rPr>
              <w:t>(Dollars in millions except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gridSpan w:val="3"/>
          </w:tcPr>
          <w:p>
            <w:pPr>
              <w:jc w:val="center"/>
              <w:ind w:left="93"/>
              <w:spacing w:after="0"/>
              <w:rPr>
                <w:sz w:val="20"/>
                <w:szCs w:val="20"/>
                <w:color w:val="auto"/>
              </w:rPr>
            </w:pPr>
            <w:r>
              <w:rPr>
                <w:rFonts w:ascii="Arial" w:cs="Arial" w:eastAsia="Arial" w:hAnsi="Arial"/>
                <w:sz w:val="14"/>
                <w:szCs w:val="14"/>
                <w:color w:val="auto"/>
                <w:w w:val="91"/>
              </w:rPr>
              <w:t>per share amounts) (1)</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46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06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Funds from operations</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FFO</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FFO per diluted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4.84</w:t>
            </w: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spacing w:after="0"/>
              <w:rPr>
                <w:sz w:val="20"/>
                <w:szCs w:val="20"/>
                <w:color w:val="auto"/>
              </w:rPr>
            </w:pPr>
            <w:r>
              <w:rPr>
                <w:rFonts w:ascii="Arial" w:cs="Arial" w:eastAsia="Arial" w:hAnsi="Arial"/>
                <w:sz w:val="14"/>
                <w:szCs w:val="14"/>
                <w:color w:val="auto"/>
              </w:rPr>
              <w:t>Note: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5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 -</w:t>
            </w:r>
          </w:p>
        </w:tc>
        <w:tc>
          <w:tcPr>
            <w:tcW w:w="8260" w:type="dxa"/>
            <w:vAlign w:val="bottom"/>
            <w:gridSpan w:val="2"/>
          </w:tcPr>
          <w:p>
            <w:pPr>
              <w:spacing w:after="0"/>
              <w:rPr>
                <w:sz w:val="20"/>
                <w:szCs w:val="20"/>
                <w:color w:val="auto"/>
              </w:rPr>
            </w:pPr>
            <w:r>
              <w:rPr>
                <w:rFonts w:ascii="Arial" w:cs="Arial" w:eastAsia="Arial" w:hAnsi="Arial"/>
                <w:sz w:val="14"/>
                <w:szCs w:val="14"/>
                <w:color w:val="auto"/>
              </w:rPr>
              <w:t>Individual items may not add up to total due to rounding.</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210,382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209,056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171,896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61,926</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120,339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120,854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September 30, 2013</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12,097</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56,982</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22,537</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39.6%</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56,982</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63" w:lineRule="exact"/>
        <w:rPr>
          <w:rFonts w:ascii="Arial" w:cs="Arial" w:eastAsia="Arial" w:hAnsi="Arial"/>
          <w:sz w:val="18"/>
          <w:szCs w:val="18"/>
          <w:color w:val="auto"/>
        </w:rPr>
      </w:pPr>
    </w:p>
    <w:p>
      <w:pPr>
        <w:ind w:left="620" w:right="80" w:hanging="585"/>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&amp; Debt Summary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or Capital</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0" w:type="dxa"/>
            <w:vAlign w:val="bottom"/>
          </w:tcPr>
          <w:p>
            <w:pPr>
              <w:spacing w:after="0"/>
              <w:rPr>
                <w:sz w:val="11"/>
                <w:szCs w:val="11"/>
                <w:color w:val="auto"/>
              </w:rPr>
            </w:pPr>
          </w:p>
        </w:tc>
        <w:tc>
          <w:tcPr>
            <w:tcW w:w="56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23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MSA Description</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62"/>
        </w:trPr>
        <w:tc>
          <w:tcPr>
            <w:tcW w:w="1940" w:type="dxa"/>
            <w:vAlign w:val="bottom"/>
            <w:gridSpan w:val="5"/>
          </w:tcPr>
          <w:p>
            <w:pPr>
              <w:ind w:left="40"/>
              <w:spacing w:after="0"/>
              <w:rPr>
                <w:sz w:val="20"/>
                <w:szCs w:val="20"/>
                <w:color w:val="auto"/>
              </w:rPr>
            </w:pPr>
            <w:r>
              <w:rPr>
                <w:rFonts w:ascii="Arial" w:cs="Arial" w:eastAsia="Arial" w:hAnsi="Arial"/>
                <w:sz w:val="13"/>
                <w:szCs w:val="13"/>
                <w:color w:val="auto"/>
              </w:rPr>
              <w:t>Barcroft Plaza</w:t>
            </w:r>
          </w:p>
        </w:tc>
        <w:tc>
          <w:tcPr>
            <w:tcW w:w="2340" w:type="dxa"/>
            <w:vAlign w:val="bottom"/>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34,615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20,785</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101,000</w:t>
            </w: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rPr>
                <w:sz w:val="20"/>
                <w:szCs w:val="20"/>
                <w:color w:val="auto"/>
              </w:rPr>
            </w:pPr>
            <w:r>
              <w:rPr>
                <w:rFonts w:ascii="Arial" w:cs="Arial" w:eastAsia="Arial" w:hAnsi="Arial"/>
                <w:sz w:val="13"/>
                <w:szCs w:val="13"/>
                <w:color w:val="auto"/>
                <w:w w:val="94"/>
              </w:rPr>
              <w:t>Harris Teeter</w:t>
            </w:r>
          </w:p>
        </w:tc>
        <w:tc>
          <w:tcPr>
            <w:tcW w:w="2320" w:type="dxa"/>
            <w:vAlign w:val="bottom"/>
          </w:tcPr>
          <w:p>
            <w:pPr>
              <w:ind w:left="60"/>
              <w:spacing w:after="0"/>
              <w:rPr>
                <w:sz w:val="20"/>
                <w:szCs w:val="20"/>
                <w:color w:val="auto"/>
              </w:rPr>
            </w:pPr>
            <w:r>
              <w:rPr>
                <w:rFonts w:ascii="Arial" w:cs="Arial" w:eastAsia="Arial" w:hAnsi="Arial"/>
                <w:sz w:val="13"/>
                <w:szCs w:val="13"/>
                <w:color w:val="auto"/>
              </w:rPr>
              <w:t>Bank of America</w:t>
            </w:r>
          </w:p>
        </w:tc>
      </w:tr>
      <w:tr>
        <w:trPr>
          <w:trHeight w:val="156"/>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Free State Shopping Center</w:t>
            </w: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66,692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Depot</w:t>
            </w:r>
          </w:p>
        </w:tc>
      </w:tr>
      <w:tr>
        <w:trPr>
          <w:trHeight w:val="264"/>
        </w:trPr>
        <w:tc>
          <w:tcPr>
            <w:tcW w:w="194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color w:val="auto"/>
              </w:rPr>
              <w:t>Plaza del Mercado</w:t>
            </w:r>
          </w:p>
        </w:tc>
        <w:tc>
          <w:tcPr>
            <w:tcW w:w="23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tcBorders>
              <w:bottom w:val="single" w:sz="8" w:color="CCEEFF"/>
            </w:tcBorders>
          </w:tcPr>
          <w:p>
            <w:pPr>
              <w:jc w:val="right"/>
              <w:ind w:right="35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21,675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12,097</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6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Washington Metropolitan Area</w:t>
            </w: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122,982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90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4"/>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Nassau-Suffolk, NY</w:t>
            </w:r>
          </w:p>
        </w:tc>
        <w:tc>
          <w:tcPr>
            <w:tcW w:w="10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20,659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Arial" w:cs="Arial" w:eastAsia="Arial" w:hAnsi="Arial"/>
                <w:sz w:val="13"/>
                <w:szCs w:val="13"/>
                <w:color w:val="auto"/>
              </w:rPr>
              <w:t>Total New York / New Jersey</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20,659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1140" w:type="dxa"/>
            <w:vAlign w:val="bottom"/>
            <w:tcBorders>
              <w:bottom w:val="single" w:sz="8" w:color="CCEEFF"/>
            </w:tcBorders>
            <w:gridSpan w:val="3"/>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r>
      <w:tr>
        <w:trPr>
          <w:trHeight w:val="148"/>
        </w:trPr>
        <w:tc>
          <w:tcPr>
            <w:tcW w:w="19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Atlantic Plaza</w:t>
            </w:r>
          </w:p>
        </w:tc>
        <w:tc>
          <w:tcPr>
            <w:tcW w:w="334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Boston-Worcester-Lawrence-Lowell-Brockton,  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19,970</w:t>
            </w:r>
          </w:p>
        </w:tc>
        <w:tc>
          <w:tcPr>
            <w:tcW w:w="100" w:type="dxa"/>
            <w:vAlign w:val="bottom"/>
          </w:tcPr>
          <w:p>
            <w:pPr>
              <w:spacing w:after="0"/>
              <w:rPr>
                <w:sz w:val="12"/>
                <w:szCs w:val="12"/>
                <w:color w:val="auto"/>
              </w:rPr>
            </w:pPr>
          </w:p>
        </w:tc>
        <w:tc>
          <w:tcPr>
            <w:tcW w:w="5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10,500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3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ind w:left="160"/>
              <w:spacing w:after="0"/>
              <w:rPr>
                <w:sz w:val="20"/>
                <w:szCs w:val="20"/>
                <w:color w:val="auto"/>
              </w:rPr>
            </w:pPr>
            <w:r>
              <w:rPr>
                <w:rFonts w:ascii="Arial" w:cs="Arial" w:eastAsia="Arial" w:hAnsi="Arial"/>
                <w:sz w:val="13"/>
                <w:szCs w:val="13"/>
                <w:color w:val="auto"/>
              </w:rPr>
              <w:t>MA</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Boston-Worcester-Lawrence-Lowell-Brockton,  2004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22,906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9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Pleasant Shops</w:t>
            </w:r>
          </w:p>
        </w:tc>
        <w:tc>
          <w:tcPr>
            <w:tcW w:w="334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Boston-Worcester-Lawrence-Lowell-Brockton,  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23,865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MA</w:t>
            </w: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Total New England</w:t>
            </w: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66,741</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369,000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spacing w:after="0"/>
              <w:rPr>
                <w:sz w:val="21"/>
                <w:szCs w:val="21"/>
                <w:color w:val="auto"/>
              </w:rPr>
            </w:pPr>
          </w:p>
        </w:tc>
      </w:tr>
      <w:tr>
        <w:trPr>
          <w:trHeight w:val="264"/>
        </w:trPr>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Grand Totals</w:t>
            </w:r>
          </w:p>
        </w:tc>
        <w:tc>
          <w:tcPr>
            <w:tcW w:w="2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210,382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56,982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2013 and 2012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2"/>
              </w:rPr>
              <w:t>138,005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117,374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34,932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2"/>
              </w:rPr>
              <w:t>119,885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106,702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128,466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102,545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2"/>
              </w:rPr>
              <w:t>341,438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309,240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(28,855)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(11,860)</w:t>
            </w:r>
          </w:p>
        </w:tc>
      </w:tr>
      <w:tr>
        <w:trPr>
          <w:trHeight w:val="257"/>
        </w:trPr>
        <w:tc>
          <w:tcPr>
            <w:tcW w:w="65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104,605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2"/>
              </w:rPr>
              <w:t>102,545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2"/>
              </w:rPr>
              <w:t>312,583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297,380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2019-12-05T09:44:07Z</dcterms:created>
  <dcterms:modified xsi:type="dcterms:W3CDTF">2019-12-05T09:44:07Z</dcterms:modified>
</cp:coreProperties>
</file>