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333-124195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87-3916363</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Approximate date of commencement of proposed sale of the securities to the public: Not applicable.</w:t>
      </w:r>
    </w:p>
    <w:p>
      <w:pPr>
        <w:spacing w:after="0" w:line="225" w:lineRule="exact"/>
        <w:rPr>
          <w:sz w:val="24"/>
          <w:szCs w:val="24"/>
          <w:color w:val="auto"/>
        </w:rPr>
      </w:pPr>
    </w:p>
    <w:p>
      <w:pPr>
        <w:ind w:right="72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8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28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6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23" w:gutter="0" w:footer="0" w:header="0"/>
        </w:sectPr>
      </w:pPr>
    </w:p>
    <w:bookmarkStart w:id="1" w:name="page2"/>
    <w:bookmarkEnd w:id="1"/>
    <w:p>
      <w:pPr>
        <w:ind w:right="68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5"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This Post-Effective Amendment No. 1 (this “Post-Effective Amendment”) to the Registration Statement on Form S-3 (File No. 333-124195) (the “Registration Statement”) filed with the Securities and Exchange Commission on April 20, 2005 is being filed to deregister all securities that were registered for issuance on the Registration Statement and remain unsold thereunder.</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 that remained unsold thereunder as of the date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this Post-Effective Amendment to a Registration Statement on Form S-3 and has duly caused this Post-Effective Amendment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5"/>
                <w:szCs w:val="15"/>
                <w:color w:val="auto"/>
              </w:rPr>
            </w:pPr>
          </w:p>
        </w:tc>
        <w:tc>
          <w:tcPr>
            <w:tcW w:w="6160" w:type="dxa"/>
            <w:vAlign w:val="bottom"/>
            <w:tcBorders>
              <w:bottom w:val="single" w:sz="8" w:color="auto"/>
            </w:tcBorders>
          </w:tcPr>
          <w:p>
            <w:pPr>
              <w:jc w:val="right"/>
              <w:ind w:right="278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311"/>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w w:val="94"/>
              </w:rPr>
              <w:t>Chief Executive Officer of the Registrant (principal executive officer) and Trustee of</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Federal Realty Investment Trust</w:t>
            </w:r>
          </w:p>
        </w:tc>
        <w:tc>
          <w:tcPr>
            <w:tcW w:w="220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w w:val="98"/>
              </w:rPr>
              <w:t>Executive Vice President-Chief Financial Officer and Treasurer of the Registrant</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20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242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64"/>
        </w:trPr>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80" w:type="dxa"/>
            <w:vAlign w:val="bottom"/>
            <w:gridSpan w:val="2"/>
          </w:tcPr>
          <w:p>
            <w:pPr>
              <w:jc w:val="right"/>
              <w:ind w:right="308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2022-01-03T07:40:40Z</dcterms:created>
  <dcterms:modified xsi:type="dcterms:W3CDTF">2022-01-03T07:40:40Z</dcterms:modified>
</cp:coreProperties>
</file>