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59924d424b5.htm"/>
        <w:bookmarkStart w:id="1" w:name="ksd759924d424b5"/>
        <w:bookmarkEnd w:id="0"/>
        <w:bookmarkEnd w:id="1"/>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333-277767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MARCH 8, 2024) </w:t>
      </w:r>
    </w:p>
    <w:p>
      <w:pPr>
        <w:pStyle w:val="TextBody"/>
        <w:bidi w:val="0"/>
        <w:spacing w:before="240" w:after="0"/>
        <w:jc w:val="center"/>
        <w:rPr>
          <w:rFonts w:ascii="Times New Roman" w:hAnsi="Times New Roman"/>
          <w:b/>
          <w:sz w:val="36"/>
        </w:rPr>
      </w:pPr>
      <w:r>
        <w:rPr>
          <w:rFonts w:ascii="Times New Roman" w:hAnsi="Times New Roman"/>
          <w:b/>
          <w:sz w:val="36"/>
        </w:rPr>
        <w:t xml:space="preserve">$500,000,000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48602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86025" cy="7715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Federal Realty Investment Trust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Shares of Beneficial Interest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an equity distribution agreement, dated February 14, 2022, as amended on March 8, 2024, with Wells Fargo Securities, LLC, BNP Paribas Securities Corp., BofA Securities, Inc., Citigroup Global Markets Inc., Deutsche Bank Securities Inc., J.P. Morgan Securities LLC, Jefferies LLC, Regions Securities LLC, Scotia Capital (USA) Inc., SMBC Nikko Securities America, Inc., TD Securities (USA) LLC and Truist Securities, Inc., or the Agents, and the forward purchasers (as defined below) relating to Federal Realty Investment Trusts common shares of beneficial interest, $.01 par value per share, which we refer to as common shares, offered by this prospectus supplement and the accompanying prospectus pursuant to an at the market offering program. In accordance with the terms of the equity distribution agreement, an aggregate offering price of up to $500,000,000 of our common shares, as of the date of this prospectus supplement, may from time to time be offered and sold to or through the Agents as our sales agents or, if applicable, as forward sellers (as defined below). Prior to the March 8, 2024 amendment, 1,803,362 common shares having an aggregate offering price of $187,879,828 were offered and sold under the equity distribution agreement. The March 8, 2024 amendment increased the amount of common shares that may be offered and sold under the equity distribution agreement such that an aggregate offering price of $500,000,000 of our common shares remains available, as of the date of this prospectus supplement, for sale pursuant to the terms thereof. The March 8, 2024 amendment also joined BNP Paribas Securities Corp., Deutsche Bank Securities Inc., Regions Securities LLC, Scotia Capital (USA) Inc., SMBC Nikko Securities America, Inc., TD Securities (USA) LLC and Truist Securities, Inc. and, in certain cases, affiliates thereof, as Agents and/or as forward purchasers under the equity distribution agreement. Unless the context otherwise requires, references in this prospectus supplement to the equity distribution agreement mean the equity distribution agreement as amended by the March 8, 2024 amendment.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shares are listed on the New York Stock Exchange, or the NYSE, under the symbol FRT. On March 7, 2024, the last reported sale price of our common shares on the NYSE was $101.99 per share. </w:t>
      </w:r>
    </w:p>
    <w:p>
      <w:pPr>
        <w:pStyle w:val="TextBody"/>
        <w:bidi w:val="0"/>
        <w:spacing w:before="240" w:after="0"/>
        <w:jc w:val="left"/>
        <w:rPr>
          <w:rFonts w:ascii="Times New Roman" w:hAnsi="Times New Roman"/>
          <w:sz w:val="20"/>
        </w:rPr>
      </w:pPr>
      <w:r>
        <w:rPr>
          <w:rFonts w:ascii="Times New Roman" w:hAnsi="Times New Roman"/>
          <w:sz w:val="20"/>
        </w:rPr>
        <w:t xml:space="preserve">Sales of our common shares, if any, under this prospectus supplement and the accompanying prospectus may be made in negotiated transactions, including block trades, or transactions that are deemed to be at the market offerings as defined in Rule 415 under the Securities Act of 1933, as amended, or the Securities Act, by means of ordinary brokers transactions at market prices prevailing at the time of sale, including sales made directly on the NYSE, sales made to or through a market maker and sales made through other securities exchanges or electronic communications networks. The Agents are not required to sell any specific number or dollar amount of common shares, but as instructed by us will make all sales using commercially reasonable efforts, as our sales agents or as forward sellers and subject to the terms of the equity distribution agreement. Our common shares to which this prospectus supplement relates will be sold through only one Agent on any given day. The offering of common shares pursuant to the equity distribution agreement will terminate upon the earlier of (1) the sale of common shares having an aggregate offering price of $500,000,000, from the date of this prospectus supplement, and (2) the termination of the equity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equity distribution agreement contemplates that, in addition to the issuance and sale by us of common shares to or through the Agents as our sales agents or as principal, we may enter into separate forward sale agreements with certain of the Agents, or one of their respective affiliates, whom we refer to as a forward purchaser. 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We refer to an Agent when acting as sales agent for the relevant forward purchaser as a forward seller. Unless otherwise expressly stated or the context otherwise requires, references herein to the related or relevant forward purchaser mean, with respect to any Agent, the affiliate of such Agent that is acting as forward purchaser or, if applicable, such Agent acting in its capacity as forward purchaser. We will not receive any proceeds from any sale of common shares borrowed by a forward purchaser (or its affiliate) and sold through a forward seller. </w:t>
      </w:r>
    </w:p>
    <w:p>
      <w:pPr>
        <w:pStyle w:val="TextBody"/>
        <w:bidi w:val="0"/>
        <w:spacing w:before="240" w:after="0"/>
        <w:jc w:val="left"/>
        <w:rPr>
          <w:rFonts w:ascii="Times New Roman" w:hAnsi="Times New Roman"/>
          <w:sz w:val="20"/>
        </w:rPr>
      </w:pPr>
      <w:r>
        <w:rPr>
          <w:rFonts w:ascii="Times New Roman" w:hAnsi="Times New Roman"/>
          <w:sz w:val="20"/>
        </w:rPr>
        <w:t xml:space="preserve">We currently expect to fully physically settle each forward sale agreement, if any, with the relevant forward purchaser on one or more dates specified by us on or prior to the maturity date of such forward sale agreement, in which case we expect to receive aggregate net cash proceeds at settlement equal to the number of common shares specified in such forward sale agreement multiplied by the relevant forward price per share. However, subject to certain exceptions, we may also elect, in our sole discretion, to cash settle or net share settle all or any portion of our obligations under any forward sale agreement, in which case we may not (in the case of cash settlement) or will not (in the case of net share settlement) receive any proceeds, and we may owe cash (in the case of cash settlement) or common shares (in the case of net share settlement) to the relevant forward purchaser. See Plan of Distribution (Conflicts of Interest)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pay each of the Agents a commission that will not exceed, but may be lower than, 2.0% of the gross sales price per common share sold through it under the equity distribution agreement. In connection with each forward sale agreement, we will pay the applicable Agent, acting as forward seller in connection with such forward sale agreement, a commission in the form of a reduction to the initial forward price under the related forward sale agreement, at a mutually agreed rate that will not exceed, but may be lower than, 2.0% of the gross sales price per share of the borrowed common shares sold through such Agent, as forward seller, during the applicable forward selling period for such shares (subject to certain possible adjustments to such gross sales price for daily accruals and any quarterly dividends having an ex-dividend date during such forward selling period).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4"/>
        </w:rPr>
        <w:t>Investing in our common shares involves risks. See the information under the caption </w:t>
      </w:r>
      <w:hyperlink w:anchor="suppbtx759924_4">
        <w:r>
          <w:rPr>
            <w:rStyle w:val="InternetLink"/>
            <w:rFonts w:ascii="Times New Roman" w:hAnsi="Times New Roman"/>
            <w:b/>
            <w:sz w:val="24"/>
          </w:rPr>
          <w:t>Risk Factors</w:t>
        </w:r>
      </w:hyperlink>
      <w:r>
        <w:rPr>
          <w:rFonts w:ascii="Times New Roman" w:hAnsi="Times New Roman"/>
          <w:b/>
          <w:sz w:val="24"/>
        </w:rPr>
        <w:t xml:space="preserve"> in our most recent Annual Report on Form 10-K filed with the Securities and Exchange Commission, or the SEC, and subsequent filings that we make with the SEC that are incorporated by reference herein, as well as page S-3 of this 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17"/>
        <w:gridCol w:w="91"/>
        <w:gridCol w:w="2360"/>
        <w:gridCol w:w="91"/>
        <w:gridCol w:w="2335"/>
        <w:gridCol w:w="91"/>
        <w:gridCol w:w="2620"/>
      </w:tblGrid>
      <w:tr>
        <w:trPr/>
        <w:tc>
          <w:tcPr>
            <w:tcW w:w="2617"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r>
      <w:tr>
        <w:trPr/>
        <w:tc>
          <w:tcPr>
            <w:tcW w:w="2617" w:type="dxa"/>
            <w:tcBorders/>
          </w:tcPr>
          <w:p>
            <w:pPr>
              <w:pStyle w:val="TableContents"/>
              <w:bidi w:val="0"/>
              <w:spacing w:before="0" w:after="283"/>
              <w:jc w:val="left"/>
              <w:rPr>
                <w:b/>
              </w:rPr>
            </w:pPr>
            <w:r>
              <w:rPr>
                <w:b/>
              </w:rPr>
              <w:t>Wells Fargo Securities</w:t>
            </w:r>
          </w:p>
        </w:tc>
        <w:tc>
          <w:tcPr>
            <w:tcW w:w="91" w:type="dxa"/>
            <w:tcBorders/>
            <w:vAlign w:val="bottom"/>
          </w:tcPr>
          <w:p>
            <w:pPr>
              <w:pStyle w:val="TableContents"/>
              <w:bidi w:val="0"/>
              <w:spacing w:before="0" w:after="283"/>
              <w:jc w:val="left"/>
              <w:rPr/>
            </w:pPr>
            <w:r>
              <w:rPr/>
              <w:t> </w:t>
            </w:r>
          </w:p>
        </w:tc>
        <w:tc>
          <w:tcPr>
            <w:tcW w:w="2360" w:type="dxa"/>
            <w:tcBorders/>
          </w:tcPr>
          <w:p>
            <w:pPr>
              <w:pStyle w:val="TableContents"/>
              <w:bidi w:val="0"/>
              <w:spacing w:before="0" w:after="283"/>
              <w:jc w:val="center"/>
              <w:rPr>
                <w:b/>
              </w:rPr>
            </w:pPr>
            <w:r>
              <w:rPr>
                <w:b/>
              </w:rPr>
              <w:t>BNP PARIBAS</w:t>
            </w:r>
          </w:p>
        </w:tc>
        <w:tc>
          <w:tcPr>
            <w:tcW w:w="91" w:type="dxa"/>
            <w:tcBorders/>
            <w:vAlign w:val="bottom"/>
          </w:tcPr>
          <w:p>
            <w:pPr>
              <w:pStyle w:val="TableContents"/>
              <w:bidi w:val="0"/>
              <w:spacing w:before="0" w:after="283"/>
              <w:jc w:val="left"/>
              <w:rPr/>
            </w:pPr>
            <w:r>
              <w:rPr/>
              <w:t> </w:t>
            </w:r>
          </w:p>
        </w:tc>
        <w:tc>
          <w:tcPr>
            <w:tcW w:w="2335" w:type="dxa"/>
            <w:tcBorders/>
          </w:tcPr>
          <w:p>
            <w:pPr>
              <w:pStyle w:val="TableContents"/>
              <w:bidi w:val="0"/>
              <w:spacing w:before="0" w:after="283"/>
              <w:jc w:val="center"/>
              <w:rPr>
                <w:b/>
              </w:rPr>
            </w:pPr>
            <w:r>
              <w:rPr>
                <w:b/>
              </w:rPr>
              <w:t>BofA Securities</w:t>
            </w:r>
          </w:p>
        </w:tc>
        <w:tc>
          <w:tcPr>
            <w:tcW w:w="91" w:type="dxa"/>
            <w:tcBorders/>
            <w:vAlign w:val="bottom"/>
          </w:tcPr>
          <w:p>
            <w:pPr>
              <w:pStyle w:val="TableContents"/>
              <w:bidi w:val="0"/>
              <w:spacing w:before="0" w:after="283"/>
              <w:jc w:val="left"/>
              <w:rPr/>
            </w:pPr>
            <w:r>
              <w:rPr/>
              <w:t> </w:t>
            </w:r>
          </w:p>
        </w:tc>
        <w:tc>
          <w:tcPr>
            <w:tcW w:w="2620" w:type="dxa"/>
            <w:tcBorders/>
          </w:tcPr>
          <w:p>
            <w:pPr>
              <w:pStyle w:val="TableContents"/>
              <w:bidi w:val="0"/>
              <w:spacing w:before="0" w:after="283"/>
              <w:jc w:val="right"/>
              <w:rPr>
                <w:b/>
              </w:rPr>
            </w:pPr>
            <w:r>
              <w:rPr>
                <w:b/>
              </w:rPr>
              <w:t>Citigroup</w:t>
            </w:r>
          </w:p>
        </w:tc>
      </w:tr>
      <w:tr>
        <w:trPr/>
        <w:tc>
          <w:tcPr>
            <w:tcW w:w="2617" w:type="dxa"/>
            <w:tcBorders/>
          </w:tcPr>
          <w:p>
            <w:pPr>
              <w:pStyle w:val="TableContents"/>
              <w:bidi w:val="0"/>
              <w:spacing w:before="0" w:after="283"/>
              <w:jc w:val="left"/>
              <w:rPr>
                <w:b/>
              </w:rPr>
            </w:pPr>
            <w:r>
              <w:rPr>
                <w:b/>
              </w:rPr>
              <w:t>Deutsche Bank Securities</w:t>
            </w:r>
          </w:p>
        </w:tc>
        <w:tc>
          <w:tcPr>
            <w:tcW w:w="91" w:type="dxa"/>
            <w:tcBorders/>
            <w:vAlign w:val="bottom"/>
          </w:tcPr>
          <w:p>
            <w:pPr>
              <w:pStyle w:val="TableContents"/>
              <w:bidi w:val="0"/>
              <w:spacing w:before="0" w:after="283"/>
              <w:jc w:val="left"/>
              <w:rPr/>
            </w:pPr>
            <w:r>
              <w:rPr/>
              <w:t> </w:t>
            </w:r>
          </w:p>
        </w:tc>
        <w:tc>
          <w:tcPr>
            <w:tcW w:w="2360" w:type="dxa"/>
            <w:tcBorders/>
          </w:tcPr>
          <w:p>
            <w:pPr>
              <w:pStyle w:val="TableContents"/>
              <w:bidi w:val="0"/>
              <w:spacing w:before="0" w:after="283"/>
              <w:jc w:val="center"/>
              <w:rPr>
                <w:b/>
              </w:rPr>
            </w:pPr>
            <w:r>
              <w:rPr>
                <w:b/>
              </w:rPr>
              <w:t>J.P. Morgan</w:t>
            </w:r>
          </w:p>
        </w:tc>
        <w:tc>
          <w:tcPr>
            <w:tcW w:w="91" w:type="dxa"/>
            <w:tcBorders/>
            <w:vAlign w:val="bottom"/>
          </w:tcPr>
          <w:p>
            <w:pPr>
              <w:pStyle w:val="TableContents"/>
              <w:bidi w:val="0"/>
              <w:spacing w:before="0" w:after="283"/>
              <w:jc w:val="left"/>
              <w:rPr/>
            </w:pPr>
            <w:r>
              <w:rPr/>
              <w:t> </w:t>
            </w:r>
          </w:p>
        </w:tc>
        <w:tc>
          <w:tcPr>
            <w:tcW w:w="2335" w:type="dxa"/>
            <w:tcBorders/>
          </w:tcPr>
          <w:p>
            <w:pPr>
              <w:pStyle w:val="TableContents"/>
              <w:bidi w:val="0"/>
              <w:spacing w:before="0" w:after="283"/>
              <w:jc w:val="center"/>
              <w:rPr>
                <w:b/>
              </w:rPr>
            </w:pPr>
            <w:r>
              <w:rPr>
                <w:b/>
              </w:rPr>
              <w:t>Jefferies</w:t>
            </w:r>
          </w:p>
        </w:tc>
        <w:tc>
          <w:tcPr>
            <w:tcW w:w="91" w:type="dxa"/>
            <w:tcBorders/>
            <w:vAlign w:val="bottom"/>
          </w:tcPr>
          <w:p>
            <w:pPr>
              <w:pStyle w:val="TableContents"/>
              <w:bidi w:val="0"/>
              <w:spacing w:before="0" w:after="283"/>
              <w:jc w:val="left"/>
              <w:rPr/>
            </w:pPr>
            <w:r>
              <w:rPr/>
              <w:t> </w:t>
            </w:r>
          </w:p>
        </w:tc>
        <w:tc>
          <w:tcPr>
            <w:tcW w:w="2620" w:type="dxa"/>
            <w:tcBorders/>
          </w:tcPr>
          <w:p>
            <w:pPr>
              <w:pStyle w:val="TableContents"/>
              <w:bidi w:val="0"/>
              <w:spacing w:before="0" w:after="283"/>
              <w:jc w:val="right"/>
              <w:rPr>
                <w:b/>
              </w:rPr>
            </w:pPr>
            <w:r>
              <w:rPr>
                <w:b/>
              </w:rPr>
              <w:t>Regions Securities LLC</w:t>
            </w:r>
          </w:p>
        </w:tc>
      </w:tr>
      <w:tr>
        <w:trPr/>
        <w:tc>
          <w:tcPr>
            <w:tcW w:w="2617" w:type="dxa"/>
            <w:tcBorders/>
          </w:tcPr>
          <w:p>
            <w:pPr>
              <w:pStyle w:val="TableContents"/>
              <w:bidi w:val="0"/>
              <w:spacing w:before="0" w:after="283"/>
              <w:jc w:val="left"/>
              <w:rPr>
                <w:b/>
              </w:rPr>
            </w:pPr>
            <w:r>
              <w:rPr>
                <w:b/>
              </w:rPr>
              <w:t>Scotiabank</w:t>
            </w:r>
          </w:p>
        </w:tc>
        <w:tc>
          <w:tcPr>
            <w:tcW w:w="91" w:type="dxa"/>
            <w:tcBorders/>
            <w:vAlign w:val="bottom"/>
          </w:tcPr>
          <w:p>
            <w:pPr>
              <w:pStyle w:val="TableContents"/>
              <w:bidi w:val="0"/>
              <w:spacing w:before="0" w:after="283"/>
              <w:jc w:val="left"/>
              <w:rPr/>
            </w:pPr>
            <w:r>
              <w:rPr/>
              <w:t> </w:t>
            </w:r>
          </w:p>
        </w:tc>
        <w:tc>
          <w:tcPr>
            <w:tcW w:w="2360" w:type="dxa"/>
            <w:tcBorders/>
          </w:tcPr>
          <w:p>
            <w:pPr>
              <w:pStyle w:val="TableContents"/>
              <w:bidi w:val="0"/>
              <w:spacing w:before="0" w:after="283"/>
              <w:jc w:val="center"/>
              <w:rPr>
                <w:b/>
              </w:rPr>
            </w:pPr>
            <w:r>
              <w:rPr>
                <w:b/>
              </w:rPr>
              <w:t>SMBC Nikko</w:t>
            </w:r>
          </w:p>
        </w:tc>
        <w:tc>
          <w:tcPr>
            <w:tcW w:w="91" w:type="dxa"/>
            <w:tcBorders/>
            <w:vAlign w:val="bottom"/>
          </w:tcPr>
          <w:p>
            <w:pPr>
              <w:pStyle w:val="TableContents"/>
              <w:bidi w:val="0"/>
              <w:spacing w:before="0" w:after="283"/>
              <w:jc w:val="left"/>
              <w:rPr/>
            </w:pPr>
            <w:r>
              <w:rPr/>
              <w:t> </w:t>
            </w:r>
          </w:p>
        </w:tc>
        <w:tc>
          <w:tcPr>
            <w:tcW w:w="2335" w:type="dxa"/>
            <w:tcBorders/>
          </w:tcPr>
          <w:p>
            <w:pPr>
              <w:pStyle w:val="TableContents"/>
              <w:bidi w:val="0"/>
              <w:spacing w:before="0" w:after="283"/>
              <w:jc w:val="center"/>
              <w:rPr>
                <w:b/>
              </w:rPr>
            </w:pPr>
            <w:r>
              <w:rPr>
                <w:b/>
              </w:rPr>
              <w:t>TD Securities</w:t>
            </w:r>
          </w:p>
        </w:tc>
        <w:tc>
          <w:tcPr>
            <w:tcW w:w="91" w:type="dxa"/>
            <w:tcBorders/>
            <w:vAlign w:val="bottom"/>
          </w:tcPr>
          <w:p>
            <w:pPr>
              <w:pStyle w:val="TableContents"/>
              <w:bidi w:val="0"/>
              <w:spacing w:before="0" w:after="283"/>
              <w:jc w:val="left"/>
              <w:rPr/>
            </w:pPr>
            <w:r>
              <w:rPr/>
              <w:t> </w:t>
            </w:r>
          </w:p>
        </w:tc>
        <w:tc>
          <w:tcPr>
            <w:tcW w:w="2620" w:type="dxa"/>
            <w:tcBorders/>
          </w:tcPr>
          <w:p>
            <w:pPr>
              <w:pStyle w:val="TableContents"/>
              <w:bidi w:val="0"/>
              <w:spacing w:before="0" w:after="283"/>
              <w:jc w:val="right"/>
              <w:rPr>
                <w:b/>
              </w:rPr>
            </w:pPr>
            <w:r>
              <w:rPr>
                <w:b/>
              </w:rPr>
              <w:t>Truist Securities</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March 8,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2"/>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6"/>
        <w:gridCol w:w="164"/>
        <w:gridCol w:w="60"/>
        <w:gridCol w:w="472"/>
        <w:gridCol w:w="63"/>
      </w:tblGrid>
      <w:tr>
        <w:trPr/>
        <w:tc>
          <w:tcPr>
            <w:tcW w:w="9446"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4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suppbtx759924_1">
              <w:r>
                <w:rPr>
                  <w:rStyle w:val="InternetLink"/>
                  <w:rFonts w:ascii="Times New Roman" w:hAnsi="Times New Roman"/>
                  <w:sz w:val="20"/>
                </w:rPr>
                <w:t>About this Prospectus Supplement</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S-ii</w:t>
            </w:r>
          </w:p>
        </w:tc>
        <w:tc>
          <w:tcPr>
            <w:tcW w:w="63" w:type="dxa"/>
            <w:tcBorders/>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suppbtx759924_2">
              <w:r>
                <w:rPr>
                  <w:rStyle w:val="InternetLink"/>
                  <w:rFonts w:ascii="Times New Roman" w:hAnsi="Times New Roman"/>
                  <w:sz w:val="20"/>
                </w:rPr>
                <w:t>Cautionary Statement Concerning Forward-Looking Statements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S-ii</w:t>
            </w:r>
          </w:p>
        </w:tc>
        <w:tc>
          <w:tcPr>
            <w:tcW w:w="63" w:type="dxa"/>
            <w:tcBorders/>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suppbtx759924_3">
              <w:r>
                <w:rPr>
                  <w:rStyle w:val="InternetLink"/>
                  <w:rFonts w:ascii="Times New Roman" w:hAnsi="Times New Roman"/>
                  <w:sz w:val="20"/>
                </w:rPr>
                <w:t>Prospectus Supplement Summary</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suppbtx759924_4">
              <w:r>
                <w:rPr>
                  <w:rStyle w:val="InternetLink"/>
                  <w:rFonts w:ascii="Times New Roman" w:hAnsi="Times New Roman"/>
                  <w:sz w:val="20"/>
                </w:rPr>
                <w:t>Risk Factors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S-3</w:t>
            </w:r>
          </w:p>
        </w:tc>
        <w:tc>
          <w:tcPr>
            <w:tcW w:w="63" w:type="dxa"/>
            <w:tcBorders/>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suppbtx759924_5">
              <w:r>
                <w:rPr>
                  <w:rStyle w:val="InternetLink"/>
                  <w:rFonts w:ascii="Times New Roman" w:hAnsi="Times New Roman"/>
                  <w:sz w:val="20"/>
                </w:rPr>
                <w:t>Use of Proceeds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S-7</w:t>
            </w:r>
          </w:p>
        </w:tc>
        <w:tc>
          <w:tcPr>
            <w:tcW w:w="63" w:type="dxa"/>
            <w:tcBorders/>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suppbtx759924_6">
              <w:r>
                <w:rPr>
                  <w:rStyle w:val="InternetLink"/>
                  <w:rFonts w:ascii="Times New Roman" w:hAnsi="Times New Roman"/>
                  <w:sz w:val="20"/>
                </w:rPr>
                <w:t>Plan of Distribution (Conflicts of Interest)</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S-8</w:t>
            </w:r>
          </w:p>
        </w:tc>
        <w:tc>
          <w:tcPr>
            <w:tcW w:w="63" w:type="dxa"/>
            <w:tcBorders/>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suppbtx759924_7">
              <w:r>
                <w:rPr>
                  <w:rStyle w:val="InternetLink"/>
                  <w:rFonts w:ascii="Times New Roman" w:hAnsi="Times New Roman"/>
                  <w:sz w:val="20"/>
                </w:rPr>
                <w:t>Experts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S-12</w:t>
            </w:r>
          </w:p>
        </w:tc>
        <w:tc>
          <w:tcPr>
            <w:tcW w:w="63" w:type="dxa"/>
            <w:tcBorders/>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suppbtx759924_8">
              <w:r>
                <w:rPr>
                  <w:rStyle w:val="InternetLink"/>
                  <w:rFonts w:ascii="Times New Roman" w:hAnsi="Times New Roman"/>
                  <w:sz w:val="20"/>
                </w:rPr>
                <w:t>Legal Matters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S-12</w:t>
            </w:r>
          </w:p>
        </w:tc>
        <w:tc>
          <w:tcPr>
            <w:tcW w:w="63"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53"/>
        <w:gridCol w:w="264"/>
        <w:gridCol w:w="96"/>
        <w:gridCol w:w="429"/>
        <w:gridCol w:w="63"/>
      </w:tblGrid>
      <w:tr>
        <w:trPr/>
        <w:tc>
          <w:tcPr>
            <w:tcW w:w="9353"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53"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1">
              <w:r>
                <w:rPr>
                  <w:rStyle w:val="InternetLink"/>
                  <w:rFonts w:ascii="Times New Roman" w:hAnsi="Times New Roman"/>
                  <w:sz w:val="20"/>
                </w:rPr>
                <w:t>About this Prospectus</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2">
              <w:r>
                <w:rPr>
                  <w:rStyle w:val="InternetLink"/>
                  <w:rFonts w:ascii="Times New Roman" w:hAnsi="Times New Roman"/>
                  <w:sz w:val="20"/>
                </w:rPr>
                <w:t>Forward-Looking Statements</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3">
              <w:r>
                <w:rPr>
                  <w:rStyle w:val="InternetLink"/>
                  <w:rFonts w:ascii="Times New Roman" w:hAnsi="Times New Roman"/>
                  <w:sz w:val="20"/>
                </w:rPr>
                <w:t>Prospectus Summary</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4">
              <w:r>
                <w:rPr>
                  <w:rStyle w:val="InternetLink"/>
                  <w:rFonts w:ascii="Times New Roman" w:hAnsi="Times New Roman"/>
                  <w:sz w:val="20"/>
                </w:rPr>
                <w:t>Risk Factors</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5">
              <w:r>
                <w:rPr>
                  <w:rStyle w:val="InternetLink"/>
                  <w:rFonts w:ascii="Times New Roman" w:hAnsi="Times New Roman"/>
                  <w:sz w:val="20"/>
                </w:rPr>
                <w:t>Use of Proceeds</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6">
              <w:r>
                <w:rPr>
                  <w:rStyle w:val="InternetLink"/>
                  <w:rFonts w:ascii="Times New Roman" w:hAnsi="Times New Roman"/>
                  <w:sz w:val="20"/>
                </w:rPr>
                <w:t>Description of Securities that may be Offered by Federal Realty Investment Trust or a Selling Security Holder</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7">
              <w:r>
                <w:rPr>
                  <w:rStyle w:val="InternetLink"/>
                  <w:rFonts w:ascii="Times New Roman" w:hAnsi="Times New Roman"/>
                  <w:sz w:val="20"/>
                </w:rPr>
                <w:t>Description of Securities that may be Offered by Federal Realty OP LP</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8">
              <w:r>
                <w:rPr>
                  <w:rStyle w:val="InternetLink"/>
                  <w:rFonts w:ascii="Times New Roman" w:hAnsi="Times New Roman"/>
                  <w:sz w:val="20"/>
                </w:rPr>
                <w:t>Material Federal Income Tax Considerations</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9">
              <w:r>
                <w:rPr>
                  <w:rStyle w:val="InternetLink"/>
                  <w:rFonts w:ascii="Times New Roman" w:hAnsi="Times New Roman"/>
                  <w:sz w:val="20"/>
                </w:rPr>
                <w:t>Selling Security Holders</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10">
              <w:r>
                <w:rPr>
                  <w:rStyle w:val="InternetLink"/>
                  <w:rFonts w:ascii="Times New Roman" w:hAnsi="Times New Roman"/>
                  <w:sz w:val="20"/>
                </w:rPr>
                <w:t>Plan of Distribution</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11">
              <w:r>
                <w:rPr>
                  <w:rStyle w:val="InternetLink"/>
                  <w:rFonts w:ascii="Times New Roman" w:hAnsi="Times New Roman"/>
                  <w:sz w:val="20"/>
                </w:rPr>
                <w:t>Legal Matters</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12">
              <w:r>
                <w:rPr>
                  <w:rStyle w:val="InternetLink"/>
                  <w:rFonts w:ascii="Times New Roman" w:hAnsi="Times New Roman"/>
                  <w:sz w:val="20"/>
                </w:rPr>
                <w:t>Experts</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13">
              <w:r>
                <w:rPr>
                  <w:rStyle w:val="InternetLink"/>
                  <w:rFonts w:ascii="Times New Roman" w:hAnsi="Times New Roman"/>
                  <w:sz w:val="20"/>
                </w:rPr>
                <w:t>Where You Can Find More Information</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suppbtx759924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along with the accompanying prospectus, as well as the information incorporated by reference herein and therein, carefully before you invest in our common shares. These documents contain important information you should consider before making your investment decision. This prospectus supplement and the accompanying prospectus contain the terms of this offering of our common shares. The accompanying prospectus contains information about our securities generally, some of which does not apply to the common shares covered by this prospectus supplement. This prospectus supplement may add, update or change information contained in or incorporated by reference into the accompanying prospectus. If the information in this prospectus supplement is inconsistent with any information contained in or prior information incorporated by reference into the accompanying prospectus, the information in this prospectus supplement shall apply and shall supersede the inconsistent information contained in or incorporated by reference into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It is important for you to read and consider all of the information contained in this prospectus supplement and the accompanying prospectus in making your investment decision. You should also read and consider the additional information incorporated by reference into this prospectus supplement and the accompanying prospectus. See Where You Can Find More Information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References to we, us, our or ours refer to Federal Realty Investment Trust and its directly and indirectly owned subsidiaries, unless the context otherwise requires. The term you refers to a prospective investor. References to the Company refer to Federal Realty Investment Trust and not its subsidiaries, unless the context otherwise requires.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in or incorporated by reference into this prospectus supplement, the accompanying prospectus and any related free writing prospectus required to be filed with the SEC. We have not, nor have the Agents or the forward purchasers, authorized any other person to provide you with additional or different information. If anyone provides you with additional or different information, you should not rely on it. We are not, nor are the Agents or the forward purchasers, making an offer to sell the common shares in any jurisdiction where the offer or sale is not permitted by law.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 </w:t>
      </w:r>
    </w:p>
    <w:p>
      <w:pPr>
        <w:pStyle w:val="TextBody"/>
        <w:bidi w:val="0"/>
        <w:spacing w:before="480" w:after="0"/>
        <w:jc w:val="center"/>
        <w:rPr>
          <w:rFonts w:ascii="Times New Roman" w:hAnsi="Times New Roman"/>
          <w:b/>
          <w:sz w:val="20"/>
        </w:rPr>
      </w:pPr>
      <w:bookmarkStart w:id="4" w:name="suppbtx759924_2"/>
      <w:bookmarkEnd w:id="4"/>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by reference into this prospectus supplement and the accompanying prospectus contain statements that are not based on historical facts, including statements or information with words such as may, will, seeks, could, should, plans, intends, expects, believes, estimates, anticipates, continues and other similar words. These statements constitute forward-looking statements within the meaning of Section 27A of the Securities Act, Section 21E of the Securities Exchange Act of 1934, as amended, or the Exchange Act, and the Private Securities Litigation Reform Act of 1995. In particular, the risk factors included in or incorporated by reference into this prospectus supplement and the accompanying prospectus describe forward-looking information. The risk factors contained herein, in our most recent Annual Report on Form 10-K filed with the Securities and Exchange Commission, or the SEC, and in subsequent filings that we make with the SEC that are incorporated by reference herein, describe risks that may affect these statements but are not exhaustive, particularly with respect to possible future events. Many things can happen that can cause actual results to be different from those we describe. These factors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our tenants will not pay rent, may vacate early or may file for bankruptcy, or that we may be unable to renew leases or re-let space at favorable rents as leases expire or to fill existing vacancies;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our growth will be limited if we cannot obtain additional capital, or if the costs of capital we obtain are significantly higher than historical levels;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general economic conditions, including inflation and local economic conditions in our geographic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of financing on terms which are acceptable to us, our ability to meet existing financial covenants and the limitations imposed on our operations by those covenants, and the possibility of increases in interest rates that would result in increased interest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btx759924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 See Where You Can Find More Information in the accompanying prospectus.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Trust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Federal Realty Investment Trust, which we refer to as the Company, is an equity real estate investment trust, or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The Company conducts substantially all of its operations and owns substantially all of its assets through Federal Realty OP LP, which we refer to as the Partnership. The Company owns 100% of the limited liability company interests of, is the sole member of and exercises exclusive control over Federal Realty GP LLC, which is the sole general partner of the Partnership. The Company does not have substantial assets or liabilities other than through its investment in the Partnership. As of the date of this prospectus supplement, the Company owns all of the outstanding limited partnership interests in the Partnership.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December 31, 2023, we owned or had a majority interest in community and neighborhood shopping centers and mixed-use properties which are operated as 102 predominantly retail real estate projects comprising approximately 26.0 million commercial square feet. In total, the real estate projects were 94.2% leased and 92.2% occupied at December 31, 2023. Our revenue is primarily generated from lease agreements with tenants. We have paid quarterly dividends to our shareholders continuously since our founding in 1962 and have increased our dividends per common share for 56 consecutive years.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qualifies for taxation as a REIT pursuant to the Internal Revenue Code of 1986, as amended, or the Code, and we intend to operate in a manner that will allow us to maintain such qualification.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Our principal executive offices are located at 909 Rose Ave., Suite 200, North Bethesda, MD 20852. Our telephone number is (301) 998-8100. Our website address is </w:t>
      </w:r>
      <w:r>
        <w:rPr>
          <w:rFonts w:ascii="Times New Roman" w:hAnsi="Times New Roman"/>
          <w:i/>
          <w:sz w:val="20"/>
          <w:bdr w:val="single" w:sz="8" w:space="1" w:color="000000"/>
        </w:rPr>
        <w:t>www.federalrealty.com</w:t>
      </w:r>
      <w:r>
        <w:rPr>
          <w:rFonts w:ascii="Times New Roman" w:hAnsi="Times New Roman"/>
          <w:sz w:val="20"/>
          <w:bdr w:val="single" w:sz="8" w:space="1" w:color="000000"/>
        </w:rPr>
        <w:t xml:space="preserve">. The information contained on our website is not a part of this prospectus supplement or the accompanying prospectus and is not incorporated herein or therein by reference.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 more complete description of the terms of the common shares being offered by this prospectus supplement and the accompanying prospectus, see Description of Securities that may be Offered by Federal Realty Investment Trust or a Selling Security HolderShares of Beneficial Interest of Federal Realty Investment Trust in the accompanying prospectus.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Common shares offered</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Common shares with an aggregate offering price of up to $500,000,000.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New York Stock Exchange symbol</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FRT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Use of proceeds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We intend to use the net proceeds from this offering and any forward sale agreement to fund potential acquisition opportunities, to fund our development or redevelopment pipeline, to repay indebtedness, which may include amounts outstanding under our $1.25 billion revolving credit facility or our $600.0 million unsecured term loan, and/or for general corporate purposes. See Use of Proceeds on page S-7 for more information.</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Material U.S. federal income tax considerations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For a description of material U.S. federal income tax considerations of an investment in our common shares, please review the disclosure in the accompanying prospectus under Material Federal Income Tax Considerations, as may be updated from time to time in filings we make with the SEC that are incorporated by reference herein.</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Risk factors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Investing in our common shares involves risks. Please review the risk factors discussed on page S-3 of this prospectus supplement, in our most recent Annual Report on Form 10-K filed with the SEC and in subsequent filings that we make with the SEC that are incorporated by reference herein, as well as the other information contained in or incorporated by reference into this prospectus supplement and the accompanying prospectus for a discussion of factors you should consider before investing in our common shares. You may obtain a copy of our Annual Report on Form 10-K and the other documents incorporated by reference into this prospectus supplement and the accompanying prospectus by following the procedures described under Where You Can Find More Information on page 59 of the accompanying prospectus.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Conflicts of Interest</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Affiliates of some of the Agents are lenders under our revolving credit facility and/or our unsecured term loan and will receive a pro rata portion of any proceeds used to repay amounts outstanding thereunder. 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All of the net proceeds from the sale of any such borrowed common shares will be paid to the applicable forward purchaser (or one or more of its affiliates). Each forward purchaser will be either an Agent or an affiliate of an Agent. As a result, an Agent or its affiliate will receive the net proceeds from any sale of borrowed common shares made in connection with any forward sale agreement. See Plan of Distribution (Conflicts of Interest)Conflicts of Interest.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suppbtx759924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shares involves risks. Before you decide to purchase our common shares, you should carefully consider the following risk factors, together with all of the other information contained in or incorporated by reference herein, including the additional risk factors in our most recent Annual Report on Form 10-K filed with the SEC and in subsequent filings that we make with the SEC that are incorporated by reference herein. The risks and uncertainties we have described are those we believe to be the principal risks that could affect us, our business or our industry, and which could result in a material adverse impact on our financial condition, results of operation, prospects or the market price of our common shares. However, additional risks and uncertainties not currently known to us or that we currently deem immaterial may affect our business operations and the market price of our common shares. </w:t>
      </w:r>
    </w:p>
    <w:p>
      <w:pPr>
        <w:pStyle w:val="TextBody"/>
        <w:bidi w:val="0"/>
        <w:spacing w:before="360" w:after="0"/>
        <w:jc w:val="left"/>
        <w:rPr>
          <w:rFonts w:ascii="Times New Roman" w:hAnsi="Times New Roman"/>
          <w:b/>
          <w:sz w:val="20"/>
        </w:rPr>
      </w:pPr>
      <w:r>
        <w:rPr>
          <w:rFonts w:ascii="Times New Roman" w:hAnsi="Times New Roman"/>
          <w:b/>
          <w:sz w:val="20"/>
        </w:rPr>
        <w:t xml:space="preserve">You may experience significant dilution as a result of this offering and additional issuances of our securities, including pursuant to any forward sale agreement, which could harm the market price of our common shares. </w:t>
      </w:r>
    </w:p>
    <w:p>
      <w:pPr>
        <w:pStyle w:val="TextBody"/>
        <w:bidi w:val="0"/>
        <w:spacing w:before="120" w:after="0"/>
        <w:jc w:val="left"/>
        <w:rPr>
          <w:rFonts w:ascii="Times New Roman" w:hAnsi="Times New Roman"/>
          <w:sz w:val="20"/>
        </w:rPr>
      </w:pPr>
      <w:r>
        <w:rPr>
          <w:rFonts w:ascii="Times New Roman" w:hAnsi="Times New Roman"/>
          <w:sz w:val="20"/>
        </w:rPr>
        <w:t xml:space="preserve">Our declaration of trust permits our board of trustees to authorize, without shareholder approval, the issuance of additional common or preferred shares or securities convertible or exchangeable into equity securities. We may, from time to time and at any time, seek to offer and sell common or preferred shares or other securities, including sales of common shares in this offering to or through the Agents or through a forward sale agreement, based on market conditions and other factors that may be beyond our control. </w:t>
      </w:r>
    </w:p>
    <w:p>
      <w:pPr>
        <w:pStyle w:val="TextBody"/>
        <w:bidi w:val="0"/>
        <w:spacing w:before="240" w:after="0"/>
        <w:jc w:val="left"/>
        <w:rPr>
          <w:rFonts w:ascii="Times New Roman" w:hAnsi="Times New Roman"/>
          <w:sz w:val="20"/>
        </w:rPr>
      </w:pPr>
      <w:r>
        <w:rPr>
          <w:rFonts w:ascii="Times New Roman" w:hAnsi="Times New Roman"/>
          <w:sz w:val="20"/>
        </w:rPr>
        <w:t xml:space="preserve">This offering and sales of our common shares pursuant to a forward sale agreement may have a dilutive effect on our earnings per share and funds from operations per share after giving effect to the issuance of our common shares and the receipt of the expected net proceeds. The actual amount of dilution from this offering, from sales pursuant to a forward sale agreement or from any future offering of common or preferred shares will be based on numerous factors, particularly the use of proceeds and the return generated by such investment, and cannot be determined at this time. The market price of our common shares could decline as a result of sales of a large number of our common shares in the market pursuant to this offering, a forward sale agreement, or otherwise, or as a result of the perception or expectation that such sales could occur. </w:t>
      </w:r>
    </w:p>
    <w:p>
      <w:pPr>
        <w:pStyle w:val="TextBody"/>
        <w:bidi w:val="0"/>
        <w:spacing w:before="360" w:after="0"/>
        <w:jc w:val="left"/>
        <w:rPr>
          <w:rFonts w:ascii="Times New Roman" w:hAnsi="Times New Roman"/>
          <w:b/>
          <w:sz w:val="20"/>
        </w:rPr>
      </w:pPr>
      <w:r>
        <w:rPr>
          <w:rFonts w:ascii="Times New Roman" w:hAnsi="Times New Roman"/>
          <w:b/>
          <w:sz w:val="20"/>
        </w:rPr>
        <w:t xml:space="preserve">Holders of our debt or preferred shares have liquidation and other rights that are senior to the rights of the holders of our common shares, and any future issuance of debt or preferred shares could adversely affect the market price of our common shares.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we had approximately $4.6 billion of debt outstanding, 392,878 of our 5.417% Series 1 Cumulative Convertible Preferred Shares, or the Series 1 Preferred Shares, with an aggregate liquidation preference of $10 million, were issued and outstanding, and 6,000 of our 5.000% Series C Cumulative Redeemable Preferred Shares, or Series C Preferred Shares, with an aggregate liquidation preference of $150 million, were issued and outstanding. Holders of our debt and preferred shares have liquidation rights and other rights that are senior to the rights of the holders of our common shares. Upon any voluntary or involuntary liquidation, dissolution or winding up, payment will be made to holders of our debt and preferred shares, including our Series 1 Preferred Shares and Series C Preferred Shares, before any payment is made to the holders of our common shares. This will reduce the amount of our assets, if any, available for distribution to holders of our common shares. Because our decision to issue debt and preferred shares is dependent on market conditions and other factors that may be beyond our control, we cannot predict or estimate the amount, timing or nature of our future issuances. Any such future issuance could reduce the market price of our common shares. </w:t>
      </w:r>
    </w:p>
    <w:p>
      <w:pPr>
        <w:pStyle w:val="TextBody"/>
        <w:bidi w:val="0"/>
        <w:spacing w:before="360" w:after="0"/>
        <w:jc w:val="left"/>
        <w:rPr>
          <w:rFonts w:ascii="Times New Roman" w:hAnsi="Times New Roman"/>
          <w:b/>
          <w:sz w:val="20"/>
        </w:rPr>
      </w:pPr>
      <w:r>
        <w:rPr>
          <w:rFonts w:ascii="Times New Roman" w:hAnsi="Times New Roman"/>
          <w:b/>
          <w:sz w:val="20"/>
        </w:rPr>
        <w:t xml:space="preserve">Settlement provisions contained in any forward sale agreement subject us to certain risks. </w:t>
      </w:r>
    </w:p>
    <w:p>
      <w:pPr>
        <w:pStyle w:val="TextBody"/>
        <w:bidi w:val="0"/>
        <w:spacing w:before="120" w:after="0"/>
        <w:jc w:val="left"/>
        <w:rPr>
          <w:rFonts w:ascii="Times New Roman" w:hAnsi="Times New Roman"/>
          <w:sz w:val="20"/>
        </w:rPr>
      </w:pPr>
      <w:r>
        <w:rPr>
          <w:rFonts w:ascii="Times New Roman" w:hAnsi="Times New Roman"/>
          <w:sz w:val="20"/>
        </w:rPr>
        <w:t xml:space="preserve">Each forward purchaser will have the right to accelerate its forward sale agreement with respect to all or any portion of the transaction under such forward sale agreement (except with respect to events specified in (1) and (3) below, where accelerated settlement is limited to the portion of common shares whose settlement would address the relevant event or that is affected by the relevant event) that it enters into with us and require us to physically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settle such common shares on a date specified by such forward purchaser if: (1) in such forward purchasers commercially reasonable judgment, it or its affiliate is unable to hedge (or maintain a hedge of) its exposure in a commercially reasonable manner under such forward sale agreement because (a) insufficient common shares have been made available for borrowing by securities lenders or (b) such forward purchaser or any of its affiliates would incur a share borrow cost in excess of a specified threshold; (2) we declare any dividend, issue or distribution on our common shares that constitutes an extraordinary dividend under the forward sale agreement or is payable in (a) cash in excess of specified amounts (unless it is an extraordinary dividend), (b) securities of another company that we acquire or own (directly or indirectly) as a result of a spin-off or similar transaction, or (c) any other type of securities (other than our common shares), rights, warrants or other assets for payment at less than the prevailing market price; (3) certain ownership thresholds applicable to such forward purchaser and its affiliates are or would be exceeded; (4) an event (a) is announced that if consummated would result in a specified extraordinary event (including certain mergers or tender offers, as well as certain events involving our nationalization, our insolvency or a delisting of our common shares) or (b) occurs that would constitute a hedging disruption or change in law; or (5) certain other events of default or termination events occur, including, among others, any material misrepresentation made by us in connection with such forward sale agreement or our insolvency (each as more fully described in the relevant forward sale agreement). </w:t>
      </w:r>
    </w:p>
    <w:p>
      <w:pPr>
        <w:pStyle w:val="TextBody"/>
        <w:bidi w:val="0"/>
        <w:spacing w:before="240" w:after="0"/>
        <w:jc w:val="left"/>
        <w:rPr>
          <w:rFonts w:ascii="Times New Roman" w:hAnsi="Times New Roman"/>
          <w:sz w:val="20"/>
        </w:rPr>
      </w:pPr>
      <w:r>
        <w:rPr>
          <w:rFonts w:ascii="Times New Roman" w:hAnsi="Times New Roman"/>
          <w:sz w:val="20"/>
        </w:rPr>
        <w:t xml:space="preserve">A forward purchasers decision to exercise its right to accelerate all or a portion of the settlement of any forward sale agreement and to require us to physically settle the relevant common shares will be made irrespective of our interests, including our need for capital. In such cases, we could be required to issue and deliver common shares under the terms of the physical settlement provisions of the applicable forward sale agreement irrespective of our capital needs, which would result in dilution to our earnings per share and funds from operations per share. </w:t>
      </w:r>
    </w:p>
    <w:p>
      <w:pPr>
        <w:pStyle w:val="TextBody"/>
        <w:bidi w:val="0"/>
        <w:spacing w:before="240" w:after="0"/>
        <w:jc w:val="left"/>
        <w:rPr>
          <w:rFonts w:ascii="Times New Roman" w:hAnsi="Times New Roman"/>
          <w:sz w:val="20"/>
        </w:rPr>
      </w:pPr>
      <w:r>
        <w:rPr>
          <w:rFonts w:ascii="Times New Roman" w:hAnsi="Times New Roman"/>
          <w:sz w:val="20"/>
        </w:rPr>
        <w:t xml:space="preserve">If we physically settle a forward sale agreement, the forward price we expect to receive will be subject to adjustment on a daily basis based on a floating interest rate factor equal to a specified daily rate less a spread. If the specified daily rate is less than the applicable spread on any day, the interest rate factor will result in a daily reduction of the forward price. In addition, the forward price will be subject to decrease on certain dates specified in the relevant forward sale agreement by the amount per share of quarterly dividends we expect to declare on our common shares during the term of such forward sale agreement. </w:t>
      </w:r>
    </w:p>
    <w:p>
      <w:pPr>
        <w:pStyle w:val="TextBody"/>
        <w:bidi w:val="0"/>
        <w:spacing w:before="240" w:after="0"/>
        <w:jc w:val="left"/>
        <w:rPr>
          <w:rFonts w:ascii="Times New Roman" w:hAnsi="Times New Roman"/>
          <w:sz w:val="20"/>
        </w:rPr>
      </w:pPr>
      <w:r>
        <w:rPr>
          <w:rFonts w:ascii="Times New Roman" w:hAnsi="Times New Roman"/>
          <w:sz w:val="20"/>
        </w:rPr>
        <w:t xml:space="preserve">Except under certain circumstances, we will generally have the right, in lieu of physical settlement of any forward sale agreement, to elect cash or net share settlement in respect of any or all of the common shares subject to such forward sale agreement. If we elect to cash or net share settle all or any part of any forward sale agreement, we would expect the relevant forward purchaser or one of its affiliates to purchase common shares in secondary market transactions over an unwind period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return common shares to securities lenders to unwind such forward purchasers hedge (after taking into consideration any common shares to be delivered by us to such forward purchaser, in the case of net share settlement);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in the case of net share settlement, deliver common shares to us to the extent required upon settlement of such forward sale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price of our common shares at which these purchases by such forward purchaser (or its affiliate) are made is below the relevant forward price, such forward purchaser will pay us such difference in cash (if we elect to cash settle) or deliver to us a number of common shares having a market value equal to such difference (if we elect to net share settle). If the price of our common shares at which these purchases are made by such forward purchaser (or its affiliate) exceeds the applicable forward price, we will pay such forward purchaser an amount in cash equal to such difference (if we elect to cash settle) or we will deliver to such forward purchaser a number of common shares having a market value equal to such difference (if we elect to net share settle). Any such difference could be significant and could result in our receipt of a significant amount of cash or number of common shares from such forward purchaser or require us to pay a significant amount of cash or deliver a significant number of common shares to such forward purchaser. See Plan of Distribution (Conflicts of Interest)Sales Through Forward Sellers.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purchase of common shares by a forward purchaser or its affiliate to unwind the forward purchasers hedge position could cause the price of our common shares to increase above the price that would have prevailed in the absence of those purchases (or prevent a decrease in such price), thereby increasing the amount of cash (in the case of cash settlement) or the number of common shares (in the case of net share settlement) that we would owe such forward purchaser upon settlement of the applicable forward sale agreement or decrease the amount of cash (in the case of cash settlement) or the number of common shares (in the case of net share settlement) that such forward purchaser would owe us upon settlement of the applicable forward sale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In case of our bankruptcy or insolvency, any forward sale agreement will automatically terminate, and we would not receive the expected net proceeds from any forward sales of our common shares under such agreement. </w:t>
      </w:r>
    </w:p>
    <w:p>
      <w:pPr>
        <w:pStyle w:val="TextBody"/>
        <w:bidi w:val="0"/>
        <w:spacing w:before="120" w:after="0"/>
        <w:jc w:val="left"/>
        <w:rPr>
          <w:rFonts w:ascii="Times New Roman" w:hAnsi="Times New Roman"/>
          <w:sz w:val="20"/>
        </w:rPr>
      </w:pPr>
      <w:r>
        <w:rPr>
          <w:rFonts w:ascii="Times New Roman" w:hAnsi="Times New Roman"/>
          <w:sz w:val="20"/>
        </w:rPr>
        <w:t xml:space="preserve">If we file for or consent to a proceeding seeking a judgment in bankruptcy or insolvency or any other relief under any bankruptcy or insolvency law or other similar law affecting creditors rights, or we or a regulatory authority with jurisdiction over us presents a petition for our winding-up or liquidation, or we consent to such a petition, any forward sale agreement that is then in effect will automatically terminate. If any such forward sale agreement so terminates under these circumstances, we would not be obligated to deliver to the relevant forward purchaser any common shares not previously delivered, and the relevant forward purchaser would be discharged from its obligation to pay the applicable forward price per share in respect of any common shares not previously settled under the applicable forward sale agreement. Therefore, to the extent that there are any common shares with respect to which any forward sale agreement has not been settled at the time of the commencement of any such bankruptcy or insolvency proceedings, we would not receive the relevant forward price per share in respect of those common shares. </w:t>
      </w:r>
    </w:p>
    <w:p>
      <w:pPr>
        <w:pStyle w:val="TextBody"/>
        <w:bidi w:val="0"/>
        <w:spacing w:before="360" w:after="0"/>
        <w:jc w:val="left"/>
        <w:rPr>
          <w:rFonts w:ascii="Times New Roman" w:hAnsi="Times New Roman"/>
          <w:b/>
          <w:sz w:val="20"/>
        </w:rPr>
      </w:pPr>
      <w:r>
        <w:rPr>
          <w:rFonts w:ascii="Times New Roman" w:hAnsi="Times New Roman"/>
          <w:b/>
          <w:sz w:val="20"/>
        </w:rPr>
        <w:t xml:space="preserve">The federal income tax treatment of the cash that we might receive from cash settlement of any forward sale agreement is unclear and could jeopardize our ability to meet the REIT qualification requirements.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we elect to settle any forward sale agreement for cash and the settlement price is below the applicable forward price, we would be entitled to receive a cash payment from the applicable forward purchaser. Under Section 1032 of the Code, generally, no gains and losses are recognized by a corporation in dealing in its own shares, including pursuant to a securities futures contract, as defined in the Code by reference to the Exchange Act. Although we believe that any amount received by us in exchange for our common shares would qualify for the exemption under Section 1032 of the Code, because it is not entirely clear whether a forward sale agreement qualifies as a securities futures contract, the federal income tax treatment of any cash settlement payment we receive is uncertain. In the event that we recognize a significant gain from the cash settlement of any forward sale agreement, we might not be able to satisfy the gross income requirements applicable to REITs under the Code. In that case, we may be able to rely upon the relief provisions under the Code in order to avoid the loss of our REIT status. Even if the relief provisions apply, we will be subject to a 100% tax on the greater of (i) the excess of 75% of our gross income (excluding gross income from prohibited transactions) over the amount of such income attributable to sources that qualify under the 75% test or (ii) the excess of 95% of our gross income (excluding gross income from prohibited transactions) over the amount of such gross income attributable to sources that qualify under the 95% test, as discussed in the accompanying prospectus under Material Federal Income Tax ConsiderationsTaxation of the Company, multiplied in either case by a fraction intended to reflect our profitability. In the event that these relief provisions were not available, we could lose our REIT status under the Code. </w:t>
      </w:r>
    </w:p>
    <w:p>
      <w:pPr>
        <w:pStyle w:val="TextBody"/>
        <w:bidi w:val="0"/>
        <w:spacing w:before="240" w:after="0"/>
        <w:jc w:val="left"/>
        <w:rPr>
          <w:rFonts w:ascii="Times New Roman" w:hAnsi="Times New Roman"/>
          <w:b/>
          <w:sz w:val="20"/>
        </w:rPr>
      </w:pPr>
      <w:r>
        <w:rPr>
          <w:rFonts w:ascii="Times New Roman" w:hAnsi="Times New Roman"/>
          <w:b/>
          <w:sz w:val="20"/>
        </w:rPr>
        <w:t xml:space="preserve">Affiliates of the Agents may receive benefits in connection with this offering.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supplement, affiliates of certain of the Agents are lenders and, in certain cases, agents, under our revolving credit facility and/or unsecured term loan. Additionally, the Agents or affiliates thereof may extend additional credit to us in the future. To the extent that we use a portion of the net proceeds to repay the outstanding balance under our revolving credit facility and/or unsecured term loan or other credit from an Agent or an affiliate thereof, such affiliates of the applicable Agents will receive their proportionate share of any amount that is repaid with the net proceeds from this offering. These transactions create potential conflicts of interest because the Agents have an interest in the successful completion of this offering beyond the sales commissions they will receive. These interests may influence the decision regarding the terms and circumstances under which the offering is completed.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We have in the past entered, and may in the future enter, into forward sale transactions that subject us to risks similar to those described above. </w:t>
      </w:r>
    </w:p>
    <w:p>
      <w:pPr>
        <w:pStyle w:val="TextBody"/>
        <w:bidi w:val="0"/>
        <w:spacing w:before="120" w:after="0"/>
        <w:jc w:val="left"/>
        <w:rPr>
          <w:rFonts w:ascii="Times New Roman" w:hAnsi="Times New Roman"/>
          <w:sz w:val="20"/>
        </w:rPr>
      </w:pPr>
      <w:r>
        <w:rPr>
          <w:rFonts w:ascii="Times New Roman" w:hAnsi="Times New Roman"/>
          <w:sz w:val="20"/>
        </w:rPr>
        <w:t xml:space="preserve">We have previously entered into forward sale agreements and may in the future enter into forward sale agreements that are not part of this and other offerings. As of March 7, 2024, we had no outstanding forward sale agreements. However, forward sale agreements we enter into in the future may subject us to risks that are substantially similar to the risks described above in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suppbtx759924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We intend to use the net proceeds from this offering and any forward sale agreement to fund potential acquisition opportunities, to fund our development or redevelopment pipeline, to repay indebtedness, which may include amounts outstanding under our $1.25 billion revolving credit facility or our $600.0 million unsecured term loan, and/or for general corporate purposes.</w:t>
      </w:r>
    </w:p>
    <w:p>
      <w:pPr>
        <w:pStyle w:val="TextBody"/>
        <w:bidi w:val="0"/>
        <w:spacing w:before="240" w:after="0"/>
        <w:jc w:val="left"/>
        <w:rPr>
          <w:rFonts w:ascii="Times New Roman" w:hAnsi="Times New Roman"/>
          <w:sz w:val="20"/>
        </w:rPr>
      </w:pPr>
      <w:r>
        <w:rPr>
          <w:rFonts w:ascii="Times New Roman" w:hAnsi="Times New Roman"/>
          <w:sz w:val="20"/>
        </w:rPr>
        <w:t xml:space="preserve">Our revolving credit facility matures on April 5, 2027, subject to two six-month extensions at our option. Our unsecured term loan matures on April 16, 2025, subject to one twelve-month extension at our option. All such indebtedness bears interest based on the secured overnight financing rate, or SOFR, at Daily Simple SOFR or Term SOFR, as defined in the respective credit agreements governing the terms of such indebtedness, plus 0.10%, plus a spread based on our credit rating. The current spreads are 77.5 basis points on our revolving credit facility and 85 basis points on our unsecured term loan. In addition, we have an option (subject to bank approval) to increase the revolving credit facility through an accordion feature to $1.75 billion. As of December 31, 2023, there was no outstanding balance under our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Affiliates of some of the Agents are lenders under our revolving credit facility and/or our unsecured term loan and will receive a pro rata portion of any proceeds used to repay amounts outstanding thereunder. </w:t>
      </w:r>
    </w:p>
    <w:p>
      <w:pPr>
        <w:pStyle w:val="TextBody"/>
        <w:bidi w:val="0"/>
        <w:spacing w:before="240" w:after="0"/>
        <w:jc w:val="left"/>
        <w:rPr>
          <w:rFonts w:ascii="Times New Roman" w:hAnsi="Times New Roman"/>
          <w:sz w:val="20"/>
        </w:rPr>
      </w:pPr>
      <w:r>
        <w:rPr>
          <w:rFonts w:ascii="Times New Roman" w:hAnsi="Times New Roman"/>
          <w:sz w:val="20"/>
        </w:rPr>
        <w:t xml:space="preserve">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All of the net proceeds from the sale of any such borrowed common shares will be paid to the applicable forward purchaser (or one or more of its affiliates). Each forward purchaser will be either an Agent or an affiliate of an Agent. As a result, an Agent or its affiliate will receive the net proceeds from any sale of borrowed common shares made in connection with any forward sale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suppbtx759924_6"/>
      <w:bookmarkEnd w:id="8"/>
      <w:r>
        <w:rPr>
          <w:rFonts w:ascii="Times New Roman" w:hAnsi="Times New Roman"/>
          <w:b/>
          <w:sz w:val="20"/>
        </w:rPr>
        <w:t xml:space="preserve">PLAN OF DISTRIBUTION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an equity distribution agreement, dated as of February 14, 2022, as amended on March 8, 2024, with the Agents and the forward purchasers under which an aggregate offering price of up to $500,000,000 of our common shares, as of the date of this prospectus supplement, may from time to time be offered and sold to or through the Agents. Sales of our common shares, if any, under this prospectus supplement and the accompanying prospectus may be made in negotiated transactions, including block trades, or transactions that are deemed to be at the market offerings as defined in Rule 415 under the Securities Act, by means of ordinary brokers transactions at market prices prevailing at the time of sale, including sales made directly on the NYSE, sales made to or through a market maker and sales made through other securities exchanges or electronic communications networks. As our sales agents or, if applicable, forward sellers, the Agents will not engage in any transactions that stabilize the price of our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Upon its acceptance of written instructions from us, an Agent will use its commercially reasonable efforts, consistent with its sales and trading practices, to solicit offers to purchase our common shares under the terms and subject to the conditions set forth in the equity distribution agreement. We will instruct each Agent as to the amount of common shares to be sold by it. We may instruct the Agents not to sell common shares if the sales cannot be effected at or above the price designated by us in any instruction. Our common shares sold pursuant to the equity distribution agreement will be sold through only one of the Agents on any given day. We or the Agents may suspend the offering of common shares upon proper notice and subject to other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relevant Agent will provide written confirmation to us and, if applicable, the related forward purchaser no later than the opening of the NYSE on the trading day following the trading day on which common shares were sold under the equity distribution agreement. Each confirmation will include the number of common shares sold on the preceding day, the net proceeds and the compensation payable to the Agent in connection with the sales. </w:t>
      </w:r>
    </w:p>
    <w:p>
      <w:pPr>
        <w:pStyle w:val="TextBody"/>
        <w:bidi w:val="0"/>
        <w:spacing w:before="240" w:after="0"/>
        <w:jc w:val="left"/>
        <w:rPr>
          <w:rFonts w:ascii="Times New Roman" w:hAnsi="Times New Roman"/>
          <w:sz w:val="20"/>
        </w:rPr>
      </w:pPr>
      <w:r>
        <w:rPr>
          <w:rFonts w:ascii="Times New Roman" w:hAnsi="Times New Roman"/>
          <w:sz w:val="20"/>
        </w:rPr>
        <w:t xml:space="preserve">The equity distribution agreement contemplates that, in addition to the issuance and sale by us of common shares to or through the Agents as our sales agents or as principal, we may enter into separate forward sale agreements with a forward purchaser. 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We will not receive any proceeds from any sale of common shares borrowed by a forward purchaser (or its affiliate) and sold through a forward seller. </w:t>
      </w:r>
    </w:p>
    <w:p>
      <w:pPr>
        <w:pStyle w:val="TextBody"/>
        <w:bidi w:val="0"/>
        <w:spacing w:before="240" w:after="0"/>
        <w:jc w:val="left"/>
        <w:rPr>
          <w:rFonts w:ascii="Times New Roman" w:hAnsi="Times New Roman"/>
          <w:sz w:val="20"/>
        </w:rPr>
      </w:pPr>
      <w:r>
        <w:rPr>
          <w:rFonts w:ascii="Times New Roman" w:hAnsi="Times New Roman"/>
          <w:sz w:val="20"/>
        </w:rPr>
        <w:t xml:space="preserve">We will pay each of the Agents a commission that will not exceed, but may be lower than, 2.0% of the gross sales price per common share sold through it under the equity distribution agreement. In connection with each forward sale agreement, we will pay the applicable Agent, acting as forward seller in connection with such forward sale agreement, a commission in the form of a reduction to the initial forward price under the related forward sale agreement, at a mutually agreed rate that will not exceed, but may be lower than, 2.0% of the gross sales price per share of the borrowed common shares sold through such Agent, as forward seller, during the applicable forward selling period for such shares (subject to certain possible adjustments to such gross sales price for daily accruals and any quarterly dividends having an ex-dividend date during such forward selling period).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for the offering, excluding compensation payable to the Agents under the terms of the equity distribution agreement, will be approximately $1 million. In connection with the sale of common shares, the Agents may be deemed to be underwriters within the meaning of the Securities Act, and the compensation paid to the Agents may be deemed to be underwriting commissions and discounts. </w:t>
      </w:r>
    </w:p>
    <w:p>
      <w:pPr>
        <w:pStyle w:val="TextBody"/>
        <w:bidi w:val="0"/>
        <w:spacing w:before="240" w:after="0"/>
        <w:jc w:val="left"/>
        <w:rPr>
          <w:rFonts w:ascii="Times New Roman" w:hAnsi="Times New Roman"/>
          <w:sz w:val="20"/>
        </w:rPr>
      </w:pPr>
      <w:r>
        <w:rPr>
          <w:rFonts w:ascii="Times New Roman" w:hAnsi="Times New Roman"/>
          <w:sz w:val="20"/>
        </w:rPr>
        <w:t xml:space="preserve">Settlement of sales of common shares (other than pursuant to a forward sale agreement) will occur on the second business day following the date on which such sales are made, or on some other date that is agreed upon by us and the applicable Agent in connection with a particular transaction, in return for payment of the net proceeds to us.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will report at least quarterly the number of common shares sold through the Agents under the equity distribution agreement, the net proceeds to us and the compensation paid by us to the Agents in connection with the sales of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Agents have determined that our common shares are actively-traded securities excepted from the requirements of Rule 101 of Regulation M under the Exchange Act by Rule 101(c)(1) under the Exchange Act. If an Agent has, or we have, reason to believe that the exemptive provisions set forth in Rule 101(c)(1) of Regulation M under the Exchange Act are not satisfied, the party will promptly notify the other parties, and sales of common shares under the equity distribution agreement will be suspended until that or other exemptive provisions have been satisfied in the judgment of the Agents and us.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common shares pursuant to the equity distribution agreement will terminate upon the earlier of (1) the sale of common shares having an aggregate offering price of $500,000,000, from the date of this prospectus supplement, pursuant to this offering and (2) the termination of the equity distribution agreement. The equity distribution agreement may be terminated by an Agent, a forward purchaser or us at any time upon three days notice. An Agent or a forward purchaser may terminate the equity distribution agreement earlier in certain circumstances, including our failure to maintain a listing of our common shares on the NYSE or the occurrence of a material adverse change in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Sales Through Forward Sellers </w:t>
      </w:r>
    </w:p>
    <w:p>
      <w:pPr>
        <w:pStyle w:val="TextBody"/>
        <w:bidi w:val="0"/>
        <w:spacing w:before="120" w:after="0"/>
        <w:jc w:val="left"/>
        <w:rPr>
          <w:rFonts w:ascii="Times New Roman" w:hAnsi="Times New Roman"/>
          <w:sz w:val="20"/>
        </w:rPr>
      </w:pPr>
      <w:r>
        <w:rPr>
          <w:rFonts w:ascii="Times New Roman" w:hAnsi="Times New Roman"/>
          <w:sz w:val="20"/>
        </w:rPr>
        <w:t xml:space="preserve">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forward sale agreement, we will deliver instructions to the relevant Agent directing such Agent, as forward seller, to sell the applicable borrowed common shares on behalf of the relevant forward purchaser. Upon its acceptance of such instructions, such Agent has agreed to use its commercially reasonable efforts consistent with its normal trading and sales practices to sell such common shares, as forward seller on behalf of such forward purchaser, on the terms and subject to the conditions set forth in the equity distribution agreement. We may instruct such Agent as to the amount of common shares to be sold by it as forward seller and may also instruct such Agent not to sell such common shares if the sales cannot be effected at or above a price designated by us. We or the applicable Agent may at any time immediately suspend the offering of common shares through such Agent, as forward seller, upon notice to the other parties. </w:t>
      </w:r>
    </w:p>
    <w:p>
      <w:pPr>
        <w:pStyle w:val="TextBody"/>
        <w:bidi w:val="0"/>
        <w:spacing w:before="240" w:after="0"/>
        <w:jc w:val="left"/>
        <w:rPr>
          <w:rFonts w:ascii="Times New Roman" w:hAnsi="Times New Roman"/>
          <w:sz w:val="20"/>
        </w:rPr>
      </w:pPr>
      <w:r>
        <w:rPr>
          <w:rFonts w:ascii="Times New Roman" w:hAnsi="Times New Roman"/>
          <w:sz w:val="20"/>
        </w:rPr>
        <w:t xml:space="preserve">Pursuant to each forward sale agreement, if any, we will have the right to issue and deliver to the forward purchaser party thereto a specified number of common shares on the terms and subject to the conditions set forth therein, or, alternatively, to elect cash settlement or net share settlement, for all or any portion of such shares. The initial forward price per share under each forward sale agreement will equal the product of (1) an amount equal to one minus the applicable forward selling commission and (2) the volume weighted average price per share at which the borrowed common shares were sold pursuant to the equity distribution agreement by the relevant Agent, acting as forward seller, during the applicable forward selling period for such shares to hedge the relevant forward purchasers exposure under such forward sale agreement (subject to certain possible adjustments to such gross sales price for daily accruals and any quarterly dividends having an ex-dividend date during such forward selling period). Thereafter, the forward price will be subject to the price adjustment provisions of the applicable forward sale agreement. We will not receive any proceeds from any sale of borrowed common shares through an Agent, acting as forward seller, and all of such net proceeds will be paid to the relevant forward purchaser (or one or more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We currently expect to fully physically settle each forward sale agreement, if any, with the relevant forward purchaser on one or more dates specified by us on or prior to the maturity date of such forward sale agreement. Although, we will generally have the right, subject to certain exceptions, to elect cash settlement or net share settlement instead of physical settlement for any of the common shares we have agreed to sell under such forward sale agreement. If we elect or are deemed to have elected to physically settle any forward sale agreement by delivering common shares, we will receive an amount of cash from the relevant forward purchaser equal to the product of (1) the forward price per share under such forward sale agreement and (2) the number of common shares as to which we have elected or are deemed to have elected physical settlement, subject to the price adjustment and other provisions of such forward sale agreement. Each forward sale agreement will provide that the forward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be subject to adjustment on a daily basis based on a floating interest rate factor equal to a specified daily rate less a spread. If the specified daily rate is less than the applicable spread on any day, the interest rate factor will result in a daily reduction of the forward price. In addition, the forward price will be subject to decrease on certain dates specified in the relevant forward sale agreement by the amount per share of quarterly dividends we expect to declare on our common shares during the term of such forward sale agreement.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before any issuance of common shares upon physical settlement or net share settlement of any forward sale agreement, the common shares issuable upon settlement of such forward sale agreement will be reflected in our diluted earnings per share calculations using the treasury stock method. Under this method, the number of common shares used in calculating diluted earnings per share and funds from operations per share will be deemed to be increased by the excess, if any, of the number of common shares that would be issued upon physical settlement of such forward sale agreement over the number of common shares that could be purchased by us in the market (based on the average market price during the relevant period) using the proceeds receivable upon physical settlement (based on the adjusted forward price at the end of the relevant reporting period). Consequently, prior to physical or net share settlement of the forward sale agreement and subject to the occurrence of certain events, we anticipate there will be no dilutive effect on our earnings per share or funds from operations per share as a result of such forward sale agreement except during periods when the average market price of our common shares is above the per share adjusted forward price of such forward sale agreement, subject to increase or decrease based on a specified daily rate less a spread, and subject to decrease by amounts related to expected dividends on our common shares during the term of that particular forward sale agreement. However, if we decide to physically or net share settle any forward sale agreement, delivery of common shares by us will result in dilution to our earnings per share and funds from operations per share. </w:t>
      </w:r>
    </w:p>
    <w:p>
      <w:pPr>
        <w:pStyle w:val="TextBody"/>
        <w:bidi w:val="0"/>
        <w:spacing w:before="240" w:after="0"/>
        <w:jc w:val="left"/>
        <w:rPr>
          <w:rFonts w:ascii="Times New Roman" w:hAnsi="Times New Roman"/>
          <w:sz w:val="20"/>
        </w:rPr>
      </w:pPr>
      <w:r>
        <w:rPr>
          <w:rFonts w:ascii="Times New Roman" w:hAnsi="Times New Roman"/>
          <w:sz w:val="20"/>
        </w:rPr>
        <w:t xml:space="preserve">Except under certain circumstances, we will generally have the right, in lieu of physical settlement of any forward sale agreement, to elect cash or net share settlement in respect of any or all of the common shares subject to such forward sale agreement. If we elect to cash or net share settle all or any part of any forward sale agreement, we would expect the relevant forward purchaser or one of its affiliates to purchase common shares in secondary market transactions over an unwind period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return common shares to securities lenders to unwind such forward purchasers hedge (after taking into consideration any common shares to be delivered by us to such forward purchaser, in the case of net share settlement);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in the case of net share settlement, deliver common shares to us to the extent required upon settlement of such forward sale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price of our common shares at which these purchases by such forward purchaser (or its affiliate) are made is below the relevant forward price, such forward purchaser will pay us such difference in cash (if we elect to cash settle) or deliver to us a number of common shares having a market value equal to such difference (if we elect to net share settle). If the price of our common shares at which these purchases are made by such forward purchaser (or its affiliate) exceeds the applicable forward price, we will pay such forward purchaser an amount in cash equal to such difference (if we elect to cash settle) or we will deliver to such forward purchaser a number of common shares having a market value equal to such difference (if we elect to net share settle). Any such difference could be significant and could result in our receipt of a significant amount of cash or number of common shares from such forward purchaser or require us to pay a significant amount of cash or deliver a significant number of common shares to such forward purchaser.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purchase of common shares by a forward purchaser or its affiliate to unwind the forward purchasers hedge position could cause the price of our common shares to increase above the price that would have prevailed in the absence of those purchases (or prevent a decrease in such price), thereby increasing the amount of cash (in the case of cash settlement) or the number of common shares (in the case of net share settlement) that we would owe such forward purchaser upon settlement of the applicable forward sale agreement or decrease the amount of cash (in the case of cash settlement) or the number of common shares (in the case of net share settlement) that such forward purchaser would owe us upon settlement of the applicable forward sale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forward purchaser will have the right to accelerate its forward sale agreement with respect to all or any portion of the transaction under such forward sale agreement (except with respect to events specified in (1) and (3) below, where accelerated settlement is limited to the portion of common shares whose settlement would address the relevant event or that is affected by the relevant event) that it enters into with us and require us to physically settle such shares on a date specified by such forward purchaser if: (1) in such forward purchasers commercially reasonable judgment, it or its affiliate is unable to hedge (or maintain a hedge of) its exposure in a commercially reasonable manner under such forward sale agreement because (a) insufficient common shares have been made available for borrowing by securities lenders or (b) such forward purchaser or any of its affiliates would incur a share borrow cost in excess of a specified threshold; (2) we declare any dividend, issue or distribution on our common shares that constitutes an extraordinary dividend under the forward sale agreement or is payable in (a) cash in excess of specified amounts (unless it is an extraordinary dividend), (b) securities of another company that we acquire or own (directly or indirectly) as a result of a spin-off or similar transaction, or (c) any other type of securities (other than our common shares), rights, warrants or other assets for payment at less than the prevailing market price; (3) certain ownership thresholds applicable to such forward purchaser and its affiliates are or would be exceeded; (4) an event (a) is announced that if consummated would result in a specified extraordinary event (including certain mergers or tender offers, as well as certain events involving our nationalization, our insolvency or a delisting of our common shares) or (b) occurs that would constitute a hedging disruption or change in law; or (5) certain other events of default or termination events occur, including, among others, any material misrepresentation made by us in connection with such forward sale agreement or our insolvency (each as more fully described in the relevant forward sale agreement). </w:t>
      </w:r>
    </w:p>
    <w:p>
      <w:pPr>
        <w:pStyle w:val="TextBody"/>
        <w:bidi w:val="0"/>
        <w:spacing w:before="240" w:after="0"/>
        <w:jc w:val="left"/>
        <w:rPr>
          <w:rFonts w:ascii="Times New Roman" w:hAnsi="Times New Roman"/>
          <w:sz w:val="20"/>
        </w:rPr>
      </w:pPr>
      <w:r>
        <w:rPr>
          <w:rFonts w:ascii="Times New Roman" w:hAnsi="Times New Roman"/>
          <w:sz w:val="20"/>
        </w:rPr>
        <w:t xml:space="preserve">A forward purchasers decision to exercise its right to accelerate all or a portion of the settlement of any forward sale agreement and to require us to physically settle the relevant common shares will be made irrespective of our interests, including our need for capital. In such cases, we could be required to issue and deliver common shares under the terms of the physical settlement provisions of the applicable forward sale agreement irrespective of our capital needs, which would result in dilution to our earnings per share and funds from operations per share.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certain events of bankruptcy or insolvency relating to us, the forward sale agreements will terminate without further liability of the parties thereto. Following any such termination, we would not issue any common shares pursuant to such forward sale agreements, and we would not receive any proceeds pursuant to the forward sale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descriptions of certain provisions of the forward sale agreements appearing above and elsewhere in this prospectus supplement are not complete and are subject to, and qualified in their entirety by reference to, the terms and provisions of such forward sale agreements. A form of the forward sale agreement is included as an exhibit to the equity distribution agreement, and the equity distribution agreement has been or will be filed as an exhibit to a document incorporated by reference in the accompanying prospectus and may be obtained as described under Where You Can Find More Information in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under Use of Proceeds, some of the net proceeds of this offering and sales pursuant to a forward sale agreement may be used to repay amounts outstanding under our revolving credit facility and/or unsecured term loan. Affiliates of the Agents are lenders under our revolving credit facility and/or unsecured term loan; therefore, the Agents or affiliates of the Agents may receive more than 5% of the proceeds of this offering. Nonetheless, in accordance with Rule 5121 of the Financial Industry Regulatory Authority Inc., the appointment of a qualified independent underwriter is not necessary in connection with this offering because, as a REIT, we are excluded from that requirement.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Agents and their respective affiliates have engaged in, and may in the future engage in, investment banking, commercial banking and other commercial dealings in the ordinary course of business with us or our affiliates. They have received, or may in the future receive, customary fees and commissions for these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Agents and their respective affiliates may make or hold a broad array of investments and actively trade debt and equity securities (or related derivative securities) and financial instruments (including bank loans) for their own account and for the accounts of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customers. Such investments and securities activities may involve securities and/or instruments of ours or our affiliates. The Agents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All of the net proceeds from the sale of any such borrowed common shares will be paid to the applicable forward purchaser (or one or more of its affiliates). Each forward purchaser will be either an Agent or an affiliate of an Agent. As a result, an Agent or its affiliate will receive the net proceeds from any sale of borrowed common shares made in connection with any forward sale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on the New York Stock Exchange </w:t>
      </w:r>
    </w:p>
    <w:p>
      <w:pPr>
        <w:pStyle w:val="TextBody"/>
        <w:bidi w:val="0"/>
        <w:spacing w:before="120" w:after="0"/>
        <w:jc w:val="left"/>
        <w:rPr>
          <w:rFonts w:ascii="Times New Roman" w:hAnsi="Times New Roman"/>
          <w:sz w:val="20"/>
        </w:rPr>
      </w:pPr>
      <w:r>
        <w:rPr>
          <w:rFonts w:ascii="Times New Roman" w:hAnsi="Times New Roman"/>
          <w:sz w:val="20"/>
        </w:rPr>
        <w:t xml:space="preserve">Our common shares are listed on the NYSE under the symbol FRT. </w:t>
      </w:r>
    </w:p>
    <w:p>
      <w:pPr>
        <w:pStyle w:val="TextBody"/>
        <w:bidi w:val="0"/>
        <w:spacing w:before="360" w:after="0"/>
        <w:jc w:val="left"/>
        <w:rPr>
          <w:rFonts w:ascii="Times New Roman" w:hAnsi="Times New Roman"/>
          <w:b/>
          <w:sz w:val="20"/>
        </w:rPr>
      </w:pPr>
      <w:r>
        <w:rPr>
          <w:rFonts w:ascii="Times New Roman" w:hAnsi="Times New Roman"/>
          <w:b/>
          <w:sz w:val="20"/>
        </w:rPr>
        <w:t xml:space="preserve">Indemnity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equity distribution agreement, we have agreed to indemnify the Agents and the forward purchasers against certain liabilities, including liabilities under the Securities Act, or to contribute to payments the Agents may be required to make because of any of those liabilities. </w:t>
      </w:r>
    </w:p>
    <w:p>
      <w:pPr>
        <w:pStyle w:val="TextBody"/>
        <w:bidi w:val="0"/>
        <w:spacing w:before="480" w:after="0"/>
        <w:jc w:val="center"/>
        <w:rPr>
          <w:rFonts w:ascii="Times New Roman" w:hAnsi="Times New Roman"/>
          <w:b/>
          <w:sz w:val="20"/>
        </w:rPr>
      </w:pPr>
      <w:bookmarkStart w:id="9" w:name="suppbtx759924_7"/>
      <w:bookmarkEnd w:id="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audited consolidated financial statements, schedules and managements assessment of the effectiveness of internal control over financial reporting incorporated by reference in the accompanying prospectus and elsewhere in the registration statement have been so incorporated by reference in reliance upon the reports of Grant Thornton LLP, independent registered public accountants, upon the authority of said firm as experts in accounting and auditing. </w:t>
      </w:r>
    </w:p>
    <w:p>
      <w:pPr>
        <w:pStyle w:val="TextBody"/>
        <w:bidi w:val="0"/>
        <w:spacing w:before="480" w:after="0"/>
        <w:jc w:val="center"/>
        <w:rPr>
          <w:rFonts w:ascii="Times New Roman" w:hAnsi="Times New Roman"/>
          <w:b/>
          <w:sz w:val="20"/>
        </w:rPr>
      </w:pPr>
      <w:bookmarkStart w:id="10" w:name="suppbtx759924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legality of the common shares offered by this prospectus supplement will be passed upon for us by Pillsbury Winthrop Shaw Pittman LLP, Washington, DC. Sidley Austin LLP, New York, New York, will act as counsel to the Agents and the forward purchasers.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495550" cy="809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95550" cy="8096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FEDERAL REALTY INVESTMENT TRUST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Shares, Preferred Shares, Depositary Shares, Share Purchase </w:t>
      </w:r>
    </w:p>
    <w:p>
      <w:pPr>
        <w:pStyle w:val="TextBody"/>
        <w:bidi w:val="0"/>
        <w:spacing w:before="0" w:after="0"/>
        <w:jc w:val="center"/>
        <w:rPr>
          <w:rFonts w:ascii="Times New Roman" w:hAnsi="Times New Roman"/>
          <w:b/>
          <w:sz w:val="28"/>
        </w:rPr>
      </w:pPr>
      <w:r>
        <w:rPr>
          <w:rFonts w:ascii="Times New Roman" w:hAnsi="Times New Roman"/>
          <w:b/>
          <w:sz w:val="28"/>
        </w:rPr>
        <w:t xml:space="preserve">Contracts, Warrants, Guarantees and Units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FEDERAL REALTY OP LP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Federal Realty Investment Trust, which we refer to as the Company, or any selling security holder, may from time to time offer, in one or more classes or series, separately or together: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shares of beneficial interest, par value $.01 per share, which we refer to as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preferred shares of beneficial interest, par value $.01 per share, which we refer to as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depositary shares representing interests in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purchase contracts to purchase or sell common shares or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common shares or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guarantees of debt securities issued by Federal Realty OP LP,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consisting of two or more securities described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Federal Realty OP LP, which we refer to as the Partnership, may from time to time offer debt securities in one or more classes or series. </w:t>
      </w:r>
    </w:p>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 holder, if applicable, will offer our securities in amounts, at prices and on terms to be determined at the time such securities are offered. We will prepare a prospectus supplement describing the offering and the terms of the class or series of securities being offered. Such terms may include limitations on direct or beneficial ownership and restrictions on transfer that we believe are appropriate to preserve the Companys status as a real estate investment trust for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also contain information, where applicable, about certain United States federal income tax considerations relating to the securities covered by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 holder may offer our securities directly, through agents or to or through underwriters or dealers, on a continuous or delayed basis.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common shares and depositary shares representing interests in the Companys Series C preferred shares are listed on the New York Stock Exchange under the symbols FRT and FRT-C, respectively.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4"/>
        </w:rPr>
        <w:t>Investing in our securities involves risks. See </w:t>
      </w:r>
      <w:hyperlink w:anchor="tx755152_4">
        <w:r>
          <w:rPr>
            <w:rStyle w:val="InternetLink"/>
            <w:rFonts w:ascii="Times New Roman" w:hAnsi="Times New Roman"/>
            <w:b/>
            <w:sz w:val="24"/>
          </w:rPr>
          <w:t>Risk Factors</w:t>
        </w:r>
      </w:hyperlink>
      <w:r>
        <w:rPr>
          <w:rFonts w:ascii="Times New Roman" w:hAnsi="Times New Roman"/>
          <w:b/>
          <w:sz w:val="24"/>
        </w:rPr>
        <w:t xml:space="preserve"> on page 4 of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March 8,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oc"/>
      <w:bookmarkEnd w:id="11"/>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52"/>
        <w:gridCol w:w="263"/>
        <w:gridCol w:w="96"/>
        <w:gridCol w:w="431"/>
        <w:gridCol w:w="63"/>
      </w:tblGrid>
      <w:tr>
        <w:trPr/>
        <w:tc>
          <w:tcPr>
            <w:tcW w:w="9352"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5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5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352" w:type="dxa"/>
            <w:tcBorders/>
            <w:vAlign w:val="center"/>
          </w:tcPr>
          <w:p>
            <w:pPr>
              <w:pStyle w:val="TableContents"/>
              <w:bidi w:val="0"/>
              <w:spacing w:before="0" w:after="283"/>
              <w:jc w:val="left"/>
              <w:rPr>
                <w:sz w:val="4"/>
                <w:szCs w:val="4"/>
              </w:rPr>
            </w:pPr>
            <w:r>
              <w:rPr>
                <w:sz w:val="4"/>
                <w:szCs w:val="4"/>
              </w:rPr>
            </w:r>
          </w:p>
        </w:tc>
        <w:tc>
          <w:tcPr>
            <w:tcW w:w="853" w:type="dxa"/>
            <w:gridSpan w:val="4"/>
            <w:tcBorders/>
            <w:vAlign w:val="center"/>
          </w:tcPr>
          <w:p>
            <w:pPr>
              <w:pStyle w:val="TableContents"/>
              <w:bidi w:val="0"/>
              <w:spacing w:before="0" w:after="283"/>
              <w:jc w:val="left"/>
              <w:rPr>
                <w:sz w:val="4"/>
                <w:szCs w:val="4"/>
              </w:rPr>
            </w:pPr>
            <w:r>
              <w:rPr>
                <w:sz w:val="4"/>
                <w:szCs w:val="4"/>
              </w:rPr>
            </w:r>
          </w:p>
        </w:tc>
      </w:tr>
      <w:tr>
        <w:trPr/>
        <w:tc>
          <w:tcPr>
            <w:tcW w:w="9352" w:type="dxa"/>
            <w:tcBorders/>
          </w:tcPr>
          <w:p>
            <w:pPr>
              <w:pStyle w:val="TableContents"/>
              <w:bidi w:val="0"/>
              <w:spacing w:before="0" w:after="0"/>
              <w:jc w:val="left"/>
              <w:rPr/>
            </w:pPr>
            <w:hyperlink w:anchor="tx755152_1">
              <w:r>
                <w:rPr>
                  <w:rStyle w:val="InternetLink"/>
                  <w:rFonts w:ascii="Times New Roman" w:hAnsi="Times New Roman"/>
                  <w:sz w:val="20"/>
                </w:rPr>
                <w:t>About this Prospectus</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2">
              <w:r>
                <w:rPr>
                  <w:rStyle w:val="InternetLink"/>
                  <w:rFonts w:ascii="Times New Roman" w:hAnsi="Times New Roman"/>
                  <w:sz w:val="20"/>
                </w:rPr>
                <w:t>Forward-Looking Statements</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3">
              <w:r>
                <w:rPr>
                  <w:rStyle w:val="InternetLink"/>
                  <w:rFonts w:ascii="Times New Roman" w:hAnsi="Times New Roman"/>
                  <w:sz w:val="20"/>
                </w:rPr>
                <w:t>Prospectus Summary</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4">
              <w:r>
                <w:rPr>
                  <w:rStyle w:val="InternetLink"/>
                  <w:rFonts w:ascii="Times New Roman" w:hAnsi="Times New Roman"/>
                  <w:sz w:val="20"/>
                </w:rPr>
                <w:t>Risk Factors</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5">
              <w:r>
                <w:rPr>
                  <w:rStyle w:val="InternetLink"/>
                  <w:rFonts w:ascii="Times New Roman" w:hAnsi="Times New Roman"/>
                  <w:sz w:val="20"/>
                </w:rPr>
                <w:t>Use of Proceeds</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6">
              <w:r>
                <w:rPr>
                  <w:rStyle w:val="InternetLink"/>
                  <w:rFonts w:ascii="Times New Roman" w:hAnsi="Times New Roman"/>
                  <w:sz w:val="20"/>
                </w:rPr>
                <w:t>Description of Securities that may be Offered by Federal Realty Investment Trust or a Selling Security Holder</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7">
              <w:r>
                <w:rPr>
                  <w:rStyle w:val="InternetLink"/>
                  <w:rFonts w:ascii="Times New Roman" w:hAnsi="Times New Roman"/>
                  <w:sz w:val="20"/>
                </w:rPr>
                <w:t>Description of Securities that may be Offered by Federal Realty OP LP</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8">
              <w:r>
                <w:rPr>
                  <w:rStyle w:val="InternetLink"/>
                  <w:rFonts w:ascii="Times New Roman" w:hAnsi="Times New Roman"/>
                  <w:sz w:val="20"/>
                </w:rPr>
                <w:t>Material Federal Income Tax Considerations</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9">
              <w:r>
                <w:rPr>
                  <w:rStyle w:val="InternetLink"/>
                  <w:rFonts w:ascii="Times New Roman" w:hAnsi="Times New Roman"/>
                  <w:sz w:val="20"/>
                </w:rPr>
                <w:t>Selling Security Holders</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10">
              <w:r>
                <w:rPr>
                  <w:rStyle w:val="InternetLink"/>
                  <w:rFonts w:ascii="Times New Roman" w:hAnsi="Times New Roman"/>
                  <w:sz w:val="20"/>
                </w:rPr>
                <w:t>Plan of Distribution</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11">
              <w:r>
                <w:rPr>
                  <w:rStyle w:val="InternetLink"/>
                  <w:rFonts w:ascii="Times New Roman" w:hAnsi="Times New Roman"/>
                  <w:sz w:val="20"/>
                </w:rPr>
                <w:t>Legal Matters</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12">
              <w:r>
                <w:rPr>
                  <w:rStyle w:val="InternetLink"/>
                  <w:rFonts w:ascii="Times New Roman" w:hAnsi="Times New Roman"/>
                  <w:sz w:val="20"/>
                </w:rPr>
                <w:t>Experts</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13">
              <w:r>
                <w:rPr>
                  <w:rStyle w:val="InternetLink"/>
                  <w:rFonts w:ascii="Times New Roman" w:hAnsi="Times New Roman"/>
                  <w:sz w:val="20"/>
                </w:rPr>
                <w:t>Where You Can Find More Information</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x755152_1"/>
      <w:bookmarkEnd w:id="12"/>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or the SEC, using a shelf registration process. Under this shelf process, we or any selling security holder may sell any combination of the securities described in this prospectus either separately or in units, in one or more offerings. Our prospectus provides you with a general description of these securities. Each time we sell, or any selling security holder sells, securities, we or they will provide a prospectus supplement that will contain specific information about all of the terms of that offering. The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noted, references herein to we, us, our or ours refer to Federal Realty Investment Trust and its directly or indirectly owned subsidiaries, including Federal Realty OP LP, unless the context otherwise requires. The term you refers to a prospective investor. The term Company refers to Federal Realty Investment Trust. The term Partnership refers to Federal Realty OP LP. </w:t>
      </w:r>
    </w:p>
    <w:p>
      <w:pPr>
        <w:pStyle w:val="TextBody"/>
        <w:bidi w:val="0"/>
        <w:spacing w:before="480" w:after="0"/>
        <w:jc w:val="center"/>
        <w:rPr>
          <w:rFonts w:ascii="Times New Roman" w:hAnsi="Times New Roman"/>
          <w:b/>
          <w:sz w:val="20"/>
        </w:rPr>
      </w:pPr>
      <w:bookmarkStart w:id="13" w:name="tx755152_2"/>
      <w:bookmarkEnd w:id="13"/>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into this prospectus contain statements that are not based on historical facts, including statements or information with words such as may, will, seeks,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in or incorporated by reference into this prospectus describe forward-looking information. The risk factors, including those in our Annual Report on Form 10-K for the year ended December 31, 2023, filed with the SEC on February 12, 2024, describe risks that may affect these statements but are not exhaustive, particularly with respect to possible future events. Many things can happen that can cause actual results to be different from those we describe. These factors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our tenants will not pay rent, may vacate early or may file for bankruptcy, or that we may be unable to renew leases or re-let space at favorable rents as leases expire or to fill existing vacancies;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our growth will be limited if we cannot obtain additional capital, or if the costs of capital we obtain are significantly higher than historical levels;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general economic conditions, including inflation and local economic conditions in our geographic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of financing on terms which are acceptable to us, our ability to meet existing financial covenants and the limitations imposed on our operations by those covenants, and the possibility of increases in interest rates that would result in increased interest expense;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these uncertainties, readers are cautioned not to place undue reliance on these forward-looking statements or those contained in or incorporated by reference into this prospectus. We also make no promise to update any of the forward-looking statements, or to publicly release the results if we revise any of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4" w:name="tx755152_3"/>
      <w:bookmarkEnd w:id="1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is qualified in its entirety by the more detailed information and consolidated financial statements and notes thereto contained elsewhere in or incorporated by reference into this prospectus.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Federal Realty Investment Trust and Federal Realty OP LP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Federal Realty Investment Trust, which we refer to as the Company, is an equity real estate investment trust, or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The Company conducts substantially all of its operations and owns substantially all of its assets through Federal Realty OP LP, which we refer to as the Partnership. The Company owns 100% of the limited liability company interests of, is the sole member of and exercises exclusive control over Federal Realty GP LLC, which is the sole general partner of the Partnership. The Company does not have substantial assets or liabilities other than through its investment in the Partnership. As of the date of this prospectus, the Company owns all of the outstanding limited partnership interests in the Partnership.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December 31, 2023, we owned or had a majority interest in community and neighborhood shopping centers and mixed-use properties which are operated as 102 predominantly retail real estate projects comprising approximately 26.0 million commercial square feet. In total, the real estate projects were 94.2% leased and 92.2% occupied at December 31, 2023. Our revenue is primarily generated from lease agreements with tenants. We have paid quarterly dividends to our shareholders continuously since our founding in 1962 and have increased our dividends per common share for 56 consecutive years.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qualifies for taxation as a REIT pursuant to the Internal Revenue Code of 1986, as amended, or the Code, and we intend to operate in a manner that will allow us to maintain such qualification.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Our principal executive offices are located at 909 Rose Ave., Suite 200, North Bethesda, MD 20852. Our telephone number is (301) 998-8100. Our website address is </w:t>
      </w:r>
      <w:r>
        <w:rPr>
          <w:rFonts w:ascii="Times New Roman" w:hAnsi="Times New Roman"/>
          <w:i/>
          <w:sz w:val="20"/>
          <w:bdr w:val="single" w:sz="8" w:space="1" w:color="000000"/>
        </w:rPr>
        <w:t>www.federalrealty.com</w:t>
      </w:r>
      <w:r>
        <w:rPr>
          <w:rFonts w:ascii="Times New Roman" w:hAnsi="Times New Roman"/>
          <w:sz w:val="20"/>
          <w:bdr w:val="single" w:sz="8" w:space="1" w:color="000000"/>
        </w:rPr>
        <w:t xml:space="preserve">. The information contained on our website is not a part of this prospectus and is not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x755152_4"/>
      <w:bookmarkEnd w:id="1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making an investment decision, please consider the risks described under the caption Risk Factors in our Annual Report on Form 10-K for the fiscal year ended December 31, 2023,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 </w:t>
      </w:r>
    </w:p>
    <w:p>
      <w:pPr>
        <w:pStyle w:val="TextBody"/>
        <w:bidi w:val="0"/>
        <w:spacing w:before="480" w:after="0"/>
        <w:jc w:val="center"/>
        <w:rPr>
          <w:rFonts w:ascii="Times New Roman" w:hAnsi="Times New Roman"/>
          <w:b/>
          <w:sz w:val="20"/>
        </w:rPr>
      </w:pPr>
      <w:bookmarkStart w:id="16" w:name="tx755152_5"/>
      <w:bookmarkEnd w:id="1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we will use the net proceeds from the sale of securities pursuant to this prospectus for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of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 of additional properties;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funding our development and redevelopment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of preferred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and general corporate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securities by selling security holders. </w:t>
      </w:r>
    </w:p>
    <w:p>
      <w:pPr>
        <w:pStyle w:val="TextBody"/>
        <w:bidi w:val="0"/>
        <w:spacing w:before="480" w:after="0"/>
        <w:jc w:val="center"/>
        <w:rPr>
          <w:rFonts w:ascii="Times New Roman" w:hAnsi="Times New Roman"/>
          <w:b/>
          <w:sz w:val="20"/>
        </w:rPr>
      </w:pPr>
      <w:bookmarkStart w:id="17" w:name="tx755152_6"/>
      <w:bookmarkEnd w:id="17"/>
      <w:r>
        <w:rPr>
          <w:rFonts w:ascii="Times New Roman" w:hAnsi="Times New Roman"/>
          <w:b/>
          <w:sz w:val="20"/>
        </w:rPr>
        <w:t xml:space="preserve">DESCRIPTION OF SECURITIES THAT MAY BE OFFERED BY FEDERAL REALTY INVESTMENT TRUST OR A SELLING SECURITY HOLDER </w:t>
      </w:r>
    </w:p>
    <w:p>
      <w:pPr>
        <w:pStyle w:val="TextBody"/>
        <w:bidi w:val="0"/>
        <w:spacing w:before="240" w:after="0"/>
        <w:jc w:val="left"/>
        <w:rPr>
          <w:rFonts w:ascii="Times New Roman" w:hAnsi="Times New Roman"/>
          <w:i/>
          <w:sz w:val="20"/>
        </w:rPr>
      </w:pPr>
      <w:r>
        <w:rPr>
          <w:rFonts w:ascii="Times New Roman" w:hAnsi="Times New Roman"/>
          <w:i/>
          <w:sz w:val="20"/>
        </w:rPr>
        <w:t xml:space="preserve">In the following section, references to we, us, our and ours refer only to Federal Realty Investment Trust and not to the Partnership or its subsidiaries unless the context requires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Shares of Beneficial Interest of Federal Realty Investment Trust </w:t>
      </w:r>
    </w:p>
    <w:p>
      <w:pPr>
        <w:pStyle w:val="TextBody"/>
        <w:bidi w:val="0"/>
        <w:spacing w:before="240" w:after="0"/>
        <w:jc w:val="left"/>
        <w:rPr>
          <w:rFonts w:ascii="Times New Roman" w:hAnsi="Times New Roman"/>
          <w:sz w:val="20"/>
        </w:rPr>
      </w:pPr>
      <w:r>
        <w:rPr>
          <w:rFonts w:ascii="Times New Roman" w:hAnsi="Times New Roman"/>
          <w:sz w:val="20"/>
        </w:rPr>
        <w:t xml:space="preserve">We are a Maryland real estate investment trust. Your rights as a shareholder are governed by the Code of Maryland, including Title 8 of the Corporations and Associations Article, or Maryland REIT Law, our declaration of trust, which sets forth the terms of our shares of beneficial interest, and our bylaws. The following summary of the material terms, rights and preferences of the shares of beneficial interest is not complete and is subject to and qualified in its entirety by reference to the laws of the State of Maryland, including the Maryland REIT Law, our declaration of trust and our bylaws.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Shares </w:t>
      </w:r>
    </w:p>
    <w:p>
      <w:pPr>
        <w:pStyle w:val="TextBody"/>
        <w:bidi w:val="0"/>
        <w:spacing w:before="120" w:after="0"/>
        <w:jc w:val="left"/>
        <w:rPr>
          <w:rFonts w:ascii="Times New Roman" w:hAnsi="Times New Roman"/>
          <w:sz w:val="20"/>
        </w:rPr>
      </w:pPr>
      <w:r>
        <w:rPr>
          <w:rFonts w:ascii="Times New Roman" w:hAnsi="Times New Roman"/>
          <w:sz w:val="20"/>
        </w:rPr>
        <w:t xml:space="preserve">Our declaration of trust allows us to issue up to 200,000,000 common shares of beneficial interest, par value $.01 per share, and 15,000,000 preferred shares of beneficial interest, par value $.01 per share. As of December 31, 2023, we had issued and outstanding 82,775,286 common shares, 392,878 preferred shares designated as 5.417% Series 1 Cumulative Convertible Preferred Shares, which we refer to as the Series 1 preferred shares, and 6,000 preferred shares designated as 5.000% Series C Cumulative Redeemable Preferred Shares, which we refer to as the Series C preferred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Authority of the Board of Trustees Relating to Authorization and Classification of Shares.</w:t>
      </w:r>
      <w:r>
        <w:rPr>
          <w:rFonts w:ascii="Times New Roman" w:hAnsi="Times New Roman"/>
          <w:sz w:val="20"/>
        </w:rPr>
        <w:t xml:space="preserve"> Our declaration of trust allows our Board of Trustees to take the following actions without approval by any shareholder: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classify or reclassify any authorized but unissued common shares or preferred shares into one or more classes or series of shares of beneficial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the declaration of trust to change the total number of shares of beneficial interest authorized;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the declaration of trust to change the authorized number of shares of any class or series of shares of beneficial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there are any laws or stock exchange rules which require us to obtain shareholder approval in order for us to take these actions, however, we will contact our shareholders to solicit that approval.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 </w:t>
      </w:r>
    </w:p>
    <w:p>
      <w:pPr>
        <w:pStyle w:val="TextBody"/>
        <w:bidi w:val="0"/>
        <w:spacing w:before="360" w:after="0"/>
        <w:jc w:val="left"/>
        <w:rPr>
          <w:rFonts w:ascii="Times New Roman" w:hAnsi="Times New Roman"/>
          <w:b/>
          <w:sz w:val="20"/>
        </w:rPr>
      </w:pPr>
      <w:r>
        <w:rPr>
          <w:rFonts w:ascii="Times New Roman" w:hAnsi="Times New Roman"/>
          <w:b/>
          <w:sz w:val="20"/>
        </w:rPr>
        <w:t xml:space="preserve">Common Shares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 </w:t>
      </w:r>
    </w:p>
    <w:p>
      <w:pPr>
        <w:pStyle w:val="TextBody"/>
        <w:bidi w:val="0"/>
        <w:spacing w:before="24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xml:space="preserve"> Each outstanding common share owned by a shareholder entitles that holder to one vote on all matters submitted to a vote of common shareholders, including the election of trustees. The right to vote is subject to the provisions of our declaration of trust regarding the restriction of the transfer of shares of beneficial interest, which we describe under  Restrictions on Ownership and Transfer of Company Shares, below. There is no cumulative voting in the election of trustees, which means that, under Maryland law and our bylaws, the holders of a majority of all of the votes cast at a meeting of shareholders duly called and at which a quorum is present can elect a trustee. The holders of the remaining shares will not be able to elect any trustees. </w:t>
      </w:r>
    </w:p>
    <w:p>
      <w:pPr>
        <w:pStyle w:val="TextBody"/>
        <w:bidi w:val="0"/>
        <w:spacing w:before="240" w:after="0"/>
        <w:jc w:val="left"/>
        <w:rPr>
          <w:rFonts w:ascii="Times New Roman" w:hAnsi="Times New Roman"/>
          <w:sz w:val="20"/>
        </w:rPr>
      </w:pPr>
      <w:r>
        <w:rPr>
          <w:rFonts w:ascii="Times New Roman" w:hAnsi="Times New Roman"/>
          <w:sz w:val="20"/>
        </w:rPr>
        <w:t xml:space="preserve">As a holder of common shares, you will not have any right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 your shares into any other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any funds set aside for future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repurchase your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any of our securities, if other securities are offered for sale, other than as a member of the general public.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our declaration of trust regarding the restrictions on transfer of shares of beneficial interest, each common share has the same dividend, distribution, liquidation and other rights as each other common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trustees in any election in which the number of nominees exceeds the number of trustees to be elected (which requires a plurality of all the votes cast at a meeting of our shareholders at which a quorum is present);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termination, winding up of affairs and liquidation (which requires, after approval by a majority of the entire Board of Trustees, the affirmative vote of two-thirds of all the votes entitled to be cast on the matter);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under Maryland law, our merger or consolidation with another entity or sale of all or substantially all of our property (which requires the approval of the Board of Trustees and an affirmative vote of two-thirds of all the votes entitled to be cast on the matter).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qualify as a real estate investment trust under Maryland REIT Law or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increase or decrease the authorized aggregate number of shares and number of authorized shares of any class or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 </w:t>
      </w:r>
    </w:p>
    <w:p>
      <w:pPr>
        <w:pStyle w:val="TextBody"/>
        <w:bidi w:val="0"/>
        <w:spacing w:before="240" w:after="0"/>
        <w:jc w:val="left"/>
        <w:rPr>
          <w:rFonts w:ascii="Times New Roman" w:hAnsi="Times New Roman"/>
          <w:sz w:val="20"/>
        </w:rPr>
      </w:pPr>
      <w:r>
        <w:rPr>
          <w:rFonts w:ascii="Times New Roman" w:hAnsi="Times New Roman"/>
          <w:b/>
          <w:i/>
          <w:sz w:val="20"/>
        </w:rPr>
        <w:t>Preemptive Rights.</w:t>
      </w:r>
      <w:r>
        <w:rPr>
          <w:rFonts w:ascii="Times New Roman" w:hAnsi="Times New Roman"/>
          <w:sz w:val="20"/>
        </w:rPr>
        <w:t xml:space="preserve"> Under our declaration of trust, no holder of shares of beneficial interest has any preemptive rights to subscribe to any issuance of additional shares. The Board of Trustees, in classifying or reclassifying any unissued shares of beneficial interest, however, has the right to grant holders of shares preemptive rights to purchase or subscribe for additional shares of beneficial interest or other securities. </w:t>
      </w:r>
    </w:p>
    <w:p>
      <w:pPr>
        <w:pStyle w:val="TextBody"/>
        <w:bidi w:val="0"/>
        <w:spacing w:before="240" w:after="0"/>
        <w:jc w:val="left"/>
        <w:rPr>
          <w:rFonts w:ascii="Times New Roman" w:hAnsi="Times New Roman"/>
          <w:sz w:val="20"/>
        </w:rPr>
      </w:pPr>
      <w:r>
        <w:rPr>
          <w:rFonts w:ascii="Times New Roman" w:hAnsi="Times New Roman"/>
          <w:b/>
          <w:i/>
          <w:sz w:val="20"/>
        </w:rPr>
        <w:t>Stock Exchange Listing.</w:t>
      </w:r>
      <w:r>
        <w:rPr>
          <w:rFonts w:ascii="Times New Roman" w:hAnsi="Times New Roman"/>
          <w:sz w:val="20"/>
        </w:rPr>
        <w:t xml:space="preserve"> The common shares are traded on the New York Stock Exchange under the trading symbol FRT. </w:t>
      </w:r>
    </w:p>
    <w:p>
      <w:pPr>
        <w:pStyle w:val="TextBody"/>
        <w:bidi w:val="0"/>
        <w:spacing w:before="240" w:after="0"/>
        <w:jc w:val="left"/>
        <w:rPr>
          <w:rFonts w:ascii="Times New Roman" w:hAnsi="Times New Roman"/>
          <w:sz w:val="20"/>
        </w:rPr>
      </w:pPr>
      <w:r>
        <w:rPr>
          <w:rFonts w:ascii="Times New Roman" w:hAnsi="Times New Roman"/>
          <w:b/>
          <w:i/>
          <w:sz w:val="20"/>
        </w:rPr>
        <w:t>Transfer Agent and Registrar.</w:t>
      </w:r>
      <w:r>
        <w:rPr>
          <w:rFonts w:ascii="Times New Roman" w:hAnsi="Times New Roman"/>
          <w:sz w:val="20"/>
        </w:rPr>
        <w:t xml:space="preserve"> The transfer agent and registrar for the common shares is Equiniti Trust Company, LLC, New York,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Series 1 Preferred Shares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Below is a brief description of the terms of the Series 1 preferred shares, which is subject to and qualified in its entirety by reference to our declaration of trust, which sets forth the terms of the Series 1 preferred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Rank.</w:t>
      </w:r>
      <w:r>
        <w:rPr>
          <w:rFonts w:ascii="Times New Roman" w:hAnsi="Times New Roman"/>
          <w:sz w:val="20"/>
        </w:rPr>
        <w:t xml:space="preserve"> The Series 1 preferred shares rank pari passu with the Series C preferred shares and senior to the common shares with respect to the payment of 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 </w:t>
      </w:r>
    </w:p>
    <w:p>
      <w:pPr>
        <w:pStyle w:val="TextBody"/>
        <w:bidi w:val="0"/>
        <w:spacing w:before="240" w:after="0"/>
        <w:jc w:val="left"/>
        <w:rPr>
          <w:rFonts w:ascii="Times New Roman" w:hAnsi="Times New Roman"/>
          <w:sz w:val="20"/>
        </w:rPr>
      </w:pPr>
      <w:r>
        <w:rPr>
          <w:rFonts w:ascii="Times New Roman" w:hAnsi="Times New Roman"/>
          <w:b/>
          <w:i/>
          <w:sz w:val="20"/>
        </w:rPr>
        <w:t>Dividends.</w:t>
      </w:r>
      <w:r>
        <w:rPr>
          <w:rFonts w:ascii="Times New Roman" w:hAnsi="Times New Roman"/>
          <w:sz w:val="20"/>
        </w:rPr>
        <w:t xml:space="preserve"> Each Series 1 preferred share is entitled to receive, when, as and if authorized by our Board of Trustees out of funds legally available for that purpose, cumulative preferential dividends payable in cash at a rate of 5.417% of the liquidation price of $25, which is equivalent to $1.35425 per annum. </w:t>
      </w:r>
    </w:p>
    <w:p>
      <w:pPr>
        <w:pStyle w:val="TextBody"/>
        <w:bidi w:val="0"/>
        <w:spacing w:before="240" w:after="0"/>
        <w:jc w:val="left"/>
        <w:rPr>
          <w:rFonts w:ascii="Times New Roman" w:hAnsi="Times New Roman"/>
          <w:sz w:val="20"/>
        </w:rPr>
      </w:pPr>
      <w:r>
        <w:rPr>
          <w:rFonts w:ascii="Times New Roman" w:hAnsi="Times New Roman"/>
          <w:b/>
          <w:i/>
          <w:sz w:val="20"/>
        </w:rPr>
        <w:t>Liquidation Preference.</w:t>
      </w:r>
      <w:r>
        <w:rPr>
          <w:rFonts w:ascii="Times New Roman" w:hAnsi="Times New Roman"/>
          <w:sz w:val="20"/>
        </w:rPr>
        <w:t xml:space="preserve"> In the event of our liquidation, dissolution or winding up, the holders of Series 1 preferred shares shall be entitled to receive $25 per share, plus all accrued and unpaid dividends, before any distribution shall be made with respect to the common shares. </w:t>
      </w:r>
    </w:p>
    <w:p>
      <w:pPr>
        <w:pStyle w:val="TextBody"/>
        <w:bidi w:val="0"/>
        <w:spacing w:before="24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xml:space="preserve"> The Series 1 preferred shares shall have no voting rights. </w:t>
      </w:r>
    </w:p>
    <w:p>
      <w:pPr>
        <w:pStyle w:val="TextBody"/>
        <w:bidi w:val="0"/>
        <w:spacing w:before="240" w:after="0"/>
        <w:jc w:val="left"/>
        <w:rPr>
          <w:rFonts w:ascii="Times New Roman" w:hAnsi="Times New Roman"/>
          <w:sz w:val="20"/>
        </w:rPr>
      </w:pPr>
      <w:r>
        <w:rPr>
          <w:rFonts w:ascii="Times New Roman" w:hAnsi="Times New Roman"/>
          <w:b/>
          <w:i/>
          <w:sz w:val="20"/>
        </w:rPr>
        <w:t>Conversion Rights.</w:t>
      </w:r>
      <w:r>
        <w:rPr>
          <w:rFonts w:ascii="Times New Roman" w:hAnsi="Times New Roman"/>
          <w:sz w:val="20"/>
        </w:rPr>
        <w:t xml:space="preserve"> Subject to other applicable provisions within our declaration of trust pertaining to the Series 1 preferred shares, 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 </w:t>
      </w:r>
    </w:p>
    <w:p>
      <w:pPr>
        <w:pStyle w:val="TextBody"/>
        <w:bidi w:val="0"/>
        <w:spacing w:before="240" w:after="0"/>
        <w:jc w:val="left"/>
        <w:rPr>
          <w:rFonts w:ascii="Times New Roman" w:hAnsi="Times New Roman"/>
          <w:sz w:val="20"/>
        </w:rPr>
      </w:pPr>
      <w:r>
        <w:rPr>
          <w:rFonts w:ascii="Times New Roman" w:hAnsi="Times New Roman"/>
          <w:b/>
          <w:i/>
          <w:sz w:val="20"/>
        </w:rPr>
        <w:t>Transfer Agent and Registrar.</w:t>
      </w:r>
      <w:r>
        <w:rPr>
          <w:rFonts w:ascii="Times New Roman" w:hAnsi="Times New Roman"/>
          <w:sz w:val="20"/>
        </w:rPr>
        <w:t xml:space="preserve"> The transfer agent and registrar for the Series 1 preferred shares is Equiniti Trust Company, LLC, New York,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Series C Preferred Shares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Below is a brief description of the terms of the Series C preferred shares, which is subject to and qualified in its entirety by reference to our declaration of trust, which sets forth the terms of the Series C preferred shares. </w:t>
      </w:r>
    </w:p>
    <w:p>
      <w:pPr>
        <w:pStyle w:val="TextBody"/>
        <w:bidi w:val="0"/>
        <w:spacing w:before="240" w:after="0"/>
        <w:jc w:val="left"/>
        <w:rPr>
          <w:rFonts w:ascii="Times New Roman" w:hAnsi="Times New Roman"/>
          <w:sz w:val="20"/>
        </w:rPr>
      </w:pPr>
      <w:r>
        <w:rPr>
          <w:rFonts w:ascii="Times New Roman" w:hAnsi="Times New Roman"/>
          <w:b/>
          <w:i/>
          <w:sz w:val="20"/>
        </w:rPr>
        <w:t>Rank.</w:t>
      </w:r>
      <w:r>
        <w:rPr>
          <w:rFonts w:ascii="Times New Roman" w:hAnsi="Times New Roman"/>
          <w:sz w:val="20"/>
        </w:rPr>
        <w:t xml:space="preserve"> The Series C preferred shares rank pari passu with the Series 1 preferred shares and senior to the common shares with respect to the payment of dividends and the distribution of assets upon our liquidation, dissolution or winding up. Our declaration of trust provides that, unless full cumulative dividends on all outstanding Series C preferred shares and any Parity Shares shall have been declared and paid or declared and set apart for payment for all past dividend periods, then no dividends, other than dividends paid solely in common shares, or options, warrants or rights to subscribe for or purchase common shares, or any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Junior Shares). </w:t>
      </w:r>
    </w:p>
    <w:p>
      <w:pPr>
        <w:pStyle w:val="TextBody"/>
        <w:bidi w:val="0"/>
        <w:spacing w:before="240" w:after="0"/>
        <w:jc w:val="left"/>
        <w:rPr>
          <w:rFonts w:ascii="Times New Roman" w:hAnsi="Times New Roman"/>
          <w:sz w:val="20"/>
        </w:rPr>
      </w:pPr>
      <w:r>
        <w:rPr>
          <w:rFonts w:ascii="Times New Roman" w:hAnsi="Times New Roman"/>
          <w:b/>
          <w:i/>
          <w:sz w:val="20"/>
        </w:rPr>
        <w:t>Dividends.</w:t>
      </w:r>
      <w:r>
        <w:rPr>
          <w:rFonts w:ascii="Times New Roman" w:hAnsi="Times New Roman"/>
          <w:sz w:val="20"/>
        </w:rPr>
        <w:t xml:space="preserve"> Each Series C preferred share is entitled to receive, when, as and if authorized by our Board of Trustees out of funds legally available for that purpose, cumulative preferential dividends payable in cash at a rate of 5.000% of the liquidation price of $25,000, which is equivalent to $1,250 per annum. </w:t>
      </w:r>
    </w:p>
    <w:p>
      <w:pPr>
        <w:pStyle w:val="TextBody"/>
        <w:bidi w:val="0"/>
        <w:spacing w:before="240" w:after="0"/>
        <w:jc w:val="left"/>
        <w:rPr>
          <w:rFonts w:ascii="Times New Roman" w:hAnsi="Times New Roman"/>
          <w:sz w:val="20"/>
        </w:rPr>
      </w:pPr>
      <w:r>
        <w:rPr>
          <w:rFonts w:ascii="Times New Roman" w:hAnsi="Times New Roman"/>
          <w:b/>
          <w:i/>
          <w:sz w:val="20"/>
        </w:rPr>
        <w:t>Liquidation Preference.</w:t>
      </w:r>
      <w:r>
        <w:rPr>
          <w:rFonts w:ascii="Times New Roman" w:hAnsi="Times New Roman"/>
          <w:sz w:val="20"/>
        </w:rPr>
        <w:t xml:space="preserve"> In the event of our liquidation, dissolution or winding up, the holders of Series C preferred shares shall be entitled to receive $25,000 per share, plus all accrued and unpaid dividends, before any distribution shall be made with respect to the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xml:space="preserve"> The Series C preferred shares generally have no voting rights. However, if and whenever dividends payable on the Series C preferred 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 </w:t>
      </w:r>
    </w:p>
    <w:p>
      <w:pPr>
        <w:pStyle w:val="TextBody"/>
        <w:bidi w:val="0"/>
        <w:spacing w:before="240" w:after="0"/>
        <w:jc w:val="left"/>
        <w:rPr>
          <w:rFonts w:ascii="Times New Roman" w:hAnsi="Times New Roman"/>
          <w:sz w:val="20"/>
        </w:rPr>
      </w:pPr>
      <w:r>
        <w:rPr>
          <w:rFonts w:ascii="Times New Roman" w:hAnsi="Times New Roman"/>
          <w:b/>
          <w:i/>
          <w:sz w:val="20"/>
        </w:rPr>
        <w:t>Conversion Rights.</w:t>
      </w:r>
      <w:r>
        <w:rPr>
          <w:rFonts w:ascii="Times New Roman" w:hAnsi="Times New Roman"/>
          <w:sz w:val="20"/>
        </w:rPr>
        <w:t xml:space="preserve"> The Series C preferred shares have no conversion rights. </w:t>
      </w:r>
    </w:p>
    <w:p>
      <w:pPr>
        <w:pStyle w:val="TextBody"/>
        <w:bidi w:val="0"/>
        <w:spacing w:before="240" w:after="0"/>
        <w:jc w:val="left"/>
        <w:rPr>
          <w:rFonts w:ascii="Times New Roman" w:hAnsi="Times New Roman"/>
          <w:sz w:val="20"/>
        </w:rPr>
      </w:pPr>
      <w:r>
        <w:rPr>
          <w:rFonts w:ascii="Times New Roman" w:hAnsi="Times New Roman"/>
          <w:b/>
          <w:i/>
          <w:sz w:val="20"/>
        </w:rPr>
        <w:t>Redemption by the Company.</w:t>
      </w:r>
      <w:r>
        <w:rPr>
          <w:rFonts w:ascii="Times New Roman" w:hAnsi="Times New Roman"/>
          <w:sz w:val="20"/>
        </w:rPr>
        <w:t xml:space="preserve"> The Series C preferred shares may be redeemed for cash, in whole or from time to time in part, on any date on or after September 29, 2022 at the option of the Company at a price per share equal to $25,000.00 plus accrued and unpaid dividends thereon, if any, to, but excluding, the redemption date. </w:t>
      </w:r>
    </w:p>
    <w:p>
      <w:pPr>
        <w:pStyle w:val="TextBody"/>
        <w:bidi w:val="0"/>
        <w:spacing w:before="240" w:after="0"/>
        <w:jc w:val="left"/>
        <w:rPr>
          <w:rFonts w:ascii="Times New Roman" w:hAnsi="Times New Roman"/>
          <w:sz w:val="20"/>
        </w:rPr>
      </w:pPr>
      <w:r>
        <w:rPr>
          <w:rFonts w:ascii="Times New Roman" w:hAnsi="Times New Roman"/>
          <w:b/>
          <w:i/>
          <w:sz w:val="20"/>
        </w:rPr>
        <w:t>Depositary Shares.</w:t>
      </w:r>
      <w:r>
        <w:rPr>
          <w:rFonts w:ascii="Times New Roman" w:hAnsi="Times New Roman"/>
          <w:sz w:val="20"/>
        </w:rPr>
        <w:t xml:space="preserve"> Interests in the Series C preferred shares are represented by depositary shares, which we refer to as the Series C depositary shares. Each Series C depositary share represents a 1/1000th fractional interest in a Series C preferred share. The Series C preferred shares have been deposited with Equiniti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 </w:t>
      </w:r>
    </w:p>
    <w:p>
      <w:pPr>
        <w:pStyle w:val="TextBody"/>
        <w:bidi w:val="0"/>
        <w:spacing w:before="240" w:after="0"/>
        <w:jc w:val="left"/>
        <w:rPr>
          <w:rFonts w:ascii="Times New Roman" w:hAnsi="Times New Roman"/>
          <w:sz w:val="20"/>
        </w:rPr>
      </w:pPr>
      <w:r>
        <w:rPr>
          <w:rFonts w:ascii="Times New Roman" w:hAnsi="Times New Roman"/>
          <w:b/>
          <w:i/>
          <w:sz w:val="20"/>
        </w:rPr>
        <w:t>Stock Exchange Listing.</w:t>
      </w:r>
      <w:r>
        <w:rPr>
          <w:rFonts w:ascii="Times New Roman" w:hAnsi="Times New Roman"/>
          <w:sz w:val="20"/>
        </w:rPr>
        <w:t xml:space="preserve"> The Series C depositary shares are traded on the New York Stock Exchange under the trading symbol FRT-C. </w:t>
      </w:r>
    </w:p>
    <w:p>
      <w:pPr>
        <w:pStyle w:val="TextBody"/>
        <w:bidi w:val="0"/>
        <w:spacing w:before="240" w:after="0"/>
        <w:jc w:val="left"/>
        <w:rPr>
          <w:rFonts w:ascii="Times New Roman" w:hAnsi="Times New Roman"/>
          <w:sz w:val="20"/>
        </w:rPr>
      </w:pPr>
      <w:r>
        <w:rPr>
          <w:rFonts w:ascii="Times New Roman" w:hAnsi="Times New Roman"/>
          <w:b/>
          <w:i/>
          <w:sz w:val="20"/>
        </w:rPr>
        <w:t>Transfer Agent and Registrar.</w:t>
      </w:r>
      <w:r>
        <w:rPr>
          <w:rFonts w:ascii="Times New Roman" w:hAnsi="Times New Roman"/>
          <w:sz w:val="20"/>
        </w:rPr>
        <w:t xml:space="preserve"> The transfer agent and registrar for the Series C preferred shares is Equiniti Trust Company, LLC, New York,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Shares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Preferred shares may be offered and sold from time to time, in one or more series, as authorized by the Board of Trustees. The Board of 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series of preferred shares. The offer and sale of preferred shares could have the effect of delaying or preventing a change of our control that might involve a premium price for holders of our common shares or otherwise be favorable to them. </w:t>
      </w:r>
    </w:p>
    <w:p>
      <w:pPr>
        <w:pStyle w:val="TextBody"/>
        <w:bidi w:val="0"/>
        <w:spacing w:before="240" w:after="0"/>
        <w:jc w:val="left"/>
        <w:rPr>
          <w:rFonts w:ascii="Times New Roman" w:hAnsi="Times New Roman"/>
          <w:sz w:val="20"/>
        </w:rPr>
      </w:pPr>
      <w:r>
        <w:rPr>
          <w:rFonts w:ascii="Times New Roman" w:hAnsi="Times New Roman"/>
          <w:b/>
          <w:i/>
          <w:sz w:val="20"/>
        </w:rPr>
        <w:t>Terms.</w:t>
      </w:r>
      <w:r>
        <w:rPr>
          <w:rFonts w:ascii="Times New Roman" w:hAnsi="Times New Roman"/>
          <w:sz w:val="20"/>
        </w:rPr>
        <w:t xml:space="preserve"> You should refer to the prospectus supplement relating to the offering of any preferred shares for specific terms, including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those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preferred shares offered and the offering price of those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amounts and/or payment date(s) or method(s) of calculation of any of those terms that apply to those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from which dividends on those preferred shares will accumulate,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amount of a sinking fund, if any, for the purchase or redemption of those preferred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rights, including conditions, time(s) and the redemption price(s), if applicable, of those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if any, of those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those preferred shares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those preferred shares will be convertible into common shares or any of our other securities, including the conversion price or rate (or manner of calculation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 of those preferred shares as to dividend rights and rights upon liquidation, dissolution or the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series of preferred shares ranking senior to or on a parity with that series of preferred shares as to dividend rights and rights upon liquidation, dissolution or the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for those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those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additional federal income tax consequences applicable to those preferred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direct or beneficial ownership and restrictions on transfer in addition to those described in  Restrictions on Ownership and Transfer of Company Shares, in each case as may be appropriate to preserve our status as a REIT.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terms of any preferred shares we issue through this prospectus will be set forth in articles supplementary to our declaration of trust or in an amendment to our declaration of trust. We will file the articles supplementary or any such amendment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or amendment to our declaration of trust for a complete description of all of the terms. </w:t>
      </w:r>
    </w:p>
    <w:p>
      <w:pPr>
        <w:pStyle w:val="TextBody"/>
        <w:bidi w:val="0"/>
        <w:spacing w:before="240" w:after="0"/>
        <w:jc w:val="left"/>
        <w:rPr>
          <w:rFonts w:ascii="Times New Roman" w:hAnsi="Times New Roman"/>
          <w:sz w:val="20"/>
        </w:rPr>
      </w:pPr>
      <w:r>
        <w:rPr>
          <w:rFonts w:ascii="Times New Roman" w:hAnsi="Times New Roman"/>
          <w:b/>
          <w:i/>
          <w:sz w:val="20"/>
        </w:rPr>
        <w:t>Rank.</w:t>
      </w:r>
      <w:r>
        <w:rPr>
          <w:rFonts w:ascii="Times New Roman" w:hAnsi="Times New Roman"/>
          <w:sz w:val="20"/>
        </w:rPr>
        <w:t xml:space="preserve"> Unless we say otherwise in a prospectus supplement, the preferred shares offered through that supplement will, with respect to dividend rights and rights upon our liquidation, dissolution or winding up,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our common shares, and to all other equity securities ranking junior to those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of our equity securities ranking on a parity with the preferred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of our equity securities ranking senior to the preferred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description of our preferred shares, the term equity securities does not include convertible debt securities that we may offer from time to time. </w:t>
      </w:r>
    </w:p>
    <w:p>
      <w:pPr>
        <w:pStyle w:val="TextBody"/>
        <w:bidi w:val="0"/>
        <w:spacing w:before="240" w:after="0"/>
        <w:jc w:val="left"/>
        <w:rPr>
          <w:rFonts w:ascii="Times New Roman" w:hAnsi="Times New Roman"/>
          <w:sz w:val="20"/>
        </w:rPr>
      </w:pPr>
      <w:r>
        <w:rPr>
          <w:rFonts w:ascii="Times New Roman" w:hAnsi="Times New Roman"/>
          <w:b/>
          <w:i/>
          <w:sz w:val="20"/>
        </w:rPr>
        <w:t>Dividends.</w:t>
      </w:r>
      <w:r>
        <w:rPr>
          <w:rFonts w:ascii="Times New Roman" w:hAnsi="Times New Roman"/>
          <w:sz w:val="20"/>
        </w:rPr>
        <w:t xml:space="preserve"> Subject to any preferential rights of any outstanding shares or series of shares and to the provisions of our declaration of trust regarding ownership of shares in excess of the ownership limitation described below under  Restrictions on Ownership and Transfer of Company Shares, our preferred shareholders are entitled to receive dividends, when and as authorized by our Board of Trustees, out of legally available funds. </w:t>
      </w:r>
    </w:p>
    <w:p>
      <w:pPr>
        <w:pStyle w:val="TextBody"/>
        <w:bidi w:val="0"/>
        <w:spacing w:before="240" w:after="0"/>
        <w:jc w:val="left"/>
        <w:rPr>
          <w:rFonts w:ascii="Times New Roman" w:hAnsi="Times New Roman"/>
          <w:sz w:val="20"/>
        </w:rPr>
      </w:pPr>
      <w:r>
        <w:rPr>
          <w:rFonts w:ascii="Times New Roman" w:hAnsi="Times New Roman"/>
          <w:b/>
          <w:i/>
          <w:sz w:val="20"/>
        </w:rPr>
        <w:t>Redemption.</w:t>
      </w:r>
      <w:r>
        <w:rPr>
          <w:rFonts w:ascii="Times New Roman" w:hAnsi="Times New Roman"/>
          <w:sz w:val="20"/>
        </w:rPr>
        <w:t xml:space="preserve"> If we provide for a redemption right in a prospectus supplement, the preferred shares offered through that supplement will be subject to mandatory redemption or redemption at our option, in whole or in part, in each case upon the terms, at the times and at the redemption prices set forth in that supplement. </w:t>
      </w:r>
    </w:p>
    <w:p>
      <w:pPr>
        <w:pStyle w:val="TextBody"/>
        <w:bidi w:val="0"/>
        <w:spacing w:before="240" w:after="0"/>
        <w:jc w:val="left"/>
        <w:rPr>
          <w:rFonts w:ascii="Times New Roman" w:hAnsi="Times New Roman"/>
          <w:sz w:val="20"/>
        </w:rPr>
      </w:pPr>
      <w:r>
        <w:rPr>
          <w:rFonts w:ascii="Times New Roman" w:hAnsi="Times New Roman"/>
          <w:b/>
          <w:i/>
          <w:sz w:val="20"/>
        </w:rPr>
        <w:t>Liquidation Preference.</w:t>
      </w:r>
      <w:r>
        <w:rPr>
          <w:rFonts w:ascii="Times New Roman" w:hAnsi="Times New Roman"/>
          <w:sz w:val="20"/>
        </w:rPr>
        <w:t xml:space="preserve"> As to any liquidation preference applicable to preferred shares offered through this prospectus, the applicable supplement shall 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 </w:t>
      </w:r>
    </w:p>
    <w:p>
      <w:pPr>
        <w:pStyle w:val="TextBody"/>
        <w:bidi w:val="0"/>
        <w:spacing w:before="240" w:after="0"/>
        <w:jc w:val="left"/>
        <w:rPr>
          <w:rFonts w:ascii="Times New Roman" w:hAnsi="Times New Roman"/>
          <w:sz w:val="20"/>
        </w:rPr>
      </w:pPr>
      <w:r>
        <w:rPr>
          <w:rFonts w:ascii="Times New Roman" w:hAnsi="Times New Roman"/>
          <w:sz w:val="20"/>
        </w:rPr>
        <w:t xml:space="preserve">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 </w:t>
      </w:r>
    </w:p>
    <w:p>
      <w:pPr>
        <w:pStyle w:val="TextBody"/>
        <w:bidi w:val="0"/>
        <w:spacing w:before="24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xml:space="preserve"> Unless otherwise indicated in the applicable supplement, holders of preferred shares we issue in the future will not have any voting rights, except as may be required by applicable law or any applicable rules and regulations of the New York Stock Exchange. </w:t>
      </w:r>
    </w:p>
    <w:p>
      <w:pPr>
        <w:pStyle w:val="TextBody"/>
        <w:bidi w:val="0"/>
        <w:spacing w:before="240" w:after="0"/>
        <w:jc w:val="left"/>
        <w:rPr>
          <w:rFonts w:ascii="Times New Roman" w:hAnsi="Times New Roman"/>
          <w:sz w:val="20"/>
        </w:rPr>
      </w:pPr>
      <w:r>
        <w:rPr>
          <w:rFonts w:ascii="Times New Roman" w:hAnsi="Times New Roman"/>
          <w:b/>
          <w:i/>
          <w:sz w:val="20"/>
        </w:rPr>
        <w:t>Conversion Rights.</w:t>
      </w:r>
      <w:r>
        <w:rPr>
          <w:rFonts w:ascii="Times New Roman" w:hAnsi="Times New Roman"/>
          <w:sz w:val="20"/>
        </w:rPr>
        <w:t xml:space="preserve"> The terms and conditions, if any, upon which any series of preferred shares is convertible into common shares will be set forth in the prospectus supplement relating to the offering of those preferred shares. These terms typically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common shares into which the preferred shares are convertible;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or rate (or manner of calculation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as to whether conversion will be at the option of the holders of the preferred shares or at our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events requiring an adjustment of the conversion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affecting conversion in the event of the redemption of that series of preferred shares. </w:t>
            </w:r>
          </w:p>
        </w:tc>
      </w:tr>
    </w:tbl>
    <w:p>
      <w:pPr>
        <w:pStyle w:val="TextBody"/>
        <w:bidi w:val="0"/>
        <w:spacing w:before="240" w:after="0"/>
        <w:jc w:val="left"/>
        <w:rPr>
          <w:rFonts w:ascii="Times New Roman" w:hAnsi="Times New Roman"/>
          <w:sz w:val="20"/>
        </w:rPr>
      </w:pPr>
      <w:r>
        <w:rPr>
          <w:rFonts w:ascii="Times New Roman" w:hAnsi="Times New Roman"/>
          <w:b/>
          <w:i/>
          <w:sz w:val="20"/>
        </w:rPr>
        <w:t>Transfer Agent and Registrar.</w:t>
      </w:r>
      <w:r>
        <w:rPr>
          <w:rFonts w:ascii="Times New Roman" w:hAnsi="Times New Roman"/>
          <w:sz w:val="20"/>
        </w:rPr>
        <w:t xml:space="preserve"> We will identify the transfer agent and registrar for any additional series of preferred shares issued through this prospectus in a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Ownership and Transfer of Company Shares </w:t>
      </w:r>
    </w:p>
    <w:p>
      <w:pPr>
        <w:pStyle w:val="TextBody"/>
        <w:bidi w:val="0"/>
        <w:spacing w:before="120" w:after="0"/>
        <w:jc w:val="left"/>
        <w:rPr>
          <w:rFonts w:ascii="Times New Roman" w:hAnsi="Times New Roman"/>
          <w:sz w:val="20"/>
        </w:rPr>
      </w:pPr>
      <w:r>
        <w:rPr>
          <w:rFonts w:ascii="Times New Roman" w:hAnsi="Times New Roman"/>
          <w:sz w:val="20"/>
        </w:rPr>
        <w:t xml:space="preserve">Restrictions on ownership and transfer of shares are important to ensure that we meet certain conditions under the Code to qualify as a REIT. For example, the Code contains the following requirements.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REIT, or an owner of 10% or more of a REIT, is treated as owning 10% or more of a tenant of the REITs property, the rent received by the REIT from the tenant will not be qualifying income for purposes of the REIT gross income tests of the Code.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REITs shares or beneficial interests must be owned by 100 or more persons during at least 335 days of a taxable year of 12 months or during a proportionate part of a shorter taxable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shares (which includes any common shares and our preferred shares). In this prospectus, the term ownership limitation is used to describe this provision of our declaration of trust. </w:t>
      </w:r>
    </w:p>
    <w:p>
      <w:pPr>
        <w:pStyle w:val="TextBody"/>
        <w:bidi w:val="0"/>
        <w:spacing w:before="240" w:after="0"/>
        <w:jc w:val="left"/>
        <w:rPr>
          <w:rFonts w:ascii="Times New Roman" w:hAnsi="Times New Roman"/>
          <w:sz w:val="20"/>
        </w:rPr>
      </w:pPr>
      <w:r>
        <w:rPr>
          <w:rFonts w:ascii="Times New Roman" w:hAnsi="Times New Roman"/>
          <w:sz w:val="20"/>
        </w:rPr>
        <w:t xml:space="preserve">Any transfer of shares will be null and void, and the intended transferee will acquire no rights in such shares if the transfer: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in any person owning, directly or indirectly, shares in excess of the ownership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in the shares being owned by fewer than 100 persons (determined without reference to any rules of attribution);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in our being closely held (within the meaning of Section 856(h)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causes us to own, directly or constructively, 10% or more of the ownership interests in a tenant of our real property (within the meaning of Section 856(d)(2)(B) of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results in our failure to qualify as a REIT. </w:t>
            </w:r>
          </w:p>
        </w:tc>
      </w:tr>
    </w:tbl>
    <w:p>
      <w:pPr>
        <w:pStyle w:val="TextBody"/>
        <w:bidi w:val="0"/>
        <w:spacing w:before="240" w:after="0"/>
        <w:jc w:val="left"/>
        <w:rPr>
          <w:rFonts w:ascii="Times New Roman" w:hAnsi="Times New Roman"/>
          <w:sz w:val="20"/>
        </w:rPr>
      </w:pPr>
      <w:r>
        <w:rPr>
          <w:rFonts w:ascii="Times New Roman" w:hAnsi="Times New Roman"/>
          <w:b/>
          <w:i/>
          <w:sz w:val="20"/>
        </w:rPr>
        <w:t>Automatic Transfer of Shares to Trust</w:t>
      </w:r>
      <w:r>
        <w:rPr>
          <w:rFonts w:ascii="Times New Roman" w:hAnsi="Times New Roman"/>
          <w:b/>
          <w:sz w:val="20"/>
        </w:rPr>
        <w:t>.</w:t>
      </w:r>
      <w:r>
        <w:rPr>
          <w:rFonts w:ascii="Times New Roman" w:hAnsi="Times New Roman"/>
          <w:sz w:val="20"/>
        </w:rPr>
        <w:t xml:space="preserve"> With certain exceptions described below, if any purported transfer of shares would violate any of the 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 </w:t>
      </w:r>
    </w:p>
    <w:p>
      <w:pPr>
        <w:pStyle w:val="TextBody"/>
        <w:bidi w:val="0"/>
        <w:spacing w:before="240" w:after="0"/>
        <w:jc w:val="left"/>
        <w:rPr>
          <w:rFonts w:ascii="Times New Roman" w:hAnsi="Times New Roman"/>
          <w:sz w:val="20"/>
        </w:rPr>
      </w:pPr>
      <w:r>
        <w:rPr>
          <w:rFonts w:ascii="Times New Roman" w:hAnsi="Times New Roman"/>
          <w:sz w:val="20"/>
        </w:rPr>
        <w:t xml:space="preserve">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 </w:t>
      </w:r>
    </w:p>
    <w:p>
      <w:pPr>
        <w:pStyle w:val="TextBody"/>
        <w:bidi w:val="0"/>
        <w:spacing w:before="240" w:after="0"/>
        <w:jc w:val="left"/>
        <w:rPr>
          <w:rFonts w:ascii="Times New Roman" w:hAnsi="Times New Roman"/>
          <w:sz w:val="20"/>
        </w:rPr>
      </w:pPr>
      <w:r>
        <w:rPr>
          <w:rFonts w:ascii="Times New Roman" w:hAnsi="Times New Roman"/>
          <w:sz w:val="20"/>
        </w:rPr>
        <w:t xml:space="preserve">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per share, if any, paid by the record holder for the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 amount was paid for such shares (e.g., if such shares were received through a gift or devise),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per share equal to the market price (which is calculated as defined in our declaration of trust) on the date the shares were received,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per share received by the trustee from the sale of such shares-in-trust.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 </w:t>
      </w:r>
    </w:p>
    <w:p>
      <w:pPr>
        <w:pStyle w:val="TextBody"/>
        <w:bidi w:val="0"/>
        <w:spacing w:before="240" w:after="0"/>
        <w:jc w:val="left"/>
        <w:rPr>
          <w:rFonts w:ascii="Times New Roman" w:hAnsi="Times New Roman"/>
          <w:sz w:val="20"/>
        </w:rPr>
      </w:pPr>
      <w:r>
        <w:rPr>
          <w:rFonts w:ascii="Times New Roman" w:hAnsi="Times New Roman"/>
          <w:sz w:val="20"/>
        </w:rPr>
        <w:t xml:space="preserve">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 </w:t>
      </w:r>
    </w:p>
    <w:p>
      <w:pPr>
        <w:pStyle w:val="TextBody"/>
        <w:bidi w:val="0"/>
        <w:spacing w:before="240" w:after="0"/>
        <w:jc w:val="left"/>
        <w:rPr>
          <w:rFonts w:ascii="Times New Roman" w:hAnsi="Times New Roman"/>
          <w:sz w:val="20"/>
        </w:rPr>
      </w:pPr>
      <w:r>
        <w:rPr>
          <w:rFonts w:ascii="Times New Roman" w:hAnsi="Times New Roman"/>
          <w:sz w:val="20"/>
        </w:rPr>
        <w:t xml:space="preserve">If a shareholder owns more than 5% of the outstanding common shares or preferred shares, then the shareholder must notify us of its share ownership by January 30 of each year. </w:t>
      </w:r>
    </w:p>
    <w:p>
      <w:pPr>
        <w:pStyle w:val="TextBody"/>
        <w:bidi w:val="0"/>
        <w:spacing w:before="240" w:after="0"/>
        <w:jc w:val="left"/>
        <w:rPr>
          <w:rFonts w:ascii="Times New Roman" w:hAnsi="Times New Roman"/>
          <w:sz w:val="20"/>
        </w:rPr>
      </w:pPr>
      <w:r>
        <w:rPr>
          <w:rFonts w:ascii="Times New Roman" w:hAnsi="Times New Roman"/>
          <w:sz w:val="20"/>
        </w:rPr>
        <w:t xml:space="preserve">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 </w:t>
      </w:r>
    </w:p>
    <w:p>
      <w:pPr>
        <w:pStyle w:val="TextBody"/>
        <w:bidi w:val="0"/>
        <w:spacing w:before="240" w:after="0"/>
        <w:jc w:val="left"/>
        <w:rPr>
          <w:rFonts w:ascii="Times New Roman" w:hAnsi="Times New Roman"/>
          <w:sz w:val="20"/>
        </w:rPr>
      </w:pPr>
      <w:r>
        <w:rPr>
          <w:rFonts w:ascii="Times New Roman" w:hAnsi="Times New Roman"/>
          <w:sz w:val="20"/>
        </w:rPr>
        <w:t xml:space="preserve">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t>
      </w:r>
    </w:p>
    <w:p>
      <w:pPr>
        <w:pStyle w:val="TextBody"/>
        <w:bidi w:val="0"/>
        <w:spacing w:before="240" w:after="0"/>
        <w:jc w:val="left"/>
        <w:rPr>
          <w:rFonts w:ascii="Times New Roman" w:hAnsi="Times New Roman"/>
          <w:sz w:val="20"/>
        </w:rPr>
      </w:pPr>
      <w:r>
        <w:rPr>
          <w:rFonts w:ascii="Times New Roman" w:hAnsi="Times New Roman"/>
          <w:sz w:val="20"/>
        </w:rPr>
        <w:t xml:space="preserve">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Depositary Shares of the Company </w:t>
      </w:r>
    </w:p>
    <w:p>
      <w:pPr>
        <w:pStyle w:val="TextBody"/>
        <w:bidi w:val="0"/>
        <w:spacing w:before="12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We may issue depositary shares, each of which will represent a fractional interest of a share of a particular series of preferred 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December 31, 2023, we had 6,000,000 depositary shares issued and outstanding, each representing a 1/1000th fractional interest in a Series C preferred share. See Series C Preferred Shares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 </w:t>
      </w:r>
    </w:p>
    <w:p>
      <w:pPr>
        <w:pStyle w:val="TextBody"/>
        <w:bidi w:val="0"/>
        <w:spacing w:before="240" w:after="0"/>
        <w:jc w:val="left"/>
        <w:rPr>
          <w:rFonts w:ascii="Times New Roman" w:hAnsi="Times New Roman"/>
          <w:sz w:val="20"/>
        </w:rPr>
      </w:pPr>
      <w:r>
        <w:rPr>
          <w:rFonts w:ascii="Times New Roman" w:hAnsi="Times New Roman"/>
          <w:b/>
          <w:i/>
          <w:sz w:val="20"/>
        </w:rPr>
        <w:t>Dividends and Other Provisions.</w:t>
      </w:r>
      <w:r>
        <w:rPr>
          <w:rFonts w:ascii="Times New Roman" w:hAnsi="Times New Roman"/>
          <w:sz w:val="20"/>
        </w:rPr>
        <w:t xml:space="preserve"> If you are a record holder (as defined below) of depositary receipts and we pay a cash dividend or other cash 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 </w:t>
      </w:r>
    </w:p>
    <w:p>
      <w:pPr>
        <w:pStyle w:val="TextBody"/>
        <w:bidi w:val="0"/>
        <w:spacing w:before="240" w:after="0"/>
        <w:jc w:val="left"/>
        <w:rPr>
          <w:rFonts w:ascii="Times New Roman" w:hAnsi="Times New Roman"/>
          <w:sz w:val="20"/>
        </w:rPr>
      </w:pPr>
      <w:r>
        <w:rPr>
          <w:rFonts w:ascii="Times New Roman" w:hAnsi="Times New Roman"/>
          <w:sz w:val="20"/>
        </w:rPr>
        <w:t xml:space="preserve">A record holder is a person who holds depositary receipts on the record date for any dividend, distribution or other action. The record date for depositary shares will be the same as the record date for the preferred shares represented by those depositary receipts. </w:t>
      </w:r>
    </w:p>
    <w:p>
      <w:pPr>
        <w:pStyle w:val="TextBody"/>
        <w:bidi w:val="0"/>
        <w:spacing w:before="240" w:after="0"/>
        <w:jc w:val="left"/>
        <w:rPr>
          <w:rFonts w:ascii="Times New Roman" w:hAnsi="Times New Roman"/>
          <w:sz w:val="20"/>
        </w:rPr>
      </w:pPr>
      <w:r>
        <w:rPr>
          <w:rFonts w:ascii="Times New Roman" w:hAnsi="Times New Roman"/>
          <w:b/>
          <w:i/>
          <w:sz w:val="20"/>
        </w:rPr>
        <w:t>Withdrawal of Preferred Shares.</w:t>
      </w:r>
      <w:r>
        <w:rPr>
          <w:rFonts w:ascii="Times New Roman" w:hAnsi="Times New Roman"/>
          <w:sz w:val="20"/>
        </w:rPr>
        <w:t xml:space="preserve"> If you surrender your depositary receipts, the depositary will be required to deliver certificates to you evidencing the 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 </w:t>
      </w:r>
    </w:p>
    <w:p>
      <w:pPr>
        <w:pStyle w:val="TextBody"/>
        <w:bidi w:val="0"/>
        <w:spacing w:before="240" w:after="0"/>
        <w:jc w:val="left"/>
        <w:rPr>
          <w:rFonts w:ascii="Times New Roman" w:hAnsi="Times New Roman"/>
          <w:sz w:val="20"/>
        </w:rPr>
      </w:pPr>
      <w:r>
        <w:rPr>
          <w:rFonts w:ascii="Times New Roman" w:hAnsi="Times New Roman"/>
          <w:b/>
          <w:i/>
          <w:sz w:val="20"/>
        </w:rPr>
        <w:t>Redemption of Depositary Shares.</w:t>
      </w:r>
      <w:r>
        <w:rPr>
          <w:rFonts w:ascii="Times New Roman" w:hAnsi="Times New Roman"/>
          <w:sz w:val="20"/>
        </w:rPr>
        <w:t xml:space="preserve"> If we redeem a series of preferred shares represented by depositary receipts, the depositary will redeem depositary 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 </w:t>
      </w:r>
    </w:p>
    <w:p>
      <w:pPr>
        <w:pStyle w:val="TextBody"/>
        <w:bidi w:val="0"/>
        <w:spacing w:before="240" w:after="0"/>
        <w:jc w:val="left"/>
        <w:rPr>
          <w:rFonts w:ascii="Times New Roman" w:hAnsi="Times New Roman"/>
          <w:sz w:val="20"/>
        </w:rPr>
      </w:pPr>
      <w:r>
        <w:rPr>
          <w:rFonts w:ascii="Times New Roman" w:hAnsi="Times New Roman"/>
          <w:b/>
          <w:i/>
          <w:sz w:val="20"/>
        </w:rPr>
        <w:t>Voting the Preferred Shares.</w:t>
      </w:r>
      <w:r>
        <w:rPr>
          <w:rFonts w:ascii="Times New Roman" w:hAnsi="Times New Roman"/>
          <w:sz w:val="20"/>
        </w:rPr>
        <w:t xml:space="preserve"> When the depositary receives notice of any meeting at which the holders of preferred shares are entitled to vote, the depositary will mail information contained in the notice to you as a record holder of the depositary shares relating to the preferred shares. As a record holder of the depositary shares on the </w:t>
      </w:r>
    </w:p>
    <w:p>
      <w:pPr>
        <w:pStyle w:val="TextBody"/>
        <w:bidi w:val="0"/>
        <w:spacing w:before="0" w:after="0"/>
        <w:jc w:val="left"/>
        <w:rPr>
          <w:rFonts w:ascii="Times New Roman" w:hAnsi="Times New Roman"/>
          <w:sz w:val="20"/>
        </w:rPr>
      </w:pPr>
      <w:r>
        <w:rPr>
          <w:rFonts w:ascii="Times New Roman" w:hAnsi="Times New Roman"/>
          <w:sz w:val="20"/>
        </w:rPr>
        <w:t xml:space="preserve">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 </w:t>
      </w:r>
    </w:p>
    <w:p>
      <w:pPr>
        <w:pStyle w:val="TextBody"/>
        <w:bidi w:val="0"/>
        <w:spacing w:before="240" w:after="0"/>
        <w:jc w:val="left"/>
        <w:rPr>
          <w:rFonts w:ascii="Times New Roman" w:hAnsi="Times New Roman"/>
          <w:sz w:val="20"/>
        </w:rPr>
      </w:pPr>
      <w:r>
        <w:rPr>
          <w:rFonts w:ascii="Times New Roman" w:hAnsi="Times New Roman"/>
          <w:b/>
          <w:i/>
          <w:sz w:val="20"/>
        </w:rPr>
        <w:t>Liquidation Preference.</w:t>
      </w:r>
      <w:r>
        <w:rPr>
          <w:rFonts w:ascii="Times New Roman" w:hAnsi="Times New Roman"/>
          <w:sz w:val="20"/>
        </w:rPr>
        <w:t xml:space="preserve"> In the event of our liquidation, dissolution or winding up, whether voluntary or involuntary, you will be entitled, as a record holder of depositary shares, to the fraction of the liquidation preference accorded each applicable preferred share, as has been set forth in a prospectus supplement. </w:t>
      </w:r>
    </w:p>
    <w:p>
      <w:pPr>
        <w:pStyle w:val="TextBody"/>
        <w:bidi w:val="0"/>
        <w:spacing w:before="240" w:after="0"/>
        <w:jc w:val="left"/>
        <w:rPr>
          <w:rFonts w:ascii="Times New Roman" w:hAnsi="Times New Roman"/>
          <w:sz w:val="20"/>
        </w:rPr>
      </w:pPr>
      <w:r>
        <w:rPr>
          <w:rFonts w:ascii="Times New Roman" w:hAnsi="Times New Roman"/>
          <w:b/>
          <w:i/>
          <w:sz w:val="20"/>
        </w:rPr>
        <w:t>Conversion of Preferred Shares.</w:t>
      </w:r>
      <w:r>
        <w:rPr>
          <w:rFonts w:ascii="Times New Roman" w:hAnsi="Times New Roman"/>
          <w:sz w:val="20"/>
        </w:rPr>
        <w:t xml:space="preserve"> Our depositary shares, as such, are not convertible into common shares or any of our other securities or property. 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 </w:t>
      </w:r>
    </w:p>
    <w:p>
      <w:pPr>
        <w:pStyle w:val="TextBody"/>
        <w:bidi w:val="0"/>
        <w:spacing w:before="240" w:after="0"/>
        <w:jc w:val="left"/>
        <w:rPr>
          <w:rFonts w:ascii="Times New Roman" w:hAnsi="Times New Roman"/>
          <w:sz w:val="20"/>
        </w:rPr>
      </w:pPr>
      <w:r>
        <w:rPr>
          <w:rFonts w:ascii="Times New Roman" w:hAnsi="Times New Roman"/>
          <w:b/>
          <w:i/>
          <w:sz w:val="20"/>
        </w:rPr>
        <w:t>Amendment and Termination of the Deposit Agreement.</w:t>
      </w:r>
      <w:r>
        <w:rPr>
          <w:rFonts w:ascii="Times New Roman" w:hAnsi="Times New Roman"/>
          <w:sz w:val="20"/>
        </w:rPr>
        <w:t xml:space="preserve"> We and the depositary may amend the form of depositary receipt and any provision of the 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redeem all outstanding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make a final distribution in respect of the preferred shares to which the depositary shares and agreement relate, including in connection with any liquidation, dissolution or winding up and the distribution has been distributed to the holders of depositary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preferred share to which the depositary shares and agreement relate shall have been converted into shares of beneficial interest not represented by depositary shares. </w:t>
            </w:r>
          </w:p>
        </w:tc>
      </w:tr>
    </w:tbl>
    <w:p>
      <w:pPr>
        <w:pStyle w:val="TextBody"/>
        <w:bidi w:val="0"/>
        <w:spacing w:before="240" w:after="0"/>
        <w:jc w:val="left"/>
        <w:rPr>
          <w:rFonts w:ascii="Times New Roman" w:hAnsi="Times New Roman"/>
          <w:sz w:val="20"/>
        </w:rPr>
      </w:pPr>
      <w:r>
        <w:rPr>
          <w:rFonts w:ascii="Times New Roman" w:hAnsi="Times New Roman"/>
          <w:b/>
          <w:i/>
          <w:sz w:val="20"/>
        </w:rPr>
        <w:t>Resignation and Removal of Depositary.</w:t>
      </w:r>
      <w:r>
        <w:rPr>
          <w:rFonts w:ascii="Times New Roman" w:hAnsi="Times New Roman"/>
          <w:sz w:val="20"/>
        </w:rPr>
        <w:t xml:space="preserve"> The depositary may resign at any time by delivering a notice to us of its election to do so. Additionally, we 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 </w:t>
      </w:r>
    </w:p>
    <w:p>
      <w:pPr>
        <w:pStyle w:val="TextBody"/>
        <w:bidi w:val="0"/>
        <w:spacing w:before="240" w:after="0"/>
        <w:jc w:val="left"/>
        <w:rPr>
          <w:rFonts w:ascii="Times New Roman" w:hAnsi="Times New Roman"/>
          <w:sz w:val="20"/>
        </w:rPr>
      </w:pPr>
      <w:r>
        <w:rPr>
          <w:rFonts w:ascii="Times New Roman" w:hAnsi="Times New Roman"/>
          <w:b/>
          <w:i/>
          <w:sz w:val="20"/>
        </w:rPr>
        <w:t>Charges of Depositary.</w:t>
      </w:r>
      <w:r>
        <w:rPr>
          <w:rFonts w:ascii="Times New Roman" w:hAnsi="Times New Roman"/>
          <w:sz w:val="20"/>
        </w:rPr>
        <w:t xml:space="preserve"> We will pay all transfer and other taxes and governmental charges arising solely from the existence of the depositary 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 </w:t>
      </w:r>
    </w:p>
    <w:p>
      <w:pPr>
        <w:pStyle w:val="TextBody"/>
        <w:bidi w:val="0"/>
        <w:spacing w:before="240" w:after="0"/>
        <w:jc w:val="left"/>
        <w:rPr>
          <w:rFonts w:ascii="Times New Roman" w:hAnsi="Times New Roman"/>
          <w:sz w:val="20"/>
        </w:rPr>
      </w:pPr>
      <w:r>
        <w:rPr>
          <w:rFonts w:ascii="Times New Roman" w:hAnsi="Times New Roman"/>
          <w:b/>
          <w:i/>
          <w:sz w:val="20"/>
        </w:rPr>
        <w:t>Miscellaneous.</w:t>
      </w:r>
      <w:r>
        <w:rPr>
          <w:rFonts w:ascii="Times New Roman" w:hAnsi="Times New Roman"/>
          <w:sz w:val="20"/>
        </w:rPr>
        <w:t xml:space="preserve"> The depositary will forward to you all reports and communications from us that we are required, or otherwise determine, to furnish to the holders of the preferred shares. The holders of depositary receipts shall have the right to inspect the transfer books of the depositary and the list of holders of depositary receipts as provided in the applicable deposit agreement or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 </w:t>
      </w:r>
    </w:p>
    <w:p>
      <w:pPr>
        <w:pStyle w:val="TextBody"/>
        <w:bidi w:val="0"/>
        <w:spacing w:before="480" w:after="0"/>
        <w:jc w:val="center"/>
        <w:rPr>
          <w:rFonts w:ascii="Times New Roman" w:hAnsi="Times New Roman"/>
          <w:b/>
          <w:sz w:val="20"/>
        </w:rPr>
      </w:pPr>
      <w:r>
        <w:rPr>
          <w:rFonts w:ascii="Times New Roman" w:hAnsi="Times New Roman"/>
          <w:b/>
          <w:sz w:val="20"/>
        </w:rPr>
        <w:t xml:space="preserve">Description of Share Purchase Contracts that may be offered by Federal Realty Investment Trust </w:t>
      </w:r>
    </w:p>
    <w:p>
      <w:pPr>
        <w:pStyle w:val="TextBody"/>
        <w:bidi w:val="0"/>
        <w:spacing w:before="240" w:after="0"/>
        <w:jc w:val="left"/>
        <w:rPr>
          <w:rFonts w:ascii="Times New Roman" w:hAnsi="Times New Roman"/>
          <w:sz w:val="20"/>
        </w:rPr>
      </w:pPr>
      <w:r>
        <w:rPr>
          <w:rFonts w:ascii="Times New Roman" w:hAnsi="Times New Roman"/>
          <w:b/>
          <w:i/>
          <w:sz w:val="20"/>
        </w:rPr>
        <w:t>Share Purchase Contracts</w:t>
      </w:r>
      <w:r>
        <w:rPr>
          <w:rFonts w:ascii="Times New Roman" w:hAnsi="Times New Roman"/>
          <w:sz w:val="20"/>
        </w:rPr>
        <w:t xml:space="preserve">. We may issue share purchase contracts, which are contracts obligating holders to purchase from or sell to us, and obligating us to purchase from or sell to the holders, a specified number of our common shares of beneficial interest or preferred shares of beneficial interest at a future date or dates. If we offer share purchase contracts, we will describe the terms in a prospectus supplement. Share purchase contracts may be offered independently, together with other securities offered by any prospectus supplement, or through a dividend or other distribution to shareholders and may be attached to or separate from other securities. The price per common share of beneficial interest or preferred share of beneficial interest may be fixed at the time the share purchase contracts are issued or may be determined by reference to a specific formula contained in the share purchase contracts. We may issue share purchase contracts in such amounts and in as many distinct series as we wish.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some of the share purchase contract terms that could be described in a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 purchase contracts obligate the holder to purchase or sell, or both purchase and sell, common shares of beneficial interest or preferred shares of beneficial interest and the nature and amount of common shares of beneficial interest or preferred shares of beneficial interest, or the method of determining that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 purchase contracts are to be prepaid or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 purchase contracts are to be settled by delivery, or by reference or linkage to the value, performance or level of our common shares of beneficial interest or preferred shares of beneficial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U.S. federal income tax considerations applicable to the share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acceleration, cancellation, termination or other provisions relating to the settlement of the share purchase contracts;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 purchase contracts will be issued in fully registered or global form.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Description of Warrants that may be offered by Federal Realty Investment Trust </w:t>
      </w:r>
    </w:p>
    <w:p>
      <w:pPr>
        <w:pStyle w:val="TextBody"/>
        <w:bidi w:val="0"/>
        <w:spacing w:before="240" w:after="0"/>
        <w:jc w:val="left"/>
        <w:rPr>
          <w:rFonts w:ascii="Times New Roman" w:hAnsi="Times New Roman"/>
          <w:sz w:val="20"/>
        </w:rPr>
      </w:pPr>
      <w:r>
        <w:rPr>
          <w:rFonts w:ascii="Times New Roman" w:hAnsi="Times New Roman"/>
          <w:b/>
          <w:i/>
          <w:sz w:val="20"/>
        </w:rPr>
        <w:t>Warrants</w:t>
      </w:r>
      <w:r>
        <w:rPr>
          <w:rFonts w:ascii="Times New Roman" w:hAnsi="Times New Roman"/>
          <w:b/>
          <w:sz w:val="20"/>
        </w:rPr>
        <w:t>.</w:t>
      </w:r>
      <w:r>
        <w:rPr>
          <w:rFonts w:ascii="Times New Roman" w:hAnsi="Times New Roman"/>
          <w:sz w:val="20"/>
        </w:rPr>
        <w:t xml:space="preserve"> We may issue warrants for the purchase of common shares, preferred shares or depositary shares representing interests in preferred shares. If we offer warrants, we will describe the terms in a prospectus 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some of the warrant terms that could be described in a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warrant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number and terms of the common shares, preferred shares or depositary shares representing interests in preferred shares that may be purchased on exercise of the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warrant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each security purchasable on exercise of the warrant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purchase the securities purchasable on exercise of the warrant will begin and 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minimum or maximum number of securities that may be purchased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anti-dilution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warrant terms, including terms relating to transferability, exchange or exercise of the warrant.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Description of Guarantees that may be offered by Federal Realty Investment Trust </w:t>
      </w:r>
    </w:p>
    <w:p>
      <w:pPr>
        <w:pStyle w:val="TextBody"/>
        <w:bidi w:val="0"/>
        <w:spacing w:before="240" w:after="0"/>
        <w:jc w:val="left"/>
        <w:rPr>
          <w:rFonts w:ascii="Times New Roman" w:hAnsi="Times New Roman"/>
          <w:sz w:val="20"/>
        </w:rPr>
      </w:pPr>
      <w:r>
        <w:rPr>
          <w:rFonts w:ascii="Times New Roman" w:hAnsi="Times New Roman"/>
          <w:sz w:val="20"/>
        </w:rPr>
        <w:t xml:space="preserve">We may guarantee (either fully or unconditionally or in a limited manner) the due and punctual payment of the principal of, and any premium and interest on, one or more classes or series of debt securities of the Partnership, whether at maturity, by acceleration, redemption, repayment or otherwise, in accordance with the terms of such guarantee and the applicable indenture. In case of the failure of the Partnership punctually to pay any principal, premium or interest on any guaranteed debt security, we will cause any such payment to be made as it becomes due and payable, whether at maturity, upon acceleration, redemption, repayment or otherwise, and as if such payment were made by the Partnership. The particular terms of the guarantee, if any, will be set forth in a prospectus supplement relating to the guaranteed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Description of Units that may be offered by Federal Realty Investment Trust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from time to time in such amounts and in as many distinct series as we determine. We will issue each series of units under a unit agreement to be entered into between us and a unit agent to be identified in the applicable prospectus supplement. When we refer to a series of units, we mean all units issued as part of the same series under the applicable unit agreement.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any combination of two or more securities described in this prospectus. Each unit will be issued so that the holder of the unit is also the holder of each security included in the unit. Thus, the holder of a unit will have the rights and obligations of a holder of each included security. These units may be issuable as, and for a specified period of time may be transferable as, a single security only, rather than as the separate constituent securities comprising such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some of the unit terms that could be described in a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any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and the price at which we will issue, the units and any provisions for the issuance, payment, settlement, transfer or exchange of the units or of the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units will be issued in fully registered or global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terms of any unit agreement to be entered into between us and a bank or trust company, as unit agent, governing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the material U.S. federal income tax considerations applicable to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units will be listed on any securities exchange;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Certain Provisions of Maryland Law and our Declaration of Trust and Bylaws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certain provisions of the Maryland General Corporation Law and our declaration of trust and bylaws is not complete. You should read the Maryland General Corporation Law and our declaration of trust and bylaws for more complete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of Company Shares and the supermajority voting rights described under  Common Shares of the Company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 </w:t>
      </w:r>
    </w:p>
    <w:p>
      <w:pPr>
        <w:pStyle w:val="TextBody"/>
        <w:bidi w:val="0"/>
        <w:spacing w:before="240" w:after="0"/>
        <w:jc w:val="left"/>
        <w:rPr>
          <w:rFonts w:ascii="Times New Roman" w:hAnsi="Times New Roman"/>
          <w:sz w:val="20"/>
        </w:rPr>
      </w:pPr>
      <w:r>
        <w:rPr>
          <w:rFonts w:ascii="Times New Roman" w:hAnsi="Times New Roman"/>
          <w:b/>
          <w:i/>
          <w:sz w:val="20"/>
        </w:rPr>
        <w:t>Business Combinations</w:t>
      </w:r>
      <w:r>
        <w:rPr>
          <w:rFonts w:ascii="Times New Roman" w:hAnsi="Times New Roman"/>
          <w:b/>
          <w:sz w:val="20"/>
        </w:rPr>
        <w:t>.</w:t>
      </w:r>
      <w:r>
        <w:rPr>
          <w:rFonts w:ascii="Times New Roman" w:hAnsi="Times New Roman"/>
          <w:sz w:val="20"/>
        </w:rPr>
        <w:t xml:space="preserve"> Applicable Maryland law, as set forth in the Maryland General Corporation Law, limits our ability to enter into business 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beneficially owns 10% or more of the voting power of our outstanding voting shares;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our affiliates that beneficially owned, directly or indirectly, 10% or more of the voting power of our outstanding voting shares at any time within two years immediately prior to the applicable date in question.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 </w:t>
      </w:r>
    </w:p>
    <w:p>
      <w:pPr>
        <w:pStyle w:val="TextBody"/>
        <w:bidi w:val="0"/>
        <w:spacing w:before="240" w:after="0"/>
        <w:jc w:val="left"/>
        <w:rPr>
          <w:rFonts w:ascii="Times New Roman" w:hAnsi="Times New Roman"/>
          <w:sz w:val="20"/>
        </w:rPr>
      </w:pPr>
      <w:r>
        <w:rPr>
          <w:rFonts w:ascii="Times New Roman" w:hAnsi="Times New Roman"/>
          <w:sz w:val="20"/>
        </w:rPr>
        <w:t xml:space="preserve">We may engage in business combinations with an interested shareholder if at least five years have passed since the person became an interested shareholder, but only if the transaction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recommended by our Board of Trustees;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approved by at least,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 of our outstanding shares entitled to vote;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two-thirds of our outstanding shares entitled to vote that are not held by the interested shareholder or any of its affiliates.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Shareholder approval will not be required if our common shareholders receive a minimum price (as defined in the statute) for their shares and our shareholders receive cash or the same form of consideration as the interested shareholder paid for its shares. </w:t>
      </w:r>
    </w:p>
    <w:p>
      <w:pPr>
        <w:pStyle w:val="TextBody"/>
        <w:bidi w:val="0"/>
        <w:spacing w:before="240" w:after="0"/>
        <w:jc w:val="left"/>
        <w:rPr>
          <w:rFonts w:ascii="Times New Roman" w:hAnsi="Times New Roman"/>
          <w:sz w:val="20"/>
        </w:rPr>
      </w:pPr>
      <w:r>
        <w:rPr>
          <w:rFonts w:ascii="Times New Roman" w:hAnsi="Times New Roman"/>
          <w:b/>
          <w:i/>
          <w:sz w:val="20"/>
        </w:rPr>
        <w:t>Control Share Acquisitions.</w:t>
      </w:r>
      <w:r>
        <w:rPr>
          <w:rFonts w:ascii="Times New Roman" w:hAnsi="Times New Roman"/>
          <w:sz w:val="20"/>
        </w:rPr>
        <w:t xml:space="preserve"> Our bylaws exempt acquisitions of our shares of beneficial interest by any person from control share acquisition 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 </w:t>
      </w:r>
    </w:p>
    <w:p>
      <w:pPr>
        <w:pStyle w:val="TextBody"/>
        <w:bidi w:val="0"/>
        <w:spacing w:before="240" w:after="0"/>
        <w:jc w:val="left"/>
        <w:rPr>
          <w:rFonts w:ascii="Times New Roman" w:hAnsi="Times New Roman"/>
          <w:sz w:val="20"/>
        </w:rPr>
      </w:pPr>
      <w:r>
        <w:rPr>
          <w:rFonts w:ascii="Times New Roman" w:hAnsi="Times New Roman"/>
          <w:sz w:val="20"/>
        </w:rPr>
        <w:t xml:space="preserve">Control Shares are shares that, if added to all other shares previously acquired, would entitle that person to exercise voting power, in electing trustees, within one of the following ranges of voting power: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one-tenth or more but less than one-third,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one-third or more but less than a majority,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majority or more of all voting power.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Control shares do not include shares the acquiring person is entitled to vote with shareholder approval. A control share acquisition means the acquisition of control shares,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 </w:t>
      </w:r>
    </w:p>
    <w:p>
      <w:pPr>
        <w:pStyle w:val="TextBody"/>
        <w:bidi w:val="0"/>
        <w:spacing w:before="240" w:after="0"/>
        <w:jc w:val="left"/>
        <w:rPr>
          <w:rFonts w:ascii="Times New Roman" w:hAnsi="Times New Roman"/>
          <w:sz w:val="20"/>
        </w:rPr>
      </w:pPr>
      <w:r>
        <w:rPr>
          <w:rFonts w:ascii="Times New Roman" w:hAnsi="Times New Roman"/>
          <w:sz w:val="20"/>
        </w:rPr>
        <w:t xml:space="preserve">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 </w:t>
      </w:r>
    </w:p>
    <w:p>
      <w:pPr>
        <w:pStyle w:val="TextBody"/>
        <w:bidi w:val="0"/>
        <w:spacing w:before="240" w:after="0"/>
        <w:jc w:val="left"/>
        <w:rPr>
          <w:rFonts w:ascii="Times New Roman" w:hAnsi="Times New Roman"/>
          <w:sz w:val="20"/>
        </w:rPr>
      </w:pPr>
      <w:r>
        <w:rPr>
          <w:rFonts w:ascii="Times New Roman" w:hAnsi="Times New Roman"/>
          <w:b/>
          <w:i/>
          <w:sz w:val="20"/>
        </w:rPr>
        <w:t>Duties of Trustees</w:t>
      </w:r>
      <w:r>
        <w:rPr>
          <w:rFonts w:ascii="Times New Roman" w:hAnsi="Times New Roman"/>
          <w:b/>
          <w:sz w:val="20"/>
        </w:rPr>
        <w:t>.</w:t>
      </w:r>
      <w:r>
        <w:rPr>
          <w:rFonts w:ascii="Times New Roman" w:hAnsi="Times New Roman"/>
          <w:sz w:val="20"/>
        </w:rPr>
        <w:t xml:space="preserve"> Under Maryland law, there is a presumption that the act of a trustee satisfies the required standard of care. An act of a trustee relating to or affecting an acquisition or a potential acquisition of control is not subject under Maryland law to a higher duty or greater scrutiny than is applied to any other act of a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Number of Trustees.</w:t>
      </w:r>
      <w:r>
        <w:rPr>
          <w:rFonts w:ascii="Times New Roman" w:hAnsi="Times New Roman"/>
          <w:sz w:val="20"/>
        </w:rPr>
        <w:t xml:space="preserve"> The number of trustees may be increased or decreased pursuant to the bylaws, provided that the total number of trustees may not be less than five or more than 10. Under Maryland law and our declaration of trust, trustees are elected for one-year terms. </w:t>
      </w:r>
    </w:p>
    <w:p>
      <w:pPr>
        <w:pStyle w:val="TextBody"/>
        <w:bidi w:val="0"/>
        <w:spacing w:before="240" w:after="0"/>
        <w:jc w:val="left"/>
        <w:rPr>
          <w:rFonts w:ascii="Times New Roman" w:hAnsi="Times New Roman"/>
          <w:sz w:val="20"/>
        </w:rPr>
      </w:pPr>
      <w:r>
        <w:rPr>
          <w:rFonts w:ascii="Times New Roman" w:hAnsi="Times New Roman"/>
          <w:b/>
          <w:i/>
          <w:sz w:val="20"/>
        </w:rPr>
        <w:t>Removal of Trustees</w:t>
      </w:r>
      <w:r>
        <w:rPr>
          <w:rFonts w:ascii="Times New Roman" w:hAnsi="Times New Roman"/>
          <w:b/>
          <w:sz w:val="20"/>
        </w:rPr>
        <w:t>.</w:t>
      </w:r>
      <w:r>
        <w:rPr>
          <w:rFonts w:ascii="Times New Roman" w:hAnsi="Times New Roman"/>
          <w:sz w:val="20"/>
        </w:rPr>
        <w:t xml:space="preserve"> Under the declaration of trust, and subject to the rights of any holders of preferred shares, our trustees may remove a trustee with cause, as defined in our declaration of trust, by the vote of all the other trustees or the shareholders may remove a trustee, with or without cause, at any meeting of shareholders called for that purpose, either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the holders of two-thirds of the number of shares outstanding and entitled to vote on that matter if the removal is approved or recommended by a vote of at least two-thirds of the Board of Trustees;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2"/>
        <w:gridCol w:w="9289"/>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the holders of not less than 80% of the number of shares then outstanding and entitled to vote on that matter if the removal is not approved or recommended by a vote of at least two-thirds of the Board of Trustees. </w:t>
            </w:r>
          </w:p>
        </w:tc>
      </w:tr>
    </w:tbl>
    <w:p>
      <w:pPr>
        <w:pStyle w:val="TextBody"/>
        <w:bidi w:val="0"/>
        <w:spacing w:before="240" w:after="0"/>
        <w:jc w:val="left"/>
        <w:rPr>
          <w:rFonts w:ascii="Times New Roman" w:hAnsi="Times New Roman"/>
          <w:sz w:val="20"/>
        </w:rPr>
      </w:pPr>
      <w:r>
        <w:rPr>
          <w:rFonts w:ascii="Times New Roman" w:hAnsi="Times New Roman"/>
          <w:b/>
          <w:i/>
          <w:sz w:val="20"/>
        </w:rPr>
        <w:t>Vacancies on the Board of Trustees</w:t>
      </w:r>
      <w:r>
        <w:rPr>
          <w:rFonts w:ascii="Times New Roman" w:hAnsi="Times New Roman"/>
          <w:b/>
          <w:sz w:val="20"/>
        </w:rPr>
        <w:t>.</w:t>
      </w:r>
      <w:r>
        <w:rPr>
          <w:rFonts w:ascii="Times New Roman" w:hAnsi="Times New Roman"/>
          <w:sz w:val="20"/>
        </w:rPr>
        <w:t xml:space="preserve"> The bylaws provide that, subject to the rights of any holders of preferred shares, any vacancy on the Board of 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 </w:t>
      </w:r>
    </w:p>
    <w:p>
      <w:pPr>
        <w:pStyle w:val="TextBody"/>
        <w:bidi w:val="0"/>
        <w:spacing w:before="240" w:after="0"/>
        <w:jc w:val="left"/>
        <w:rPr>
          <w:rFonts w:ascii="Times New Roman" w:hAnsi="Times New Roman"/>
          <w:sz w:val="20"/>
        </w:rPr>
      </w:pPr>
      <w:r>
        <w:rPr>
          <w:rFonts w:ascii="Times New Roman" w:hAnsi="Times New Roman"/>
          <w:b/>
          <w:i/>
          <w:sz w:val="20"/>
        </w:rPr>
        <w:t>Meetings of Shareholders</w:t>
      </w:r>
      <w:r>
        <w:rPr>
          <w:rFonts w:ascii="Times New Roman" w:hAnsi="Times New Roman"/>
          <w:b/>
          <w:sz w:val="20"/>
        </w:rPr>
        <w:t>.</w:t>
      </w:r>
      <w:r>
        <w:rPr>
          <w:rFonts w:ascii="Times New Roman" w:hAnsi="Times New Roman"/>
          <w:sz w:val="20"/>
        </w:rPr>
        <w:t xml:space="preserve"> Our bylaws provide for an annual meeting of shareholders, to be held in May after delivery of the annual report to 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 </w:t>
      </w:r>
    </w:p>
    <w:p>
      <w:pPr>
        <w:pStyle w:val="TextBody"/>
        <w:bidi w:val="0"/>
        <w:spacing w:before="240" w:after="0"/>
        <w:jc w:val="left"/>
        <w:rPr>
          <w:rFonts w:ascii="Times New Roman" w:hAnsi="Times New Roman"/>
          <w:sz w:val="20"/>
        </w:rPr>
      </w:pPr>
      <w:r>
        <w:rPr>
          <w:rFonts w:ascii="Times New Roman" w:hAnsi="Times New Roman"/>
          <w:b/>
          <w:i/>
          <w:sz w:val="20"/>
        </w:rPr>
        <w:t>Advance Notice for Shareholder Nominations and Shareholder New Business Proposals</w:t>
      </w:r>
      <w:r>
        <w:rPr>
          <w:rFonts w:ascii="Times New Roman" w:hAnsi="Times New Roman"/>
          <w:b/>
          <w:sz w:val="20"/>
        </w:rPr>
        <w:t>.</w:t>
      </w:r>
      <w:r>
        <w:rPr>
          <w:rFonts w:ascii="Times New Roman" w:hAnsi="Times New Roman"/>
          <w:sz w:val="20"/>
        </w:rPr>
        <w:t xml:space="preserve"> Our bylaws require advance written notice for 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120th day and not earlier than the 150th calendar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For a special meeting, to nominate a trustee, a shareholder must deliver notice to our Secretary not earlier that the close of business on the 120th day prior to the special meeting and not later than the close of business on the later of the 90th day prior to the special meeting or the 10th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we will include in our proxy statement for any annual meeting individuals nominated to stand for election to our Board of Trustees by any shareholder or group of up to 20 shareholders who have owned at least three percent of our outstanding common shares of beneficial interest for at least three years. The number of potential nominees shareholders can submit for any annual meeting is limited to the greater of two nominees or 20% of the total number of trustees on the board. Proxy access is subject to procedural and other conditions and requirements as described more fully in our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 </w:t>
      </w:r>
    </w:p>
    <w:p>
      <w:pPr>
        <w:pStyle w:val="TextBody"/>
        <w:bidi w:val="0"/>
        <w:spacing w:before="240" w:after="0"/>
        <w:jc w:val="left"/>
        <w:rPr>
          <w:rFonts w:ascii="Times New Roman" w:hAnsi="Times New Roman"/>
          <w:sz w:val="20"/>
        </w:rPr>
      </w:pPr>
      <w:r>
        <w:rPr>
          <w:rFonts w:ascii="Times New Roman" w:hAnsi="Times New Roman"/>
          <w:b/>
          <w:i/>
          <w:sz w:val="20"/>
        </w:rPr>
        <w:t>Shareholder Liability and Indemnification.</w:t>
      </w:r>
      <w:r>
        <w:rPr>
          <w:rFonts w:ascii="Times New Roman" w:hAnsi="Times New Roman"/>
          <w:sz w:val="20"/>
        </w:rPr>
        <w:t xml:space="preserve"> Under Maryland law, you will not be personally liable for any obligation of ours solely because you 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 </w:t>
      </w:r>
    </w:p>
    <w:p>
      <w:pPr>
        <w:pStyle w:val="TextBody"/>
        <w:bidi w:val="0"/>
        <w:spacing w:before="240" w:after="0"/>
        <w:jc w:val="left"/>
        <w:rPr>
          <w:rFonts w:ascii="Times New Roman" w:hAnsi="Times New Roman"/>
          <w:sz w:val="20"/>
        </w:rPr>
      </w:pPr>
      <w:r>
        <w:rPr>
          <w:rFonts w:ascii="Times New Roman" w:hAnsi="Times New Roman"/>
          <w:sz w:val="20"/>
        </w:rPr>
        <w:t xml:space="preserve">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 </w:t>
      </w:r>
    </w:p>
    <w:p>
      <w:pPr>
        <w:pStyle w:val="TextBody"/>
        <w:bidi w:val="0"/>
        <w:spacing w:before="240" w:after="0"/>
        <w:jc w:val="left"/>
        <w:rPr>
          <w:rFonts w:ascii="Times New Roman" w:hAnsi="Times New Roman"/>
          <w:b/>
          <w:i/>
          <w:sz w:val="20"/>
        </w:rPr>
      </w:pPr>
      <w:r>
        <w:rPr>
          <w:rFonts w:ascii="Times New Roman" w:hAnsi="Times New Roman"/>
          <w:b/>
          <w:i/>
          <w:sz w:val="20"/>
        </w:rPr>
        <w:t xml:space="preserve">Limitation of Liability of Trustees and Officers. Our declaration of trust, to the maximum extent permitted under Maryland law in effect from time to 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proved that the trustee or officer actually received an improper benefit or profit in money, property or services;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judgment or other final adjudication adverse to the person is entered in a proceeding based on a finding that the persons action, or failure to act, was material to the cause of action adjudicated and was the result of active and deliberate dishonesty.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 </w:t>
      </w:r>
    </w:p>
    <w:p>
      <w:pPr>
        <w:pStyle w:val="TextBody"/>
        <w:bidi w:val="0"/>
        <w:spacing w:before="240" w:after="0"/>
        <w:jc w:val="left"/>
        <w:rPr>
          <w:rFonts w:ascii="Times New Roman" w:hAnsi="Times New Roman"/>
          <w:sz w:val="20"/>
        </w:rPr>
      </w:pPr>
      <w:r>
        <w:rPr>
          <w:rFonts w:ascii="Times New Roman" w:hAnsi="Times New Roman"/>
          <w:b/>
          <w:i/>
          <w:sz w:val="20"/>
        </w:rPr>
        <w:t>Indemnification of Directors and Officers.</w:t>
      </w:r>
      <w:r>
        <w:rPr>
          <w:rFonts w:ascii="Times New Roman" w:hAnsi="Times New Roman"/>
          <w:sz w:val="20"/>
        </w:rPr>
        <w:t xml:space="preserve"> Our declaration of trust permits us to indemnify and advance expenses to, to the maximum extent permitted 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 </w:t>
      </w:r>
    </w:p>
    <w:p>
      <w:pPr>
        <w:pStyle w:val="TextBody"/>
        <w:bidi w:val="0"/>
        <w:spacing w:before="240" w:after="0"/>
        <w:jc w:val="left"/>
        <w:rPr>
          <w:rFonts w:ascii="Times New Roman" w:hAnsi="Times New Roman"/>
          <w:sz w:val="20"/>
        </w:rPr>
      </w:pPr>
      <w:r>
        <w:rPr>
          <w:rFonts w:ascii="Times New Roman" w:hAnsi="Times New Roman"/>
          <w:sz w:val="20"/>
        </w:rPr>
        <w:t xml:space="preserve">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DESCRIPTION OF DEBT SECURITIES THAT MAY BE OFFERED BY FEDERAL REALTY OP LP </w:t>
      </w:r>
    </w:p>
    <w:p>
      <w:pPr>
        <w:pStyle w:val="TextBody"/>
        <w:bidi w:val="0"/>
        <w:spacing w:before="240" w:after="0"/>
        <w:jc w:val="left"/>
        <w:rPr>
          <w:rFonts w:ascii="Times New Roman" w:hAnsi="Times New Roman"/>
          <w:i/>
          <w:sz w:val="20"/>
        </w:rPr>
      </w:pPr>
      <w:r>
        <w:rPr>
          <w:rFonts w:ascii="Times New Roman" w:hAnsi="Times New Roman"/>
          <w:i/>
          <w:sz w:val="20"/>
        </w:rPr>
        <w:t xml:space="preserve">References in this section to we, us, our and ours refer only to Federal Realty OP LP and not to the Company unless the context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 </w:t>
      </w:r>
    </w:p>
    <w:p>
      <w:pPr>
        <w:pStyle w:val="TextBody"/>
        <w:bidi w:val="0"/>
        <w:spacing w:before="360" w:after="0"/>
        <w:jc w:val="left"/>
        <w:rPr>
          <w:rFonts w:ascii="Times New Roman" w:hAnsi="Times New Roman"/>
          <w:b/>
          <w:sz w:val="20"/>
        </w:rPr>
      </w:pPr>
      <w:r>
        <w:rPr>
          <w:rFonts w:ascii="Times New Roman" w:hAnsi="Times New Roman"/>
          <w:b/>
          <w:sz w:val="20"/>
        </w:rPr>
        <w:t xml:space="preserve">General Terms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Unless we say otherwise in a prospectus supplement, debt securities we offer through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our general, direct and unsecured obligations;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be either senior debt securities or subordinated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incur additional debt, subject to limitations in the agreements governing our credit and other debt facilities and other notes we may have issued. </w:t>
      </w:r>
    </w:p>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we offer through this prospectus will not limit the amount of other debt that we may incur;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have any protection if we engage in a highly leveraged transaction, a restructuring, a transaction involving a change in control, or a merger or similar transaction that may adversely affect holders of the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list the debt securities on any securities exchange.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The Indentures </w:t>
      </w:r>
    </w:p>
    <w:p>
      <w:pPr>
        <w:pStyle w:val="TextBody"/>
        <w:bidi w:val="0"/>
        <w:spacing w:before="120" w:after="0"/>
        <w:jc w:val="left"/>
        <w:rPr>
          <w:rFonts w:ascii="Times New Roman" w:hAnsi="Times New Roman"/>
          <w:sz w:val="20"/>
        </w:rPr>
      </w:pPr>
      <w:r>
        <w:rPr>
          <w:rFonts w:ascii="Times New Roman" w:hAnsi="Times New Roman"/>
          <w:sz w:val="20"/>
        </w:rPr>
        <w:t xml:space="preserve">Any debt securities we offer through this prospectus will be issued under one or more indentures, including the senior indenture between us and U.S. Bank Trust Company,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 </w:t>
      </w:r>
    </w:p>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each indenture does not or will not include all the terms of debt securities we may issue through this prospectus. If we issue debt securities through this prospectus, the Board of Trustees of the Company, or any committee thereof, will establish the additional terms for each class or series of debt securities. The additional terms will be either established pursuant to, and set forth in, a supplemental indenture, or established pursuant to a resolution of the Board of Trustees of the Company, or any committee thereof, and set forth in an officers certificate. Each indenture describes or will describe the additional terms that may be established and we summarize the additional terms that may be established under  Additional Terms of Debt Securities,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Terms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the terms of a particular class or series of debt securities we offer through this prospectus will be established by the Board of Trustees of the Company, or any committee thereof, when we issue the class or series. We will describe the terms of the class or series in a prospectus supplement. Unless we say otherwise in a prospectus supplement, each indenture provides or will provide that the terms that may be established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Title.</w:t>
            </w:r>
            <w:r>
              <w:rPr>
                <w:rFonts w:ascii="Times New Roman" w:hAnsi="Times New Roman"/>
                <w:sz w:val="20"/>
              </w:rPr>
              <w:t xml:space="preserve"> The title of the debt securities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Amount.</w:t>
            </w:r>
            <w:r>
              <w:rPr>
                <w:rFonts w:ascii="Times New Roman" w:hAnsi="Times New Roman"/>
                <w:sz w:val="20"/>
              </w:rPr>
              <w:t xml:space="preserve"> Any limit upon the total principal amount of the class or series of debt securities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Maturity.</w:t>
            </w:r>
            <w:r>
              <w:rPr>
                <w:rFonts w:ascii="Times New Roman" w:hAnsi="Times New Roman"/>
                <w:sz w:val="20"/>
              </w:rPr>
              <w:t xml:space="preserve"> The date or dates on which the principal of and premium, if any, on the offered debt securities will mature or the method of determining such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Interest Rate.</w:t>
            </w:r>
            <w:r>
              <w:rPr>
                <w:rFonts w:ascii="Times New Roman" w:hAnsi="Times New Roman"/>
                <w:sz w:val="20"/>
              </w:rPr>
              <w:t xml:space="preserve"> The rate or rates (which may be fixed or variable) at which the offered debt securities will bear interest, if any, or the method of calculating such rate or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Interest Accrual.</w:t>
            </w:r>
            <w:r>
              <w:rPr>
                <w:rFonts w:ascii="Times New Roman" w:hAnsi="Times New Roman"/>
                <w:sz w:val="20"/>
              </w:rPr>
              <w:t xml:space="preserve"> The date or dates from which interest will accrue or the method by which such date or dates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Interest Payment Dates.</w:t>
            </w:r>
            <w:r>
              <w:rPr>
                <w:rFonts w:ascii="Times New Roman" w:hAnsi="Times New Roman"/>
                <w:sz w:val="20"/>
              </w:rPr>
              <w:t xml:space="preserve"> The date or dates on which interest will be payable and the record date or dates to determine the persons who will receive payment, and the basis upon which interest shall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Place of Payment.</w:t>
            </w:r>
            <w:r>
              <w:rPr>
                <w:rFonts w:ascii="Times New Roman" w:hAnsi="Times New Roman"/>
                <w:sz w:val="20"/>
              </w:rPr>
              <w:t xml:space="preserve"> The place or places where principal of, premium, if any, and interest, on the offered debt securities will be payable or at which the offered debt securities may be surrendered for registration of transfer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Optional Redemption.</w:t>
            </w:r>
            <w:r>
              <w:rPr>
                <w:rFonts w:ascii="Times New Roman" w:hAnsi="Times New Roman"/>
                <w:sz w:val="20"/>
              </w:rPr>
              <w:t xml:space="preserve"> The period or periods within which, the price or prices at which, the currency or currencies (if other than in U.S. dollars), including currency unit or units, in which, and the other terms and conditions upon which, the offered debt securities may be redeemed, in whole or in part, at our option, if we have that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Mandatory Redemption.</w:t>
            </w:r>
            <w:r>
              <w:rPr>
                <w:rFonts w:ascii="Times New Roman" w:hAnsi="Times New Roman"/>
                <w:sz w:val="20"/>
              </w:rPr>
              <w:t xml:space="preserve"> The obligation, if any, we have to redeem or repurchase the offered debt securities pursuant to any sinking fund or 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Denominations.</w:t>
            </w:r>
            <w:r>
              <w:rPr>
                <w:rFonts w:ascii="Times New Roman" w:hAnsi="Times New Roman"/>
                <w:sz w:val="20"/>
              </w:rPr>
              <w:t xml:space="preserve"> The denominations in which the offered debt securities are authorized to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Currency.</w:t>
            </w:r>
            <w:r>
              <w:rPr>
                <w:rFonts w:ascii="Times New Roman" w:hAnsi="Times New Roman"/>
                <w:sz w:val="20"/>
              </w:rPr>
              <w:t xml:space="preserve"> The currency or currency unit in which the offered debt securities may be denominated and/or the currency or currencies, including 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Indexed Principal.</w:t>
            </w:r>
            <w:r>
              <w:rPr>
                <w:rFonts w:ascii="Times New Roman" w:hAnsi="Times New Roman"/>
                <w:sz w:val="20"/>
              </w:rPr>
              <w:t xml:space="preserve"> If the amount of principal of, or premium, if any, or interest on, the offered debt securities may be determined with reference to an index or pursuant to a formula or other method, the manner in which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Payment on Acceleration.</w:t>
            </w:r>
            <w:r>
              <w:rPr>
                <w:rFonts w:ascii="Times New Roman" w:hAnsi="Times New Roman"/>
                <w:sz w:val="20"/>
              </w:rPr>
              <w:t xml:space="preserve"> If other than the principal amount, the amount which will be payable upon declaration of the acceleration of the maturity or the method by which such portion shall be determined.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Special Rights.</w:t>
            </w:r>
            <w:r>
              <w:rPr>
                <w:rFonts w:ascii="Times New Roman" w:hAnsi="Times New Roman"/>
                <w:sz w:val="20"/>
              </w:rPr>
              <w:t xml:space="preserve"> Provisions, if any, granting special rights to the holders of the offered debt securities if certain specified events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Modifications to Indentures.</w:t>
            </w:r>
            <w:r>
              <w:rPr>
                <w:rFonts w:ascii="Times New Roman" w:hAnsi="Times New Roman"/>
                <w:sz w:val="20"/>
              </w:rPr>
              <w:t xml:space="preserve"> Any addition to, or modification or deletion of, any event of default or any of the covenants specified in the indenture with respect to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Tax</w:t>
            </w:r>
            <w:r>
              <w:rPr>
                <w:rFonts w:ascii="Times New Roman" w:hAnsi="Times New Roman"/>
                <w:sz w:val="20"/>
              </w:rPr>
              <w:t> </w:t>
            </w:r>
            <w:r>
              <w:rPr>
                <w:rFonts w:ascii="Times New Roman" w:hAnsi="Times New Roman"/>
                <w:b/>
                <w:i/>
                <w:sz w:val="20"/>
              </w:rPr>
              <w:t>Gross-Up.</w:t>
            </w:r>
            <w:r>
              <w:rPr>
                <w:rFonts w:ascii="Times New Roman" w:hAnsi="Times New Roman"/>
                <w:sz w:val="20"/>
              </w:rPr>
              <w:t xml:space="preserve"> The circumstances, if any, under which we will pay additional amounts on the offered debt securities held by non-U.S. persons for taxes, assessments or similar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Registered or Bearer Form.</w:t>
            </w:r>
            <w:r>
              <w:rPr>
                <w:rFonts w:ascii="Times New Roman" w:hAnsi="Times New Roman"/>
                <w:sz w:val="20"/>
              </w:rPr>
              <w:t xml:space="preserve"> Whether the offered debt securities will be issued in registered or bearer form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Dates of Certificates.</w:t>
            </w:r>
            <w:r>
              <w:rPr>
                <w:rFonts w:ascii="Times New Roman" w:hAnsi="Times New Roman"/>
                <w:sz w:val="20"/>
              </w:rPr>
              <w:t xml:space="preserve"> The date as of which any offered debt securities in bearer form and any temporary global security representing outstanding securities are dated, if other than the original issuance date of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Forms.</w:t>
            </w:r>
            <w:r>
              <w:rPr>
                <w:rFonts w:ascii="Times New Roman" w:hAnsi="Times New Roman"/>
                <w:sz w:val="20"/>
              </w:rPr>
              <w:t xml:space="preserve"> The forms of the securities and interest coupons, if any, of the class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Registrar and Paying Agent.</w:t>
            </w:r>
            <w:r>
              <w:rPr>
                <w:rFonts w:ascii="Times New Roman" w:hAnsi="Times New Roman"/>
                <w:sz w:val="20"/>
              </w:rPr>
              <w:t xml:space="preserve"> If other than the trustee under the applicable indenture, the identity of the registrar and any paying agent for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Defeasance.</w:t>
            </w:r>
            <w:r>
              <w:rPr>
                <w:rFonts w:ascii="Times New Roman" w:hAnsi="Times New Roman"/>
                <w:sz w:val="20"/>
              </w:rPr>
              <w:t xml:space="preserve"> Any means of defeasance or covenant defeasance that may be specified for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Global Securities.</w:t>
            </w:r>
            <w:r>
              <w:rPr>
                <w:rFonts w:ascii="Times New Roman" w:hAnsi="Times New Roman"/>
                <w:sz w:val="20"/>
              </w:rPr>
              <w:t xml:space="preserve"> Whether the offered debt securities are to be issued in whole or in part in the form of one or more temporary or permanent 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Documentation.</w:t>
            </w:r>
            <w:r>
              <w:rPr>
                <w:rFonts w:ascii="Times New Roman" w:hAnsi="Times New Roman"/>
                <w:sz w:val="20"/>
              </w:rPr>
              <w:t xml:space="preserve"> If the offered debt securities may be issued or delivered, or any installment of principal or interest may be paid, only upon receipt of certain certificates or other documents or satisfaction of other conditions in addition to those specified in the applicable indenture, the form of those certificates, documents or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Payees.</w:t>
            </w:r>
            <w:r>
              <w:rPr>
                <w:rFonts w:ascii="Times New Roman" w:hAnsi="Times New Roman"/>
                <w:sz w:val="20"/>
              </w:rPr>
              <w:t xml:space="preserve"> If other than as provided in the applicable indenture, the person to whom any interest on any registered security of the class or series will be payable and the manner in which, or the person to whom, any interest on any bearer securities of the class or series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Definitions.</w:t>
            </w:r>
            <w:r>
              <w:rPr>
                <w:rFonts w:ascii="Times New Roman" w:hAnsi="Times New Roman"/>
                <w:sz w:val="20"/>
              </w:rPr>
              <w:t xml:space="preserve"> Any definitions for the offered debt securities of that class or series that are different from or in addition to the definitions included in the applicable indenture, including, without limitation, the definition of unrestricted subsidiary to be used for such class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Subordination.</w:t>
            </w:r>
            <w:r>
              <w:rPr>
                <w:rFonts w:ascii="Times New Roman" w:hAnsi="Times New Roman"/>
                <w:sz w:val="20"/>
              </w:rPr>
              <w:t xml:space="preserve"> In the case of any subordinated indenture that we may enter into, the relative degree to which the offered debt securities shall be senior to or junior to other debt securities, whether currently outstanding or to be offered in the future, and to other debt, in right of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Guarantees.</w:t>
            </w:r>
            <w:r>
              <w:rPr>
                <w:rFonts w:ascii="Times New Roman" w:hAnsi="Times New Roman"/>
                <w:sz w:val="20"/>
              </w:rPr>
              <w:t xml:space="preserve"> Whether the offered debt securities are guaranteed and, if so, the identity of the guarantors and the terms of the offered guarantees (including whether and the extent to which the guarantees are subordinated to other debt of the guarantors).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Conversion.</w:t>
            </w:r>
            <w:r>
              <w:rPr>
                <w:rFonts w:ascii="Times New Roman" w:hAnsi="Times New Roman"/>
                <w:sz w:val="20"/>
              </w:rPr>
              <w:t xml:space="preserve"> The terms, if any, upon which the offered debt securities may be converted or exchanged into or for the Companys common shares, preferred shares or other securities or property, including, without limitation, the initial conversion price or rate, the conversion period, any adjustment of the applicable conversion price and any requirements relative to the reservation of such shares for purposes of conversion.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Restrictions.</w:t>
            </w:r>
            <w:r>
              <w:rPr>
                <w:rFonts w:ascii="Times New Roman" w:hAnsi="Times New Roman"/>
                <w:sz w:val="20"/>
              </w:rPr>
              <w:t xml:space="preserve"> Any restrictions on the registration, transfer or exchange of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Terms.</w:t>
            </w:r>
            <w:r>
              <w:rPr>
                <w:rFonts w:ascii="Times New Roman" w:hAnsi="Times New Roman"/>
                <w:sz w:val="20"/>
              </w:rPr>
              <w:t xml:space="preserve"> Any other terms not inconsistent with the terms of the applicable indenture pertaining to the offered debt securities or which may be required or advisable under U.S. laws or regulations or advisable, as we determine, in connection with marketing of securities of the class or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Form of Securities and Related Matters </w:t>
      </w:r>
    </w:p>
    <w:p>
      <w:pPr>
        <w:pStyle w:val="TextBody"/>
        <w:bidi w:val="0"/>
        <w:spacing w:before="120" w:after="0"/>
        <w:jc w:val="left"/>
        <w:rPr>
          <w:rFonts w:ascii="Times New Roman" w:hAnsi="Times New Roman"/>
          <w:sz w:val="20"/>
        </w:rPr>
      </w:pPr>
      <w:r>
        <w:rPr>
          <w:rFonts w:ascii="Times New Roman" w:hAnsi="Times New Roman"/>
          <w:b/>
          <w:i/>
          <w:sz w:val="20"/>
        </w:rPr>
        <w:t>Registered or Bearer Form.</w:t>
      </w:r>
      <w:r>
        <w:rPr>
          <w:rFonts w:ascii="Times New Roman" w:hAnsi="Times New Roman"/>
          <w:sz w:val="20"/>
        </w:rPr>
        <w:t xml:space="preserve"> Debt securities may be offered in either registered or bearer form.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in registered form, we may treat the person named in the register as the owner of the debt securities for all purposes, including payment, exchange and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 </w:t>
            </w:r>
          </w:p>
        </w:tc>
      </w:tr>
    </w:tbl>
    <w:p>
      <w:pPr>
        <w:pStyle w:val="TextBody"/>
        <w:bidi w:val="0"/>
        <w:spacing w:before="240" w:after="0"/>
        <w:jc w:val="left"/>
        <w:rPr>
          <w:rFonts w:ascii="Times New Roman" w:hAnsi="Times New Roman"/>
          <w:sz w:val="20"/>
        </w:rPr>
      </w:pPr>
      <w:r>
        <w:rPr>
          <w:rFonts w:ascii="Times New Roman" w:hAnsi="Times New Roman"/>
          <w:b/>
          <w:i/>
          <w:sz w:val="20"/>
        </w:rPr>
        <w:t>Denominations.</w:t>
      </w:r>
      <w:r>
        <w:rPr>
          <w:rFonts w:ascii="Times New Roman" w:hAnsi="Times New Roman"/>
          <w:sz w:val="20"/>
        </w:rPr>
        <w:t xml:space="preserve"> Unless we say otherwise in a prospectus supplement, we will issue debt securities in denominations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$1,000 (or multiples of $1,000) if we issue the debt securities in registered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$5,000 (or multiples of $5,000) if we issue debt securities in bearer form. </w:t>
            </w:r>
          </w:p>
        </w:tc>
      </w:tr>
    </w:tbl>
    <w:p>
      <w:pPr>
        <w:pStyle w:val="TextBody"/>
        <w:bidi w:val="0"/>
        <w:spacing w:before="240" w:after="0"/>
        <w:jc w:val="left"/>
        <w:rPr>
          <w:rFonts w:ascii="Times New Roman" w:hAnsi="Times New Roman"/>
          <w:sz w:val="20"/>
        </w:rPr>
      </w:pPr>
      <w:r>
        <w:rPr>
          <w:rFonts w:ascii="Times New Roman" w:hAnsi="Times New Roman"/>
          <w:b/>
          <w:i/>
          <w:sz w:val="20"/>
        </w:rPr>
        <w:t>Payment Currencies and Indexed Securities.</w:t>
      </w:r>
      <w:r>
        <w:rPr>
          <w:rFonts w:ascii="Times New Roman" w:hAnsi="Times New Roman"/>
          <w:sz w:val="20"/>
        </w:rPr>
        <w:t xml:space="preserve"> We may offer debt securities for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is payable in a currency other than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are denominated in a currency other than U.S. dollars;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or interest of, or any other amount due on, the offered debt securities in a currency other than U.S. dollars.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other currency may be a currency unit composed of various currencies. Payments on debt securities may also be based on an index. </w:t>
      </w:r>
    </w:p>
    <w:p>
      <w:pPr>
        <w:pStyle w:val="TextBody"/>
        <w:bidi w:val="0"/>
        <w:spacing w:before="240" w:after="0"/>
        <w:jc w:val="left"/>
        <w:rPr>
          <w:rFonts w:ascii="Times New Roman" w:hAnsi="Times New Roman"/>
          <w:sz w:val="20"/>
        </w:rPr>
      </w:pPr>
      <w:r>
        <w:rPr>
          <w:rFonts w:ascii="Times New Roman" w:hAnsi="Times New Roman"/>
          <w:b/>
          <w:i/>
          <w:sz w:val="20"/>
        </w:rPr>
        <w:t>Payment, Transfer and Exchange.</w:t>
      </w:r>
      <w:r>
        <w:rPr>
          <w:rFonts w:ascii="Times New Roman" w:hAnsi="Times New Roman"/>
          <w:sz w:val="20"/>
        </w:rPr>
        <w:t xml:space="preserve"> Unless we say otherwise in a prospectus supplement, the office for paying principal, interest and other amounts on the debt securities is U.S. Bank Trust Company, National Association, 214 North Tryon Street, 27th Floor, Charlotte, North Carolina 28202. We will notify you of any change in the offices location. At our option, however, we may make any interest payments on debt securities issued in registered form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mailing checks to you at the address as it appears in the applicable register for the class or series of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wire transfer of immediately available funds to an account you maintain located 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we will pay interest to the person whose name is in the register at the close of business on the regular record date for such interest. </w:t>
      </w:r>
    </w:p>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payment of interest on bearer securities may be made by transfer to an account you maintain with a bank located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debt securities of a class or series in the form of one or more fully registered global securities. Each registered global security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registered in the name of a depositary or a nominee for the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deposited with the depositary or nominee or a custodian therefor;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bear a legend regarding the restrictions on exchanges and registration of transfer and any such other appropriate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Global securities may be issued in either registered or bearer form and in either temporary or permanent form. The specific terms and procedures, including the specific terms of the depositary arrangement, with respect to any portion of a class or series of debt securities will be described in a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Unless we say otherwise in a prospectus supplement, each indenture contains or will contain the following covenants. Any additional material covenants applicable to any class or series of debt securities will be set forth in a prospectus supplement. </w:t>
      </w:r>
    </w:p>
    <w:p>
      <w:pPr>
        <w:pStyle w:val="TextBody"/>
        <w:bidi w:val="0"/>
        <w:spacing w:before="240" w:after="0"/>
        <w:jc w:val="left"/>
        <w:rPr>
          <w:rFonts w:ascii="Times New Roman" w:hAnsi="Times New Roman"/>
          <w:sz w:val="20"/>
        </w:rPr>
      </w:pPr>
      <w:r>
        <w:rPr>
          <w:rFonts w:ascii="Times New Roman" w:hAnsi="Times New Roman"/>
          <w:b/>
          <w:i/>
          <w:sz w:val="20"/>
        </w:rPr>
        <w:t>Existence.</w:t>
      </w:r>
      <w:r>
        <w:rPr>
          <w:rFonts w:ascii="Times New Roman" w:hAnsi="Times New Roman"/>
          <w:sz w:val="20"/>
        </w:rPr>
        <w:t xml:space="preserve"> Except as permitted under Consolidation, Merger or Sale of Assets, we will do or cause to be done all things necessary to preserve and 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 </w:t>
      </w:r>
    </w:p>
    <w:p>
      <w:pPr>
        <w:pStyle w:val="TextBody"/>
        <w:bidi w:val="0"/>
        <w:spacing w:before="240" w:after="0"/>
        <w:jc w:val="left"/>
        <w:rPr>
          <w:rFonts w:ascii="Times New Roman" w:hAnsi="Times New Roman"/>
          <w:sz w:val="20"/>
        </w:rPr>
      </w:pPr>
      <w:r>
        <w:rPr>
          <w:rFonts w:ascii="Times New Roman" w:hAnsi="Times New Roman"/>
          <w:b/>
          <w:i/>
          <w:sz w:val="20"/>
        </w:rPr>
        <w:t>Maintenance of Properties.</w:t>
      </w:r>
      <w:r>
        <w:rPr>
          <w:rFonts w:ascii="Times New Roman" w:hAnsi="Times New Roman"/>
          <w:sz w:val="20"/>
        </w:rPr>
        <w:t xml:space="preserve"> We will cause all of our material properties used or useful in the conduct of our business to be maintained and kept in good 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 </w:t>
      </w:r>
    </w:p>
    <w:p>
      <w:pPr>
        <w:pStyle w:val="TextBody"/>
        <w:bidi w:val="0"/>
        <w:spacing w:before="240" w:after="0"/>
        <w:jc w:val="left"/>
        <w:rPr>
          <w:rFonts w:ascii="Times New Roman" w:hAnsi="Times New Roman"/>
          <w:sz w:val="20"/>
        </w:rPr>
      </w:pPr>
      <w:r>
        <w:rPr>
          <w:rFonts w:ascii="Times New Roman" w:hAnsi="Times New Roman"/>
          <w:b/>
          <w:i/>
          <w:sz w:val="20"/>
        </w:rPr>
        <w:t>Payment of Taxes and Other Claims.</w:t>
      </w:r>
      <w:r>
        <w:rPr>
          <w:rFonts w:ascii="Times New Roman" w:hAnsi="Times New Roman"/>
          <w:sz w:val="20"/>
        </w:rPr>
        <w:t xml:space="preserve"> We will pay or discharge or cause to be paid or discharged, before they shall become delinquent: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taxes, assessments and governmental charges levied or imposed upon us or upon our income, profits or property,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lawful claims for labor, materials and supplies which, if unpaid, might by law become a lien upon our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however, that we shall not be required to pay or discharge or cause to be paid or discharged any such tax, assessment, charge or claim whose amount, applicability or validity is being contested in good faith. </w:t>
      </w:r>
    </w:p>
    <w:p>
      <w:pPr>
        <w:pStyle w:val="TextBody"/>
        <w:bidi w:val="0"/>
        <w:spacing w:before="240" w:after="0"/>
        <w:jc w:val="left"/>
        <w:rPr>
          <w:rFonts w:ascii="Times New Roman" w:hAnsi="Times New Roman"/>
          <w:sz w:val="20"/>
        </w:rPr>
      </w:pPr>
      <w:r>
        <w:rPr>
          <w:rFonts w:ascii="Times New Roman" w:hAnsi="Times New Roman"/>
          <w:b/>
          <w:i/>
          <w:sz w:val="20"/>
        </w:rPr>
        <w:t>Provision of Financial Information.</w:t>
      </w:r>
      <w:r>
        <w:rPr>
          <w:rFonts w:ascii="Times New Roman" w:hAnsi="Times New Roman"/>
          <w:sz w:val="20"/>
        </w:rPr>
        <w:t xml:space="preserve"> Whether or not we are subject to Section 13 or 15(d) of the Exchange Act, we will, within 15 days of each of the respective dates by which we would have been required to file annual reports, quarterly reports and other documents with the SEC if we were so subject: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with the trustee copies of the annual reports, quarterly reports and other documents that we would have been required to file with the SEC pursuant to Section 13 or 15(d) of the Exchange Act if we were subject to Section 13 or 15(d);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promptly, upon written request and payment of the reasonable cost of duplication and delivery, supply copies of those documents to any prospective holder.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be the continuing entity,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transactions, no default or event of default under the debt securities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b/>
          <w:i/>
          <w:sz w:val="20"/>
        </w:rPr>
        <w:t>Generally.</w:t>
      </w:r>
      <w:r>
        <w:rPr>
          <w:rFonts w:ascii="Times New Roman" w:hAnsi="Times New Roman"/>
          <w:sz w:val="20"/>
        </w:rPr>
        <w:t xml:space="preserve"> Unless we say otherwise in a prospectus supplement, the payment of principal, premium, if any, and interest on subordinated debt securities 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for money borrowed or represented by purchase-money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evidenced by notes, debentures, or bonds, or other securities issued under the provisions of an indenture, fiscal agency agreement or other instrument;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obligations as lessee under leases of property whether made as part of any sale and leaseback transaction to which we are a party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of partnerships and joint ventures which is included in our consolidated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obligations and liabilities of others in respect of which we are liable, contingently or otherwise, for payment or advances of money or property, or as guarantor, endorser or otherwise, or which we have agreed to purchase or otherwise acquire;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binding commitment to fund any real estate investment or to fund any investment in any entity making a real estate investment, in each case other than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indebtedness, obligation or liability which is subordinated to our indebtedness to substantially the same extent as or to a greater extent than the subordinated debt securities are subordinated to our indebtedness;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subordinated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there will be no restrictions in any subordinated indenture upon the creation of additional senior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Payment Blockage for Payment Defaults.</w:t>
      </w:r>
      <w:r>
        <w:rPr>
          <w:rFonts w:ascii="Times New Roman" w:hAnsi="Times New Roman"/>
          <w:sz w:val="20"/>
        </w:rPr>
        <w:t xml:space="preserve"> Unless we say otherwise in a prospectus supplement, if we have defaulted in the payment of any senior debt, we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any principal, premium, if any, or interest on subordinated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redeem, defease, or otherwise acquire any subordinated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prohibition will not affect any payment we have already made to defease debt securities, as described under  Defeasance or Covenant Defeasance of Indentures, below. </w:t>
      </w:r>
    </w:p>
    <w:p>
      <w:pPr>
        <w:pStyle w:val="TextBody"/>
        <w:bidi w:val="0"/>
        <w:spacing w:before="240" w:after="0"/>
        <w:jc w:val="left"/>
        <w:rPr>
          <w:rFonts w:ascii="Times New Roman" w:hAnsi="Times New Roman"/>
          <w:sz w:val="20"/>
        </w:rPr>
      </w:pPr>
      <w:r>
        <w:rPr>
          <w:rFonts w:ascii="Times New Roman" w:hAnsi="Times New Roman"/>
          <w:sz w:val="20"/>
        </w:rPr>
        <w:t xml:space="preserve">We must resume payment on our subordinated debt securities, and make any payments we have missed, when one of the following has occurred: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senior debt has been discharged or paid in full;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senior debt have waived payment;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default has otherwise been cured or ceased to exist. </w:t>
            </w:r>
          </w:p>
        </w:tc>
      </w:tr>
    </w:tbl>
    <w:p>
      <w:pPr>
        <w:pStyle w:val="TextBody"/>
        <w:bidi w:val="0"/>
        <w:spacing w:before="240" w:after="0"/>
        <w:jc w:val="left"/>
        <w:rPr>
          <w:rFonts w:ascii="Times New Roman" w:hAnsi="Times New Roman"/>
          <w:sz w:val="20"/>
        </w:rPr>
      </w:pPr>
      <w:r>
        <w:rPr>
          <w:rFonts w:ascii="Times New Roman" w:hAnsi="Times New Roman"/>
          <w:b/>
          <w:i/>
          <w:sz w:val="20"/>
        </w:rPr>
        <w:t>Payment Blockage for</w:t>
      </w:r>
      <w:r>
        <w:rPr>
          <w:rFonts w:ascii="Times New Roman" w:hAnsi="Times New Roman"/>
          <w:sz w:val="20"/>
        </w:rPr>
        <w:t> </w:t>
      </w:r>
      <w:r>
        <w:rPr>
          <w:rFonts w:ascii="Times New Roman" w:hAnsi="Times New Roman"/>
          <w:b/>
          <w:i/>
          <w:sz w:val="20"/>
        </w:rPr>
        <w:t>Non-Payment</w:t>
      </w:r>
      <w:r>
        <w:rPr>
          <w:rFonts w:ascii="Times New Roman" w:hAnsi="Times New Roman"/>
          <w:sz w:val="20"/>
        </w:rPr>
        <w:t> </w:t>
      </w:r>
      <w:r>
        <w:rPr>
          <w:rFonts w:ascii="Times New Roman" w:hAnsi="Times New Roman"/>
          <w:b/>
          <w:i/>
          <w:sz w:val="20"/>
        </w:rPr>
        <w:t>Defaults.</w:t>
      </w:r>
      <w:r>
        <w:rPr>
          <w:rFonts w:ascii="Times New Roman" w:hAnsi="Times New Roman"/>
          <w:sz w:val="20"/>
        </w:rPr>
        <w:t xml:space="preserve"> Unless we say otherwise in a prospectus supplement, we will also be prohibited from paying any amounts or distributing any assets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defaulted on senior debt in a way that does not involve a failure to pay amounts but accelerates payment;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trustee for the subordinated debt securities have received written notice of this default.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that is 179 days after receipt of notice (unless we have previously been required to pay all amounts owing on the applicable senior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the default and all other similar defaults as to which notice has been given shall have been cured, waived or shall have ceased to exist;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the applicable senior debt (and all other senior debt as to which notice has been given) shall have been discharged or paid in full;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we or the trustee receives written notice from the representative of holders of senior debt or the holders of at least a majority of the senior debt terminating the blockage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 </w:t>
      </w:r>
    </w:p>
    <w:p>
      <w:pPr>
        <w:pStyle w:val="TextBody"/>
        <w:bidi w:val="0"/>
        <w:spacing w:before="360" w:after="0"/>
        <w:jc w:val="left"/>
        <w:rPr>
          <w:rFonts w:ascii="Times New Roman" w:hAnsi="Times New Roman"/>
          <w:b/>
          <w:sz w:val="20"/>
        </w:rPr>
      </w:pPr>
      <w:r>
        <w:rPr>
          <w:rFonts w:ascii="Times New Roman" w:hAnsi="Times New Roman"/>
          <w:b/>
          <w:sz w:val="20"/>
        </w:rPr>
        <w:t xml:space="preserve">Default Provisions </w:t>
      </w:r>
    </w:p>
    <w:p>
      <w:pPr>
        <w:pStyle w:val="TextBody"/>
        <w:bidi w:val="0"/>
        <w:spacing w:before="120" w:after="0"/>
        <w:jc w:val="left"/>
        <w:rPr>
          <w:rFonts w:ascii="Times New Roman" w:hAnsi="Times New Roman"/>
          <w:sz w:val="20"/>
        </w:rPr>
      </w:pPr>
      <w:r>
        <w:rPr>
          <w:rFonts w:ascii="Times New Roman" w:hAnsi="Times New Roman"/>
          <w:b/>
          <w:i/>
          <w:sz w:val="20"/>
        </w:rPr>
        <w:t>Events of Default.</w:t>
      </w:r>
      <w:r>
        <w:rPr>
          <w:rFonts w:ascii="Times New Roman" w:hAnsi="Times New Roman"/>
          <w:sz w:val="20"/>
        </w:rPr>
        <w:t xml:space="preserve"> Unless we say otherwise in a prospectus supplement, each of the following is an event of default as to any of our senior or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1. A default in the payment of any interest or any additional amounts on any debt security of that class or series or of any coupon appertaining thereto when it becomes due and payable, if the default continues for a period of 30 days. </w:t>
      </w:r>
    </w:p>
    <w:p>
      <w:pPr>
        <w:pStyle w:val="TextBody"/>
        <w:bidi w:val="0"/>
        <w:spacing w:before="240" w:after="0"/>
        <w:jc w:val="left"/>
        <w:rPr>
          <w:rFonts w:ascii="Times New Roman" w:hAnsi="Times New Roman"/>
          <w:sz w:val="20"/>
        </w:rPr>
      </w:pPr>
      <w:r>
        <w:rPr>
          <w:rFonts w:ascii="Times New Roman" w:hAnsi="Times New Roman"/>
          <w:sz w:val="20"/>
        </w:rPr>
        <w:t xml:space="preserve">2. A default in the payment of the principal of (or premium, if any, on) any debt security of that class or series at its maturity (upon acceleration, optional or mandatory redemption, required purchase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 A default in the deposit of any sinking fund payment as required by the terms of any debt security of that class or series. </w:t>
      </w:r>
    </w:p>
    <w:p>
      <w:pPr>
        <w:pStyle w:val="TextBody"/>
        <w:bidi w:val="0"/>
        <w:spacing w:before="240" w:after="0"/>
        <w:jc w:val="left"/>
        <w:rPr>
          <w:rFonts w:ascii="Times New Roman" w:hAnsi="Times New Roman"/>
          <w:sz w:val="20"/>
        </w:rPr>
      </w:pPr>
      <w:r>
        <w:rPr>
          <w:rFonts w:ascii="Times New Roman" w:hAnsi="Times New Roman"/>
          <w:sz w:val="20"/>
        </w:rPr>
        <w:t xml:space="preserve">4. 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 </w:t>
      </w:r>
    </w:p>
    <w:p>
      <w:pPr>
        <w:pStyle w:val="TextBody"/>
        <w:bidi w:val="0"/>
        <w:spacing w:before="240" w:after="0"/>
        <w:jc w:val="left"/>
        <w:rPr>
          <w:rFonts w:ascii="Times New Roman" w:hAnsi="Times New Roman"/>
          <w:sz w:val="20"/>
        </w:rPr>
      </w:pPr>
      <w:r>
        <w:rPr>
          <w:rFonts w:ascii="Times New Roman" w:hAnsi="Times New Roman"/>
          <w:sz w:val="20"/>
        </w:rPr>
        <w:t xml:space="preserve">(a) to us by the trustee; or </w:t>
      </w:r>
    </w:p>
    <w:p>
      <w:pPr>
        <w:pStyle w:val="TextBody"/>
        <w:bidi w:val="0"/>
        <w:spacing w:before="240" w:after="0"/>
        <w:jc w:val="left"/>
        <w:rPr>
          <w:rFonts w:ascii="Times New Roman" w:hAnsi="Times New Roman"/>
          <w:sz w:val="20"/>
        </w:rPr>
      </w:pPr>
      <w:r>
        <w:rPr>
          <w:rFonts w:ascii="Times New Roman" w:hAnsi="Times New Roman"/>
          <w:sz w:val="20"/>
        </w:rPr>
        <w:t xml:space="preserve">(b) to us and the trustee by the holders of at least 25% in aggregate principal amount of the outstanding debt securities of the class or series. </w:t>
      </w:r>
    </w:p>
    <w:p>
      <w:pPr>
        <w:pStyle w:val="TextBody"/>
        <w:bidi w:val="0"/>
        <w:spacing w:before="240" w:after="0"/>
        <w:jc w:val="left"/>
        <w:rPr>
          <w:rFonts w:ascii="Times New Roman" w:hAnsi="Times New Roman"/>
          <w:sz w:val="20"/>
        </w:rPr>
      </w:pPr>
      <w:r>
        <w:rPr>
          <w:rFonts w:ascii="Times New Roman" w:hAnsi="Times New Roman"/>
          <w:sz w:val="20"/>
        </w:rPr>
        <w:t xml:space="preserve">5. 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 </w:t>
      </w:r>
    </w:p>
    <w:p>
      <w:pPr>
        <w:pStyle w:val="TextBody"/>
        <w:bidi w:val="0"/>
        <w:spacing w:before="240" w:after="0"/>
        <w:jc w:val="left"/>
        <w:rPr>
          <w:rFonts w:ascii="Times New Roman" w:hAnsi="Times New Roman"/>
          <w:sz w:val="20"/>
        </w:rPr>
      </w:pPr>
      <w:r>
        <w:rPr>
          <w:rFonts w:ascii="Times New Roman" w:hAnsi="Times New Roman"/>
          <w:sz w:val="20"/>
        </w:rPr>
        <w:t xml:space="preserve">6. The entry by a court of competent jurisdiction under any applicable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(a) is for relief against us or any of our significant subsidiaries in an involuntary case, </w:t>
      </w:r>
    </w:p>
    <w:p>
      <w:pPr>
        <w:pStyle w:val="TextBody"/>
        <w:bidi w:val="0"/>
        <w:spacing w:before="240" w:after="0"/>
        <w:jc w:val="left"/>
        <w:rPr>
          <w:rFonts w:ascii="Times New Roman" w:hAnsi="Times New Roman"/>
          <w:sz w:val="20"/>
        </w:rPr>
      </w:pPr>
      <w:r>
        <w:rPr>
          <w:rFonts w:ascii="Times New Roman" w:hAnsi="Times New Roman"/>
          <w:sz w:val="20"/>
        </w:rPr>
        <w:t xml:space="preserve">(b) appoints a receiver in respect of us or any of our significant subsidiaries or for all or substantially all of the property of any of us; or </w:t>
      </w:r>
    </w:p>
    <w:p>
      <w:pPr>
        <w:pStyle w:val="TextBody"/>
        <w:bidi w:val="0"/>
        <w:spacing w:before="240" w:after="0"/>
        <w:jc w:val="left"/>
        <w:rPr>
          <w:rFonts w:ascii="Times New Roman" w:hAnsi="Times New Roman"/>
          <w:sz w:val="20"/>
        </w:rPr>
      </w:pPr>
      <w:r>
        <w:rPr>
          <w:rFonts w:ascii="Times New Roman" w:hAnsi="Times New Roman"/>
          <w:sz w:val="20"/>
        </w:rPr>
        <w:t xml:space="preserve">(c) orders our liquidation or the liquidation of any of our significant subsidiaries, and the order or decree remains unstayed and in effect for 90 days. </w:t>
      </w:r>
    </w:p>
    <w:p>
      <w:pPr>
        <w:pStyle w:val="TextBody"/>
        <w:bidi w:val="0"/>
        <w:spacing w:before="240" w:after="0"/>
        <w:jc w:val="left"/>
        <w:rPr>
          <w:rFonts w:ascii="Times New Roman" w:hAnsi="Times New Roman"/>
          <w:sz w:val="20"/>
        </w:rPr>
      </w:pPr>
      <w:r>
        <w:rPr>
          <w:rFonts w:ascii="Times New Roman" w:hAnsi="Times New Roman"/>
          <w:sz w:val="20"/>
        </w:rPr>
        <w:t xml:space="preserve">7. We or any of our significant subsidiaries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commence a voluntary case or proceeding under any applicable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(b) consent to the entry of a decree or order for relief in respect of us or any of our significant subsidiaries in an involuntary case or proceeding under any applicable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(c) consent to the appointment of a receiver in respect of us or any of our significant subsidiaries for all or substantially all of our or its property; or </w:t>
      </w:r>
    </w:p>
    <w:p>
      <w:pPr>
        <w:pStyle w:val="TextBody"/>
        <w:bidi w:val="0"/>
        <w:spacing w:before="240" w:after="0"/>
        <w:jc w:val="left"/>
        <w:rPr>
          <w:rFonts w:ascii="Times New Roman" w:hAnsi="Times New Roman"/>
          <w:sz w:val="20"/>
        </w:rPr>
      </w:pPr>
      <w:r>
        <w:rPr>
          <w:rFonts w:ascii="Times New Roman" w:hAnsi="Times New Roman"/>
          <w:sz w:val="20"/>
        </w:rPr>
        <w:t xml:space="preserve">(d) makes a general assignment for the benefit of our creditors or the creditors of any of our significant subsidiaries. </w:t>
      </w:r>
    </w:p>
    <w:p>
      <w:pPr>
        <w:pStyle w:val="TextBody"/>
        <w:bidi w:val="0"/>
        <w:spacing w:before="240" w:after="0"/>
        <w:jc w:val="left"/>
        <w:rPr>
          <w:rFonts w:ascii="Times New Roman" w:hAnsi="Times New Roman"/>
          <w:sz w:val="20"/>
        </w:rPr>
      </w:pPr>
      <w:r>
        <w:rPr>
          <w:rFonts w:ascii="Times New Roman" w:hAnsi="Times New Roman"/>
          <w:sz w:val="20"/>
        </w:rPr>
        <w:t xml:space="preserve">8. Any other event of default provided with respect to the debt securities of that class or series. </w:t>
      </w:r>
    </w:p>
    <w:p>
      <w:pPr>
        <w:pStyle w:val="TextBody"/>
        <w:bidi w:val="0"/>
        <w:spacing w:before="240" w:after="0"/>
        <w:jc w:val="left"/>
        <w:rPr>
          <w:rFonts w:ascii="Times New Roman" w:hAnsi="Times New Roman"/>
          <w:sz w:val="20"/>
        </w:rPr>
      </w:pPr>
      <w:r>
        <w:rPr>
          <w:rFonts w:ascii="Times New Roman" w:hAnsi="Times New Roman"/>
          <w:b/>
          <w:i/>
          <w:sz w:val="20"/>
        </w:rPr>
        <w:t>Waiver of Default.</w:t>
      </w:r>
      <w:r>
        <w:rPr>
          <w:rFonts w:ascii="Times New Roman" w:hAnsi="Times New Roman"/>
          <w:sz w:val="20"/>
        </w:rPr>
        <w:t xml:space="preserve"> Unless we say otherwise in a prospectus supplement, holders of not less than a majority of the debt securities of a class or series may waive any past default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payment default;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on any provision that requires the consent of all holders to modify. </w:t>
            </w:r>
          </w:p>
        </w:tc>
      </w:tr>
    </w:tbl>
    <w:p>
      <w:pPr>
        <w:pStyle w:val="TextBody"/>
        <w:bidi w:val="0"/>
        <w:spacing w:before="240" w:after="0"/>
        <w:jc w:val="left"/>
        <w:rPr>
          <w:rFonts w:ascii="Times New Roman" w:hAnsi="Times New Roman"/>
          <w:sz w:val="20"/>
        </w:rPr>
      </w:pPr>
      <w:r>
        <w:rPr>
          <w:rFonts w:ascii="Times New Roman" w:hAnsi="Times New Roman"/>
          <w:b/>
          <w:i/>
          <w:sz w:val="20"/>
        </w:rPr>
        <w:t>Acceleration of Payment.</w:t>
      </w:r>
      <w:r>
        <w:rPr>
          <w:rFonts w:ascii="Times New Roman" w:hAnsi="Times New Roman"/>
          <w:sz w:val="20"/>
        </w:rPr>
        <w:t xml:space="preserve"> Unless we say otherwise in a prospectus supplement, each indenture provides or will provide that if an event of default occurs and continues, the trustee or the holders of not less than 25% in aggregate principal amount of the debt securities of the applicable class or series outstanding may declare all unpaid principal of, premium, if any, and accrued interest on, all the debt securities of the applicable class or series to be due and payable immediately by a notice given in writing to us (and to the trustee if given by the holders of the debt securities of the applicable class or series). The trustee may, then, at its discretion, proceed to protect and enforce the rights of the holders of the applicable debt securities by appropriate judicial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Waiver of Acceleration.</w:t>
      </w:r>
      <w:r>
        <w:rPr>
          <w:rFonts w:ascii="Times New Roman" w:hAnsi="Times New Roman"/>
          <w:sz w:val="20"/>
        </w:rPr>
        <w:t xml:space="preserve"> Unless we say otherwise in a prospectus supplement, each indenture provides or will provide that, after a declaration of acceleration, but before a judgment or decree for payment of the money due has been obtained by the trustee, the holders of a majority in aggregate principal amount of the debt securities, by written notice to us and the trustee, may rescind and annul such declaration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deposited with the trustee a sum sufficient to pay: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overdue interest and any additional amounts payable on all outstanding debt securities of the applicable class or series and any related coupons,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of and premium, if any, on any debt securities of the applicable class or series which have become due other than by such declaration of acceleration, plus interest thereon at the rate borne by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payment of such interest is lawful, interest upon overdue interest at the rate borne by the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sums paid or advanced by the trustee under the indenture and the reasonable compensation, expenses, disbursements and advances of the trustee, its agents and counsel;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other than the non-payment of principal of the debt securities which have become due solely by such declaration of acceleration, have been cured or waived. </w:t>
            </w:r>
          </w:p>
        </w:tc>
      </w:tr>
    </w:tbl>
    <w:p>
      <w:pPr>
        <w:pStyle w:val="TextBody"/>
        <w:bidi w:val="0"/>
        <w:spacing w:before="240" w:after="0"/>
        <w:jc w:val="left"/>
        <w:rPr>
          <w:rFonts w:ascii="Times New Roman" w:hAnsi="Times New Roman"/>
          <w:sz w:val="20"/>
        </w:rPr>
      </w:pPr>
      <w:r>
        <w:rPr>
          <w:rFonts w:ascii="Times New Roman" w:hAnsi="Times New Roman"/>
          <w:b/>
          <w:i/>
          <w:sz w:val="20"/>
        </w:rPr>
        <w:t>Notices of Default.</w:t>
      </w:r>
      <w:r>
        <w:rPr>
          <w:rFonts w:ascii="Times New Roman" w:hAnsi="Times New Roman"/>
          <w:sz w:val="20"/>
        </w:rPr>
        <w:t xml:space="preserve"> Unless we say otherwise in a prospectus supplement, we are required to deliver to the trustee, on or before a date not more than 120 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class or series of debt securities of any default with respect to such class or series (except a default in the payment of the principal of, and premium, if any, or interest on or any additional amounts with respect to any debt security of such class or series or in the payment of any sinking fund installment in respect of any debt security of such class or series) if the trustee considers such withholding to be in the interest of the holders. </w:t>
      </w:r>
    </w:p>
    <w:p>
      <w:pPr>
        <w:pStyle w:val="TextBody"/>
        <w:bidi w:val="0"/>
        <w:spacing w:before="240" w:after="0"/>
        <w:jc w:val="left"/>
        <w:rPr>
          <w:rFonts w:ascii="Times New Roman" w:hAnsi="Times New Roman"/>
          <w:sz w:val="20"/>
        </w:rPr>
      </w:pPr>
      <w:r>
        <w:rPr>
          <w:rFonts w:ascii="Times New Roman" w:hAnsi="Times New Roman"/>
          <w:b/>
          <w:i/>
          <w:sz w:val="20"/>
        </w:rPr>
        <w:t>Limitation on Suits.</w:t>
      </w:r>
      <w:r>
        <w:rPr>
          <w:rFonts w:ascii="Times New Roman" w:hAnsi="Times New Roman"/>
          <w:sz w:val="20"/>
        </w:rPr>
        <w:t xml:space="preserve"> Unless we say otherwise in a prospectus supplement, each indenture provides or will provide that no holders of debt securities of any class or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class or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class or series outstanding. This provision will not prevent, however, any holder of debt securities from instituting suit for the enforcement of payment of the principal of, and premium, if any, and interest on such debt securities at the respective due dates of the securities. </w:t>
      </w:r>
    </w:p>
    <w:p>
      <w:pPr>
        <w:pStyle w:val="TextBody"/>
        <w:bidi w:val="0"/>
        <w:spacing w:before="240" w:after="0"/>
        <w:jc w:val="left"/>
        <w:rPr>
          <w:rFonts w:ascii="Times New Roman" w:hAnsi="Times New Roman"/>
          <w:sz w:val="20"/>
        </w:rPr>
      </w:pPr>
      <w:r>
        <w:rPr>
          <w:rFonts w:ascii="Times New Roman" w:hAnsi="Times New Roman"/>
          <w:b/>
          <w:i/>
          <w:sz w:val="20"/>
        </w:rPr>
        <w:t>Obligations of Trustee.</w:t>
      </w:r>
      <w:r>
        <w:rPr>
          <w:rFonts w:ascii="Times New Roman" w:hAnsi="Times New Roman"/>
          <w:sz w:val="20"/>
        </w:rPr>
        <w:t xml:space="preserve"> Unless we say otherwise in a prospectus supplement, the trustee is under no obligation to exercise any of the rights or powers vested in it by the indenture at the request or direction of any of the holders of the debt securities unless they shall have offered to the trustee security or indemnity satisfactory to the trustee against the costs, expenses and liabilities that might be incurred thereby. </w:t>
      </w:r>
    </w:p>
    <w:p>
      <w:pPr>
        <w:pStyle w:val="TextBody"/>
        <w:bidi w:val="0"/>
        <w:spacing w:before="240" w:after="0"/>
        <w:jc w:val="left"/>
        <w:rPr>
          <w:rFonts w:ascii="Times New Roman" w:hAnsi="Times New Roman"/>
          <w:sz w:val="20"/>
        </w:rPr>
      </w:pPr>
      <w:r>
        <w:rPr>
          <w:rFonts w:ascii="Times New Roman" w:hAnsi="Times New Roman"/>
          <w:sz w:val="20"/>
        </w:rPr>
        <w:t xml:space="preserve">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 </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regarding the acceleration of a portion of the principal amount of any original issue discount securities on the occurrence of an event of default, please read the prospectus supplement relating to the issuance of those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Defeasance or Covenant Defeasance of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class or series of debt securities that is defeased will be deemed to have been discharged,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holders of outstanding debt securities to receive, solely from funds deposited for this purpose, payments in respect of the principal of, premium, if any, and interest on those debt securities when the payments are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powers, trusts, duties and immunities of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defeasance provisions of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in order to exercise either defeasance or covenant defeasance as to the outstanding debt securities of a class or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irrevocably deposit with the trustee, in trust, for the benefit of the holders of the debt securities of the applicable class or series, an amount in (i)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class or series on the stated maturity of such principal or installment of principal or interest and any mandatory sinking fund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defeasance, we will deliver to the trustee an opinion of counsel confirming that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received from, or there has been published by, the Internal Revenue Service a ruling,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execution of the indenture, there has been a change in the applicable federal income tax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effect of either being that the holders of the outstanding debt securities of the applicable class or series will not recognize income, gain or loss for federal income tax purposes as a result of such defeasance and will be subject to federal income tax on the same amounts, in the same manner and at the same times as would have been the case if such defeasance had not occurred;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covenant defeasance, we will deliver to the trustee an opinion of counsel to the effect that the holders of the debt securities of the applicable class or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defeasance or covenant defeasance shall not result in a breach or violation of, or constitute a default under, the indenture or any other material agreement or instrument to which we are a party or by which we are bound;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deliver to the trustee an officers certificate and an opinion of counsel, each stating that all conditions precedent provided for that relate to either the defeasance or the covenant defeasance, as the case may be, have been met;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Modifications and Amendments </w:t>
      </w:r>
    </w:p>
    <w:p>
      <w:pPr>
        <w:pStyle w:val="TextBody"/>
        <w:bidi w:val="0"/>
        <w:spacing w:before="120" w:after="0"/>
        <w:jc w:val="left"/>
        <w:rPr>
          <w:rFonts w:ascii="Times New Roman" w:hAnsi="Times New Roman"/>
          <w:sz w:val="20"/>
        </w:rPr>
      </w:pPr>
      <w:r>
        <w:rPr>
          <w:rFonts w:ascii="Times New Roman" w:hAnsi="Times New Roman"/>
          <w:sz w:val="20"/>
        </w:rPr>
        <w:t xml:space="preserve">Unless we say otherwise in a prospectus supplement, we and the trustee may modify and amend either indenture with the consent of the holders of a majority in aggregate principal amount of the outstanding debt securities of all classes or series affected by the modification or amendment; provided, however, that no modification or amendment may, without the consent of the holder of each outstanding debt security of all classes or series affected by the modification or amendment: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any installment of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of repayment at the option of the holder of any class or series of outstanding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of repayment where, or the currency, currency unit or composite currency in which, the principal or premium, if any, of any debt security or the interest thereon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such payment after the stated maturity of the debt security (or in the case of redemption, on or after 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outstanding debt securities of any class or series for which the consent of the holders is required for any such supplemental indenture, or for any waiver of compliance with certain provisions of the indenture or certain defaults, or reduce the requirements for quorum or voting as provided in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we and the trustee may modify and amend either indenture without the consent of the holders if the modification or amendment does only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evidences the succession of another person to us and the assumption by any such successor of any covenants under the indenture and in the debt securities of any class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adds to our covenants for the benefit of the holders of all or any class or series of debt securities or surrenders any of our rights or powers;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adds any additional event of default for the benefit of the holders of all or any class or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secures the debt securities of any class or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class or series of outstanding debt securities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or eliminates any provision affecting only debt securities not yet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establishes the form or terms of debt securities of any class or series not yet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evidences and provides for successor trustees or adds or changes any provisions of the indenture to the extent necessary to permit or facilitate the appointment of a separate trustee or trustees for specific classes or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class or series then outstanding in any material respect;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supplements any provision of the indenture to such extent as shall be necessary to permit the facilitation of defeasance and discharge of any class or series of debt securities; provided, however, that any such action may not adversely affect the interest of holders of debt securities of any class or series then outstanding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debt securities of a class or series outstanding may waive compliance with certain restrictive covenants and provisions of either indenture with respect to that class or series. </w:t>
      </w:r>
    </w:p>
    <w:p>
      <w:pPr>
        <w:pStyle w:val="TextBody"/>
        <w:bidi w:val="0"/>
        <w:spacing w:before="360" w:after="0"/>
        <w:jc w:val="left"/>
        <w:rPr>
          <w:rFonts w:ascii="Times New Roman" w:hAnsi="Times New Roman"/>
          <w:b/>
          <w:sz w:val="20"/>
        </w:rPr>
      </w:pPr>
      <w:r>
        <w:rPr>
          <w:rFonts w:ascii="Times New Roman" w:hAnsi="Times New Roman"/>
          <w:b/>
          <w:sz w:val="20"/>
        </w:rPr>
        <w:t xml:space="preserve">Original Issue Discount </w:t>
      </w:r>
    </w:p>
    <w:p>
      <w:pPr>
        <w:pStyle w:val="TextBody"/>
        <w:bidi w:val="0"/>
        <w:spacing w:before="120" w:after="0"/>
        <w:jc w:val="left"/>
        <w:rPr>
          <w:rFonts w:ascii="Times New Roman" w:hAnsi="Times New Roman"/>
          <w:sz w:val="20"/>
        </w:rPr>
      </w:pPr>
      <w:r>
        <w:rPr>
          <w:rFonts w:ascii="Times New Roman" w:hAnsi="Times New Roman"/>
          <w:sz w:val="20"/>
        </w:rPr>
        <w:t xml:space="preserve">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for U.S. federal income tax purposes, any debt security with a term of more than one year from the date of issuance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provide for the payment of interest prior to maturity;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subject to a de minimis exception, issued at a price lower than its stated redemption price at maturity.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Unless we say otherwise in a prospectus supplement, we will send notices to holders of debt securities by mail to the holders address as it appears in the register.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Unless we say otherwise in a prospectus supplement, each indenture and the debt securities will be governed by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x755152_8"/>
      <w:bookmarkEnd w:id="18"/>
      <w:r>
        <w:rPr>
          <w:rFonts w:ascii="Times New Roman" w:hAnsi="Times New Roman"/>
          <w:b/>
          <w:sz w:val="20"/>
        </w:rPr>
        <w:t xml:space="preserve">MATERIAL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section summarizes the material federal income tax issues that you may consider relevant relating to our taxation as a REIT under the Code, and the acquisition, ownership, and disposition of our common, preferred, and depositary shares. In this section, references to the Company, we, us, our and ours refer only to Federal Realty Investment Trust and not to the Partnership or its subsidiaries unless the context requires otherwise. If we offer one or more additional series of common shares or preferred shares, depositary shares, shares pursuant to share purchase contracts or warrants to purchase equity securities, or the Partnership offers debt securities, the applicable prospectus supplement would include information about additional material U.S. federal income tax considerations relevant to holders of any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foreign (non-U.S.) governments, persons that acquire shares in connection with employment or other performance of personal services, persons subject to the alternative minimum tax, beneficial owners of shares subject to the special tax accounting rules under Section 451(b) of the Code, persons that are, or that hold their shares through, partnerships or other pass-through entities, United States persons within the meaning of Section 7701(a)(30) of the Code (United States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based upon the Code, the regulations of the U.S. Department of Treasury (Treasury) promulgated thereunder and judicial and administrative rulings now in effect, all of which are subject to change or differing interpretations, possibly with retroactive effect.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SPECIFIC FEDERAL, STATE, LOCAL, FOREIGN AND OTHER TAX CONSEQUENCES TO THEM OF THE ACQUISITION, OWNERSHIP AND DISPOSITION OF OUR SECURITIES, OUR ELECTION TO BE TAXED AS A REIT AND THE EFFECT OF POTENTIAL CHANGES IN APPLICABLE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 </w:t>
      </w:r>
    </w:p>
    <w:p>
      <w:pPr>
        <w:pStyle w:val="TextBody"/>
        <w:bidi w:val="0"/>
        <w:spacing w:before="240" w:after="0"/>
        <w:jc w:val="left"/>
        <w:rPr>
          <w:rFonts w:ascii="Times New Roman" w:hAnsi="Times New Roman"/>
          <w:sz w:val="20"/>
        </w:rPr>
      </w:pPr>
      <w:r>
        <w:rPr>
          <w:rFonts w:ascii="Times New Roman" w:hAnsi="Times New Roman"/>
          <w:sz w:val="20"/>
        </w:rPr>
        <w:t xml:space="preserve">In the opinion of our tax counsel, Pillsbury Winthrop Shaw Pittman LLP, (i) we qualified as a REIT under Sections 856 through 860 of the Code with respect to each of our taxable years ended through December 31, 2023;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having met and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current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 </w:t>
      </w:r>
    </w:p>
    <w:p>
      <w:pPr>
        <w:pStyle w:val="TextBody"/>
        <w:bidi w:val="0"/>
        <w:spacing w:before="240" w:after="0"/>
        <w:jc w:val="left"/>
        <w:rPr>
          <w:rFonts w:ascii="Times New Roman" w:hAnsi="Times New Roman"/>
          <w:sz w:val="20"/>
        </w:rPr>
      </w:pPr>
      <w:r>
        <w:rPr>
          <w:rFonts w:ascii="Times New Roman" w:hAnsi="Times New Roman"/>
          <w:sz w:val="20"/>
        </w:rPr>
        <w:t xml:space="preserve">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pay federal income tax on taxable income (including net capital gain) that we do not distribute to our shareholders during, or within a specified time period after, the calendar year in which the income is earned;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pay income tax at the regular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pay a 100% tax on net income from certain sales or other dispositions of property (other than foreclosure property) that we hold primarily for sale to customers in the ordinary course of business (prohibited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subsidiaries that are C corporations, including our taxable REIT subsidiaries, generally will be required to pay federal corporate income tax on their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pay a 100% excise tax on transactions with a taxable REIT subsidiary that are not conducted on an arms-length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in more than a de minimis fashion, to satisfy one or more of the asset tests for any quarter of a taxable year, but nonetheless continue to qualify as a REIT because we qualify under certain relief provisions, we may be required to pay a tax equal to the greater of $50,000 or a tax computed at the regular corporate rate on the amount of net income generated by the assets causing the failure from the date of failure until the assets are disposed of or we otherwise return to compliance with the asset test;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pay monetary penalties to the IRS in certain circumstances, including if we fail to meet record-keeping requirements intended to monitor our compliance with the rules relating to the composition of a REITs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elect to retain and pay income tax on our net long-term capital gain;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regular corporate rate on the lesser of (i) the amount of gain that we recognize at the time of the sale or disposition and (ii) the amount of gain that we would have recognized if we had sold the asset at the time we acquired the asset.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Requirements for REIT Qualification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must meet the following requirements: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managed by one or more trustees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beneficial ownership is evidenced by transferable shares, or by transferable certificates of beneficial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would be taxable as a domestic corporation, but for Sections 856 through 860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neither a financial institution nor an insurance company subject to certain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100 persons are beneficial owners of our shares or ownership certificates;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50% in value of our outstanding shares or ownership certificates is owned, directly or indirectly, by five or fewer individuals (as defined in the Code to include certain entities) during the last half of any taxable year (the 5/50 Rule);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elect to be a REIT (or have made such election for a previous taxable year) and satisfy all relevant filing and other administrative requirements established by the IRS that must be met to elect and maintain REIT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use a calendar year for federal income tax purposes and comply with the record keeping requirements of the Code and the related Treasury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meet certain other qualification tests, described below, regarding the nature of our income and assets and the amount of our distributions to shareholders.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profit-sharing trust under Code Section 401(a), and beneficiaries of such a trust will be treated as holding our shares in proportion to their actuarial interests in the trust for purposes of the 5/50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Shares of Beneficial Interest of Federal Realty Investment TrustRestrictions on Ownership and Transfer of Company Shares. </w:t>
      </w:r>
    </w:p>
    <w:p>
      <w:pPr>
        <w:pStyle w:val="TextBody"/>
        <w:bidi w:val="0"/>
        <w:spacing w:before="240" w:after="0"/>
        <w:jc w:val="left"/>
        <w:rPr>
          <w:rFonts w:ascii="Times New Roman" w:hAnsi="Times New Roman"/>
          <w:sz w:val="20"/>
        </w:rPr>
      </w:pPr>
      <w:r>
        <w:rPr>
          <w:rFonts w:ascii="Times New Roman" w:hAnsi="Times New Roman"/>
          <w:sz w:val="20"/>
        </w:rPr>
        <w:t xml:space="preserve">We currently have no direct corporate subsidiaries but may have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the capital shares of which are owned by the parent REIT, unless we and the subsidiary have jointly elected to have it treated as a taxable REIT subsidiary. A REIT is not treated as directly holding the assets of a taxable REIT subsidiary or as directly receiving any income that the taxable REIT subsidiary earns. Rather, the stock issued by each of our taxable REIT subsidiaries is an asset in our hands, and we generally recognize as income the dividends, if any, that we receive from our taxable REIT subsidiaries. A taxable REIT subsidiary is treated separately from us and will be subject to federal corporate income taxation. In contrast, in applying the requirements described herein, any qualified REIT subsidiary of ours will be ignored, and all assets, liabilities, and items of income, deduction, and credit of such subsidiary will be treated as our assets, liabilities, and items of income, deduction, and credit. Accordingly, any qualified REIT subsidiaries we could have in the future would not be subject to federal corporate income taxation, though they might be subject to state and local taxation. </w:t>
      </w:r>
    </w:p>
    <w:p>
      <w:pPr>
        <w:pStyle w:val="TextBody"/>
        <w:bidi w:val="0"/>
        <w:spacing w:before="240" w:after="0"/>
        <w:jc w:val="left"/>
        <w:rPr>
          <w:rFonts w:ascii="Times New Roman" w:hAnsi="Times New Roman"/>
          <w:sz w:val="20"/>
        </w:rPr>
      </w:pPr>
      <w:r>
        <w:rPr>
          <w:rFonts w:ascii="Times New Roman" w:hAnsi="Times New Roman"/>
          <w:sz w:val="20"/>
        </w:rPr>
        <w:t xml:space="preserve">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The Partnership has been treated as a disregarded entity for federal income tax purposes (but not necessarily for other tax purposes such as employment and excise taxation) because we have owned 100% of the interests in the Partnership, either directly or through other disregarded entities. We may in the future admit other partners to the Partnership in property contribution transactions, at which time the Partnership will become a partnership for federal income tax purposes, with the consequences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An unincorporated domestic entity, such as a partnership or a limited liability company, with two or more beneficial owners is generally treated as a partnership for federal income tax purposes and the owners are treated as partners for such purposes. For purposes of this discussion as it relates to federal income tax status, references to partnership also include a limited liability company treated as a partnership for U.S. federal income tax purposes, and references to partner include a member in such a limited liability company. A REIT is treated as owning its proportionate share of the assets of any partnership in which it is a partner and as earning its allocable share of the gross income of the partnership for purposes of the applicable REIT qualification tests. Thus, once the Partnership becomes a regarded entity and a partnership for federal income tax purposes, our proportionate share of the assets and items of income of the Partnership and any other partnership in which we have acquired or will acquire an interest, directly or indirectly (a Subsidiary Partnership), are treated as our assets and gross income for purposes of applying the various REIT qualification requirements. Generally, except where the context indicates otherwise, references to the Partnership in this discussion will include Subsidiary Partnerships, although until the Partnership becomes regarded the Partnership will follow the disregarded entity rules described in the prior paragraph while the existing Subsidiary Partnerships that are currently regarded entities will be treated as partnerships. Our proportionate share of an entity treated as a partnership is generally determined, for REIT income and asset qualification test purposes, based on our percentage interest in partnership equity capital, subject to special rules relating to the 10% asset test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have control of the Partnership and, through the Partnership, intend to control any Subsidiary Partnerships, and we intend to operate them in a manner consistent with the requirements for our qualification as a REIT. However, the Partnership may from time to time be a limited partner or non-managing member in some of the Subsidiary Partnerships. If a Subsidiary Partnership in which the Partnership owns an interest but does not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control takes or expects to take actions that could jeopardize our status as a REIT or require us to pay tax, we may be forced to have the Partnership dispose of its interest in such entity. In addition, it is possible that a Subsidiary Partnership could take an action which could cause us to fail a gross income or asset test and that we would not become aware of such action in time for the Partnership to dispose of its interest in the Subsidiary Partnership or take other corrective action on a timely basis. In that case, we could fail to qualify as a REIT unless we were able to qualify for a statutory REIT savings provision, which could require us to pay a significant penalty tax to maintain our REIT qualification. </w:t>
      </w:r>
    </w:p>
    <w:p>
      <w:pPr>
        <w:pStyle w:val="TextBody"/>
        <w:bidi w:val="0"/>
        <w:spacing w:before="240" w:after="0"/>
        <w:jc w:val="left"/>
        <w:rPr>
          <w:rFonts w:ascii="Times New Roman" w:hAnsi="Times New Roman"/>
          <w:sz w:val="20"/>
        </w:rPr>
      </w:pPr>
      <w:r>
        <w:rPr>
          <w:rFonts w:ascii="Times New Roman" w:hAnsi="Times New Roman"/>
          <w:b/>
          <w:i/>
          <w:sz w:val="20"/>
        </w:rPr>
        <w:t>Income Tests.</w:t>
      </w:r>
      <w:r>
        <w:rPr>
          <w:rFonts w:ascii="Times New Roman" w:hAnsi="Times New Roman"/>
          <w:sz w:val="20"/>
        </w:rPr>
        <w:t xml:space="preserve"> We must satisfy two gross income tests annually to maintain our qualification as a REIT: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 In general, interest from any of our taxable REIT subsidiaries is qualifying income for purposes of the 95% gross income test but is not qualifying income for purposes of the 75% gross income test unless such interest derives from debt secured by real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paragraphs discuss the specific application of these tests to us. </w:t>
      </w:r>
    </w:p>
    <w:p>
      <w:pPr>
        <w:pStyle w:val="TextBody"/>
        <w:bidi w:val="0"/>
        <w:spacing w:before="240" w:after="0"/>
        <w:jc w:val="left"/>
        <w:rPr>
          <w:rFonts w:ascii="Times New Roman" w:hAnsi="Times New Roman"/>
          <w:sz w:val="20"/>
        </w:rPr>
      </w:pPr>
      <w:r>
        <w:rPr>
          <w:rFonts w:ascii="Times New Roman" w:hAnsi="Times New Roman"/>
          <w:b/>
          <w:i/>
          <w:sz w:val="20"/>
        </w:rPr>
        <w:t>Rental Income</w:t>
      </w:r>
      <w:r>
        <w:rPr>
          <w:rFonts w:ascii="Times New Roman" w:hAnsi="Times New Roman"/>
          <w:sz w:val="20"/>
        </w:rPr>
        <w:t xml:space="preserve">. The Partnerships primary source of income derives from leasing properties. There are various limitations on whether rent that the Partnership receives from real property that it owns and leases to tenants will qualify as rents from real property (which is qualifying income for purposes of the 75% and 95% gross income tests) under the REIT tax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rent is based, in whole or in part, on the income or profits of any person although, generally, rent may be based on a fixed percentage or percentages of gross receipts or sales, the rent will not qualify as rents from real property. Our leases provide for either fixed rent, sometimes with scheduled escalations, or a fixed minimum rent and a percentage of gross receipts in excess of some threshold. The Partnership has not entered into any lease based in whole or part on the net income of any person and on an ongoing basis will use its best efforts to avoid entering into such arrangements unless, in either instance, we have determined or we determine in our discretion that such arrangements will not jeopardize our status as a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in certain limited circumstances involving taxable REIT subsidiaries, if we or someone who owns 10% or more of our shares owns 10% or more of a tenant from whom the Partnership receives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the Partnership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the Partnership has not leased property to any related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party tenant, except where it may rent to certain taxable REIT subsidiaries as described below, or where we have determined in our discretion that the rent received from such related party tenant is not material and will not jeopardize our status as a REIT. On an ongoing basis, we will use our best efforts to ensure that the Partnership does not rent any property to a related party tenant (taking into account the applicable constructive ownership rules), unless we determine in our discretion that the rent received from such related party tenant will not jeopardize our status as a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the Partnership by the taxable REIT subsidiary must be substantially comparable to the rents paid by such other persons for comparable space. On an ongoing basis we use and will use our best efforts to ensure that all space leased to our taxable REIT subsidiaries by the Partnership meets these conditions, unless we determine in our discretion that the related party rent received from a taxable REIT subsidiary will not jeopardize our status as a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the Partnership has not leased a significant amount of personal property under its current leases. If any incidental personal property has been leased, we believe that rent under each lease from the personal property has been no more than 15% of total rent from that lease, and on an ongoing basis we will use our best efforts to avoid having the Partnership lease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general, if the Partnership furnishes or renders services to its tenants, other than through a taxable REIT subsidiary or an independent contractor who is adequately compensated and from whom the Partnership does not derive revenue, the income received from the tenants may not be deemed rents from real property. In general, the Partnership may provide services directly, if the services are usually or customarily rendered in connection with the rental of space for occupancy only and are not otherwise considered to be provided for the tenants convenience. In addition, the Partnership may render directly a de minimis amount of non-customary services to the tenants of a property without disqualifying the income as rents from real property, as long as its income from the services does not exceed 1% of the income from the related property. We believe that the Partnership has not provided services to leased properties that have caused rents to be disqualified as rents from real property, and on an ongoing basis in the future, we will use our best efforts to determine in our discretion that any services provided by the Partnership will not cause rents to be disqualified as rents from real property, unless, in either instance, we have determined or we determine in our discretion that the amount of disqualified rent resulting from such services will not jeopardize our status as a REIT.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we believe that rent from the Partnerships leases should generally qualify as rents from real property for purposes of the 75% and 95% gross income tests, except in amounts that should not jeopardize our status as a REIT. As described above, however, the IRS may successfully assert a contrary position and, therefore, prevent us from qualifying as a REIT. </w:t>
      </w:r>
    </w:p>
    <w:p>
      <w:pPr>
        <w:pStyle w:val="TextBody"/>
        <w:bidi w:val="0"/>
        <w:spacing w:before="24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For purposes of the gross income tests, the term interest generally does not include any amount received or accrued, directly or 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gross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Partnership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the Partnership agreed to acquire the loan. </w:t>
      </w:r>
    </w:p>
    <w:p>
      <w:pPr>
        <w:pStyle w:val="TextBody"/>
        <w:bidi w:val="0"/>
        <w:spacing w:before="240" w:after="0"/>
        <w:jc w:val="left"/>
        <w:rPr>
          <w:rFonts w:ascii="Times New Roman" w:hAnsi="Times New Roman"/>
          <w:sz w:val="20"/>
        </w:rPr>
      </w:pPr>
      <w:r>
        <w:rPr>
          <w:rFonts w:ascii="Times New Roman" w:hAnsi="Times New Roman"/>
          <w:b/>
          <w:i/>
          <w:sz w:val="20"/>
        </w:rPr>
        <w:t>Dividends.</w:t>
      </w:r>
      <w:r>
        <w:rPr>
          <w:rFonts w:ascii="Times New Roman" w:hAnsi="Times New Roman"/>
          <w:sz w:val="20"/>
        </w:rPr>
        <w:t xml:space="preserve"> Our share of any dividends received from any corporation (including any taxable REIT subsidiary but excluding any REIT) in which 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 </w:t>
      </w:r>
    </w:p>
    <w:p>
      <w:pPr>
        <w:pStyle w:val="TextBody"/>
        <w:bidi w:val="0"/>
        <w:spacing w:before="240" w:after="0"/>
        <w:jc w:val="left"/>
        <w:rPr>
          <w:rFonts w:ascii="Times New Roman" w:hAnsi="Times New Roman"/>
          <w:sz w:val="20"/>
        </w:rPr>
      </w:pPr>
      <w:r>
        <w:rPr>
          <w:rFonts w:ascii="Times New Roman" w:hAnsi="Times New Roman"/>
          <w:b/>
          <w:i/>
          <w:sz w:val="20"/>
        </w:rPr>
        <w:t>Tax on Income from Property Acquired in Foreclosure.</w:t>
      </w:r>
      <w:r>
        <w:rPr>
          <w:rFonts w:ascii="Times New Roman" w:hAnsi="Times New Roman"/>
          <w:sz w:val="20"/>
        </w:rPr>
        <w:t xml:space="preserve"> We will be subject to tax at the maximum corporate rate on any income from foreclosure property (other than income that would be qualifying income for purposes of the 75% gross income test), less expenses directly connected to the production of such income. However, gross income from foreclosure property will qualify under the 75% and 95% gross income tests. </w:t>
      </w:r>
    </w:p>
    <w:p>
      <w:pPr>
        <w:pStyle w:val="TextBody"/>
        <w:bidi w:val="0"/>
        <w:spacing w:before="240" w:after="0"/>
        <w:jc w:val="left"/>
        <w:rPr>
          <w:rFonts w:ascii="Times New Roman" w:hAnsi="Times New Roman"/>
          <w:sz w:val="20"/>
        </w:rPr>
      </w:pPr>
      <w:r>
        <w:rPr>
          <w:rFonts w:ascii="Times New Roman" w:hAnsi="Times New Roman"/>
          <w:sz w:val="20"/>
        </w:rPr>
        <w:t xml:space="preserve">Foreclosure property is any real property (including interests in real property) and any personal property incident to such real property: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acquired by a REIT at a foreclosure sale, or having otherwise become the owner or in possession of the property by agreement or process of law, after a default (or imminent default) on a lease of such property or on a debt owed to the REIT secured by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which the related loan was acquired by the REIT at a time when default was not imminent or anticipated;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which the REIT makes a proper election to treat the property as foreclosure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third taxable year following the taxable year in which the REIT acquired the property (or longer if an extension is granted by the Secretary of the Treasury);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day on which any construction takes place on such property (other than completion of a building, or any other improvement, where more than 10% of the construction of such building or other improvement was completed before default became imminent);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Tax on Prohibited Transactions.</w:t>
      </w:r>
      <w:r>
        <w:rPr>
          <w:rFonts w:ascii="Times New Roman" w:hAnsi="Times New Roman"/>
          <w:sz w:val="20"/>
        </w:rPr>
        <w:t xml:space="preserve"> A REIT will incur a 100% tax on net income (taking into account foreign currency gains and losses) derived 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the Partnerships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 </w:t>
      </w:r>
    </w:p>
    <w:p>
      <w:pPr>
        <w:pStyle w:val="TextBody"/>
        <w:bidi w:val="0"/>
        <w:spacing w:before="240" w:after="0"/>
        <w:jc w:val="left"/>
        <w:rPr>
          <w:rFonts w:ascii="Times New Roman" w:hAnsi="Times New Roman"/>
          <w:sz w:val="20"/>
        </w:rPr>
      </w:pPr>
      <w:r>
        <w:rPr>
          <w:rFonts w:ascii="Times New Roman" w:hAnsi="Times New Roman"/>
          <w:sz w:val="20"/>
        </w:rPr>
        <w:t xml:space="preserve">The Code provides a safe harbor that, if met by us (including with respect to properties held by the Partnership),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 </w:t>
      </w:r>
    </w:p>
    <w:p>
      <w:pPr>
        <w:pStyle w:val="TextBody"/>
        <w:bidi w:val="0"/>
        <w:spacing w:before="240" w:after="0"/>
        <w:jc w:val="left"/>
        <w:rPr>
          <w:rFonts w:ascii="Times New Roman" w:hAnsi="Times New Roman"/>
          <w:sz w:val="20"/>
        </w:rPr>
      </w:pPr>
      <w:r>
        <w:rPr>
          <w:rFonts w:ascii="Times New Roman" w:hAnsi="Times New Roman"/>
          <w:b/>
          <w:i/>
          <w:sz w:val="20"/>
        </w:rPr>
        <w:t>Tax and Deduction Limits on Certain Transactions with Taxable REIT Subsidiaries.</w:t>
      </w:r>
      <w:r>
        <w:rPr>
          <w:rFonts w:ascii="Times New Roman" w:hAnsi="Times New Roman"/>
          <w:sz w:val="20"/>
        </w:rPr>
        <w:t xml:space="preserve"> A REIT will incur a 100% tax on certain transactions 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the Partnership has had with our taxable REIT subsidiaries will give rise to the 100% tax, but changes to the interest deduction rules may affect interest deductions of our taxable REIT subsidiaries under some circumstances. </w:t>
      </w:r>
    </w:p>
    <w:p>
      <w:pPr>
        <w:pStyle w:val="TextBody"/>
        <w:bidi w:val="0"/>
        <w:spacing w:before="240" w:after="0"/>
        <w:jc w:val="left"/>
        <w:rPr>
          <w:rFonts w:ascii="Times New Roman" w:hAnsi="Times New Roman"/>
          <w:sz w:val="20"/>
        </w:rPr>
      </w:pPr>
      <w:r>
        <w:rPr>
          <w:rFonts w:ascii="Times New Roman" w:hAnsi="Times New Roman"/>
          <w:b/>
          <w:i/>
          <w:sz w:val="20"/>
        </w:rPr>
        <w:t>Hedging Transactions.</w:t>
      </w:r>
      <w:r>
        <w:rPr>
          <w:rFonts w:ascii="Times New Roman" w:hAnsi="Times New Roman"/>
          <w:sz w:val="20"/>
        </w:rPr>
        <w:t xml:space="preserve"> Except to the extent provided by Treasury regulations, any income we derive from a hedging transaction (which may 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 </w:t>
      </w:r>
    </w:p>
    <w:p>
      <w:pPr>
        <w:pStyle w:val="TextBody"/>
        <w:bidi w:val="0"/>
        <w:spacing w:before="240" w:after="0"/>
        <w:jc w:val="left"/>
        <w:rPr>
          <w:rFonts w:ascii="Times New Roman" w:hAnsi="Times New Roman"/>
          <w:sz w:val="20"/>
        </w:rPr>
      </w:pPr>
      <w:r>
        <w:rPr>
          <w:rFonts w:ascii="Times New Roman" w:hAnsi="Times New Roman"/>
          <w:b/>
          <w:i/>
          <w:sz w:val="20"/>
        </w:rPr>
        <w:t>Like-Kind Exchanges.</w:t>
      </w:r>
      <w:r>
        <w:rPr>
          <w:rFonts w:ascii="Times New Roman" w:hAnsi="Times New Roman"/>
          <w:sz w:val="20"/>
        </w:rPr>
        <w:t xml:space="preserve"> The Partnership may dispose of properties in transactions intended to qualify as like-kind exchanges under the Code. Such like-kind 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Legislative changes have eliminated like-kind exchanges for most personal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Relief from Consequences of Failing to Meet Income Tests.</w:t>
      </w:r>
      <w:r>
        <w:rPr>
          <w:rFonts w:ascii="Times New Roman" w:hAnsi="Times New Roman"/>
          <w:sz w:val="20"/>
        </w:rPr>
        <w:t xml:space="preserve"> If we fail to satisfy one or both of the 75% and 95% gross income tests for any 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 </w:t>
      </w:r>
    </w:p>
    <w:p>
      <w:pPr>
        <w:pStyle w:val="TextBody"/>
        <w:bidi w:val="0"/>
        <w:spacing w:before="240" w:after="0"/>
        <w:jc w:val="left"/>
        <w:rPr>
          <w:rFonts w:ascii="Times New Roman" w:hAnsi="Times New Roman"/>
          <w:sz w:val="20"/>
        </w:rPr>
      </w:pPr>
      <w:r>
        <w:rPr>
          <w:rFonts w:ascii="Times New Roman" w:hAnsi="Times New Roman"/>
          <w:b/>
          <w:i/>
          <w:sz w:val="20"/>
        </w:rPr>
        <w:t>Asset Tests.</w:t>
      </w:r>
      <w:r>
        <w:rPr>
          <w:rFonts w:ascii="Times New Roman" w:hAnsi="Times New Roman"/>
          <w:sz w:val="20"/>
        </w:rPr>
        <w:t xml:space="preserve"> To maintain our qualification as a REIT, we also must satisfy the following asset tests at the close of each quarter of each taxable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75% of the value of our total assets must consist of cash or cash items (including certain receivables and money market funds), U.S. government securities, real estate assets, or qualifying temporary investments (the 75% asset 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the Partnerships properties qualify as real estate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Qualifying temporary investments are investments in stock or debt instruments during the one-year period following our receipt of new capital that we raise through equity or long-term (at least five-year) debt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investments not included in the 75% asset test, (A) the value of our interest in any one issuers securities (which does not include our equity ownership in other REITs, the Partnership,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the Partnership, any taxable REIT subsidiary or any qualified REIT subsidiary) (the 10% asset test), and (C) no more than 25% of the value of our total assets may consist of securities that are not qualifying assets for purposes of the 75% asset test (including securities of any taxable REIT subsidiary that would not otherwise be treated as real estate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our securities in one or more taxable REIT subsidiaries (unless they would otherwise be treated as real estate assets) may not exceed 20% of the value of our total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our holdings in debt instruments of publicly offered REITs (unless they would otherwise be treated as real estate assets) may not exceed 25% of the value of our total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intend to select future investments so as to comply with the asset tests.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described above, the Partnership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 </w:t>
      </w:r>
    </w:p>
    <w:p>
      <w:pPr>
        <w:pStyle w:val="TextBody"/>
        <w:bidi w:val="0"/>
        <w:spacing w:before="240" w:after="0"/>
        <w:jc w:val="left"/>
        <w:rPr>
          <w:rFonts w:ascii="Times New Roman" w:hAnsi="Times New Roman"/>
          <w:sz w:val="20"/>
        </w:rPr>
      </w:pPr>
      <w:r>
        <w:rPr>
          <w:rFonts w:ascii="Times New Roman" w:hAnsi="Times New Roman"/>
          <w:sz w:val="20"/>
        </w:rPr>
        <w:t xml:space="preserve">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 </w:t>
      </w:r>
    </w:p>
    <w:p>
      <w:pPr>
        <w:pStyle w:val="TextBody"/>
        <w:bidi w:val="0"/>
        <w:spacing w:before="240" w:after="0"/>
        <w:jc w:val="left"/>
        <w:rPr>
          <w:rFonts w:ascii="Times New Roman" w:hAnsi="Times New Roman"/>
          <w:sz w:val="20"/>
        </w:rPr>
      </w:pPr>
      <w:r>
        <w:rPr>
          <w:rFonts w:ascii="Times New Roman" w:hAnsi="Times New Roman"/>
          <w:b/>
          <w:i/>
          <w:sz w:val="20"/>
        </w:rPr>
        <w:t>Relief from Consequences of Failing to Meet Asset Tests.</w:t>
      </w:r>
      <w:r>
        <w:rPr>
          <w:rFonts w:ascii="Times New Roman" w:hAnsi="Times New Roman"/>
          <w:sz w:val="20"/>
        </w:rPr>
        <w:t xml:space="preserve"> If we fail to satisfy one or more of the asset tests for any quarter of a taxable year, we 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equal to the greater of $50,000 or a tax computed at the regular corporate rate on the amount of net income generated by the assets causing the failure from the date of failure until the assets are disposed of or we otherwise return to compliance with the asset tests. We may not qualify for the relief provisions in all circumstances. </w:t>
      </w:r>
    </w:p>
    <w:p>
      <w:pPr>
        <w:pStyle w:val="TextBody"/>
        <w:bidi w:val="0"/>
        <w:spacing w:before="240" w:after="0"/>
        <w:jc w:val="left"/>
        <w:rPr>
          <w:rFonts w:ascii="Times New Roman" w:hAnsi="Times New Roman"/>
          <w:sz w:val="20"/>
        </w:rPr>
      </w:pPr>
      <w:r>
        <w:rPr>
          <w:rFonts w:ascii="Times New Roman" w:hAnsi="Times New Roman"/>
          <w:b/>
          <w:i/>
          <w:sz w:val="20"/>
        </w:rPr>
        <w:t>Distribution Requirements.</w:t>
      </w:r>
      <w:r>
        <w:rPr>
          <w:rFonts w:ascii="Times New Roman" w:hAnsi="Times New Roman"/>
          <w:sz w:val="20"/>
        </w:rPr>
        <w:t xml:space="preserve"> Each taxable year, we must distribute dividends (other than capital gain dividends and deemed distributions of retained 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 </w:t>
      </w:r>
    </w:p>
    <w:p>
      <w:pPr>
        <w:pStyle w:val="TextBody"/>
        <w:bidi w:val="0"/>
        <w:spacing w:before="240" w:after="0"/>
        <w:jc w:val="left"/>
        <w:rPr>
          <w:rFonts w:ascii="Times New Roman" w:hAnsi="Times New Roman"/>
          <w:sz w:val="20"/>
        </w:rPr>
      </w:pPr>
      <w:r>
        <w:rPr>
          <w:rFonts w:ascii="Times New Roman" w:hAnsi="Times New Roman"/>
          <w:sz w:val="20"/>
        </w:rPr>
        <w:t xml:space="preserve">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be taken into account for purposes of our distribution requirement, except as provided below, the amount distributed must not be preferential  i.e., every stockholder of the class of stock to which a distribution is made must be treated the same as every other stockholder of that class, and no class of stock may be treated other than according to its dividend rights as a class. This preferential dividend limitation will not apply to distributions made by us, provided we qualify as a publicly offered REIT. We believe that we have been and are currently, and expect we will continue to be, a publicly offered REIT. However, the preferential dividend rules would apply to subsidiary REITs we may own from time to time, although the IRS has issued multiple private letter rulings, which may not be relied upon as precedent, that a subsidiary REIT that meets certain conditions may be treated as a publicly offered REIT for these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 of each shareholder, are paid partly in cash and partly in shares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We have no current intention to make such an elective cash/shares distribution or a distribution of debt securities, but in the event of an elective cash/shares distribution we expect to structure it so as to comply with the applicable revenue procedure. If we were to choose to make a cash/shares distribution, shareholders may be required to pay tax in excess of the cash that they receive or may be subject to withholding taxes, including with respect to all or a portion of such dividend that is payable in shares.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 </w:t>
      </w:r>
    </w:p>
    <w:p>
      <w:pPr>
        <w:pStyle w:val="TextBody"/>
        <w:bidi w:val="0"/>
        <w:spacing w:before="240" w:after="0"/>
        <w:jc w:val="left"/>
        <w:rPr>
          <w:rFonts w:ascii="Times New Roman" w:hAnsi="Times New Roman"/>
          <w:sz w:val="20"/>
        </w:rPr>
      </w:pPr>
      <w:r>
        <w:rPr>
          <w:rFonts w:ascii="Times New Roman" w:hAnsi="Times New Roman"/>
          <w:b/>
          <w:i/>
          <w:sz w:val="20"/>
        </w:rPr>
        <w:t>Record Keeping Requirements.</w:t>
      </w:r>
      <w:r>
        <w:rPr>
          <w:rFonts w:ascii="Times New Roman" w:hAnsi="Times New Roman"/>
          <w:sz w:val="20"/>
        </w:rPr>
        <w:t xml:space="preserve"> We must maintain certain records in order to qualify as a REIT. In addition, to avoid a monetary penalty, we must request on an annual basis certain information from our shareholders designed to disclose the actual ownership of our outstanding shares. We have complied, and intend to continue to comply, with such requirements. </w:t>
      </w:r>
    </w:p>
    <w:p>
      <w:pPr>
        <w:pStyle w:val="TextBody"/>
        <w:bidi w:val="0"/>
        <w:spacing w:before="240" w:after="0"/>
        <w:jc w:val="left"/>
        <w:rPr>
          <w:rFonts w:ascii="Times New Roman" w:hAnsi="Times New Roman"/>
          <w:sz w:val="20"/>
        </w:rPr>
      </w:pPr>
      <w:r>
        <w:rPr>
          <w:rFonts w:ascii="Times New Roman" w:hAnsi="Times New Roman"/>
          <w:b/>
          <w:i/>
          <w:sz w:val="20"/>
        </w:rPr>
        <w:t>Relief from Other Failures of the REIT Qualification Provisions.</w:t>
      </w:r>
      <w:r>
        <w:rPr>
          <w:rFonts w:ascii="Times New Roman" w:hAnsi="Times New Roman"/>
          <w:sz w:val="20"/>
        </w:rPr>
        <w:t xml:space="preserve"> If we fail to satisfy one or more of the requirements for REIT qualification (other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Failure to Qualify.</w:t>
      </w:r>
      <w:r>
        <w:rPr>
          <w:rFonts w:ascii="Times New Roman" w:hAnsi="Times New Roman"/>
          <w:sz w:val="20"/>
        </w:rPr>
        <w:t xml:space="preserve"> If we fail to qualify as a REIT in any taxable year, and no relief provision applied, we would be subject to federal income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Taxable U.S. Shareholders </w:t>
      </w:r>
    </w:p>
    <w:p>
      <w:pPr>
        <w:pStyle w:val="TextBody"/>
        <w:bidi w:val="0"/>
        <w:spacing w:before="120" w:after="0"/>
        <w:jc w:val="left"/>
        <w:rPr>
          <w:rFonts w:ascii="Times New Roman" w:hAnsi="Times New Roman"/>
          <w:sz w:val="20"/>
        </w:rPr>
      </w:pPr>
      <w:r>
        <w:rPr>
          <w:rFonts w:ascii="Times New Roman" w:hAnsi="Times New Roman"/>
          <w:sz w:val="20"/>
        </w:rPr>
        <w:t xml:space="preserve">As used herein, the term taxable U.S. shareholder means a taxable beneficial owner of our common or preferred shares that for U.S.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individual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includible in gross income for U.S. federal income tax purposes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 </w:t>
      </w:r>
    </w:p>
    <w:p>
      <w:pPr>
        <w:pStyle w:val="TextBody"/>
        <w:bidi w:val="0"/>
        <w:spacing w:before="240" w:after="0"/>
        <w:jc w:val="left"/>
        <w:rPr>
          <w:rFonts w:ascii="Times New Roman" w:hAnsi="Times New Roman"/>
          <w:sz w:val="20"/>
        </w:rPr>
      </w:pPr>
      <w:r>
        <w:rPr>
          <w:rFonts w:ascii="Times New Roman" w:hAnsi="Times New Roman"/>
          <w:b/>
          <w:i/>
          <w:sz w:val="20"/>
        </w:rPr>
        <w:t>Dividends and Other Taxable U.S. Shareholder Distributions.</w:t>
      </w:r>
      <w:r>
        <w:rPr>
          <w:rFonts w:ascii="Times New Roman" w:hAnsi="Times New Roman"/>
          <w:sz w:val="20"/>
        </w:rPr>
        <w:t xml:space="preserve"> As long as we qualify as a REIT, a taxable U.S. shareholder must take into account 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prior to 2026, generally non-corporate shareholders are allowed to deduct 20% of the aggregate amount of ordinary dividends distributed by us,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 </w:t>
      </w:r>
    </w:p>
    <w:p>
      <w:pPr>
        <w:pStyle w:val="TextBody"/>
        <w:bidi w:val="0"/>
        <w:spacing w:before="240" w:after="0"/>
        <w:jc w:val="left"/>
        <w:rPr>
          <w:rFonts w:ascii="Times New Roman" w:hAnsi="Times New Roman"/>
          <w:sz w:val="20"/>
        </w:rPr>
      </w:pPr>
      <w:r>
        <w:rPr>
          <w:rFonts w:ascii="Times New Roman" w:hAnsi="Times New Roman"/>
          <w:sz w:val="20"/>
        </w:rPr>
        <w:t xml:space="preserve">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to the extent of our earnings and profits,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 </w:t>
      </w:r>
    </w:p>
    <w:p>
      <w:pPr>
        <w:pStyle w:val="TextBody"/>
        <w:bidi w:val="0"/>
        <w:spacing w:before="240" w:after="0"/>
        <w:jc w:val="left"/>
        <w:rPr>
          <w:rFonts w:ascii="Times New Roman" w:hAnsi="Times New Roman"/>
          <w:sz w:val="20"/>
        </w:rPr>
      </w:pPr>
      <w:r>
        <w:rPr>
          <w:rFonts w:ascii="Times New Roman" w:hAnsi="Times New Roman"/>
          <w:b/>
          <w:i/>
          <w:sz w:val="20"/>
        </w:rPr>
        <w:t>Taxation of Taxable U.S. Shareholders on the Disposition of Our Shares.</w:t>
      </w:r>
      <w:r>
        <w:rPr>
          <w:rFonts w:ascii="Times New Roman" w:hAnsi="Times New Roman"/>
          <w:sz w:val="20"/>
        </w:rPr>
        <w:t xml:space="preserve"> In general, a taxable U.S. shareholder must treat any gain or loss realized 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w:t>
      </w:r>
    </w:p>
    <w:p>
      <w:pPr>
        <w:pStyle w:val="TextBody"/>
        <w:bidi w:val="0"/>
        <w:spacing w:before="240" w:after="0"/>
        <w:jc w:val="left"/>
        <w:rPr>
          <w:rFonts w:ascii="Times New Roman" w:hAnsi="Times New Roman"/>
          <w:sz w:val="20"/>
        </w:rPr>
      </w:pPr>
      <w:r>
        <w:rPr>
          <w:rFonts w:ascii="Times New Roman" w:hAnsi="Times New Roman"/>
          <w:b/>
          <w:i/>
          <w:sz w:val="20"/>
        </w:rPr>
        <w:t>Capital Gains and Losses.</w:t>
      </w:r>
      <w:r>
        <w:rPr>
          <w:rFonts w:ascii="Times New Roman" w:hAnsi="Times New Roman"/>
          <w:sz w:val="20"/>
        </w:rPr>
        <w:t xml:space="preserve"> A taxpayer generally must hold a capital asset for more than one year for gain or loss derived from its sale or exchange 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Redemption of Preferred Shares for Cash.</w:t>
      </w:r>
      <w:r>
        <w:rPr>
          <w:rFonts w:ascii="Times New Roman" w:hAnsi="Times New Roman"/>
          <w:sz w:val="20"/>
        </w:rPr>
        <w:t xml:space="preserve"> The treatment accorded to any redemption by us for cash (as distinguished from a sale, exchange or other 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 </w:t>
      </w:r>
    </w:p>
    <w:p>
      <w:pPr>
        <w:pStyle w:val="TextBody"/>
        <w:bidi w:val="0"/>
        <w:spacing w:before="240" w:after="0"/>
        <w:jc w:val="left"/>
        <w:rPr>
          <w:rFonts w:ascii="Times New Roman" w:hAnsi="Times New Roman"/>
          <w:sz w:val="20"/>
        </w:rPr>
      </w:pPr>
      <w:r>
        <w:rPr>
          <w:rFonts w:ascii="Times New Roman" w:hAnsi="Times New Roman"/>
          <w:sz w:val="20"/>
        </w:rPr>
        <w:t xml:space="preserve">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 </w:t>
      </w:r>
    </w:p>
    <w:p>
      <w:pPr>
        <w:pStyle w:val="TextBody"/>
        <w:bidi w:val="0"/>
        <w:spacing w:before="240" w:after="0"/>
        <w:jc w:val="left"/>
        <w:rPr>
          <w:rFonts w:ascii="Times New Roman" w:hAnsi="Times New Roman"/>
          <w:sz w:val="20"/>
        </w:rPr>
      </w:pPr>
      <w:r>
        <w:rPr>
          <w:rFonts w:ascii="Times New Roman" w:hAnsi="Times New Roman"/>
          <w:sz w:val="20"/>
        </w:rPr>
        <w:t xml:space="preserve">Under previously proposed Treasury regulations, if any portion of the amount received by a taxable U.S. shareholder on a redemption of our preferred shares is treated as a distribution with respect to our shares but not as a taxable dividend, then such portion would be allocated to all shares held by the taxable U.S. shareholder just before the redemption on a pro rata, share-by-share, basis. The amount applied to each share would first reduce the taxable U.S. shareholders basis in that share and any excess after the basis is reduced to zero would result in taxable gain. If the holder had a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permitted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As of March 28, 2019, these proposed Treasury regulations have been withdrawn. As a result, the treatment of adjustments to basis of a taxable U.S. shareholders preferred shares with respect to amounts treated as a distribution with respect to preferred shares, but not a dividend, as well as the treatment of the basis of any unredeemed shares, may be less certain. We urge you to consult your tax advisor concerning the treatment of a cash redemption of our preferred shares. </w:t>
      </w:r>
    </w:p>
    <w:p>
      <w:pPr>
        <w:pStyle w:val="TextBody"/>
        <w:bidi w:val="0"/>
        <w:spacing w:before="240" w:after="0"/>
        <w:jc w:val="left"/>
        <w:rPr>
          <w:rFonts w:ascii="Times New Roman" w:hAnsi="Times New Roman"/>
          <w:sz w:val="20"/>
        </w:rPr>
      </w:pPr>
      <w:r>
        <w:rPr>
          <w:rFonts w:ascii="Times New Roman" w:hAnsi="Times New Roman"/>
          <w:b/>
          <w:i/>
          <w:sz w:val="20"/>
        </w:rPr>
        <w:t>Redemption or Conversion of Preferred Shares to Common Shares.</w:t>
      </w:r>
      <w:r>
        <w:rPr>
          <w:rFonts w:ascii="Times New Roman" w:hAnsi="Times New Roman"/>
          <w:sz w:val="20"/>
        </w:rPr>
        <w:t xml:space="preserve"> Assuming that preferred shares will not be redeemed or converted at a time when 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 </w:t>
      </w:r>
    </w:p>
    <w:p>
      <w:pPr>
        <w:pStyle w:val="TextBody"/>
        <w:bidi w:val="0"/>
        <w:spacing w:before="240" w:after="0"/>
        <w:jc w:val="left"/>
        <w:rPr>
          <w:rFonts w:ascii="Times New Roman" w:hAnsi="Times New Roman"/>
          <w:sz w:val="20"/>
        </w:rPr>
      </w:pPr>
      <w:r>
        <w:rPr>
          <w:rFonts w:ascii="Times New Roman" w:hAnsi="Times New Roman"/>
          <w:sz w:val="20"/>
        </w:rPr>
        <w:t xml:space="preserve">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 </w:t>
      </w:r>
    </w:p>
    <w:p>
      <w:pPr>
        <w:pStyle w:val="TextBody"/>
        <w:bidi w:val="0"/>
        <w:spacing w:before="240" w:after="0"/>
        <w:jc w:val="left"/>
        <w:rPr>
          <w:rFonts w:ascii="Times New Roman" w:hAnsi="Times New Roman"/>
          <w:sz w:val="20"/>
        </w:rPr>
      </w:pPr>
      <w:r>
        <w:rPr>
          <w:rFonts w:ascii="Times New Roman" w:hAnsi="Times New Roman"/>
          <w:b/>
          <w:i/>
          <w:sz w:val="20"/>
        </w:rPr>
        <w:t>Adjustments to Conversion Price.</w:t>
      </w:r>
      <w:r>
        <w:rPr>
          <w:rFonts w:ascii="Times New Roman" w:hAnsi="Times New Roman"/>
          <w:sz w:val="20"/>
        </w:rPr>
        <w:t> Under Section 305 of the Code, holders of preferred shares may be deemed to have received a constructive 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Times New Roman" w:hAnsi="Times New Roman"/>
          <w:i/>
          <w:sz w:val="20"/>
        </w:rPr>
        <w:t>bona fide</w:t>
      </w:r>
      <w:r>
        <w:rPr>
          <w:rFonts w:ascii="Times New Roman" w:hAnsi="Times New Roman"/>
          <w:sz w:val="20"/>
        </w:rPr>
        <w:t>,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Times New Roman" w:hAnsi="Times New Roman"/>
          <w:i/>
          <w:sz w:val="20"/>
        </w:rPr>
        <w:t>bona fide</w:t>
      </w:r>
      <w:r>
        <w:rPr>
          <w:rFonts w:ascii="Times New Roman" w:hAnsi="Times New Roman"/>
          <w:sz w:val="20"/>
        </w:rPr>
        <w:t xml:space="preserve">, reasonable adjustment formula. In such a case, if a nonqualifying adjustment were made, the holders of preferred shares might be deemed to have received a taxable share dividend. </w:t>
      </w:r>
    </w:p>
    <w:p>
      <w:pPr>
        <w:pStyle w:val="TextBody"/>
        <w:bidi w:val="0"/>
        <w:spacing w:before="240" w:after="0"/>
        <w:jc w:val="left"/>
        <w:rPr>
          <w:rFonts w:ascii="Times New Roman" w:hAnsi="Times New Roman"/>
          <w:sz w:val="20"/>
        </w:rPr>
      </w:pPr>
      <w:r>
        <w:rPr>
          <w:rFonts w:ascii="Times New Roman" w:hAnsi="Times New Roman"/>
          <w:b/>
          <w:i/>
          <w:sz w:val="20"/>
        </w:rPr>
        <w:t>Passive Activity and Investment Income Limitations.</w:t>
      </w:r>
      <w:r>
        <w:rPr>
          <w:rFonts w:ascii="Times New Roman" w:hAnsi="Times New Roman"/>
          <w:sz w:val="20"/>
        </w:rPr>
        <w:t xml:space="preserve"> Distributions from us and gain from the disposition of our common or preferred shares will not 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 </w:t>
      </w:r>
    </w:p>
    <w:p>
      <w:pPr>
        <w:pStyle w:val="TextBody"/>
        <w:bidi w:val="0"/>
        <w:spacing w:before="240" w:after="0"/>
        <w:jc w:val="left"/>
        <w:rPr>
          <w:rFonts w:ascii="Times New Roman" w:hAnsi="Times New Roman"/>
          <w:sz w:val="20"/>
        </w:rPr>
      </w:pPr>
      <w:r>
        <w:rPr>
          <w:rFonts w:ascii="Times New Roman" w:hAnsi="Times New Roman"/>
          <w:b/>
          <w:i/>
          <w:sz w:val="20"/>
        </w:rPr>
        <w:t>Medicare Tax on Unearned Income.</w:t>
      </w:r>
      <w:r>
        <w:rPr>
          <w:rFonts w:ascii="Times New Roman" w:hAnsi="Times New Roman"/>
          <w:sz w:val="20"/>
        </w:rPr>
        <w:t xml:space="preserve"> Certain taxable U.S. shareholders who are individuals, estates or trusts are subject to a 3.8% Medicare tax on 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 </w:t>
      </w:r>
    </w:p>
    <w:p>
      <w:pPr>
        <w:pStyle w:val="TextBody"/>
        <w:bidi w:val="0"/>
        <w:spacing w:before="240" w:after="0"/>
        <w:jc w:val="left"/>
        <w:rPr>
          <w:rFonts w:ascii="Times New Roman" w:hAnsi="Times New Roman"/>
          <w:sz w:val="20"/>
        </w:rPr>
      </w:pPr>
      <w:r>
        <w:rPr>
          <w:rFonts w:ascii="Times New Roman" w:hAnsi="Times New Roman"/>
          <w:b/>
          <w:i/>
          <w:sz w:val="20"/>
        </w:rPr>
        <w:t>Current Tax Rates.</w:t>
      </w:r>
      <w:r>
        <w:rPr>
          <w:rFonts w:ascii="Times New Roman" w:hAnsi="Times New Roman"/>
          <w:sz w:val="20"/>
        </w:rPr>
        <w:t xml:space="preserve"> The maximum tax rate on the long-term capital gains of domestic non-corporate taxpayers is 20%. The maximum tax rate on qualified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prior to 2026, generally non-corporate shareholders are allowed to deduct 20% of the aggregate amount of ordinary dividends distributed by us for purposes of determining their U.S. federal income tax (but not for purposes of the 3.8% Medicare tax),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Further, with respect to non-corporate taxpayers, the lower qualified dividend income/capital gains tax rate (at a maximum of 20%) does generally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shareholders long-term capital gain, if any, recognized on the disposition of 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we designate as long-term capital gain dividends (except to the extent attributable to real estate depreciation, in which case the 25% tax rate applies);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attributable to dividends we receive from non-REIT corporations (including our taxable REIT subsidiaries);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the extent attributable to income upon which we have paid corporate tax (for example, the tax we would pay if we distributed less than all of our taxable REIT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to qualify for the reduced tax rate on qualified dividend income, a shareholder must hold our shares for more than 60 days during the 121-day period beginning on the date that is 60 days before the date on which our shares become ex-dividend. </w:t>
      </w:r>
    </w:p>
    <w:p>
      <w:pPr>
        <w:pStyle w:val="TextBody"/>
        <w:bidi w:val="0"/>
        <w:spacing w:before="240" w:after="0"/>
        <w:jc w:val="left"/>
        <w:rPr>
          <w:rFonts w:ascii="Times New Roman" w:hAnsi="Times New Roman"/>
          <w:sz w:val="20"/>
        </w:rPr>
      </w:pPr>
      <w:r>
        <w:rPr>
          <w:rFonts w:ascii="Times New Roman" w:hAnsi="Times New Roman"/>
          <w:b/>
          <w:i/>
          <w:sz w:val="20"/>
        </w:rPr>
        <w:t>Information Reporting and Backup Withholding.</w:t>
      </w:r>
      <w:r>
        <w:rPr>
          <w:rFonts w:ascii="Times New Roman" w:hAnsi="Times New Roman"/>
          <w:sz w:val="20"/>
        </w:rPr>
        <w:t xml:space="preserve"> Taxable U.S. shareholders that are exempt recipients (such as corporations) generally will not be 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Tax-Exempt U.S. Shareholders </w:t>
      </w:r>
    </w:p>
    <w:p>
      <w:pPr>
        <w:pStyle w:val="TextBody"/>
        <w:bidi w:val="0"/>
        <w:spacing w:before="120" w:after="0"/>
        <w:jc w:val="left"/>
        <w:rPr>
          <w:rFonts w:ascii="Times New Roman" w:hAnsi="Times New Roman"/>
          <w:sz w:val="20"/>
        </w:rPr>
      </w:pPr>
      <w:r>
        <w:rPr>
          <w:rFonts w:ascii="Times New Roman" w:hAnsi="Times New Roman"/>
          <w:sz w:val="20"/>
        </w:rPr>
        <w:t xml:space="preserve">Tax-exempt entities, including qualified employee pension and profit-sharing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and supplemental unemployment benefit trusts that are exempt from taxation under paragraphs (7), (9), and (17),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UBTI Percentage is at least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qualify as a REIT by reason of the modification of the 5/50 Rule that allows the beneficiaries of the pension trust to be treated as holding our shares in proportion to their actuarial interests in the pension trust;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a pension-held REIT (i.e., either (1) one pension trust owns more than 25% of the value of our shares or (2) a group of pension trusts individually holding more than 10% of the value of our shares collectively owns more than 50% of the value of our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Taxation of Non-U.S.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This discussion also does not address the tax treatment of any conversion or exchange of notes into our shares for persons who would become non-U.S. shareholders upon such conversion or exchange. Such persons are urged to consult their tax advisors regarding the U.S. income tax treatment of such a conversion or exchange. As used herein, the term non-U.S. shareholder means any taxable beneficial owner of our shares (other than a partnership or entity that is treated as a partnership for U.S. federal income tax purposes) that is not a taxable U.S. shareholder or exempt organization. </w:t>
      </w:r>
    </w:p>
    <w:p>
      <w:pPr>
        <w:pStyle w:val="TextBody"/>
        <w:bidi w:val="0"/>
        <w:spacing w:before="240" w:after="0"/>
        <w:jc w:val="left"/>
        <w:rPr>
          <w:rFonts w:ascii="Times New Roman" w:hAnsi="Times New Roman"/>
          <w:sz w:val="20"/>
        </w:rPr>
      </w:pPr>
      <w:r>
        <w:rPr>
          <w:rFonts w:ascii="Times New Roman" w:hAnsi="Times New Roman"/>
          <w:b/>
          <w:i/>
          <w:sz w:val="20"/>
        </w:rPr>
        <w:t>Ordinary Dividends.</w:t>
      </w:r>
      <w:r>
        <w:rPr>
          <w:rFonts w:ascii="Times New Roman" w:hAnsi="Times New Roman"/>
          <w:sz w:val="20"/>
        </w:rPr>
        <w:t xml:space="preserve"> A non-U.S. shareholder that receives a distribution that is not attributable to gain from our sale or exchange of U.S. real 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 </w:t>
      </w:r>
    </w:p>
    <w:p>
      <w:pPr>
        <w:pStyle w:val="TextBody"/>
        <w:bidi w:val="0"/>
        <w:spacing w:before="240" w:after="0"/>
        <w:jc w:val="left"/>
        <w:rPr>
          <w:rFonts w:ascii="Times New Roman" w:hAnsi="Times New Roman"/>
          <w:sz w:val="20"/>
        </w:rPr>
      </w:pPr>
      <w:r>
        <w:rPr>
          <w:rFonts w:ascii="Times New Roman" w:hAnsi="Times New Roman"/>
          <w:b/>
          <w:i/>
          <w:sz w:val="20"/>
        </w:rPr>
        <w:t>Return of Capital</w:t>
      </w:r>
      <w:r>
        <w:rPr>
          <w:rFonts w:ascii="Times New Roman" w:hAnsi="Times New Roman"/>
          <w:sz w:val="20"/>
        </w:rPr>
        <w:t xml:space="preserve">. A non-U.S. shareholder will not incur tax on a distribution to the extent it exceeds our current and accumulated earnings and profits 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 </w:t>
      </w:r>
    </w:p>
    <w:p>
      <w:pPr>
        <w:pStyle w:val="TextBody"/>
        <w:bidi w:val="0"/>
        <w:spacing w:before="240" w:after="0"/>
        <w:jc w:val="left"/>
        <w:rPr>
          <w:rFonts w:ascii="Times New Roman" w:hAnsi="Times New Roman"/>
          <w:sz w:val="20"/>
        </w:rPr>
      </w:pPr>
      <w:r>
        <w:rPr>
          <w:rFonts w:ascii="Times New Roman" w:hAnsi="Times New Roman"/>
          <w:b/>
          <w:i/>
          <w:sz w:val="20"/>
        </w:rPr>
        <w:t>Capital Gain Dividends.</w:t>
      </w:r>
      <w:r>
        <w:rPr>
          <w:rFonts w:ascii="Times New Roman" w:hAnsi="Times New Roman"/>
          <w:sz w:val="20"/>
        </w:rPr>
        <w:t xml:space="preserve"> Provided that a particular class of our shares is regularly traded on an established securities market in the United 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 </w:t>
      </w:r>
    </w:p>
    <w:p>
      <w:pPr>
        <w:pStyle w:val="TextBody"/>
        <w:bidi w:val="0"/>
        <w:spacing w:before="240" w:after="0"/>
        <w:jc w:val="left"/>
        <w:rPr>
          <w:rFonts w:ascii="Times New Roman" w:hAnsi="Times New Roman"/>
          <w:sz w:val="20"/>
        </w:rPr>
      </w:pPr>
      <w:r>
        <w:rPr>
          <w:rFonts w:ascii="Times New Roman" w:hAnsi="Times New Roman"/>
          <w:sz w:val="20"/>
        </w:rPr>
        <w:t xml:space="preserve">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on or after the designation, until the amount of distributions withheld at 21% equals the amount of the distribution designated as a capital gain dividend. A non-U.S. shareholder may receive a credit against its FIRPTA tax liability for the amount we withhold. </w:t>
      </w:r>
    </w:p>
    <w:p>
      <w:pPr>
        <w:pStyle w:val="TextBody"/>
        <w:bidi w:val="0"/>
        <w:spacing w:before="240" w:after="0"/>
        <w:jc w:val="left"/>
        <w:rPr>
          <w:rFonts w:ascii="Times New Roman" w:hAnsi="Times New Roman"/>
          <w:sz w:val="20"/>
        </w:rPr>
      </w:pPr>
      <w:r>
        <w:rPr>
          <w:rFonts w:ascii="Times New Roman" w:hAnsi="Times New Roman"/>
          <w:sz w:val="20"/>
        </w:rPr>
        <w:t xml:space="preserve">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 </w:t>
      </w:r>
    </w:p>
    <w:p>
      <w:pPr>
        <w:pStyle w:val="TextBody"/>
        <w:bidi w:val="0"/>
        <w:spacing w:before="240" w:after="0"/>
        <w:jc w:val="left"/>
        <w:rPr>
          <w:rFonts w:ascii="Times New Roman" w:hAnsi="Times New Roman"/>
          <w:sz w:val="20"/>
        </w:rPr>
      </w:pPr>
      <w:r>
        <w:rPr>
          <w:rFonts w:ascii="Times New Roman" w:hAnsi="Times New Roman"/>
          <w:b/>
          <w:i/>
          <w:sz w:val="20"/>
        </w:rPr>
        <w:t>Retention of Net Capital Gains.</w:t>
      </w:r>
      <w:r>
        <w:rPr>
          <w:rFonts w:ascii="Times New Roman" w:hAnsi="Times New Roman"/>
          <w:sz w:val="20"/>
        </w:rPr>
        <w:t xml:space="preserve"> Although the law is not clear on the matter, it appears that amounts we designate as retained capital gains in 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 </w:t>
      </w:r>
    </w:p>
    <w:p>
      <w:pPr>
        <w:pStyle w:val="TextBody"/>
        <w:bidi w:val="0"/>
        <w:spacing w:before="240" w:after="0"/>
        <w:jc w:val="left"/>
        <w:rPr>
          <w:rFonts w:ascii="Times New Roman" w:hAnsi="Times New Roman"/>
          <w:sz w:val="20"/>
        </w:rPr>
      </w:pPr>
      <w:r>
        <w:rPr>
          <w:rFonts w:ascii="Times New Roman" w:hAnsi="Times New Roman"/>
          <w:b/>
          <w:i/>
          <w:sz w:val="20"/>
        </w:rPr>
        <w:t>Sale of Shares</w:t>
      </w:r>
      <w:r>
        <w:rPr>
          <w:rFonts w:ascii="Times New Roman" w:hAnsi="Times New Roman"/>
          <w:sz w:val="20"/>
        </w:rPr>
        <w:t xml:space="preserve">. A non-U.S. shareholder generally will not incur tax under FIRPTA on gain from the sale of its common or preferred shares as long as we are a domestically controlled REIT. A domestically controlled REIT is a REIT in which at all times during a specified testing period non-U.S.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 </w:t>
      </w:r>
    </w:p>
    <w:p>
      <w:pPr>
        <w:pStyle w:val="TextBody"/>
        <w:bidi w:val="0"/>
        <w:spacing w:before="240" w:after="0"/>
        <w:jc w:val="left"/>
        <w:rPr>
          <w:rFonts w:ascii="Times New Roman" w:hAnsi="Times New Roman"/>
          <w:sz w:val="20"/>
        </w:rPr>
      </w:pPr>
      <w:r>
        <w:rPr>
          <w:rFonts w:ascii="Times New Roman" w:hAnsi="Times New Roman"/>
          <w:sz w:val="20"/>
        </w:rPr>
        <w:t xml:space="preserve">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 </w:t>
      </w:r>
    </w:p>
    <w:p>
      <w:pPr>
        <w:pStyle w:val="TextBody"/>
        <w:bidi w:val="0"/>
        <w:spacing w:before="240" w:after="0"/>
        <w:jc w:val="left"/>
        <w:rPr>
          <w:rFonts w:ascii="Times New Roman" w:hAnsi="Times New Roman"/>
          <w:sz w:val="20"/>
        </w:rPr>
      </w:pPr>
      <w:r>
        <w:rPr>
          <w:rFonts w:ascii="Times New Roman" w:hAnsi="Times New Roman"/>
          <w:b/>
          <w:i/>
          <w:sz w:val="20"/>
        </w:rPr>
        <w:t>Wash Sales.</w:t>
      </w:r>
      <w:r>
        <w:rPr>
          <w:rFonts w:ascii="Times New Roman" w:hAnsi="Times New Roman"/>
          <w:sz w:val="20"/>
        </w:rPr>
        <w:t xml:space="preserve"> In general, special wash sale rules apply if a shareholder owning more than 5% of our common or preferred shares avoids a taxable 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 </w:t>
      </w:r>
    </w:p>
    <w:p>
      <w:pPr>
        <w:pStyle w:val="TextBody"/>
        <w:bidi w:val="0"/>
        <w:spacing w:before="240" w:after="0"/>
        <w:jc w:val="left"/>
        <w:rPr>
          <w:rFonts w:ascii="Times New Roman" w:hAnsi="Times New Roman"/>
          <w:sz w:val="20"/>
        </w:rPr>
      </w:pPr>
      <w:r>
        <w:rPr>
          <w:rFonts w:ascii="Times New Roman" w:hAnsi="Times New Roman"/>
          <w:b/>
          <w:i/>
          <w:sz w:val="20"/>
        </w:rPr>
        <w:t>Conversion of Preferred Shares to Common Shares.</w:t>
      </w:r>
      <w:r>
        <w:rPr>
          <w:rFonts w:ascii="Times New Roman" w:hAnsi="Times New Roman"/>
          <w:sz w:val="20"/>
        </w:rPr>
        <w:t xml:space="preserve"> The conversion of preferred shares into our common shares may be a taxable exchange for a 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 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Non-U.S. shareholders should consult with their tax advisors regarding the federal income tax consequences of any transaction by which such non-U.S. shareholder exchanges our common shares received on a conversion of preferred shares for cash or other property. </w:t>
      </w:r>
    </w:p>
    <w:p>
      <w:pPr>
        <w:pStyle w:val="TextBody"/>
        <w:bidi w:val="0"/>
        <w:spacing w:before="240" w:after="0"/>
        <w:jc w:val="left"/>
        <w:rPr>
          <w:rFonts w:ascii="Times New Roman" w:hAnsi="Times New Roman"/>
          <w:sz w:val="20"/>
        </w:rPr>
      </w:pPr>
      <w:r>
        <w:rPr>
          <w:rFonts w:ascii="Times New Roman" w:hAnsi="Times New Roman"/>
          <w:b/>
          <w:i/>
          <w:sz w:val="20"/>
        </w:rPr>
        <w:t>Information Reporting and Backup Withholding.</w:t>
      </w:r>
      <w:r>
        <w:rPr>
          <w:rFonts w:ascii="Times New Roman" w:hAnsi="Times New Roman"/>
          <w:sz w:val="20"/>
        </w:rPr>
        <w:t xml:space="preserve"> We must report annually to the IRS and to each non-U.S. shareholder the amount of 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United States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United States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derives 50% or more of its gross income for a specified three-year period from the conduct of a trade or business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controlled foreign corporation (generally, a foreign corporation controlled by stockholders that are United States persons) for U.S. tax purposes;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a foreign partnership, if at any time during its tax year more than 50% of its income or capital interests are held by United States persons or if it is engaged in the conduct of a trade or business 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 </w:t>
      </w:r>
    </w:p>
    <w:p>
      <w:pPr>
        <w:pStyle w:val="TextBody"/>
        <w:bidi w:val="0"/>
        <w:spacing w:before="240" w:after="0"/>
        <w:jc w:val="left"/>
        <w:rPr>
          <w:rFonts w:ascii="Times New Roman" w:hAnsi="Times New Roman"/>
          <w:sz w:val="20"/>
        </w:rPr>
      </w:pPr>
      <w:r>
        <w:rPr>
          <w:rFonts w:ascii="Times New Roman" w:hAnsi="Times New Roman"/>
          <w:b/>
          <w:i/>
          <w:sz w:val="20"/>
        </w:rPr>
        <w:t>Reporting and Withholding on Foreign Financial Accounts.</w:t>
      </w:r>
      <w:r>
        <w:rPr>
          <w:rFonts w:ascii="Times New Roman" w:hAnsi="Times New Roman"/>
          <w:sz w:val="20"/>
        </w:rPr>
        <w:t xml:space="preserve"> Under sections 1471 through 1474 of the Code, Treasury regulations and related guidance (commonly referred to as FATCA), a 30% U.S. withholding tax will be imposed in certain circumstances on payments of (i) dividends on the shares and (ii) subject to the proposed Treasury regulations discussed below, gross proceeds from the sale or other disposition of the shares. Proposed Treasury regulations would, when finalized, eliminate FATCA withholding on the gross proceeds from a sale or other disposition of instruments, such as the shares, that produce withholdable payments. In the preamble to such proposed Treasury regulations, the IRS stated that taxpayers and withholding agents may generally rely on the proposed Treasury regulations until final Treasury regulations are issued.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shares are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dividends on the shares or other payments in respect of the shares,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shares. </w:t>
      </w:r>
    </w:p>
    <w:p>
      <w:pPr>
        <w:pStyle w:val="TextBody"/>
        <w:bidi w:val="0"/>
        <w:spacing w:before="360" w:after="0"/>
        <w:jc w:val="left"/>
        <w:rPr>
          <w:rFonts w:ascii="Times New Roman" w:hAnsi="Times New Roman"/>
          <w:b/>
          <w:sz w:val="20"/>
        </w:rPr>
      </w:pPr>
      <w:r>
        <w:rPr>
          <w:rFonts w:ascii="Times New Roman" w:hAnsi="Times New Roman"/>
          <w:b/>
          <w:sz w:val="20"/>
        </w:rPr>
        <w:t xml:space="preserve">Tax Aspects of Our Investments in the Partnership and Subsidiary Partnerships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summarizes certain federal income tax considerations applicable to our direct or indirect investments in the Partnership and the Subsidiary Partnerships. As described above under Taxation of the Company  Requirements for REIT Qualification, the Partnership (but not the Subsidiary Partnerships) currently is a disregarded entity for federal income tax purposes. Accordingly, the discussion below initially only applies to the Subsidiary Partnerships and references to the Partnership should not be taken into account. Once the Partnership admits one or more partners that are not disregarded entities of ours, the discussion below will also apply to the Partnership. Also, the discussion below does not cover state or local tax laws or any federal tax laws other than income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Classification as Partnerships.</w:t>
      </w:r>
      <w:r>
        <w:rPr>
          <w:rFonts w:ascii="Times New Roman" w:hAnsi="Times New Roman"/>
          <w:sz w:val="20"/>
        </w:rPr>
        <w:t xml:space="preserve"> We are entitled to include in our income our distributive share of the Partnerships and Subsidiary Partnerships income and to deduct our distributive share of the Partnerships and Subsidiary Partnerships losses only if the applicable partnership is classified for federal income tax purposes as a partnership rather than as a corporation or association taxable as a corporation. An organization will be classified as a partnership, rather than as a corporation, for federal income tax purposes if it (1) is treated as a partnership under Treasury regulations, effective January 1, 1997, relating to entity classification (the check-the-box regulations) and (2) is not a publicly traded partnership. </w:t>
      </w:r>
    </w:p>
    <w:p>
      <w:pPr>
        <w:pStyle w:val="TextBody"/>
        <w:bidi w:val="0"/>
        <w:spacing w:before="240" w:after="0"/>
        <w:jc w:val="left"/>
        <w:rPr>
          <w:rFonts w:ascii="Times New Roman" w:hAnsi="Times New Roman"/>
          <w:sz w:val="20"/>
        </w:rPr>
      </w:pPr>
      <w:r>
        <w:rPr>
          <w:rFonts w:ascii="Times New Roman" w:hAnsi="Times New Roman"/>
          <w:sz w:val="20"/>
        </w:rPr>
        <w:t xml:space="preserve">Under the check-the-box regulations, an unincorporated entity with at least two members may elect to be classified either as an association taxable as a corporation or as a partnership. If such an entity fails to make an election, it generally will be treated as a partnership for federal income tax purposes. We believe that the Partnership (once it admits one or more partners that are not disregarded entities of ours) and its Subsidiary Partnerships will be classified as partnerships for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A publicly traded partnership is a partnership whose interests are traded on an established securities market or are readily tradable on a secondary market (or the substantial equivalent thereof). While the Partnership units will not be traded on an established securities market, they could possibly be deemed to be traded on a secondary market or its equivalent due to the redemption rights enabling the limited partners to dispose of their units. A publicly traded partnership will not, however, be treated as a corporation for any taxable year if 90% or more of the partnerships gross income for such year consists of certain passive-type income, including (as may be relevant here) real property rents, gains from the sale or other disposition of real property, interest, and dividends (the 90% Passive Income Exception). The income requirements applicable to us in order for us to qualify as a REIT under the Code and the definition of qualifying income under the Passive Income Exception are very similar. Although differences exist between these two income tests, we do not believe that these differences would cause the Partnership not to satisfy the 90% Passive Income Exception applicable to publicly traded partnerships. </w:t>
      </w:r>
    </w:p>
    <w:p>
      <w:pPr>
        <w:pStyle w:val="TextBody"/>
        <w:bidi w:val="0"/>
        <w:spacing w:before="240" w:after="0"/>
        <w:jc w:val="left"/>
        <w:rPr>
          <w:rFonts w:ascii="Times New Roman" w:hAnsi="Times New Roman"/>
          <w:sz w:val="20"/>
        </w:rPr>
      </w:pPr>
      <w:r>
        <w:rPr>
          <w:rFonts w:ascii="Times New Roman" w:hAnsi="Times New Roman"/>
          <w:sz w:val="20"/>
        </w:rPr>
        <w:t xml:space="preserve">Treasury has issued regulations (the PTP Regulations) that provide limited safe harbors from the definition of a publicly traded partnership. Pursuant to one of those safe harbors (the Private Placement Exclusion), interests in a partnership will not be treated as readily tradable on a secondary market or the substantial equivalent thereof if (i) all interests in the partnership were issued in a transaction (or transactions) that was not required to be registered under the Securities Act, and (ii) the partnership does not have more than 100 partners at any time during the partnerships taxable year. In determining the number of partners in a partnership, a person owning an interest in a flow-through entity (i.e., a partnership, grantor trust, or S corporation) that owns an interest in the partnership is treated as a partner in such partnership only if (i) substantially all of the value of the owners interest in the flow-through entity is attributable to the flow-through entitys interest (direct or indirect) in the partnership and (ii) a principal purpose of the use of the flow-through entity is to permit the partnership to satisfy the 100-partner limitation.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agreement has provisions intended to facilitate and permit us to take actions to avoid loss of the Private Placement Exclusion. We believe that the Partnership, from the point it is treated as a regarded entity, will qualify for the Private Placement Exclusion and thereafter intends to qualify for the Private Placement Exclusion unless it qualifies for another safe harbor or the 90% Passive Income Exception as described below. It is possible, however, that in the future the Partnership might not qualify for the Private Placement Exclusion.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Partnership is considered a publicly traded partnership under the PTP Regulations because it is deemed to have more than 100 partners, the Partnership would need to qualify under another safe harbor in the PTP Regulations or for the 90% Passive Income Exception. We believe that the Partnership will qualify for another safe harbor in the PTP Regulations or for the 90% Passive Income Exception. It is possible, however, that in the future the Partnership might not qualify for one of these exceptions. </w:t>
      </w:r>
    </w:p>
    <w:p>
      <w:pPr>
        <w:pStyle w:val="TextBody"/>
        <w:bidi w:val="0"/>
        <w:spacing w:before="240" w:after="0"/>
        <w:jc w:val="left"/>
        <w:rPr>
          <w:rFonts w:ascii="Times New Roman" w:hAnsi="Times New Roman"/>
          <w:sz w:val="20"/>
        </w:rPr>
      </w:pPr>
      <w:r>
        <w:rPr>
          <w:rFonts w:ascii="Times New Roman" w:hAnsi="Times New Roman"/>
          <w:sz w:val="20"/>
        </w:rPr>
        <w:t xml:space="preserve">If, however, for any reason the Partnership were taxable as a corporation, rather than as a partnership, for federal income tax purposes, we would not be able to qualify as a REIT. See Requirements for REIT QualificationIncome Tests and Requirements for REIT QualificationAsset Tests. In addition, any change in the Partnerships status for tax purposes might be treated as a taxable event, in which case we might incur tax liability without any related cash distribution. See Requirements for REIT QualificationDistribution Requirements. Further, items of income and deduction of the Partnership would not pass through to its partners, and its partners would be treated as shareholders for tax purposes. Consequently, the Partnership would be required to pay income tax at corporate tax rates on its net income, and distributions to its partners would constitute dividends that would not be deductible in computing such Partnerships taxable income. </w:t>
      </w:r>
    </w:p>
    <w:p>
      <w:pPr>
        <w:pStyle w:val="TextBody"/>
        <w:bidi w:val="0"/>
        <w:spacing w:before="240" w:after="0"/>
        <w:jc w:val="left"/>
        <w:rPr>
          <w:rFonts w:ascii="Times New Roman" w:hAnsi="Times New Roman"/>
          <w:sz w:val="20"/>
        </w:rPr>
      </w:pPr>
      <w:r>
        <w:rPr>
          <w:rFonts w:ascii="Times New Roman" w:hAnsi="Times New Roman"/>
          <w:b/>
          <w:i/>
          <w:sz w:val="20"/>
        </w:rPr>
        <w:t>Partners, Not the Partnership, Subject to Tax.</w:t>
      </w:r>
      <w:r>
        <w:rPr>
          <w:rFonts w:ascii="Times New Roman" w:hAnsi="Times New Roman"/>
          <w:sz w:val="20"/>
        </w:rPr>
        <w:t xml:space="preserve"> The partners of the Partnership are subject to taxation. Except as discussed below in Revised Partnership Audit Rules, the Partnership itself is not a taxable entity for federal income tax purposes. Rather, we are required to take into account our allocable share of the Partnerships income, gains, losses, deductions and credits for any taxable year of the Partnership ending during our taxable year, without regard to whether we have received or will receive any distribution from the Partnership. </w:t>
      </w:r>
    </w:p>
    <w:p>
      <w:pPr>
        <w:pStyle w:val="TextBody"/>
        <w:bidi w:val="0"/>
        <w:spacing w:before="240" w:after="0"/>
        <w:jc w:val="left"/>
        <w:rPr>
          <w:rFonts w:ascii="Times New Roman" w:hAnsi="Times New Roman"/>
          <w:sz w:val="20"/>
        </w:rPr>
      </w:pPr>
      <w:r>
        <w:rPr>
          <w:rFonts w:ascii="Times New Roman" w:hAnsi="Times New Roman"/>
          <w:b/>
          <w:i/>
          <w:sz w:val="20"/>
        </w:rPr>
        <w:t>Partnership Allocations</w:t>
      </w:r>
      <w:r>
        <w:rPr>
          <w:rFonts w:ascii="Times New Roman" w:hAnsi="Times New Roman"/>
          <w:sz w:val="20"/>
        </w:rPr>
        <w:t xml:space="preserve">. Although a partnership agreement generally will determine the allocation of income and losses among partners, such allocations will be disregarded for tax purposes if they do not comply with the provisions of Section 704(b) of the Code and the Treasury regulations promulgated thereunder. If an allocation is not recognized for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 respect to such item. The Partnerships allocations of taxable income, gain and loss are intended to comply with the requirements of Section 704(b) of the Code and the Treasury regulations promulgated thereunder. </w:t>
      </w:r>
    </w:p>
    <w:p>
      <w:pPr>
        <w:pStyle w:val="TextBody"/>
        <w:bidi w:val="0"/>
        <w:spacing w:before="240" w:after="0"/>
        <w:jc w:val="left"/>
        <w:rPr>
          <w:rFonts w:ascii="Times New Roman" w:hAnsi="Times New Roman"/>
          <w:sz w:val="20"/>
        </w:rPr>
      </w:pPr>
      <w:r>
        <w:rPr>
          <w:rFonts w:ascii="Times New Roman" w:hAnsi="Times New Roman"/>
          <w:b/>
          <w:i/>
          <w:sz w:val="20"/>
        </w:rPr>
        <w:t>Tax Allocations with Respect to Contributed Properties</w:t>
      </w:r>
      <w:r>
        <w:rPr>
          <w:rFonts w:ascii="Times New Roman" w:hAnsi="Times New Roman"/>
          <w:sz w:val="20"/>
        </w:rPr>
        <w:t xml:space="preserve">. Pursuant to Section 704(c) of the Code, income, gain, loss and 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of contributed property at the time of contribution and the adjusted tax basis of such property at the time of contribution (a Book-Tax Difference). Such allocations are solely for federal income tax purposes and do not affect the book capital accounts or other economic or legal arrangements among the partners. The Partnership, once regarded, will be deemed to be formed by way of contributions of appreciated property. Consequently, the Partnerships partnership agreement requires such allocations to be made in a manner permitted under Section 704(c)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general, the partners who contribute property to the Partnership will be allocated depreciation deductions for tax purposes which are lower than such deductions would be if determined on a pro rata basis. In addition, in the event of the disposition of any of the contributed assets (including our properties) which have a Book-Tax Difference, all gain attributable to such Book-Tax Difference (to the extent not previously taken into account) will generally be allocated to the contributing partners, including us, and other partners will generally be allocated only their share of gain attributable to appreciation, if any, occurring after such contribution. This will tend to eliminate the Book-Tax Difference over the life of the Partnership. However, the special allocation rules of Section 704(c) do not always entirely eliminate the Book-Tax Difference on an annual basis or with respect to a specific taxable transaction such as a sale. Thus, the carryover basis of the contributed assets in the hands of the Partnership may cause us to be allocated lower depreciation and other deductions, and possibly an amount of taxable income in the event of a sale of such contributed assets in excess of the economic or book income allocated to us as a result of such sale. </w:t>
      </w:r>
    </w:p>
    <w:p>
      <w:pPr>
        <w:pStyle w:val="TextBody"/>
        <w:bidi w:val="0"/>
        <w:spacing w:before="240" w:after="0"/>
        <w:jc w:val="left"/>
        <w:rPr>
          <w:rFonts w:ascii="Times New Roman" w:hAnsi="Times New Roman"/>
          <w:sz w:val="20"/>
        </w:rPr>
      </w:pPr>
      <w:r>
        <w:rPr>
          <w:rFonts w:ascii="Times New Roman" w:hAnsi="Times New Roman"/>
          <w:sz w:val="20"/>
        </w:rPr>
        <w:t xml:space="preserve">A Book-Tax Difference may also arise as a result of the revaluation of property owned by the Partnership in connection with certain types of transactions, including in connection with certain non-pro rata contributions or distributions of assets by the Partnership in exchange for interests in the Partnership. In the event of such a revaluation, the partners (including us) who were partners in the Partnership immediately prior to the revaluation will be required to take any Book-Tax Difference created as a result of such revaluation into account in substantially the same manner as under the Section 704(c) rules discussed above. This would result in us being allocated income, gain, loss and deduction for tax purposes in amounts different than the economic or book income allocated to us by the Partnership.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application of Section 704(c) to the Partnership may cause us to recognize taxable income in excess of cash proceeds, which might adversely affect our ability to comply with the REIT distribution requirements. See Requirements for REIT QualificationDistribution Requirements. The foregoing principles also apply in determining our earnings and profits for purposes of determining the portion of distributions taxable as dividend income. The application of these rules over time may result in a higher portion of distributions being taxed as dividends than would have occurred had we purchased the contributed or revalued assets at their agreed values. </w:t>
      </w:r>
    </w:p>
    <w:p>
      <w:pPr>
        <w:pStyle w:val="TextBody"/>
        <w:bidi w:val="0"/>
        <w:spacing w:before="240" w:after="0"/>
        <w:jc w:val="left"/>
        <w:rPr>
          <w:rFonts w:ascii="Times New Roman" w:hAnsi="Times New Roman"/>
          <w:sz w:val="20"/>
        </w:rPr>
      </w:pPr>
      <w:r>
        <w:rPr>
          <w:rFonts w:ascii="Times New Roman" w:hAnsi="Times New Roman"/>
          <w:sz w:val="20"/>
        </w:rPr>
        <w:t xml:space="preserve">Treasury has issued regulations requiring partnerships to use a reasonable method for allocating items affected by Section 704(c) of the Code and outlining several reasonable allocation methods. The general partner of the Partnership has the discretion to determine which of the methods of accounting for Book-Tax Differences (specifically approved in the Treasury regulations) will be elected with respect to any properties contributed to or revalued by the Partnership. We have not determined which method of accounting for Book-Tax Differences will be elected for properties contributed to or revalued by the Partnership in the future. </w:t>
      </w:r>
    </w:p>
    <w:p>
      <w:pPr>
        <w:pStyle w:val="TextBody"/>
        <w:bidi w:val="0"/>
        <w:spacing w:before="240" w:after="0"/>
        <w:jc w:val="left"/>
        <w:rPr>
          <w:rFonts w:ascii="Times New Roman" w:hAnsi="Times New Roman"/>
          <w:sz w:val="20"/>
        </w:rPr>
      </w:pPr>
      <w:r>
        <w:rPr>
          <w:rFonts w:ascii="Times New Roman" w:hAnsi="Times New Roman"/>
          <w:b/>
          <w:i/>
          <w:sz w:val="20"/>
        </w:rPr>
        <w:t>Basis in Partnership Interest</w:t>
      </w:r>
      <w:r>
        <w:rPr>
          <w:rFonts w:ascii="Times New Roman" w:hAnsi="Times New Roman"/>
          <w:sz w:val="20"/>
        </w:rPr>
        <w:t xml:space="preserve">. Our adjusted tax basis in our partnership interest in the Partnership generally is equal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and the adjusted tax basis of any other property contributed by us to the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allocable share of the Partnerships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allocable share of debt of the Partnership;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but not below zero,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allocable share of the Partnerships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and the basis of any property distributed to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constructive distributions resulting from a reduction in our share of debt of the Partnership.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allocation of our distributive share of the Partnerships loss would reduce the adjusted tax basis of our partnership interest in the Partnership below zero, the recognition of such loss will be deferred until such time as the recognition of such loss would not reduce our adjusted tax basis below zero. To the extent that the Partnerships distributions, or any decrease in our share of the debt of the Partnership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will be characterized as capital gain (including Section 1250 depreciation recapture), and, if our interest in the Partnership has been held for longer than the long-term capital gain holding period (currently one year), the distributions and constructive distributions will constitute long-term capital gain. </w:t>
      </w:r>
    </w:p>
    <w:p>
      <w:pPr>
        <w:pStyle w:val="TextBody"/>
        <w:bidi w:val="0"/>
        <w:spacing w:before="240" w:after="0"/>
        <w:jc w:val="left"/>
        <w:rPr>
          <w:rFonts w:ascii="Times New Roman" w:hAnsi="Times New Roman"/>
          <w:sz w:val="20"/>
        </w:rPr>
      </w:pPr>
      <w:r>
        <w:rPr>
          <w:rFonts w:ascii="Times New Roman" w:hAnsi="Times New Roman"/>
          <w:b/>
          <w:i/>
          <w:sz w:val="20"/>
        </w:rPr>
        <w:t>Sale of the Partnerships Property.</w:t>
      </w:r>
      <w:r>
        <w:rPr>
          <w:rFonts w:ascii="Times New Roman" w:hAnsi="Times New Roman"/>
          <w:sz w:val="20"/>
        </w:rPr>
        <w:t xml:space="preserve"> Generally, any gain realized by the Partnership on the sale of property held by the Partnership for more than one year will be long-term capital gain, except for any portion of such gain that is treated as depreciation or cost recovery recapture. Any gain recognized by the Partnership on the disposition of contributed properties will be allocated first to the partners of the Partnership under Section 704(c) of the Code to the extent of their built-in gain on those properties for federal income tax purposes. The partners built-in gain on the contributed properties sold will equal the excess of the partners proportionate share of the book value of those properties over the partners tax basis allocable to those properties at the time of the contribution. Any remaining gain recognized by the Partnership on the disposition of the contributed properties, and any gain recognized by the Partnership on the disposition of the other properties, will be allocated among the partners in accordance with their respective percentage interests in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Our share of any gain realized by the Partnership on the sale of any property held by the Partnership (other than property held indirectly through a taxable REIT subsidiary) as inventory or other property held primarily for sale to customers in the ordinary course of the Partnerships trade or business will be treated as income from a prohibited transaction that is subject to a 100% penalty tax. Such prohibited transaction income also may have an adverse effect upon our ability to satisfy the income tests for REIT status. See Requirements for REIT QualificationIncome Tests. We, however, do not presently intend to allow the Partnership to acquire or hold any property (other than through a taxable REIT subsidiary) that represents inventory or other property held primarily for sale to customers in the ordinary course of our or the Partnerships trade or business.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Revised Partnership Audit Rules</w:t>
      </w:r>
      <w:r>
        <w:rPr>
          <w:rFonts w:ascii="Times New Roman" w:hAnsi="Times New Roman"/>
          <w:sz w:val="20"/>
        </w:rPr>
        <w:t xml:space="preserve">. Under partnership audit changes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issued regulations providing details on some of these provisions, but it is still not entirely clear how all of these new rules will be implemented. Accordingly, it is possible that in the future, we and/or any partnership in which we are a partner could be subject to, or otherwise bear the economic burden of, federal income tax, interest, and penalties resulting from a federal income tax audit even though we, as a REIT, may not otherwise have been required to pay additional corporate-level taxes as a result of an audit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Other Tax Considerations </w:t>
      </w:r>
    </w:p>
    <w:p>
      <w:pPr>
        <w:pStyle w:val="TextBody"/>
        <w:bidi w:val="0"/>
        <w:spacing w:before="120" w:after="0"/>
        <w:jc w:val="left"/>
        <w:rPr>
          <w:rFonts w:ascii="Times New Roman" w:hAnsi="Times New Roman"/>
          <w:sz w:val="20"/>
        </w:rPr>
      </w:pPr>
      <w:r>
        <w:rPr>
          <w:rFonts w:ascii="Times New Roman" w:hAnsi="Times New Roman"/>
          <w:b/>
          <w:i/>
          <w:sz w:val="20"/>
        </w:rPr>
        <w:t>State and Local Taxes.</w:t>
      </w:r>
      <w:r>
        <w:rPr>
          <w:rFonts w:ascii="Times New Roman" w:hAnsi="Times New Roman"/>
          <w:sz w:val="20"/>
        </w:rPr>
        <w:t xml:space="preserve"> We and/or you may be subject to state and local tax in various states and localities, including those states and localities in 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 </w:t>
      </w:r>
    </w:p>
    <w:p>
      <w:pPr>
        <w:pStyle w:val="TextBody"/>
        <w:bidi w:val="0"/>
        <w:spacing w:before="240" w:after="0"/>
        <w:jc w:val="left"/>
        <w:rPr>
          <w:rFonts w:ascii="Times New Roman" w:hAnsi="Times New Roman"/>
          <w:sz w:val="20"/>
        </w:rPr>
      </w:pPr>
      <w:r>
        <w:rPr>
          <w:rFonts w:ascii="Times New Roman" w:hAnsi="Times New Roman"/>
          <w:b/>
          <w:i/>
          <w:sz w:val="20"/>
        </w:rPr>
        <w:t>Changes to Tax Laws and Regulations.</w:t>
      </w:r>
      <w:r>
        <w:rPr>
          <w:rFonts w:ascii="Times New Roman" w:hAnsi="Times New Roman"/>
          <w:sz w:val="20"/>
        </w:rPr>
        <w:t xml:space="preserve"> The rules dealing with federal income taxation are subject to revision by the U.S. Congress, the IRS and the Treasury, and statutory changes, new regulations, revisions to existing regulations and revised interpretations of established concepts are issued frequently. In particular, additional legislation, implementing regulations, and other guidance may be enacted or promulgated with respect to the Tax Cuts and Jobs Act of 2017, the 2020 CARES Act, and other recent legislation. We cannot assure you that a change in law, including the possibility of major tax legislation in 2024 or later, possibly with retroactive application, will not alter significantly the tax considerations (including applicable tax rates) that we describe herein.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 </w:t>
      </w:r>
    </w:p>
    <w:p>
      <w:pPr>
        <w:pStyle w:val="TextBody"/>
        <w:bidi w:val="0"/>
        <w:spacing w:before="480" w:after="0"/>
        <w:jc w:val="center"/>
        <w:rPr>
          <w:rFonts w:ascii="Times New Roman" w:hAnsi="Times New Roman"/>
          <w:b/>
          <w:sz w:val="20"/>
        </w:rPr>
      </w:pPr>
      <w:bookmarkStart w:id="19" w:name="tx755152_9"/>
      <w:bookmarkEnd w:id="19"/>
      <w:r>
        <w:rPr>
          <w:rFonts w:ascii="Times New Roman" w:hAnsi="Times New Roman"/>
          <w:b/>
          <w:sz w:val="20"/>
        </w:rPr>
        <w:t xml:space="preserve">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 holders and the terms of the securities offered for resale, where applicable, will be set forth in a prospectus supplement, in a post-effective amendment or in filings we make with the SEC under the Exchange Act that are incorporated into this prospectus by reference. Selling security holders may be deemed to be underwriters in connection with the securities they resell and any profits on the resale may be deemed to be underwriting discounts and commissions under the Securities Act. The selling security holders will receive all the proceeds from the resale of our securities. We will not receive any proceeds from resales by selling security holders. </w:t>
      </w:r>
    </w:p>
    <w:p>
      <w:pPr>
        <w:pStyle w:val="TextBody"/>
        <w:bidi w:val="0"/>
        <w:spacing w:before="480" w:after="0"/>
        <w:jc w:val="center"/>
        <w:rPr>
          <w:rFonts w:ascii="Times New Roman" w:hAnsi="Times New Roman"/>
          <w:b/>
          <w:sz w:val="20"/>
        </w:rPr>
      </w:pPr>
      <w:bookmarkStart w:id="20" w:name="tx755152_10"/>
      <w:bookmarkEnd w:id="20"/>
      <w:r>
        <w:rPr>
          <w:rFonts w:ascii="Times New Roman" w:hAnsi="Times New Roman"/>
          <w:b/>
          <w:sz w:val="20"/>
        </w:rPr>
        <w:t xml:space="preserve">PLAN OF DISTRIBUTION </w:t>
      </w:r>
    </w:p>
    <w:p>
      <w:pPr>
        <w:pStyle w:val="TextBody"/>
        <w:bidi w:val="0"/>
        <w:spacing w:before="240" w:after="0"/>
        <w:jc w:val="left"/>
        <w:rPr>
          <w:rFonts w:ascii="Times New Roman" w:hAnsi="Times New Roman"/>
          <w:b/>
          <w:sz w:val="20"/>
        </w:rPr>
      </w:pPr>
      <w:r>
        <w:rPr>
          <w:rFonts w:ascii="Times New Roman" w:hAnsi="Times New Roman"/>
          <w:b/>
          <w:sz w:val="20"/>
        </w:rPr>
        <w:t xml:space="preserve">Sales by Us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being offered by this prospectus in one or more of the following ways from time to time: (1) through underwriters or dealers; (2) through agents; (3) in at the market offerings to or through a market maker or into an existing trading market or securities exchange or otherwise; (4) 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methods by which we may distribute securities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block trade (which may involve crosses) in which the dealer so engaged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dealer as principal and resale by such dealer for its account pursuant to this prospectus or any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 transactions and transactions in which the broker solicits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legally available means.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may be entitled, under agreements with us, to indemnification against and contribution toward certain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or may not be listed on a national securities exchange or traded in the over-the-counter market (other than the common shares and Series C depositary shares, which are quoted on the New York Stock Exchange). No assurance can be given as to the liquidity of the trading market for any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or agents and their affiliates may engage in transactions with and perform services for us or our affiliates in the ordinary course of their respective businesses. </w:t>
      </w:r>
    </w:p>
    <w:p>
      <w:pPr>
        <w:pStyle w:val="TextBody"/>
        <w:bidi w:val="0"/>
        <w:spacing w:before="360" w:after="0"/>
        <w:jc w:val="left"/>
        <w:rPr>
          <w:rFonts w:ascii="Times New Roman" w:hAnsi="Times New Roman"/>
          <w:b/>
          <w:sz w:val="20"/>
        </w:rPr>
      </w:pPr>
      <w:r>
        <w:rPr>
          <w:rFonts w:ascii="Times New Roman" w:hAnsi="Times New Roman"/>
          <w:b/>
          <w:sz w:val="20"/>
        </w:rPr>
        <w:t xml:space="preserve">Sales by Selling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 holders may resell or redistribute the securities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 holders (including, but not limited to, persons who receive securities from a named selling security holder as a gift, partnership distribution or other non-sale-related transfer after the date of this prospectus) may also use this prospectus and are included when we refer to selling security holders in this prospectus. The selling security holders may sell the securities by one or more of the following methods,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(which may include cross trades) in which the broker or dealer so engaged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 or dealer as principal and resales by the broker or dealer for its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or secondary distribution in accordance with the rules of any stock exchange on which the securities may be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offering at other than a fixed price on or through the facilities of any stock exchange on which the securities are listed or to or through a market-maker other than on that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directly or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on the securities, whether or the options are listed on an options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 of the securities by any security holder to its partners, members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agreements between a broker or dealer and any security holder to sell a specified number of the securities at a stipulated price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any of these methods of sale or distribution, or 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security holders may also transfer the securities by gift.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selling security holders may engage brokers and dealers, and any brokers or dealers may arrange for other brokers or dealers to participate in effecting sales of the securities. These brokers, dealers or underwriters may act as principals, or as an agent of a selling security holder. Broker-dealers may agree with a selling security holder to sell a specified number of the securities at a stipulated price per share. If the broker-dealer is unable to sell securities acting as agent for a selling security holder, it may purchase as principal any unsold securities at the stipulated price. Broker-dealers who acquire securities as principals may thereafter resell the securities from time to time in transactions on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one or more of the selling security holders may pledge, hypothecate or grant a security interest in some or all of the securities owned by them. The pledgees, secured parties or persons to whom the securities have been hypothecated will, upon foreclosure in the event of default, be deemed to be selling security holders. The number of a selling security holders securities offered under this prospectus will decrease as and when it takes such actions. The plan of distribution for that selling security holders securities will otherwise remain unchanged. In addition, a selling security holder may, from time to time, sell the securities short, and, in those instances, this prospectus may be delivered in connection with the short sales and the securities offered under this prospectus may be used to cover short sales.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 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A selling security holder may enter into hedging transactions with broker-dealers and the broker-dealers may engage in short sales of the securities in the course of hedging the positions they assume with that selling security holder, including, without limitation, in connection with distributions of the securities by those broker-dealers. A selling security holder may enter into option or other transactions with broker-dealers that involve the delivery of the securities offered hereby to the broker-dealers, who may then resell or otherwise transfer those securities. A selling security holder may also loan or pledge the securities offered hereby to a broker-dealer and the broker-dealer may sell the securities offered hereby so loaned or upon a default may sell or otherwise transfer the pledged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 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 holders and any other person. The anti-manipulation rules under the Exchange Act may apply to sales of securities in the market and to the activities of the selling security 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agree to indemnify the selling security 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 holders may agree to indemnify us, the other selling security holders and any underwriter or other person who participates in the offering of the securities, against specified liabilities arising from information provided by the selling security 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 holders may agree to indemnify any brokers, dealers or agents who participate in transactions involving sales of the securities against specified liabilities arising under the federal securities laws in connection with the offering and sale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not receive any proceeds from sales of any securities by the 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selling security holders will sell all or any portion of the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We will supply the selling security holders and any stock exchange upon which the securities are listed with reasonable quantities of copies of this prospectus. To the extent required by Rule 424 under the Securities Act in connection with any resale or redistribution by a selling security holder, we will file a prospectus supplement setting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securities to be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names of any underwriter, dealer or agent;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commissions, discounts, concessions, fees or other items constituting compensation to underwriters, dealers or agents with respect to the particular transaction (which may exceed customary commissions or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selling security holder notifies us that a material arrangement has been entered into with a broker-dealer for the sale of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 </w:t>
      </w:r>
    </w:p>
    <w:p>
      <w:pPr>
        <w:pStyle w:val="TextBody"/>
        <w:bidi w:val="0"/>
        <w:spacing w:before="480" w:after="0"/>
        <w:jc w:val="center"/>
        <w:rPr>
          <w:rFonts w:ascii="Times New Roman" w:hAnsi="Times New Roman"/>
          <w:b/>
          <w:sz w:val="20"/>
        </w:rPr>
      </w:pPr>
      <w:bookmarkStart w:id="21" w:name="tx755152_11"/>
      <w:bookmarkEnd w:id="2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 </w:t>
      </w:r>
    </w:p>
    <w:p>
      <w:pPr>
        <w:pStyle w:val="TextBody"/>
        <w:bidi w:val="0"/>
        <w:spacing w:before="480" w:after="0"/>
        <w:jc w:val="center"/>
        <w:rPr>
          <w:rFonts w:ascii="Times New Roman" w:hAnsi="Times New Roman"/>
          <w:b/>
          <w:sz w:val="20"/>
        </w:rPr>
      </w:pPr>
      <w:bookmarkStart w:id="22" w:name="tx755152_12"/>
      <w:bookmarkEnd w:id="2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audited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w:t>
      </w:r>
    </w:p>
    <w:p>
      <w:pPr>
        <w:pStyle w:val="TextBody"/>
        <w:bidi w:val="0"/>
        <w:spacing w:before="480" w:after="0"/>
        <w:jc w:val="center"/>
        <w:rPr>
          <w:rFonts w:ascii="Times New Roman" w:hAnsi="Times New Roman"/>
          <w:b/>
          <w:sz w:val="20"/>
        </w:rPr>
      </w:pPr>
      <w:bookmarkStart w:id="23" w:name="tx755152_13"/>
      <w:bookmarkEnd w:id="2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We file annual, quarterly and current reports, proxy statements and other information with the SEC. Our SEC filings are available to the public at the SECs website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by us with the SEC under Sections 13(a), 13(c), 14, or 15(d) of the Exchange Act from the date of this prospectus until the termination of the offering of the securities described in this prospectus or the expiration of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4">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12,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 on  </w:t>
            </w:r>
            <w:hyperlink r:id="rId5">
              <w:r>
                <w:rPr>
                  <w:rStyle w:val="InternetLink"/>
                  <w:rFonts w:ascii="Times New Roman" w:hAnsi="Times New Roman"/>
                  <w:sz w:val="20"/>
                </w:rPr>
                <w:t>Form 8-K</w:t>
              </w:r>
            </w:hyperlink>
            <w:r>
              <w:rPr>
                <w:rFonts w:ascii="Times New Roman" w:hAnsi="Times New Roman"/>
                <w:sz w:val="20"/>
              </w:rPr>
              <w:t xml:space="preserve"> filed with the SEC on January 11,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responsive to part III of our Annual Report on Form 10-K for the year ended December 31, 2022 provided in our definitive proxy statement on  </w:t>
            </w:r>
            <w:hyperlink r:id="rId6">
              <w:r>
                <w:rPr>
                  <w:rStyle w:val="InternetLink"/>
                  <w:rFonts w:ascii="Times New Roman" w:hAnsi="Times New Roman"/>
                  <w:sz w:val="20"/>
                </w:rPr>
                <w:t>Schedule 14A</w:t>
              </w:r>
            </w:hyperlink>
            <w:r>
              <w:rPr>
                <w:rFonts w:ascii="Times New Roman" w:hAnsi="Times New Roman"/>
                <w:sz w:val="20"/>
              </w:rPr>
              <w:t xml:space="preserve">, filed on March 24,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Description of the Companys common shares and Series C depositary shares contained in </w:t>
            </w:r>
            <w:hyperlink r:id="rId7">
              <w:r>
                <w:rPr>
                  <w:rStyle w:val="InternetLink"/>
                  <w:rFonts w:ascii="Times New Roman" w:hAnsi="Times New Roman"/>
                  <w:sz w:val="20"/>
                </w:rPr>
                <w:t>Exhibit 4.9</w:t>
              </w:r>
            </w:hyperlink>
            <w:r>
              <w:rPr>
                <w:rFonts w:ascii="Times New Roman" w:hAnsi="Times New Roman"/>
                <w:sz w:val="20"/>
              </w:rPr>
              <w:t xml:space="preserve"> to our Annual Report on Form 10-K filed with the SEC on February 12,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 </w:t>
      </w:r>
    </w:p>
    <w:p>
      <w:pPr>
        <w:pStyle w:val="TextBody"/>
        <w:bidi w:val="0"/>
        <w:spacing w:before="240" w:after="0"/>
        <w:jc w:val="left"/>
        <w:rPr>
          <w:rFonts w:ascii="Times New Roman" w:hAnsi="Times New Roman"/>
          <w:sz w:val="20"/>
        </w:rPr>
      </w:pPr>
      <w:r>
        <w:rPr>
          <w:rFonts w:ascii="Times New Roman" w:hAnsi="Times New Roman"/>
          <w:sz w:val="20"/>
        </w:rPr>
        <w:t>Copies of our SEC filings are available at no cost at our website, </w:t>
      </w:r>
      <w:r>
        <w:rPr>
          <w:rFonts w:ascii="Times New Roman" w:hAnsi="Times New Roman"/>
          <w:i/>
          <w:sz w:val="20"/>
        </w:rPr>
        <w:t>www.federalrealty.com</w:t>
      </w:r>
      <w:r>
        <w:rPr>
          <w:rFonts w:ascii="Times New Roman" w:hAnsi="Times New Roman"/>
          <w:sz w:val="20"/>
        </w:rPr>
        <w:t xml:space="preserve">.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Federal Realty Investment Trust </w:t>
      </w:r>
    </w:p>
    <w:p>
      <w:pPr>
        <w:pStyle w:val="TextBody"/>
        <w:bidi w:val="0"/>
        <w:spacing w:before="0" w:after="0"/>
        <w:jc w:val="left"/>
        <w:rPr>
          <w:rFonts w:ascii="Times New Roman" w:hAnsi="Times New Roman"/>
          <w:sz w:val="20"/>
        </w:rPr>
      </w:pPr>
      <w:r>
        <w:rPr>
          <w:rFonts w:ascii="Times New Roman" w:hAnsi="Times New Roman"/>
          <w:sz w:val="20"/>
        </w:rPr>
        <w:t xml:space="preserve">909 Rose Avenue </w:t>
      </w:r>
    </w:p>
    <w:p>
      <w:pPr>
        <w:pStyle w:val="TextBody"/>
        <w:bidi w:val="0"/>
        <w:spacing w:before="0" w:after="0"/>
        <w:jc w:val="left"/>
        <w:rPr>
          <w:rFonts w:ascii="Times New Roman" w:hAnsi="Times New Roman"/>
          <w:sz w:val="20"/>
        </w:rPr>
      </w:pPr>
      <w:r>
        <w:rPr>
          <w:rFonts w:ascii="Times New Roman" w:hAnsi="Times New Roman"/>
          <w:sz w:val="20"/>
        </w:rPr>
        <w:t xml:space="preserve">Suite 200 </w:t>
      </w:r>
    </w:p>
    <w:p>
      <w:pPr>
        <w:pStyle w:val="TextBody"/>
        <w:bidi w:val="0"/>
        <w:spacing w:before="0" w:after="0"/>
        <w:jc w:val="left"/>
        <w:rPr>
          <w:rFonts w:ascii="Times New Roman" w:hAnsi="Times New Roman"/>
          <w:sz w:val="20"/>
        </w:rPr>
      </w:pPr>
      <w:r>
        <w:rPr>
          <w:rFonts w:ascii="Times New Roman" w:hAnsi="Times New Roman"/>
          <w:sz w:val="20"/>
        </w:rPr>
        <w:t xml:space="preserve">North Bethesda, MD 20852 </w:t>
      </w:r>
    </w:p>
    <w:p>
      <w:pPr>
        <w:pStyle w:val="TextBody"/>
        <w:bidi w:val="0"/>
        <w:spacing w:before="0" w:after="0"/>
        <w:jc w:val="left"/>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(301) 998-8100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$500,000,000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486025"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2486025" cy="7715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Federal Realty Investment Trust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Shares of Beneficial Interest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17"/>
        <w:gridCol w:w="91"/>
        <w:gridCol w:w="2360"/>
        <w:gridCol w:w="91"/>
        <w:gridCol w:w="2335"/>
        <w:gridCol w:w="91"/>
        <w:gridCol w:w="2620"/>
      </w:tblGrid>
      <w:tr>
        <w:trPr/>
        <w:tc>
          <w:tcPr>
            <w:tcW w:w="2617"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r>
      <w:tr>
        <w:trPr/>
        <w:tc>
          <w:tcPr>
            <w:tcW w:w="2617" w:type="dxa"/>
            <w:tcBorders/>
          </w:tcPr>
          <w:p>
            <w:pPr>
              <w:pStyle w:val="TableContents"/>
              <w:bidi w:val="0"/>
              <w:spacing w:before="0" w:after="283"/>
              <w:jc w:val="center"/>
              <w:rPr>
                <w:b/>
              </w:rPr>
            </w:pPr>
            <w:r>
              <w:rPr>
                <w:b/>
              </w:rPr>
              <w:t>Wells Fargo Securities</w:t>
            </w:r>
          </w:p>
        </w:tc>
        <w:tc>
          <w:tcPr>
            <w:tcW w:w="91" w:type="dxa"/>
            <w:tcBorders/>
            <w:vAlign w:val="bottom"/>
          </w:tcPr>
          <w:p>
            <w:pPr>
              <w:pStyle w:val="TableContents"/>
              <w:bidi w:val="0"/>
              <w:spacing w:before="0" w:after="283"/>
              <w:jc w:val="left"/>
              <w:rPr/>
            </w:pPr>
            <w:r>
              <w:rPr/>
              <w:t> </w:t>
            </w:r>
          </w:p>
        </w:tc>
        <w:tc>
          <w:tcPr>
            <w:tcW w:w="2360" w:type="dxa"/>
            <w:tcBorders/>
          </w:tcPr>
          <w:p>
            <w:pPr>
              <w:pStyle w:val="TableContents"/>
              <w:bidi w:val="0"/>
              <w:spacing w:before="0" w:after="283"/>
              <w:jc w:val="center"/>
              <w:rPr>
                <w:b/>
              </w:rPr>
            </w:pPr>
            <w:r>
              <w:rPr>
                <w:b/>
              </w:rPr>
              <w:t>BNP PARIBAS</w:t>
            </w:r>
          </w:p>
        </w:tc>
        <w:tc>
          <w:tcPr>
            <w:tcW w:w="91" w:type="dxa"/>
            <w:tcBorders/>
            <w:vAlign w:val="bottom"/>
          </w:tcPr>
          <w:p>
            <w:pPr>
              <w:pStyle w:val="TableContents"/>
              <w:bidi w:val="0"/>
              <w:spacing w:before="0" w:after="283"/>
              <w:jc w:val="left"/>
              <w:rPr/>
            </w:pPr>
            <w:r>
              <w:rPr/>
              <w:t> </w:t>
            </w:r>
          </w:p>
        </w:tc>
        <w:tc>
          <w:tcPr>
            <w:tcW w:w="2335" w:type="dxa"/>
            <w:tcBorders/>
          </w:tcPr>
          <w:p>
            <w:pPr>
              <w:pStyle w:val="TableContents"/>
              <w:bidi w:val="0"/>
              <w:spacing w:before="0" w:after="283"/>
              <w:jc w:val="center"/>
              <w:rPr>
                <w:b/>
              </w:rPr>
            </w:pPr>
            <w:r>
              <w:rPr>
                <w:b/>
              </w:rPr>
              <w:t>BofA Securities</w:t>
            </w:r>
          </w:p>
        </w:tc>
        <w:tc>
          <w:tcPr>
            <w:tcW w:w="91" w:type="dxa"/>
            <w:tcBorders/>
            <w:vAlign w:val="bottom"/>
          </w:tcPr>
          <w:p>
            <w:pPr>
              <w:pStyle w:val="TableContents"/>
              <w:bidi w:val="0"/>
              <w:spacing w:before="0" w:after="283"/>
              <w:jc w:val="left"/>
              <w:rPr/>
            </w:pPr>
            <w:r>
              <w:rPr/>
              <w:t> </w:t>
            </w:r>
          </w:p>
        </w:tc>
        <w:tc>
          <w:tcPr>
            <w:tcW w:w="2620" w:type="dxa"/>
            <w:tcBorders/>
          </w:tcPr>
          <w:p>
            <w:pPr>
              <w:pStyle w:val="TableContents"/>
              <w:bidi w:val="0"/>
              <w:spacing w:before="0" w:after="283"/>
              <w:jc w:val="center"/>
              <w:rPr>
                <w:b/>
              </w:rPr>
            </w:pPr>
            <w:r>
              <w:rPr>
                <w:b/>
              </w:rPr>
              <w:t>Citigroup</w:t>
            </w:r>
          </w:p>
        </w:tc>
      </w:tr>
      <w:tr>
        <w:trPr/>
        <w:tc>
          <w:tcPr>
            <w:tcW w:w="2617" w:type="dxa"/>
            <w:tcBorders/>
          </w:tcPr>
          <w:p>
            <w:pPr>
              <w:pStyle w:val="TableContents"/>
              <w:bidi w:val="0"/>
              <w:spacing w:before="0" w:after="283"/>
              <w:jc w:val="center"/>
              <w:rPr>
                <w:b/>
              </w:rPr>
            </w:pPr>
            <w:r>
              <w:rPr>
                <w:b/>
              </w:rPr>
              <w:t>Deutsche Bank Securities</w:t>
            </w:r>
          </w:p>
        </w:tc>
        <w:tc>
          <w:tcPr>
            <w:tcW w:w="91" w:type="dxa"/>
            <w:tcBorders/>
            <w:vAlign w:val="bottom"/>
          </w:tcPr>
          <w:p>
            <w:pPr>
              <w:pStyle w:val="TableContents"/>
              <w:bidi w:val="0"/>
              <w:spacing w:before="0" w:after="283"/>
              <w:jc w:val="left"/>
              <w:rPr/>
            </w:pPr>
            <w:r>
              <w:rPr/>
              <w:t> </w:t>
            </w:r>
          </w:p>
        </w:tc>
        <w:tc>
          <w:tcPr>
            <w:tcW w:w="2360" w:type="dxa"/>
            <w:tcBorders/>
          </w:tcPr>
          <w:p>
            <w:pPr>
              <w:pStyle w:val="TableContents"/>
              <w:bidi w:val="0"/>
              <w:spacing w:before="0" w:after="283"/>
              <w:jc w:val="center"/>
              <w:rPr>
                <w:b/>
              </w:rPr>
            </w:pPr>
            <w:r>
              <w:rPr>
                <w:b/>
              </w:rPr>
              <w:t>J.P. Morgan</w:t>
            </w:r>
          </w:p>
        </w:tc>
        <w:tc>
          <w:tcPr>
            <w:tcW w:w="91" w:type="dxa"/>
            <w:tcBorders/>
            <w:vAlign w:val="bottom"/>
          </w:tcPr>
          <w:p>
            <w:pPr>
              <w:pStyle w:val="TableContents"/>
              <w:bidi w:val="0"/>
              <w:spacing w:before="0" w:after="283"/>
              <w:jc w:val="left"/>
              <w:rPr/>
            </w:pPr>
            <w:r>
              <w:rPr/>
              <w:t> </w:t>
            </w:r>
          </w:p>
        </w:tc>
        <w:tc>
          <w:tcPr>
            <w:tcW w:w="2335" w:type="dxa"/>
            <w:tcBorders/>
          </w:tcPr>
          <w:p>
            <w:pPr>
              <w:pStyle w:val="TableContents"/>
              <w:bidi w:val="0"/>
              <w:spacing w:before="0" w:after="283"/>
              <w:jc w:val="center"/>
              <w:rPr>
                <w:b/>
              </w:rPr>
            </w:pPr>
            <w:r>
              <w:rPr>
                <w:b/>
              </w:rPr>
              <w:t>Jefferies</w:t>
            </w:r>
          </w:p>
        </w:tc>
        <w:tc>
          <w:tcPr>
            <w:tcW w:w="91" w:type="dxa"/>
            <w:tcBorders/>
            <w:vAlign w:val="bottom"/>
          </w:tcPr>
          <w:p>
            <w:pPr>
              <w:pStyle w:val="TableContents"/>
              <w:bidi w:val="0"/>
              <w:spacing w:before="0" w:after="283"/>
              <w:jc w:val="left"/>
              <w:rPr/>
            </w:pPr>
            <w:r>
              <w:rPr/>
              <w:t> </w:t>
            </w:r>
          </w:p>
        </w:tc>
        <w:tc>
          <w:tcPr>
            <w:tcW w:w="2620" w:type="dxa"/>
            <w:tcBorders/>
          </w:tcPr>
          <w:p>
            <w:pPr>
              <w:pStyle w:val="TableContents"/>
              <w:bidi w:val="0"/>
              <w:spacing w:before="0" w:after="283"/>
              <w:jc w:val="center"/>
              <w:rPr>
                <w:b/>
              </w:rPr>
            </w:pPr>
            <w:r>
              <w:rPr>
                <w:b/>
              </w:rPr>
              <w:t>Regions Securities LLC</w:t>
            </w:r>
          </w:p>
        </w:tc>
      </w:tr>
      <w:tr>
        <w:trPr/>
        <w:tc>
          <w:tcPr>
            <w:tcW w:w="2617" w:type="dxa"/>
            <w:tcBorders/>
          </w:tcPr>
          <w:p>
            <w:pPr>
              <w:pStyle w:val="TableContents"/>
              <w:bidi w:val="0"/>
              <w:spacing w:before="0" w:after="283"/>
              <w:jc w:val="center"/>
              <w:rPr>
                <w:b/>
              </w:rPr>
            </w:pPr>
            <w:r>
              <w:rPr>
                <w:b/>
              </w:rPr>
              <w:t>Scotiabank</w:t>
            </w:r>
          </w:p>
        </w:tc>
        <w:tc>
          <w:tcPr>
            <w:tcW w:w="91" w:type="dxa"/>
            <w:tcBorders/>
            <w:vAlign w:val="bottom"/>
          </w:tcPr>
          <w:p>
            <w:pPr>
              <w:pStyle w:val="TableContents"/>
              <w:bidi w:val="0"/>
              <w:spacing w:before="0" w:after="283"/>
              <w:jc w:val="left"/>
              <w:rPr/>
            </w:pPr>
            <w:r>
              <w:rPr/>
              <w:t> </w:t>
            </w:r>
          </w:p>
        </w:tc>
        <w:tc>
          <w:tcPr>
            <w:tcW w:w="2360" w:type="dxa"/>
            <w:tcBorders/>
          </w:tcPr>
          <w:p>
            <w:pPr>
              <w:pStyle w:val="TableContents"/>
              <w:bidi w:val="0"/>
              <w:spacing w:before="0" w:after="283"/>
              <w:jc w:val="center"/>
              <w:rPr>
                <w:b/>
              </w:rPr>
            </w:pPr>
            <w:r>
              <w:rPr>
                <w:b/>
              </w:rPr>
              <w:t>SMBC Nikko</w:t>
            </w:r>
          </w:p>
        </w:tc>
        <w:tc>
          <w:tcPr>
            <w:tcW w:w="91" w:type="dxa"/>
            <w:tcBorders/>
            <w:vAlign w:val="bottom"/>
          </w:tcPr>
          <w:p>
            <w:pPr>
              <w:pStyle w:val="TableContents"/>
              <w:bidi w:val="0"/>
              <w:spacing w:before="0" w:after="283"/>
              <w:jc w:val="left"/>
              <w:rPr/>
            </w:pPr>
            <w:r>
              <w:rPr/>
              <w:t> </w:t>
            </w:r>
          </w:p>
        </w:tc>
        <w:tc>
          <w:tcPr>
            <w:tcW w:w="2335" w:type="dxa"/>
            <w:tcBorders/>
          </w:tcPr>
          <w:p>
            <w:pPr>
              <w:pStyle w:val="TableContents"/>
              <w:bidi w:val="0"/>
              <w:spacing w:before="0" w:after="283"/>
              <w:jc w:val="center"/>
              <w:rPr>
                <w:b/>
              </w:rPr>
            </w:pPr>
            <w:r>
              <w:rPr>
                <w:b/>
              </w:rPr>
              <w:t>TD Securities</w:t>
            </w:r>
          </w:p>
        </w:tc>
        <w:tc>
          <w:tcPr>
            <w:tcW w:w="91" w:type="dxa"/>
            <w:tcBorders/>
            <w:vAlign w:val="bottom"/>
          </w:tcPr>
          <w:p>
            <w:pPr>
              <w:pStyle w:val="TableContents"/>
              <w:bidi w:val="0"/>
              <w:spacing w:before="0" w:after="283"/>
              <w:jc w:val="left"/>
              <w:rPr/>
            </w:pPr>
            <w:r>
              <w:rPr/>
              <w:t> </w:t>
            </w:r>
          </w:p>
        </w:tc>
        <w:tc>
          <w:tcPr>
            <w:tcW w:w="2620" w:type="dxa"/>
            <w:tcBorders/>
          </w:tcPr>
          <w:p>
            <w:pPr>
              <w:pStyle w:val="TableContents"/>
              <w:bidi w:val="0"/>
              <w:spacing w:before="0" w:after="283"/>
              <w:jc w:val="center"/>
              <w:rPr>
                <w:b/>
              </w:rPr>
            </w:pPr>
            <w:r>
              <w:rPr>
                <w:b/>
              </w:rPr>
              <w:t>Truist Securities</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March 8, 2024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p>
      <w:pPr>
        <w:pStyle w:val="TextBody"/>
        <w:bidi w:val="0"/>
        <w:spacing w:before="0" w:after="0"/>
        <w:jc w:val="right"/>
        <w:rPr>
          <w:rFonts w:ascii="Times New Roman" w:hAnsi="Times New Roman"/>
          <w:b/>
          <w:sz w:val="20"/>
        </w:rPr>
      </w:pPr>
      <w:bookmarkStart w:id="24" w:name="d759924dexfilingfees.htm"/>
      <w:bookmarkStart w:id="25" w:name="ksd759924dexfilingfees"/>
      <w:bookmarkEnd w:id="24"/>
      <w:bookmarkEnd w:id="25"/>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424(b)(5)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Federal Realty Investment Trust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Table 1: Newly Registered and Carry Forward Securities </w:t>
      </w:r>
    </w:p>
    <w:p>
      <w:pPr>
        <w:pStyle w:val="TextBody"/>
        <w:bidi w:val="0"/>
        <w:spacing w:before="0" w:after="0"/>
        <w:jc w:val="left"/>
        <w:rPr/>
      </w:pPr>
      <w:r>
        <w:rPr/>
        <w:t> </w:t>
      </w:r>
    </w:p>
    <w:tbl>
      <w:tblPr>
        <w:tblW w:w="13490" w:type="dxa"/>
        <w:jc w:val="center"/>
        <w:tblInd w:w="0" w:type="dxa"/>
        <w:tblLayout w:type="fixed"/>
        <w:tblCellMar>
          <w:top w:w="0" w:type="dxa"/>
          <w:left w:w="0" w:type="dxa"/>
          <w:bottom w:w="0" w:type="dxa"/>
          <w:right w:w="0" w:type="dxa"/>
        </w:tblCellMar>
      </w:tblPr>
      <w:tblGrid>
        <w:gridCol w:w="935"/>
        <w:gridCol w:w="60"/>
        <w:gridCol w:w="860"/>
        <w:gridCol w:w="60"/>
        <w:gridCol w:w="935"/>
        <w:gridCol w:w="60"/>
        <w:gridCol w:w="1190"/>
        <w:gridCol w:w="60"/>
        <w:gridCol w:w="1100"/>
        <w:gridCol w:w="60"/>
        <w:gridCol w:w="1070"/>
        <w:gridCol w:w="60"/>
        <w:gridCol w:w="1340"/>
        <w:gridCol w:w="60"/>
        <w:gridCol w:w="1280"/>
        <w:gridCol w:w="60"/>
        <w:gridCol w:w="1265"/>
        <w:gridCol w:w="60"/>
        <w:gridCol w:w="530"/>
        <w:gridCol w:w="60"/>
        <w:gridCol w:w="530"/>
        <w:gridCol w:w="60"/>
        <w:gridCol w:w="545"/>
        <w:gridCol w:w="60"/>
        <w:gridCol w:w="1190"/>
      </w:tblGrid>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0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center"/>
              <w:rPr>
                <w:b/>
              </w:rPr>
            </w:pPr>
            <w:r>
              <w:rPr>
                <w:b/>
              </w:rPr>
              <w:t>Security</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b/>
              </w:rPr>
            </w:pPr>
            <w:r>
              <w:rPr>
                <w:b/>
              </w:rPr>
              <w:t>Security</w:t>
              <w:br/>
              <w:t>Class 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b/>
              </w:rPr>
            </w:pPr>
            <w:r>
              <w:rPr>
                <w:b/>
              </w:rPr>
              <w:t>Fee</w:t>
              <w:br/>
              <w:t>Calculation</w:t>
              <w:br/>
              <w:t>or Carry</w:t>
              <w:br/>
              <w:t>Forward</w:t>
              <w:br/>
              <w:t>Rule (1)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b/>
              </w:rPr>
            </w:pPr>
            <w:r>
              <w:rPr>
                <w:b/>
              </w:rPr>
              <w:t>Amount</w:t>
              <w:br/>
              <w:t>Registered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b/>
              </w:rPr>
            </w:pPr>
            <w:r>
              <w:rPr>
                <w:b/>
              </w:rPr>
              <w:t>Proposed</w:t>
              <w:br/>
              <w:t>Maximum</w:t>
              <w:br/>
              <w:t>Offering</w:t>
              <w:br/>
              <w:t>Price Per</w:t>
              <w:br/>
              <w:t>Unit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b/>
              </w:rPr>
            </w:pPr>
            <w:r>
              <w:rPr>
                <w:b/>
              </w:rPr>
              <w:t>Maximum</w:t>
              <w:br/>
              <w:t>Aggregate</w:t>
              <w:br/>
              <w:t>Offering 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b/>
              </w:rPr>
            </w:pPr>
            <w:r>
              <w:rPr>
                <w:b/>
              </w:rPr>
              <w:t>Fee 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b/>
              </w:rPr>
            </w:pPr>
            <w:r>
              <w:rPr>
                <w:b/>
              </w:rPr>
              <w:t>Amount of</w:t>
              <w:br/>
              <w:t>Registration</w:t>
              <w:br/>
              <w:t>Fee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Carry</w:t>
            </w:r>
          </w:p>
          <w:p>
            <w:pPr>
              <w:pStyle w:val="TableContents"/>
              <w:bidi w:val="0"/>
              <w:spacing w:before="0" w:after="0"/>
              <w:jc w:val="center"/>
              <w:rPr>
                <w:rFonts w:ascii="Times New Roman" w:hAnsi="Times New Roman"/>
                <w:b/>
                <w:sz w:val="14"/>
              </w:rPr>
            </w:pPr>
            <w:r>
              <w:rPr>
                <w:rFonts w:ascii="Times New Roman" w:hAnsi="Times New Roman"/>
                <w:b/>
                <w:sz w:val="14"/>
              </w:rPr>
              <w:t>Forward</w:t>
            </w:r>
          </w:p>
          <w:p>
            <w:pPr>
              <w:pStyle w:val="TableContents"/>
              <w:bidi w:val="0"/>
              <w:spacing w:before="0" w:after="0"/>
              <w:jc w:val="center"/>
              <w:rPr>
                <w:rFonts w:ascii="Times New Roman" w:hAnsi="Times New Roman"/>
                <w:b/>
                <w:sz w:val="14"/>
              </w:rPr>
            </w:pPr>
            <w:r>
              <w:rPr>
                <w:rFonts w:ascii="Times New Roman" w:hAnsi="Times New Roman"/>
                <w:b/>
                <w:sz w:val="14"/>
              </w:rPr>
              <w:t>Form</w:t>
            </w:r>
          </w:p>
          <w:p>
            <w:pPr>
              <w:pStyle w:val="TableContents"/>
              <w:bidi w:val="0"/>
              <w:spacing w:before="0" w:after="20"/>
              <w:jc w:val="center"/>
              <w:rPr>
                <w:rFonts w:ascii="Times New Roman" w:hAnsi="Times New Roman"/>
                <w:b/>
                <w:sz w:val="14"/>
              </w:rPr>
            </w:pPr>
            <w:r>
              <w:rPr>
                <w:rFonts w:ascii="Times New Roman" w:hAnsi="Times New Roman"/>
                <w:b/>
                <w:sz w:val="14"/>
              </w:rP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Carry</w:t>
            </w:r>
          </w:p>
          <w:p>
            <w:pPr>
              <w:pStyle w:val="TableContents"/>
              <w:bidi w:val="0"/>
              <w:spacing w:before="0" w:after="0"/>
              <w:jc w:val="center"/>
              <w:rPr>
                <w:rFonts w:ascii="Times New Roman" w:hAnsi="Times New Roman"/>
                <w:b/>
                <w:sz w:val="14"/>
              </w:rPr>
            </w:pPr>
            <w:r>
              <w:rPr>
                <w:rFonts w:ascii="Times New Roman" w:hAnsi="Times New Roman"/>
                <w:b/>
                <w:sz w:val="14"/>
              </w:rPr>
              <w:t>Forward</w:t>
            </w:r>
          </w:p>
          <w:p>
            <w:pPr>
              <w:pStyle w:val="TableContents"/>
              <w:bidi w:val="0"/>
              <w:spacing w:before="0" w:after="0"/>
              <w:jc w:val="center"/>
              <w:rPr>
                <w:rFonts w:ascii="Times New Roman" w:hAnsi="Times New Roman"/>
                <w:b/>
                <w:sz w:val="14"/>
              </w:rPr>
            </w:pPr>
            <w:r>
              <w:rPr>
                <w:rFonts w:ascii="Times New Roman" w:hAnsi="Times New Roman"/>
                <w:b/>
                <w:sz w:val="14"/>
              </w:rPr>
              <w:t>File</w:t>
            </w:r>
          </w:p>
          <w:p>
            <w:pPr>
              <w:pStyle w:val="TableContents"/>
              <w:bidi w:val="0"/>
              <w:spacing w:before="0" w:after="20"/>
              <w:jc w:val="center"/>
              <w:rPr>
                <w:rFonts w:ascii="Times New Roman" w:hAnsi="Times New Roman"/>
                <w:b/>
                <w:sz w:val="14"/>
              </w:rPr>
            </w:pPr>
            <w:r>
              <w:rPr>
                <w:rFonts w:ascii="Times New Roman" w:hAnsi="Times New Roman"/>
                <w:b/>
                <w:sz w:val="14"/>
              </w:rP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Carry</w:t>
            </w:r>
          </w:p>
          <w:p>
            <w:pPr>
              <w:pStyle w:val="TableContents"/>
              <w:bidi w:val="0"/>
              <w:spacing w:before="0" w:after="0"/>
              <w:jc w:val="center"/>
              <w:rPr>
                <w:rFonts w:ascii="Times New Roman" w:hAnsi="Times New Roman"/>
                <w:b/>
                <w:sz w:val="14"/>
              </w:rPr>
            </w:pPr>
            <w:r>
              <w:rPr>
                <w:rFonts w:ascii="Times New Roman" w:hAnsi="Times New Roman"/>
                <w:b/>
                <w:sz w:val="14"/>
              </w:rPr>
              <w:t>Forward</w:t>
            </w:r>
          </w:p>
          <w:p>
            <w:pPr>
              <w:pStyle w:val="TableContents"/>
              <w:bidi w:val="0"/>
              <w:spacing w:before="0" w:after="0"/>
              <w:jc w:val="center"/>
              <w:rPr>
                <w:rFonts w:ascii="Times New Roman" w:hAnsi="Times New Roman"/>
                <w:b/>
                <w:sz w:val="14"/>
              </w:rPr>
            </w:pPr>
            <w:r>
              <w:rPr>
                <w:rFonts w:ascii="Times New Roman" w:hAnsi="Times New Roman"/>
                <w:b/>
                <w:sz w:val="14"/>
              </w:rPr>
              <w:t>Initial</w:t>
            </w:r>
          </w:p>
          <w:p>
            <w:pPr>
              <w:pStyle w:val="TableContents"/>
              <w:bidi w:val="0"/>
              <w:spacing w:before="0" w:after="0"/>
              <w:jc w:val="center"/>
              <w:rPr>
                <w:rFonts w:ascii="Times New Roman" w:hAnsi="Times New Roman"/>
                <w:b/>
                <w:sz w:val="14"/>
              </w:rPr>
            </w:pPr>
            <w:r>
              <w:rPr>
                <w:rFonts w:ascii="Times New Roman" w:hAnsi="Times New Roman"/>
                <w:b/>
                <w:sz w:val="14"/>
              </w:rPr>
              <w:t>Effective</w:t>
            </w:r>
          </w:p>
          <w:p>
            <w:pPr>
              <w:pStyle w:val="TableContents"/>
              <w:bidi w:val="0"/>
              <w:spacing w:before="0" w:after="20"/>
              <w:jc w:val="center"/>
              <w:rPr>
                <w:rFonts w:ascii="Times New Roman" w:hAnsi="Times New Roman"/>
                <w:b/>
                <w:sz w:val="14"/>
              </w:rPr>
            </w:pPr>
            <w:r>
              <w:rPr>
                <w:rFonts w:ascii="Times New Roman" w:hAnsi="Times New Roman"/>
                <w:b/>
                <w:sz w:val="14"/>
              </w:rP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center"/>
              <w:rPr>
                <w:b/>
              </w:rPr>
            </w:pPr>
            <w:r>
              <w:rPr>
                <w:b/>
              </w:rPr>
              <w:t>Filing Fee</w:t>
              <w:br/>
              <w:t>Previously</w:t>
              <w:br/>
              <w:t>Paid in</w:t>
              <w:br/>
              <w:t>Connection</w:t>
              <w:br/>
              <w:t>with</w:t>
              <w:br/>
              <w:t>Unsold</w:t>
              <w:br/>
              <w:t>Securities</w:t>
              <w:br/>
              <w:t>to be</w:t>
              <w:br/>
              <w:t>Carried</w:t>
              <w:br/>
              <w:t>Forward</w:t>
            </w:r>
          </w:p>
        </w:tc>
      </w:tr>
      <w:tr>
        <w:trPr>
          <w:trHeight w:val="15" w:hRule="atLeast"/>
        </w:trPr>
        <w:tc>
          <w:tcPr>
            <w:tcW w:w="13490"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3490"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b/>
              </w:rPr>
            </w:pPr>
            <w:r>
              <w:rPr>
                <w:b/>
              </w:rPr>
              <w:t>Newly Registered Securities</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0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Fees to Be</w:t>
            </w:r>
          </w:p>
          <w:p>
            <w:pPr>
              <w:pStyle w:val="TableContents"/>
              <w:bidi w:val="0"/>
              <w:spacing w:before="0" w:after="20"/>
              <w:jc w:val="center"/>
              <w:rPr>
                <w:rFonts w:ascii="Times New Roman" w:hAnsi="Times New Roman"/>
                <w:b/>
                <w:sz w:val="20"/>
              </w:rPr>
            </w:pPr>
            <w:r>
              <w:rPr>
                <w:rFonts w:ascii="Times New Roman" w:hAnsi="Times New Roman"/>
                <w:b/>
                <w:sz w:val="20"/>
              </w:rP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Common shares of beneficial interest, par value $.01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457(o)</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$500,000,000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$0.00014760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pPr>
            <w:r>
              <w:rPr/>
              <w:t>$73,800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0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Fees</w:t>
            </w:r>
          </w:p>
          <w:p>
            <w:pPr>
              <w:pStyle w:val="TableContents"/>
              <w:bidi w:val="0"/>
              <w:spacing w:before="0" w:after="0"/>
              <w:jc w:val="center"/>
              <w:rPr>
                <w:rFonts w:ascii="Times New Roman" w:hAnsi="Times New Roman"/>
                <w:b/>
                <w:sz w:val="20"/>
              </w:rPr>
            </w:pPr>
            <w:r>
              <w:rPr>
                <w:rFonts w:ascii="Times New Roman" w:hAnsi="Times New Roman"/>
                <w:b/>
                <w:sz w:val="20"/>
              </w:rPr>
              <w:t>Previously</w:t>
            </w:r>
          </w:p>
          <w:p>
            <w:pPr>
              <w:pStyle w:val="TableContents"/>
              <w:bidi w:val="0"/>
              <w:spacing w:before="0" w:after="20"/>
              <w:jc w:val="center"/>
              <w:rPr>
                <w:rFonts w:ascii="Times New Roman" w:hAnsi="Times New Roman"/>
                <w:b/>
                <w:sz w:val="20"/>
              </w:rPr>
            </w:pPr>
            <w:r>
              <w:rPr>
                <w:rFonts w:ascii="Times New Roman" w:hAnsi="Times New Roman"/>
                <w:b/>
                <w:sz w:val="20"/>
              </w:rP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3490"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3490"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b/>
              </w:rPr>
            </w:pPr>
            <w:r>
              <w:rPr>
                <w:b/>
              </w:rPr>
              <w:t>Carry Forward Securities</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0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w:t>
            </w:r>
          </w:p>
          <w:p>
            <w:pPr>
              <w:pStyle w:val="TableContents"/>
              <w:bidi w:val="0"/>
              <w:spacing w:before="0" w:after="0"/>
              <w:jc w:val="center"/>
              <w:rPr>
                <w:rFonts w:ascii="Times New Roman" w:hAnsi="Times New Roman"/>
                <w:b/>
                <w:sz w:val="20"/>
              </w:rPr>
            </w:pPr>
            <w:r>
              <w:rPr>
                <w:rFonts w:ascii="Times New Roman" w:hAnsi="Times New Roman"/>
                <w:b/>
                <w:sz w:val="20"/>
              </w:rPr>
              <w:t>Forward</w:t>
            </w:r>
          </w:p>
          <w:p>
            <w:pPr>
              <w:pStyle w:val="TableContents"/>
              <w:bidi w:val="0"/>
              <w:spacing w:before="0" w:after="20"/>
              <w:jc w:val="center"/>
              <w:rPr>
                <w:rFonts w:ascii="Times New Roman" w:hAnsi="Times New Roman"/>
                <w:b/>
                <w:sz w:val="20"/>
              </w:rPr>
            </w:pPr>
            <w:r>
              <w:rPr>
                <w:rFonts w:ascii="Times New Roman" w:hAnsi="Times New Roman"/>
                <w:b/>
                <w:sz w:val="20"/>
              </w:rPr>
              <w:t>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32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0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265" w:type="dxa"/>
            <w:gridSpan w:val="7"/>
            <w:tcBorders/>
            <w:vAlign w:val="bottom"/>
          </w:tcPr>
          <w:p>
            <w:pPr>
              <w:pStyle w:val="TableContents"/>
              <w:bidi w:val="0"/>
              <w:spacing w:before="0" w:after="283"/>
              <w:jc w:val="right"/>
              <w:rPr/>
            </w:pPr>
            <w:r>
              <w:rPr/>
              <w:t>Total Offering Amounts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$500,000,000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pPr>
            <w:r>
              <w:rPr/>
              <w:t>$73,800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32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0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265" w:type="dxa"/>
            <w:gridSpan w:val="7"/>
            <w:tcBorders/>
            <w:vAlign w:val="bottom"/>
          </w:tcPr>
          <w:p>
            <w:pPr>
              <w:pStyle w:val="TableContents"/>
              <w:bidi w:val="0"/>
              <w:spacing w:before="0" w:after="283"/>
              <w:jc w:val="right"/>
              <w:rPr/>
            </w:pPr>
            <w:r>
              <w:rPr/>
              <w:t>Total Fees Previously Paid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32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0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265" w:type="dxa"/>
            <w:gridSpan w:val="7"/>
            <w:tcBorders/>
            <w:vAlign w:val="bottom"/>
          </w:tcPr>
          <w:p>
            <w:pPr>
              <w:pStyle w:val="TableContents"/>
              <w:bidi w:val="0"/>
              <w:spacing w:before="0" w:after="283"/>
              <w:jc w:val="right"/>
              <w:rPr/>
            </w:pPr>
            <w:r>
              <w:rPr/>
              <w:t>Total Fee Offsets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pPr>
            <w:r>
              <w:rPr/>
              <w:t>$28,933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32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0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265" w:type="dxa"/>
            <w:gridSpan w:val="7"/>
            <w:tcBorders>
              <w:bottom w:val="single" w:sz="2" w:space="0" w:color="000000"/>
            </w:tcBorders>
            <w:tcMar>
              <w:bottom w:w="28" w:type="dxa"/>
            </w:tcMar>
            <w:vAlign w:val="bottom"/>
          </w:tcPr>
          <w:p>
            <w:pPr>
              <w:pStyle w:val="TableContents"/>
              <w:bidi w:val="0"/>
              <w:spacing w:before="0" w:after="283"/>
              <w:jc w:val="right"/>
              <w:rPr/>
            </w:pPr>
            <w:r>
              <w:rPr/>
              <w:t>Net Fee Due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tcBorders>
            <w:tcMar>
              <w:bottom w:w="28" w:type="dxa"/>
            </w:tcMar>
            <w:vAlign w:val="bottom"/>
          </w:tcPr>
          <w:p>
            <w:pPr>
              <w:pStyle w:val="TableContents"/>
              <w:bidi w:val="0"/>
              <w:spacing w:before="0" w:after="283"/>
              <w:jc w:val="center"/>
              <w:rPr/>
            </w:pPr>
            <w:r>
              <w:rPr/>
              <w:t>$44,867</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3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3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2: Fee Offset Claims and Sources </w:t>
      </w:r>
    </w:p>
    <w:p>
      <w:pPr>
        <w:pStyle w:val="TextBody"/>
        <w:bidi w:val="0"/>
        <w:spacing w:before="0" w:after="0"/>
        <w:jc w:val="left"/>
        <w:rPr/>
      </w:pPr>
      <w:r>
        <w:rPr/>
        <w:t> </w:t>
      </w:r>
    </w:p>
    <w:tbl>
      <w:tblPr>
        <w:tblW w:w="12780" w:type="dxa"/>
        <w:jc w:val="center"/>
        <w:tblInd w:w="0" w:type="dxa"/>
        <w:tblLayout w:type="fixed"/>
        <w:tblCellMar>
          <w:top w:w="0" w:type="dxa"/>
          <w:left w:w="0" w:type="dxa"/>
          <w:bottom w:w="0" w:type="dxa"/>
          <w:right w:w="0" w:type="dxa"/>
        </w:tblCellMar>
      </w:tblPr>
      <w:tblGrid>
        <w:gridCol w:w="770"/>
        <w:gridCol w:w="60"/>
        <w:gridCol w:w="1055"/>
        <w:gridCol w:w="60"/>
        <w:gridCol w:w="920"/>
        <w:gridCol w:w="60"/>
        <w:gridCol w:w="800"/>
        <w:gridCol w:w="60"/>
        <w:gridCol w:w="1235"/>
        <w:gridCol w:w="60"/>
        <w:gridCol w:w="1235"/>
        <w:gridCol w:w="60"/>
        <w:gridCol w:w="875"/>
        <w:gridCol w:w="60"/>
        <w:gridCol w:w="980"/>
        <w:gridCol w:w="60"/>
        <w:gridCol w:w="1055"/>
        <w:gridCol w:w="60"/>
        <w:gridCol w:w="1055"/>
        <w:gridCol w:w="60"/>
        <w:gridCol w:w="1340"/>
        <w:gridCol w:w="60"/>
        <w:gridCol w:w="800"/>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center"/>
              <w:rPr/>
            </w:pPr>
            <w:r>
              <w:rPr/>
              <w:t>Registrant</w:t>
              <w:br/>
              <w:t>or Filer</w:t>
              <w:br/>
              <w:t>Name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center"/>
              <w:rPr/>
            </w:pPr>
            <w:r>
              <w:rPr/>
              <w:t>Form</w:t>
              <w:br/>
              <w:t>or</w:t>
              <w:br/>
              <w:t>Filing</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center"/>
              <w:rPr/>
            </w:pPr>
            <w:r>
              <w:rPr/>
              <w:t>File</w:t>
              <w:b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center"/>
              <w:rPr/>
            </w:pPr>
            <w:r>
              <w:rPr/>
              <w:t>Initial</w:t>
              <w:br/>
              <w:t>Filing</w:t>
              <w:b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center"/>
              <w:rPr/>
            </w:pPr>
            <w:r>
              <w:rPr/>
              <w:t>Filing</w:t>
              <w:b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Fee Offset</w:t>
              <w:br/>
              <w:t>Claimed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Security</w:t>
              <w:br/>
              <w:t>Type</w:t>
              <w:br/>
              <w:t>associated</w:t>
              <w:br/>
              <w:t>with Fee</w:t>
              <w:br/>
              <w:t>Offset</w:t>
              <w:br/>
              <w:t>Claimed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center"/>
              <w:rPr/>
            </w:pPr>
            <w:r>
              <w:rPr/>
              <w:t>Security</w:t>
              <w:br/>
              <w:t>Title</w:t>
              <w:br/>
              <w:t>Associated</w:t>
              <w:br/>
              <w:t>with Fee</w:t>
              <w:br/>
              <w:t>Offset</w:t>
              <w:br/>
              <w:t>Claimed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center"/>
              <w:rPr/>
            </w:pPr>
            <w:r>
              <w:rPr/>
              <w:t>Unsold</w:t>
              <w:br/>
              <w:t>Securities</w:t>
              <w:br/>
              <w:t>Associated</w:t>
              <w:br/>
              <w:t>with Fee</w:t>
              <w:br/>
              <w:t>Offset</w:t>
              <w:br/>
              <w:t>Claimed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Unsold</w:t>
              <w:br/>
              <w:t>Aggregate</w:t>
              <w:br/>
              <w:t>Offering</w:t>
              <w:br/>
              <w:t>Amount</w:t>
              <w:br/>
              <w:t>Associated</w:t>
              <w:br/>
              <w:t>with Fee</w:t>
              <w:br/>
              <w:t>Offset</w:t>
              <w:br/>
              <w:t>Claimed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tcBorders>
              <w:right w:val="single" w:sz="2" w:space="0" w:color="000000"/>
            </w:tcBorders>
            <w:tcMar>
              <w:right w:w="40" w:type="dxa"/>
            </w:tcMar>
            <w:vAlign w:val="bottom"/>
          </w:tcPr>
          <w:p>
            <w:pPr>
              <w:pStyle w:val="TableContents"/>
              <w:bidi w:val="0"/>
              <w:spacing w:before="0" w:after="283"/>
              <w:jc w:val="center"/>
              <w:rPr/>
            </w:pPr>
            <w:r>
              <w:rPr/>
              <w:t>Fee Paid</w:t>
              <w:br/>
              <w:t>with</w:t>
              <w:br/>
              <w:t>Fee Offset</w:t>
              <w:br/>
              <w:t>Source</w:t>
            </w:r>
          </w:p>
        </w:tc>
      </w:tr>
      <w:tr>
        <w:trPr>
          <w:trHeight w:val="15" w:hRule="atLeast"/>
        </w:trPr>
        <w:tc>
          <w:tcPr>
            <w:tcW w:w="12780" w:type="dxa"/>
            <w:gridSpan w:val="23"/>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2780" w:type="dxa"/>
            <w:gridSpan w:val="23"/>
            <w:tcBorders>
              <w:left w:val="single" w:sz="2" w:space="0" w:color="000000"/>
              <w:right w:val="single" w:sz="2" w:space="0" w:color="000000"/>
            </w:tcBorders>
            <w:tcMar>
              <w:left w:w="160" w:type="dxa"/>
              <w:right w:w="40" w:type="dxa"/>
            </w:tcMar>
          </w:tcPr>
          <w:p>
            <w:pPr>
              <w:pStyle w:val="TableContents"/>
              <w:bidi w:val="0"/>
              <w:spacing w:before="0" w:after="283"/>
              <w:jc w:val="center"/>
              <w:rPr>
                <w:b/>
              </w:rPr>
            </w:pPr>
            <w:r>
              <w:rPr>
                <w:b/>
              </w:rPr>
              <w:t>Rule 457(p)</w:t>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tcBorders>
            <w:tcMar>
              <w:left w:w="160" w:type="dxa"/>
            </w:tcMar>
          </w:tcPr>
          <w:p>
            <w:pPr>
              <w:pStyle w:val="TableContents"/>
              <w:bidi w:val="0"/>
              <w:spacing w:before="0" w:after="0"/>
              <w:jc w:val="center"/>
              <w:rPr>
                <w:rFonts w:ascii="Times New Roman" w:hAnsi="Times New Roman"/>
                <w:sz w:val="20"/>
              </w:rPr>
            </w:pPr>
            <w:r>
              <w:rPr>
                <w:rFonts w:ascii="Times New Roman" w:hAnsi="Times New Roman"/>
                <w:sz w:val="20"/>
              </w:rPr>
              <w:t>Fee Offset</w:t>
            </w:r>
          </w:p>
          <w:p>
            <w:pPr>
              <w:pStyle w:val="TableContents"/>
              <w:bidi w:val="0"/>
              <w:spacing w:before="0" w:after="20"/>
              <w:jc w:val="center"/>
              <w:rPr>
                <w:rFonts w:ascii="Times New Roman" w:hAnsi="Times New Roman"/>
                <w:sz w:val="20"/>
              </w:rPr>
            </w:pPr>
            <w:r>
              <w:rPr>
                <w:rFonts w:ascii="Times New Roman" w:hAnsi="Times New Roman"/>
                <w:sz w:val="20"/>
              </w:rPr>
              <w:t>Claims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center"/>
              <w:rPr/>
            </w:pPr>
            <w:r>
              <w:rPr/>
              <w:t>Federal Realty Investment Trust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center"/>
              <w:rPr/>
            </w:pPr>
            <w:r>
              <w:rPr/>
              <w:t>424(b)(5)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center"/>
              <w:rPr/>
            </w:pPr>
            <w:r>
              <w:rPr/>
              <w:t>333-262016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center"/>
              <w:rPr/>
            </w:pPr>
            <w:r>
              <w:rPr/>
              <w:t>February 15, 2022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$28,933(2)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center"/>
              <w:rPr/>
            </w:pPr>
            <w:r>
              <w:rPr/>
              <w:t>Common shares of beneficial interest, par value $.01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$312,120,172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bottom w:val="single" w:sz="2" w:space="0" w:color="000000"/>
            </w:tcBorders>
            <w:tcMar>
              <w:left w:w="160" w:type="dxa"/>
              <w:bottom w:w="28" w:type="dxa"/>
            </w:tcMar>
          </w:tcPr>
          <w:p>
            <w:pPr>
              <w:pStyle w:val="TableContents"/>
              <w:bidi w:val="0"/>
              <w:spacing w:before="0" w:after="283"/>
              <w:jc w:val="center"/>
              <w:rPr/>
            </w:pPr>
            <w:r>
              <w:rPr/>
              <w:t>Fee Offset Sources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bottom"/>
          </w:tcPr>
          <w:p>
            <w:pPr>
              <w:pStyle w:val="TableContents"/>
              <w:bidi w:val="0"/>
              <w:spacing w:before="0" w:after="283"/>
              <w:jc w:val="center"/>
              <w:rPr/>
            </w:pPr>
            <w:r>
              <w:rPr/>
              <w:t>Federal Realty Investment Trust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0" w:type="dxa"/>
            <w:tcBorders>
              <w:bottom w:val="single" w:sz="2" w:space="0" w:color="000000"/>
            </w:tcBorders>
            <w:tcMar>
              <w:bottom w:w="28" w:type="dxa"/>
            </w:tcMar>
            <w:vAlign w:val="bottom"/>
          </w:tcPr>
          <w:p>
            <w:pPr>
              <w:pStyle w:val="TableContents"/>
              <w:bidi w:val="0"/>
              <w:spacing w:before="0" w:after="283"/>
              <w:jc w:val="center"/>
              <w:rPr/>
            </w:pPr>
            <w:r>
              <w:rPr/>
              <w:t>424(b)(5)</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00" w:type="dxa"/>
            <w:tcBorders>
              <w:bottom w:val="single" w:sz="2" w:space="0" w:color="000000"/>
            </w:tcBorders>
            <w:tcMar>
              <w:bottom w:w="28" w:type="dxa"/>
            </w:tcMar>
            <w:vAlign w:val="bottom"/>
          </w:tcPr>
          <w:p>
            <w:pPr>
              <w:pStyle w:val="TableContents"/>
              <w:bidi w:val="0"/>
              <w:spacing w:before="0" w:after="283"/>
              <w:jc w:val="center"/>
              <w:rPr/>
            </w:pPr>
            <w:r>
              <w:rPr/>
              <w:t>333-262016</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3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35" w:type="dxa"/>
            <w:tcBorders>
              <w:bottom w:val="single" w:sz="2" w:space="0" w:color="000000"/>
            </w:tcBorders>
            <w:tcMar>
              <w:bottom w:w="28" w:type="dxa"/>
            </w:tcMar>
            <w:vAlign w:val="bottom"/>
          </w:tcPr>
          <w:p>
            <w:pPr>
              <w:pStyle w:val="TableContents"/>
              <w:bidi w:val="0"/>
              <w:spacing w:before="0" w:after="283"/>
              <w:jc w:val="center"/>
              <w:rPr/>
            </w:pPr>
            <w:r>
              <w:rPr/>
              <w:t>February 15, 2022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7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0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$46,350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in accordance with Rule 457(o) of the Securities Act of 1933, as amended (the Securities Act), based on the proposed maximum aggregate offering price, and Rules 456(b) and 457(r) of the Securities Act.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$500,000,000 in aggregate offering amount of the Registrants common shares of beneficial interest, par value $.01 per share (Common Shares), was previously registered under the prospectus supplement filed by the Registrant on February 15, 2022 and the registration statement on Form S-3ASR (File Nos. 333-262016 and 333-262016-01) filed by the Registrant and Federal Realty OP LP on January 5, 2022, of which $312,120,172 in aggregate offering amount has not been sold. Pursuant to Rule 457(p) under the Securities Act, the registration fee due hereunder is offset by the amount of filing fees of $28,933 attributable to such unsold shares. The Registrant has terminated the offering that included the unsold securities associated with the claimed offset under the prior prospectus supplement.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34903/000003490324000032/frt-20231231.htm" TargetMode="External"/><Relationship Id="rId5" Type="http://schemas.openxmlformats.org/officeDocument/2006/relationships/hyperlink" Target="http://www.sec.gov/Archives/edgar/data/../../../ix?doc=/Archives/edgar/data/34903/000119312524006607/d712379d8k.htm" TargetMode="External"/><Relationship Id="rId6" Type="http://schemas.openxmlformats.org/officeDocument/2006/relationships/hyperlink" Target="http://www.sec.gov/Archives/edgar/data/../../../ix?doc=/Archives/edgar/data/34903/000119312523078574/d396603ddef14a.htm" TargetMode="External"/><Relationship Id="rId7" Type="http://schemas.openxmlformats.org/officeDocument/2006/relationships/hyperlink" Target="http://www.sec.gov/Archives/edgar/data/34903/000003490324000032/frt-12312023xex49.htm"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101</Pages>
  <Words>55892</Words>
  <Characters>283199</Characters>
  <CharactersWithSpaces>339214</CharactersWithSpaces>
  <Paragraphs>3053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