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April 14, 2010</w:t>
      </w:r>
    </w:p>
    <w:p>
      <w:pPr>
        <w:spacing w:after="0" w:line="17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-10160</wp:posOffset>
            </wp:positionV>
            <wp:extent cx="334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FEDERAL REALTY INVESTMENT TRUST</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52-0782497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(I.R.S. Employer Identification No.)</w:t>
      </w:r>
    </w:p>
    <w:p>
      <w:pPr>
        <w:spacing w:after="0" w:line="13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Dawn M. Becker, Executive Vice President, General Counsel and Secretary</w:t>
      </w:r>
    </w:p>
    <w:p>
      <w:pPr>
        <w:jc w:val="center"/>
        <w:ind w:right="-39"/>
        <w:spacing w:after="0" w:line="223" w:lineRule="auto"/>
        <w:rPr>
          <w:sz w:val="20"/>
          <w:szCs w:val="20"/>
          <w:color w:val="auto"/>
        </w:rPr>
      </w:pPr>
      <w:r>
        <w:rPr>
          <w:rFonts w:ascii="Arial" w:cs="Arial" w:eastAsia="Arial" w:hAnsi="Arial"/>
          <w:sz w:val="14"/>
          <w:szCs w:val="14"/>
          <w:b w:val="1"/>
          <w:bCs w:val="1"/>
          <w:color w:val="auto"/>
        </w:rPr>
        <w:t>Federal Realty Investment Trust</w:t>
      </w:r>
    </w:p>
    <w:p>
      <w:pPr>
        <w:jc w:val="center"/>
        <w:ind w:right="-39"/>
        <w:spacing w:after="0" w:line="222" w:lineRule="auto"/>
        <w:rPr>
          <w:sz w:val="20"/>
          <w:szCs w:val="20"/>
          <w:color w:val="auto"/>
        </w:rPr>
      </w:pPr>
      <w:r>
        <w:rPr>
          <w:rFonts w:ascii="Arial" w:cs="Arial" w:eastAsia="Arial" w:hAnsi="Arial"/>
          <w:sz w:val="14"/>
          <w:szCs w:val="14"/>
          <w:b w:val="1"/>
          <w:bCs w:val="1"/>
          <w:color w:val="auto"/>
        </w:rPr>
        <w:t>1626 East Jefferson Street</w:t>
      </w:r>
    </w:p>
    <w:p>
      <w:pPr>
        <w:jc w:val="center"/>
        <w:ind w:right="-39"/>
        <w:spacing w:after="0" w:line="221" w:lineRule="auto"/>
        <w:rPr>
          <w:sz w:val="20"/>
          <w:szCs w:val="20"/>
          <w:color w:val="auto"/>
        </w:rPr>
      </w:pPr>
      <w:r>
        <w:rPr>
          <w:rFonts w:ascii="Arial" w:cs="Arial" w:eastAsia="Arial" w:hAnsi="Arial"/>
          <w:sz w:val="14"/>
          <w:szCs w:val="14"/>
          <w:b w:val="1"/>
          <w:bCs w:val="1"/>
          <w:color w:val="auto"/>
        </w:rPr>
        <w:t>Rockville, Maryland 20852</w:t>
      </w:r>
    </w:p>
    <w:p>
      <w:pPr>
        <w:jc w:val="center"/>
        <w:ind w:right="-39"/>
        <w:spacing w:after="0" w:line="222" w:lineRule="auto"/>
        <w:rPr>
          <w:sz w:val="20"/>
          <w:szCs w:val="20"/>
          <w:color w:val="auto"/>
        </w:rPr>
      </w:pPr>
      <w:r>
        <w:rPr>
          <w:rFonts w:ascii="Arial" w:cs="Arial" w:eastAsia="Arial" w:hAnsi="Arial"/>
          <w:sz w:val="14"/>
          <w:szCs w:val="14"/>
          <w:b w:val="1"/>
          <w:bCs w:val="1"/>
          <w:color w:val="auto"/>
        </w:rPr>
        <w:t>Telephone: (301) 998-8100</w:t>
      </w:r>
    </w:p>
    <w:p>
      <w:pPr>
        <w:jc w:val="center"/>
        <w:ind w:right="-39"/>
        <w:spacing w:after="0" w:line="221" w:lineRule="auto"/>
        <w:rPr>
          <w:sz w:val="20"/>
          <w:szCs w:val="20"/>
          <w:color w:val="auto"/>
        </w:rPr>
      </w:pPr>
      <w:r>
        <w:rPr>
          <w:rFonts w:ascii="Arial" w:cs="Arial" w:eastAsia="Arial" w:hAnsi="Arial"/>
          <w:sz w:val="14"/>
          <w:szCs w:val="14"/>
          <w:b w:val="1"/>
          <w:bCs w:val="1"/>
          <w:color w:val="auto"/>
        </w:rPr>
        <w:t>(Name, address, including zip code, and telephone number,</w:t>
      </w:r>
    </w:p>
    <w:p>
      <w:pPr>
        <w:jc w:val="center"/>
        <w:ind w:right="-39"/>
        <w:spacing w:after="0"/>
        <w:rPr>
          <w:sz w:val="20"/>
          <w:szCs w:val="20"/>
          <w:color w:val="auto"/>
        </w:rPr>
      </w:pPr>
      <w:r>
        <w:rPr>
          <w:rFonts w:ascii="Arial" w:cs="Arial" w:eastAsia="Arial" w:hAnsi="Arial"/>
          <w:sz w:val="14"/>
          <w:szCs w:val="14"/>
          <w:b w:val="1"/>
          <w:b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Copies to:</w:t>
      </w:r>
    </w:p>
    <w:p>
      <w:pPr>
        <w:jc w:val="center"/>
        <w:ind w:right="-39"/>
        <w:spacing w:after="0" w:line="221" w:lineRule="auto"/>
        <w:rPr>
          <w:sz w:val="20"/>
          <w:szCs w:val="20"/>
          <w:color w:val="auto"/>
        </w:rPr>
      </w:pPr>
      <w:r>
        <w:rPr>
          <w:rFonts w:ascii="Arial" w:cs="Arial" w:eastAsia="Arial" w:hAnsi="Arial"/>
          <w:sz w:val="14"/>
          <w:szCs w:val="14"/>
          <w:b w:val="1"/>
          <w:bCs w:val="1"/>
          <w:color w:val="auto"/>
        </w:rPr>
        <w:t>Jeffrey B. Grill, Esq.</w:t>
      </w:r>
    </w:p>
    <w:p>
      <w:pPr>
        <w:jc w:val="center"/>
        <w:ind w:right="-39"/>
        <w:spacing w:after="0" w:line="221" w:lineRule="auto"/>
        <w:rPr>
          <w:sz w:val="20"/>
          <w:szCs w:val="20"/>
          <w:color w:val="auto"/>
        </w:rPr>
      </w:pPr>
      <w:r>
        <w:rPr>
          <w:rFonts w:ascii="Arial" w:cs="Arial" w:eastAsia="Arial" w:hAnsi="Arial"/>
          <w:sz w:val="14"/>
          <w:szCs w:val="14"/>
          <w:b w:val="1"/>
          <w:bCs w:val="1"/>
          <w:color w:val="auto"/>
        </w:rPr>
        <w:t>Eric M. Green, Esq.</w:t>
      </w:r>
    </w:p>
    <w:p>
      <w:pPr>
        <w:jc w:val="center"/>
        <w:ind w:right="-39"/>
        <w:spacing w:after="0" w:line="222" w:lineRule="auto"/>
        <w:rPr>
          <w:sz w:val="20"/>
          <w:szCs w:val="20"/>
          <w:color w:val="auto"/>
        </w:rPr>
      </w:pPr>
      <w:r>
        <w:rPr>
          <w:rFonts w:ascii="Arial" w:cs="Arial" w:eastAsia="Arial" w:hAnsi="Arial"/>
          <w:sz w:val="14"/>
          <w:szCs w:val="14"/>
          <w:b w:val="1"/>
          <w:bCs w:val="1"/>
          <w:color w:val="auto"/>
        </w:rPr>
        <w:t>Pillsbury Winthrop Shaw Pittman LLP</w:t>
      </w:r>
    </w:p>
    <w:p>
      <w:pPr>
        <w:jc w:val="center"/>
        <w:ind w:right="-39"/>
        <w:spacing w:after="0" w:line="221" w:lineRule="auto"/>
        <w:rPr>
          <w:sz w:val="20"/>
          <w:szCs w:val="20"/>
          <w:color w:val="auto"/>
        </w:rPr>
      </w:pPr>
      <w:r>
        <w:rPr>
          <w:rFonts w:ascii="Arial" w:cs="Arial" w:eastAsia="Arial" w:hAnsi="Arial"/>
          <w:sz w:val="14"/>
          <w:szCs w:val="14"/>
          <w:b w:val="1"/>
          <w:bCs w:val="1"/>
          <w:color w:val="auto"/>
        </w:rPr>
        <w:t>2300 N Street, N.W.</w:t>
      </w:r>
    </w:p>
    <w:p>
      <w:pPr>
        <w:jc w:val="center"/>
        <w:ind w:right="-39"/>
        <w:spacing w:after="0" w:line="222" w:lineRule="auto"/>
        <w:rPr>
          <w:sz w:val="20"/>
          <w:szCs w:val="20"/>
          <w:color w:val="auto"/>
        </w:rPr>
      </w:pPr>
      <w:r>
        <w:rPr>
          <w:rFonts w:ascii="Arial" w:cs="Arial" w:eastAsia="Arial" w:hAnsi="Arial"/>
          <w:sz w:val="14"/>
          <w:szCs w:val="14"/>
          <w:b w:val="1"/>
          <w:bCs w:val="1"/>
          <w:color w:val="auto"/>
        </w:rPr>
        <w:t>Washington, D.C. 20037</w:t>
      </w:r>
    </w:p>
    <w:p>
      <w:pPr>
        <w:jc w:val="center"/>
        <w:ind w:right="-39"/>
        <w:spacing w:after="0"/>
        <w:rPr>
          <w:sz w:val="20"/>
          <w:szCs w:val="20"/>
          <w:color w:val="auto"/>
        </w:rPr>
      </w:pPr>
      <w:r>
        <w:rPr>
          <w:rFonts w:ascii="Arial" w:cs="Arial" w:eastAsia="Arial" w:hAnsi="Arial"/>
          <w:sz w:val="14"/>
          <w:szCs w:val="14"/>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48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8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8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460"/>
        <w:spacing w:after="0" w:line="207" w:lineRule="exact"/>
        <w:tabs>
          <w:tab w:leader="none" w:pos="60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49" w:lineRule="exact"/>
        <w:rPr>
          <w:sz w:val="24"/>
          <w:szCs w:val="24"/>
          <w:color w:val="auto"/>
        </w:rPr>
      </w:pPr>
    </w:p>
    <w:p>
      <w:pPr>
        <w:ind w:left="460"/>
        <w:spacing w:after="0" w:line="207" w:lineRule="exact"/>
        <w:tabs>
          <w:tab w:leader="none" w:pos="6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(Do not check if a smaller reporting company)</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64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4465"/>
                    </a:xfrm>
                    <a:prstGeom prst="rect">
                      <a:avLst/>
                    </a:prstGeom>
                    <a:noFill/>
                  </pic:spPr>
                </pic:pic>
              </a:graphicData>
            </a:graphic>
          </wp:anchor>
        </w:drawing>
      </w:r>
    </w:p>
    <w:p>
      <w:pPr>
        <w:sectPr>
          <w:pgSz w:w="11900" w:h="16838" w:orient="portrait"/>
          <w:cols w:equalWidth="0" w:num="1">
            <w:col w:w="11380"/>
          </w:cols>
          <w:pgMar w:left="240" w:top="230" w:right="279" w:bottom="0" w:gutter="0" w:footer="0" w:header="0"/>
        </w:sectPr>
      </w:pPr>
    </w:p>
    <w:p>
      <w:pPr>
        <w:spacing w:after="0" w:line="78" w:lineRule="exact"/>
        <w:rPr>
          <w:sz w:val="24"/>
          <w:szCs w:val="24"/>
          <w:color w:val="auto"/>
        </w:rPr>
      </w:pPr>
    </w:p>
    <w:p>
      <w:pPr>
        <w:ind w:left="1900"/>
        <w:spacing w:after="0"/>
        <w:tabs>
          <w:tab w:leader="none" w:pos="5640" w:val="left"/>
          <w:tab w:leader="none" w:pos="7220" w:val="left"/>
          <w:tab w:leader="none" w:pos="8820" w:val="left"/>
          <w:tab w:leader="none" w:pos="10360" w:val="left"/>
        </w:tabs>
        <w:rPr>
          <w:sz w:val="20"/>
          <w:szCs w:val="20"/>
          <w:color w:val="auto"/>
        </w:rPr>
      </w:pPr>
      <w:r>
        <w:rPr>
          <w:rFonts w:ascii="Arial" w:cs="Arial" w:eastAsia="Arial" w:hAnsi="Arial"/>
          <w:sz w:val="14"/>
          <w:szCs w:val="14"/>
          <w:b w:val="1"/>
          <w:bCs w:val="1"/>
          <w:color w:val="auto"/>
        </w:rPr>
        <w:t>Title of Each Class of</w:t>
      </w:r>
      <w:r>
        <w:rPr>
          <w:sz w:val="20"/>
          <w:szCs w:val="20"/>
          <w:color w:val="auto"/>
        </w:rPr>
        <w:tab/>
      </w:r>
      <w:r>
        <w:rPr>
          <w:rFonts w:ascii="Arial" w:cs="Arial" w:eastAsia="Arial" w:hAnsi="Arial"/>
          <w:sz w:val="14"/>
          <w:szCs w:val="14"/>
          <w:b w:val="1"/>
          <w:bCs w:val="1"/>
          <w:color w:val="auto"/>
        </w:rPr>
        <w:t>Amount</w:t>
      </w:r>
      <w:r>
        <w:rPr>
          <w:sz w:val="20"/>
          <w:szCs w:val="20"/>
          <w:color w:val="auto"/>
        </w:rPr>
        <w:tab/>
      </w:r>
      <w:r>
        <w:rPr>
          <w:rFonts w:ascii="Arial" w:cs="Arial" w:eastAsia="Arial" w:hAnsi="Arial"/>
          <w:sz w:val="14"/>
          <w:szCs w:val="14"/>
          <w:b w:val="1"/>
          <w:bCs w:val="1"/>
          <w:color w:val="auto"/>
        </w:rPr>
        <w:t>Proposed</w:t>
      </w:r>
      <w:r>
        <w:rPr>
          <w:sz w:val="20"/>
          <w:szCs w:val="20"/>
          <w:color w:val="auto"/>
        </w:rPr>
        <w:tab/>
      </w:r>
      <w:r>
        <w:rPr>
          <w:rFonts w:ascii="Arial" w:cs="Arial" w:eastAsia="Arial" w:hAnsi="Arial"/>
          <w:sz w:val="14"/>
          <w:szCs w:val="14"/>
          <w:b w:val="1"/>
          <w:bCs w:val="1"/>
          <w:color w:val="auto"/>
        </w:rPr>
        <w:t>Proposed</w:t>
      </w:r>
      <w:r>
        <w:rPr>
          <w:sz w:val="20"/>
          <w:szCs w:val="20"/>
          <w:color w:val="auto"/>
        </w:rPr>
        <w:tab/>
      </w:r>
      <w:r>
        <w:rPr>
          <w:rFonts w:ascii="Arial" w:cs="Arial" w:eastAsia="Arial" w:hAnsi="Arial"/>
          <w:sz w:val="12"/>
          <w:szCs w:val="12"/>
          <w:b w:val="1"/>
          <w:bCs w:val="1"/>
          <w:color w:val="auto"/>
        </w:rPr>
        <w:t>Amount of</w:t>
      </w:r>
    </w:p>
    <w:p>
      <w:pPr>
        <w:sectPr>
          <w:pgSz w:w="11900" w:h="16838" w:orient="portrait"/>
          <w:cols w:equalWidth="0" w:num="1">
            <w:col w:w="11380"/>
          </w:cols>
          <w:pgMar w:left="240" w:top="230"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Borders>
              <w:right w:val="single" w:sz="8" w:color="auto"/>
            </w:tcBorders>
          </w:tcPr>
          <w:p>
            <w:pPr>
              <w:ind w:left="1740"/>
              <w:spacing w:after="0"/>
              <w:rPr>
                <w:sz w:val="20"/>
                <w:szCs w:val="20"/>
                <w:color w:val="auto"/>
              </w:rPr>
            </w:pPr>
            <w:r>
              <w:rPr>
                <w:rFonts w:ascii="Arial" w:cs="Arial" w:eastAsia="Arial" w:hAnsi="Arial"/>
                <w:sz w:val="14"/>
                <w:szCs w:val="14"/>
                <w:b w:val="1"/>
                <w:bCs w:val="1"/>
                <w:color w:val="auto"/>
              </w:rPr>
              <w:t>Securities to be Registered</w:t>
            </w:r>
          </w:p>
        </w:tc>
        <w:tc>
          <w:tcPr>
            <w:tcW w:w="1600" w:type="dxa"/>
            <w:vAlign w:val="bottom"/>
            <w:tcBorders>
              <w:right w:val="single" w:sz="8" w:color="auto"/>
            </w:tcBorders>
          </w:tcPr>
          <w:p>
            <w:pPr>
              <w:ind w:left="700"/>
              <w:spacing w:after="0"/>
              <w:rPr>
                <w:sz w:val="20"/>
                <w:szCs w:val="20"/>
                <w:color w:val="auto"/>
              </w:rPr>
            </w:pPr>
            <w:r>
              <w:rPr>
                <w:rFonts w:ascii="Arial" w:cs="Arial" w:eastAsia="Arial" w:hAnsi="Arial"/>
                <w:sz w:val="14"/>
                <w:szCs w:val="14"/>
                <w:b w:val="1"/>
                <w:bCs w:val="1"/>
                <w:color w:val="auto"/>
              </w:rPr>
              <w:t>to be</w:t>
            </w: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jc w:val="center"/>
              <w:ind w:left="22"/>
              <w:spacing w:after="0"/>
              <w:rPr>
                <w:sz w:val="20"/>
                <w:szCs w:val="20"/>
                <w:color w:val="auto"/>
              </w:rPr>
            </w:pPr>
            <w:r>
              <w:rPr>
                <w:rFonts w:ascii="Arial" w:cs="Arial" w:eastAsia="Arial" w:hAnsi="Arial"/>
                <w:sz w:val="14"/>
                <w:szCs w:val="14"/>
                <w:b w:val="1"/>
                <w:bCs w:val="1"/>
                <w:color w:val="auto"/>
                <w:w w:val="86"/>
              </w:rPr>
              <w:t>Registration Fee(1)</w:t>
            </w: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4"/>
              </w:rPr>
              <w:t>Registered(1)</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Per Unit(1)</w:t>
            </w:r>
          </w:p>
        </w:tc>
        <w:tc>
          <w:tcPr>
            <w:tcW w:w="160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Offering Price(1)</w:t>
            </w:r>
          </w:p>
        </w:tc>
        <w:tc>
          <w:tcPr>
            <w:tcW w:w="156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 (2)</w:t>
            </w:r>
          </w:p>
        </w:tc>
        <w:tc>
          <w:tcPr>
            <w:tcW w:w="1600" w:type="dxa"/>
            <w:vAlign w:val="bottom"/>
            <w:tcBorders>
              <w:bottom w:val="single" w:sz="8" w:color="auto"/>
              <w:right w:val="single" w:sz="8" w:color="auto"/>
            </w:tcBorders>
          </w:tcPr>
          <w:p>
            <w:pPr>
              <w:jc w:val="right"/>
              <w:ind w:right="406"/>
              <w:spacing w:after="0"/>
              <w:rPr>
                <w:sz w:val="20"/>
                <w:szCs w:val="20"/>
                <w:color w:val="auto"/>
              </w:rPr>
            </w:pPr>
            <w:r>
              <w:rPr>
                <w:rFonts w:ascii="Arial" w:cs="Arial" w:eastAsia="Arial" w:hAnsi="Arial"/>
                <w:sz w:val="18"/>
                <w:szCs w:val="18"/>
                <w:color w:val="auto"/>
              </w:rPr>
              <w:t>582,722</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color w:val="auto"/>
              </w:rPr>
              <w:t>$0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160" w:hanging="452"/>
        <w:spacing w:after="0" w:line="25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common shares of beneficial interest being registered pursuant to this registration statement consist entirely of unsold common shares of beneficial interest that were previously registered on an automatic shelf registration statement on Form S-3 (File No. 333-142231), filed with the Securities and Exchange Commission on April 19, 2007 (the “Prior Registration Statement”). Pursuant to Rule 415(a)(6) under the Securities Act of 1933, as amended, the filing fee of $3,258.42 paid by the registrant in connection with the Prior Registration Statement shall be applied to the common shares of beneficial interest that were previously registered and unsold under the Prior Registration Statement. Accordingly, there is no registration fee due in connection with this registration statement.</w:t>
      </w:r>
    </w:p>
    <w:p>
      <w:pPr>
        <w:spacing w:after="0" w:line="4"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 of beneficial interest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118110</wp:posOffset>
            </wp:positionV>
            <wp:extent cx="2160905" cy="823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90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582,722 Common Shares of Beneficial Interest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 value $0.01 per share)</w:t>
      </w:r>
    </w:p>
    <w:p>
      <w:pPr>
        <w:spacing w:after="0" w:line="76" w:lineRule="exact"/>
        <w:rPr>
          <w:sz w:val="20"/>
          <w:szCs w:val="20"/>
          <w:color w:val="auto"/>
        </w:rPr>
      </w:pPr>
    </w:p>
    <w:p>
      <w:pPr>
        <w:ind w:right="20" w:firstLine="342"/>
        <w:spacing w:after="0" w:line="290" w:lineRule="auto"/>
        <w:rPr>
          <w:sz w:val="20"/>
          <w:szCs w:val="20"/>
          <w:color w:val="auto"/>
        </w:rPr>
      </w:pPr>
      <w:r>
        <w:rPr>
          <w:rFonts w:ascii="Arial" w:cs="Arial" w:eastAsia="Arial" w:hAnsi="Arial"/>
          <w:sz w:val="16"/>
          <w:szCs w:val="16"/>
          <w:color w:val="auto"/>
        </w:rPr>
        <w:t>This prospectus relates to the offer and sale from time to time by the selling shareholders of up to 582,722 of our common shares of beneficial interest, par value $0.01 per share, which we refer to as our common shares, comprised of common shares (i) issuable upon conversion of our 5.417% Series 1 Cumulative Convertible Preferred Shares of Beneficial Interest, par value $0.01 per share and liquidation preference $25.00 per share, which we refer to as our preferred shares, if and to the extent that selling shareholders tender preferred shares for conversion and offer or sell any of the common shares issued in respect thereof, and (ii) issuable upon redemption of units of limited liability company interest in NVI-Avenue, LLC, our consolidated subsidiary, which we refer to as downREIT units, if and to the extent that redeeming unitholders tender downREIT units for redemption, receive common shares for such redemption and offer or sell any of the common shares issued in respect thereof. We will not receive any proceeds from the sale of the offered shares by the selling shareholders.</w:t>
      </w:r>
    </w:p>
    <w:p>
      <w:pPr>
        <w:spacing w:after="0" w:line="37" w:lineRule="exact"/>
        <w:rPr>
          <w:sz w:val="20"/>
          <w:szCs w:val="20"/>
          <w:color w:val="auto"/>
        </w:rPr>
      </w:pPr>
    </w:p>
    <w:p>
      <w:pPr>
        <w:ind w:right="40" w:firstLine="342"/>
        <w:spacing w:after="0" w:line="268" w:lineRule="auto"/>
        <w:rPr>
          <w:sz w:val="20"/>
          <w:szCs w:val="20"/>
          <w:color w:val="auto"/>
        </w:rPr>
      </w:pPr>
      <w:r>
        <w:rPr>
          <w:rFonts w:ascii="Arial" w:cs="Arial" w:eastAsia="Arial" w:hAnsi="Arial"/>
          <w:sz w:val="18"/>
          <w:szCs w:val="18"/>
          <w:color w:val="auto"/>
        </w:rPr>
        <w:t>On March 8, 2007, we acquired various real properties for aggregate consideration of approximately $189.0 million, part of which consideration consisted of the issuance of (i) 884,066 common shares, (ii) 399,896 preferred shares and (iii) 185,504 downREIT units.</w:t>
      </w:r>
    </w:p>
    <w:p>
      <w:pPr>
        <w:spacing w:after="0" w:line="51" w:lineRule="exact"/>
        <w:rPr>
          <w:sz w:val="20"/>
          <w:szCs w:val="20"/>
          <w:color w:val="auto"/>
        </w:rPr>
      </w:pPr>
    </w:p>
    <w:p>
      <w:pPr>
        <w:ind w:right="60" w:firstLine="342"/>
        <w:spacing w:after="0" w:line="305" w:lineRule="auto"/>
        <w:rPr>
          <w:sz w:val="20"/>
          <w:szCs w:val="20"/>
          <w:color w:val="auto"/>
        </w:rPr>
      </w:pPr>
      <w:r>
        <w:rPr>
          <w:rFonts w:ascii="Arial" w:cs="Arial" w:eastAsia="Arial" w:hAnsi="Arial"/>
          <w:sz w:val="15"/>
          <w:szCs w:val="15"/>
          <w:color w:val="auto"/>
        </w:rPr>
        <w:t>Beginning on March 8, 2007, the holders of preferred shares may convert their outstanding preferred shares into a number of common shares determined by dividing (A) the product obtained by multiplying: (i) the number of preferred shares being converted by (ii) the liquidation price of $25.00 per preferred share; by</w:t>
      </w:r>
    </w:p>
    <w:p>
      <w:pPr>
        <w:ind w:right="120" w:firstLine="8"/>
        <w:spacing w:after="0" w:line="300" w:lineRule="auto"/>
        <w:tabs>
          <w:tab w:leader="none" w:pos="278"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optional conversion price (which conversion price is calculated as provided for in the Articles Supplementary Establishing and Fixing the Rights and Preferences of the preferred shares, or the Articles Supplementary) as in effect immediately prior to the close of business on the date of conversion. Holder conversions are subject to (a) limitations on real estate investment trust share ownership, (b) a minimum conversion amount, (c) conversion frequency limits and</w:t>
      </w:r>
    </w:p>
    <w:p>
      <w:pPr>
        <w:spacing w:after="0" w:line="1" w:lineRule="exact"/>
        <w:rPr>
          <w:rFonts w:ascii="Arial" w:cs="Arial" w:eastAsia="Arial" w:hAnsi="Arial"/>
          <w:sz w:val="15"/>
          <w:szCs w:val="15"/>
          <w:color w:val="auto"/>
        </w:rPr>
      </w:pPr>
    </w:p>
    <w:p>
      <w:pPr>
        <w:ind w:right="20"/>
        <w:spacing w:after="0" w:line="290" w:lineRule="auto"/>
        <w:rPr>
          <w:rFonts w:ascii="Arial" w:cs="Arial" w:eastAsia="Arial" w:hAnsi="Arial"/>
          <w:sz w:val="15"/>
          <w:szCs w:val="15"/>
          <w:color w:val="auto"/>
        </w:rPr>
      </w:pPr>
      <w:r>
        <w:rPr>
          <w:rFonts w:ascii="Arial" w:cs="Arial" w:eastAsia="Arial" w:hAnsi="Arial"/>
          <w:sz w:val="16"/>
          <w:szCs w:val="16"/>
          <w:color w:val="auto"/>
        </w:rPr>
        <w:t>(d) black-out periods after public offerings of the registrant. At any time after March 8, 2007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(A) the product obtained by multiplying: (i) the number of preferred shares being converted by (ii) the liquidation price of $25.00 per preferred share; by (B)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37" w:lineRule="exact"/>
        <w:rPr>
          <w:sz w:val="20"/>
          <w:szCs w:val="20"/>
          <w:color w:val="auto"/>
        </w:rPr>
      </w:pPr>
    </w:p>
    <w:p>
      <w:pPr>
        <w:ind w:right="220" w:firstLine="342"/>
        <w:spacing w:after="0" w:line="256" w:lineRule="auto"/>
        <w:rPr>
          <w:sz w:val="20"/>
          <w:szCs w:val="20"/>
          <w:color w:val="auto"/>
        </w:rPr>
      </w:pPr>
      <w:r>
        <w:rPr>
          <w:rFonts w:ascii="Arial" w:cs="Arial" w:eastAsia="Arial" w:hAnsi="Arial"/>
          <w:sz w:val="18"/>
          <w:szCs w:val="18"/>
          <w:color w:val="auto"/>
        </w:rPr>
        <w:t>The members of NVI-Avenue, LLC have the right to require NVI-Avenue, LLC to redeem their downREIT units for cash beginning on the earlier of March 8, 2008 or the date of an extraordinary transaction (as such term is defined in NVI-Avenue, LLC’s constituent documents), by issuing a notice of redemption to NVI-Avenue, LLC; within 20 days after NVI-Avenue, LLC receives such a notice of redemption, the registrant may elect to acquire the tendered units in exchange for cash or common shares, at the registrant’s election.</w:t>
      </w:r>
    </w:p>
    <w:p>
      <w:pPr>
        <w:spacing w:after="0" w:line="62" w:lineRule="exact"/>
        <w:rPr>
          <w:sz w:val="20"/>
          <w:szCs w:val="20"/>
          <w:color w:val="auto"/>
        </w:rPr>
      </w:pPr>
    </w:p>
    <w:p>
      <w:pPr>
        <w:ind w:right="100" w:firstLine="342"/>
        <w:spacing w:after="0" w:line="255" w:lineRule="auto"/>
        <w:rPr>
          <w:sz w:val="20"/>
          <w:szCs w:val="20"/>
          <w:color w:val="auto"/>
        </w:rPr>
      </w:pPr>
      <w:r>
        <w:rPr>
          <w:rFonts w:ascii="Arial" w:cs="Arial" w:eastAsia="Arial" w:hAnsi="Arial"/>
          <w:sz w:val="18"/>
          <w:szCs w:val="18"/>
          <w:color w:val="auto"/>
        </w:rPr>
        <w:t>We are registering the common shares being offered by this prospectus pursuant to contractual obligations under a registration rights agreement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62"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We will pay all expenses incident to the registration of the 582,722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59" w:lineRule="exact"/>
        <w:rPr>
          <w:sz w:val="20"/>
          <w:szCs w:val="20"/>
          <w:color w:val="auto"/>
        </w:rPr>
      </w:pPr>
    </w:p>
    <w:p>
      <w:pPr>
        <w:ind w:right="300" w:firstLine="342"/>
        <w:spacing w:after="0" w:line="268" w:lineRule="auto"/>
        <w:rPr>
          <w:sz w:val="20"/>
          <w:szCs w:val="20"/>
          <w:color w:val="auto"/>
        </w:rPr>
      </w:pPr>
      <w:r>
        <w:rPr>
          <w:rFonts w:ascii="Arial" w:cs="Arial" w:eastAsia="Arial" w:hAnsi="Arial"/>
          <w:sz w:val="18"/>
          <w:szCs w:val="18"/>
          <w:color w:val="auto"/>
        </w:rPr>
        <w:t>Our common shares are listed on the New York Stock Exchange under the symbol “FRT.” On April 12, 2010, the last reported sales price of our common shares, as reported on the New York Stock Exchange, was $74.53 per share.</w:t>
      </w:r>
    </w:p>
    <w:p>
      <w:pPr>
        <w:spacing w:after="0" w:line="45" w:lineRule="exact"/>
        <w:rPr>
          <w:sz w:val="20"/>
          <w:szCs w:val="20"/>
          <w:color w:val="auto"/>
        </w:rPr>
      </w:pPr>
    </w:p>
    <w:p>
      <w:pPr>
        <w:jc w:val="both"/>
        <w:ind w:right="340" w:firstLine="342"/>
        <w:spacing w:after="0" w:line="262" w:lineRule="auto"/>
        <w:rPr>
          <w:rFonts w:ascii="Arial" w:cs="Arial" w:eastAsia="Arial" w:hAnsi="Arial"/>
          <w:sz w:val="18"/>
          <w:szCs w:val="18"/>
          <w:b w:val="1"/>
          <w:bCs w:val="1"/>
          <w:color w:val="0000EE"/>
        </w:rPr>
      </w:pPr>
      <w:hyperlink w:anchor="page6">
        <w:r>
          <w:rPr>
            <w:rFonts w:ascii="Arial" w:cs="Arial" w:eastAsia="Arial" w:hAnsi="Arial"/>
            <w:sz w:val="18"/>
            <w:szCs w:val="18"/>
            <w:b w:val="1"/>
            <w:bCs w:val="1"/>
            <w:color w:val="auto"/>
          </w:rPr>
          <w:t>Please read this prospectus and the applicable supplement carefully before you invest. Investing in our common shares involves risks. See “</w:t>
        </w:r>
        <w:r>
          <w:rPr>
            <w:rFonts w:ascii="Arial" w:cs="Arial" w:eastAsia="Arial" w:hAnsi="Arial"/>
            <w:sz w:val="18"/>
            <w:szCs w:val="18"/>
            <w:b w:val="1"/>
            <w:bCs w:val="1"/>
            <w:u w:val="single" w:color="auto"/>
            <w:color w:val="0000EE"/>
          </w:rPr>
          <w:t>Risk</w:t>
        </w:r>
      </w:hyperlink>
      <w:r>
        <w:rPr>
          <w:rFonts w:ascii="Arial" w:cs="Arial" w:eastAsia="Arial" w:hAnsi="Arial"/>
          <w:sz w:val="18"/>
          <w:szCs w:val="18"/>
          <w:b w:val="1"/>
          <w:bCs w:val="1"/>
          <w:color w:val="auto"/>
        </w:rPr>
        <w:t xml:space="preserve"> </w:t>
      </w:r>
      <w:hyperlink w:anchor="page6">
        <w:r>
          <w:rPr>
            <w:rFonts w:ascii="Arial" w:cs="Arial" w:eastAsia="Arial" w:hAnsi="Arial"/>
            <w:sz w:val="18"/>
            <w:szCs w:val="18"/>
            <w:b w:val="1"/>
            <w:bCs w:val="1"/>
            <w:u w:val="single" w:color="auto"/>
            <w:color w:val="0000EE"/>
          </w:rPr>
          <w:t>Factors</w:t>
        </w:r>
        <w:r>
          <w:rPr>
            <w:rFonts w:ascii="Arial" w:cs="Arial" w:eastAsia="Arial" w:hAnsi="Arial"/>
            <w:sz w:val="18"/>
            <w:szCs w:val="18"/>
            <w:b w:val="1"/>
            <w:bCs w:val="1"/>
            <w:color w:val="000000"/>
          </w:rPr>
          <w:t>” beginning on page 2 of our Annual Report on Form 10-K for the fiscal year ended December 31, 2009, and on page 2 of this prospectus, for</w:t>
        </w:r>
      </w:hyperlink>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risks relating to an investment in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900" w:firstLine="342"/>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April 14, 2010</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8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1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1"/>
            <w:vMerge w:val="continue"/>
          </w:tcPr>
          <w:p>
            <w:pPr>
              <w:spacing w:after="0"/>
              <w:rPr>
                <w:sz w:val="14"/>
                <w:szCs w:val="14"/>
                <w:color w:val="auto"/>
              </w:rPr>
            </w:pPr>
          </w:p>
        </w:tc>
        <w:tc>
          <w:tcPr>
            <w:tcW w:w="71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Forward-Looking Information</w:t>
              </w:r>
            </w:hyperlink>
          </w:p>
        </w:tc>
        <w:tc>
          <w:tcPr>
            <w:tcW w:w="1820" w:type="dxa"/>
            <w:vAlign w:val="bottom"/>
            <w:gridSpan w:val="3"/>
          </w:tcPr>
          <w:p>
            <w:pPr>
              <w:spacing w:after="0"/>
              <w:rPr>
                <w:sz w:val="17"/>
                <w:szCs w:val="17"/>
                <w:color w:val="auto"/>
              </w:rPr>
            </w:pPr>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060" w:type="dxa"/>
            <w:vAlign w:val="bottom"/>
            <w:gridSpan w:val="8"/>
          </w:tcPr>
          <w:p>
            <w:pPr>
              <w:spacing w:after="0"/>
              <w:rPr>
                <w:sz w:val="17"/>
                <w:szCs w:val="17"/>
                <w:color w:val="auto"/>
              </w:rPr>
            </w:pPr>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Trust</w:t>
              </w:r>
            </w:hyperlink>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Shareholders</w:t>
              </w:r>
            </w:hyperlink>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Material Federal Income Tax Considerations</w:t>
              </w:r>
            </w:hyperlink>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2500" w:type="dxa"/>
            <w:vAlign w:val="bottom"/>
            <w:gridSpan w:val="5"/>
          </w:tcPr>
          <w:p>
            <w:pPr>
              <w:spacing w:after="0"/>
              <w:rPr>
                <w:sz w:val="17"/>
                <w:szCs w:val="17"/>
                <w:color w:val="auto"/>
              </w:rPr>
            </w:pPr>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74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selling shareholders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information, or to publicly release the results if we revise any of them.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2009,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Federal Realty Investment Trust is an equity real estate investment trust, or REIT,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December 31, 2009, we owned or had a majority interest in community and neighborhood shopping centers and mixed-use properties which are operated as 84 predominantly retail real estate projects comprising approximately</w:t>
      </w:r>
    </w:p>
    <w:p>
      <w:pPr>
        <w:spacing w:after="0" w:line="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18.2 million square feet. In total, the real estate projects were 94.5% leased and 93.2% occupied at December 31, 2009. A joint venture in which we own a 30% interest owned seven retail real estate projects totaling approximately 1.0 million square feet as of December 31, 2009. In total, the joint venture properties in which we own an interest were 85.0% leased and occupied at December 31, 2009. We have paid quarterly dividends to our shareholders continuously since our founding in 1962 and have increased our dividends per common share for 42 consecutive years.</w:t>
      </w:r>
    </w:p>
    <w:p>
      <w:pPr>
        <w:spacing w:after="0" w:line="11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5"/>
          <w:szCs w:val="15"/>
          <w:i w:val="1"/>
          <w:iCs w:val="1"/>
          <w:color w:val="auto"/>
        </w:rPr>
        <w:t>www.federalrealty.com</w:t>
      </w:r>
      <w:r>
        <w:rPr>
          <w:rFonts w:ascii="Arial" w:cs="Arial" w:eastAsia="Arial" w:hAnsi="Arial"/>
          <w:sz w:val="15"/>
          <w:szCs w:val="15"/>
          <w:color w:val="auto"/>
        </w:rPr>
        <w:t>. The information contained on our website is not a part of this prospectus and is not incorporated herein by reference.</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not receive any proceeds from the sale of the offered shares by the selling shareholders.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selling shareholders hold an aggregate of 399,896 preferred shares and 182,826 downREIT units, which they acquired on March 8, 2007 in exchange for their interests in certain entities owning real properties. We may issue the offered common shares to the selling shareholders in exchange for (i) the preferred shares if and to the extent that the selling shareholders tender their preferred shares for conversion, and (ii) the downREIT units if and to the extent that the selling shareholders tender their downREIT units for redemption. The common shares offered by this prospectus may be offered from time to time by the selling shareholders named below and by any additional selling shareholders who may be named in a supplement to this prospectus. In addition, the common shares covered by this prospectus may be sold by any permissible transferees who receive common shares, preferred shares or downREIT units from the selling shareholders listed below. The following table sets forth the name of each selling shareholder and the number of our common shares that may be offered by each selling shareholder.</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None of the selling shareholders has had any position, office or other material relationship with us, or any of our predecessors or affiliates, during the past three years. Since the selling shareholders may sell all, some or none of the offered common shares covered by this prospectus, no estimate can be made of the number of common shares that will be sold by the selling shareholders pursuant to this prospectus or that will be owned by the selling shareholders upon completion of the offering. The aggregate number of common shares set forth in the table below (which number assumes the conversion (upon the election of the preferred shareholders) of all outstanding preferred shares and the redemption (upon the election of the downREIT holders and the election of the registrant to acquire all tendered downREIT units in exchange for common shares) of all outstanding downREIT units owned by all of the selling shareholders as of the date hereof, at the conversion price and redemption price in effect as of the date hereof) represents approximately 0.973% of the total number of our common shares outstanding as of March 17, 2010.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8"/>
              </w:rPr>
              <w:t>Number of</w:t>
            </w:r>
          </w:p>
        </w:tc>
        <w:tc>
          <w:tcPr>
            <w:tcW w:w="19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Number of</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9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Common Shares</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9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Being</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Shareholder</w:t>
            </w:r>
          </w:p>
        </w:tc>
        <w:tc>
          <w:tcPr>
            <w:tcW w:w="1920" w:type="dxa"/>
            <w:vAlign w:val="bottom"/>
          </w:tcPr>
          <w:p>
            <w:pPr>
              <w:spacing w:after="0"/>
              <w:rPr>
                <w:sz w:val="14"/>
                <w:szCs w:val="14"/>
                <w:color w:val="auto"/>
              </w:rPr>
            </w:pPr>
          </w:p>
        </w:tc>
        <w:tc>
          <w:tcPr>
            <w:tcW w:w="24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Prior to Offering (1)</w:t>
            </w:r>
          </w:p>
        </w:tc>
        <w:tc>
          <w:tcPr>
            <w:tcW w:w="19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Offered (2)</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After the Offering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 Thomas Campbell</w:t>
            </w:r>
          </w:p>
        </w:tc>
        <w:tc>
          <w:tcPr>
            <w:tcW w:w="2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5,306(4)</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5,306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Anne S. Campbell</w:t>
            </w:r>
          </w:p>
        </w:tc>
        <w:tc>
          <w:tcPr>
            <w:tcW w:w="4380" w:type="dxa"/>
            <w:vAlign w:val="bottom"/>
            <w:gridSpan w:val="3"/>
          </w:tcPr>
          <w:p>
            <w:pPr>
              <w:jc w:val="right"/>
              <w:ind w:right="1080"/>
              <w:spacing w:after="0"/>
              <w:rPr>
                <w:sz w:val="20"/>
                <w:szCs w:val="20"/>
                <w:color w:val="auto"/>
              </w:rPr>
            </w:pPr>
            <w:r>
              <w:rPr>
                <w:rFonts w:ascii="Arial" w:cs="Arial" w:eastAsia="Arial" w:hAnsi="Arial"/>
                <w:sz w:val="18"/>
                <w:szCs w:val="18"/>
                <w:color w:val="auto"/>
              </w:rPr>
              <w:t>1,056(5)</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907</w:t>
            </w: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S. Campbell, III</w:t>
            </w:r>
          </w:p>
        </w:tc>
        <w:tc>
          <w:tcPr>
            <w:tcW w:w="43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16,780(6)</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16,780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Bruce S. Campbell, IV</w:t>
            </w:r>
          </w:p>
        </w:tc>
        <w:tc>
          <w:tcPr>
            <w:tcW w:w="4380" w:type="dxa"/>
            <w:vAlign w:val="bottom"/>
            <w:gridSpan w:val="3"/>
          </w:tcPr>
          <w:p>
            <w:pPr>
              <w:jc w:val="right"/>
              <w:ind w:right="1080"/>
              <w:spacing w:after="0"/>
              <w:rPr>
                <w:sz w:val="20"/>
                <w:szCs w:val="20"/>
                <w:color w:val="auto"/>
              </w:rPr>
            </w:pPr>
            <w:r>
              <w:rPr>
                <w:rFonts w:ascii="Arial" w:cs="Arial" w:eastAsia="Arial" w:hAnsi="Arial"/>
                <w:sz w:val="18"/>
                <w:szCs w:val="18"/>
                <w:color w:val="auto"/>
              </w:rPr>
              <w:t>1,025(7)</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1,025</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C. Haislip</w:t>
            </w:r>
          </w:p>
        </w:tc>
        <w:tc>
          <w:tcPr>
            <w:tcW w:w="43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5,306(8)</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5,306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Caroline Campbell Hill</w:t>
            </w:r>
          </w:p>
        </w:tc>
        <w:tc>
          <w:tcPr>
            <w:tcW w:w="4380" w:type="dxa"/>
            <w:vAlign w:val="bottom"/>
            <w:gridSpan w:val="3"/>
          </w:tcPr>
          <w:p>
            <w:pPr>
              <w:jc w:val="right"/>
              <w:ind w:right="1080"/>
              <w:spacing w:after="0"/>
              <w:rPr>
                <w:sz w:val="20"/>
                <w:szCs w:val="20"/>
                <w:color w:val="auto"/>
              </w:rPr>
            </w:pPr>
            <w:r>
              <w:rPr>
                <w:rFonts w:ascii="Arial" w:cs="Arial" w:eastAsia="Arial" w:hAnsi="Arial"/>
                <w:sz w:val="18"/>
                <w:szCs w:val="18"/>
                <w:color w:val="auto"/>
              </w:rPr>
              <w:t>656(9)</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656</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Carolyn C. Beall</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7,332(10)</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7,332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Charles C. Campbell</w:t>
            </w:r>
          </w:p>
        </w:tc>
        <w:tc>
          <w:tcPr>
            <w:tcW w:w="4380" w:type="dxa"/>
            <w:vAlign w:val="bottom"/>
            <w:gridSpan w:val="3"/>
          </w:tcPr>
          <w:p>
            <w:pPr>
              <w:jc w:val="right"/>
              <w:ind w:right="1000"/>
              <w:spacing w:after="0"/>
              <w:rPr>
                <w:sz w:val="20"/>
                <w:szCs w:val="20"/>
                <w:color w:val="auto"/>
              </w:rPr>
            </w:pPr>
            <w:r>
              <w:rPr>
                <w:rFonts w:ascii="Arial" w:cs="Arial" w:eastAsia="Arial" w:hAnsi="Arial"/>
                <w:sz w:val="18"/>
                <w:szCs w:val="18"/>
                <w:color w:val="auto"/>
              </w:rPr>
              <w:t>3,473(11)</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3,473</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53,433(12)</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41,727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Douglas Franklin Campbell</w:t>
            </w:r>
          </w:p>
        </w:tc>
        <w:tc>
          <w:tcPr>
            <w:tcW w:w="4380" w:type="dxa"/>
            <w:vAlign w:val="bottom"/>
            <w:gridSpan w:val="3"/>
          </w:tcPr>
          <w:p>
            <w:pPr>
              <w:jc w:val="right"/>
              <w:ind w:right="980"/>
              <w:spacing w:after="0"/>
              <w:rPr>
                <w:sz w:val="20"/>
                <w:szCs w:val="20"/>
                <w:color w:val="auto"/>
              </w:rPr>
            </w:pPr>
            <w:r>
              <w:rPr>
                <w:rFonts w:ascii="Arial" w:cs="Arial" w:eastAsia="Arial" w:hAnsi="Arial"/>
                <w:sz w:val="18"/>
                <w:szCs w:val="18"/>
                <w:color w:val="auto"/>
              </w:rPr>
              <w:t>6,303(13)</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6,020</w:t>
            </w: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Gregg T. Campbell</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37,289(14)</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36,515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 Tyler Campbell</w:t>
            </w:r>
          </w:p>
        </w:tc>
        <w:tc>
          <w:tcPr>
            <w:tcW w:w="4380" w:type="dxa"/>
            <w:vAlign w:val="bottom"/>
            <w:gridSpan w:val="3"/>
          </w:tcPr>
          <w:p>
            <w:pPr>
              <w:jc w:val="right"/>
              <w:ind w:right="980"/>
              <w:spacing w:after="0"/>
              <w:rPr>
                <w:sz w:val="20"/>
                <w:szCs w:val="20"/>
                <w:color w:val="auto"/>
              </w:rPr>
            </w:pPr>
            <w:r>
              <w:rPr>
                <w:rFonts w:ascii="Arial" w:cs="Arial" w:eastAsia="Arial" w:hAnsi="Arial"/>
                <w:sz w:val="18"/>
                <w:szCs w:val="18"/>
                <w:color w:val="auto"/>
              </w:rPr>
              <w:t>3,473(15)</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3,473</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F. Campbell</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232(16)</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232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Kathleen Campbell Ackerman</w:t>
            </w:r>
          </w:p>
        </w:tc>
        <w:tc>
          <w:tcPr>
            <w:tcW w:w="4380" w:type="dxa"/>
            <w:vAlign w:val="bottom"/>
            <w:gridSpan w:val="3"/>
          </w:tcPr>
          <w:p>
            <w:pPr>
              <w:jc w:val="right"/>
              <w:ind w:right="980"/>
              <w:spacing w:after="0"/>
              <w:rPr>
                <w:sz w:val="20"/>
                <w:szCs w:val="20"/>
                <w:color w:val="auto"/>
              </w:rPr>
            </w:pPr>
            <w:r>
              <w:rPr>
                <w:rFonts w:ascii="Arial" w:cs="Arial" w:eastAsia="Arial" w:hAnsi="Arial"/>
                <w:sz w:val="18"/>
                <w:szCs w:val="18"/>
                <w:color w:val="auto"/>
              </w:rPr>
              <w:t>656(17)</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656</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Madeline C. Modica</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8,349(18)</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7,679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Marcie C. McHale</w:t>
            </w:r>
          </w:p>
        </w:tc>
        <w:tc>
          <w:tcPr>
            <w:tcW w:w="4380" w:type="dxa"/>
            <w:vAlign w:val="bottom"/>
            <w:gridSpan w:val="3"/>
          </w:tcPr>
          <w:p>
            <w:pPr>
              <w:jc w:val="right"/>
              <w:ind w:right="980"/>
              <w:spacing w:after="0"/>
              <w:rPr>
                <w:sz w:val="20"/>
                <w:szCs w:val="20"/>
                <w:color w:val="auto"/>
              </w:rPr>
            </w:pPr>
            <w:r>
              <w:rPr>
                <w:rFonts w:ascii="Arial" w:cs="Arial" w:eastAsia="Arial" w:hAnsi="Arial"/>
                <w:sz w:val="18"/>
                <w:szCs w:val="18"/>
                <w:color w:val="auto"/>
              </w:rPr>
              <w:t>6,300(19)</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6,020</w:t>
            </w:r>
          </w:p>
        </w:tc>
        <w:tc>
          <w:tcPr>
            <w:tcW w:w="124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Bruce Campbell</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7,177(20)</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7,177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Russell Tyler Campbell</w:t>
            </w:r>
          </w:p>
        </w:tc>
        <w:tc>
          <w:tcPr>
            <w:tcW w:w="4380" w:type="dxa"/>
            <w:vAlign w:val="bottom"/>
            <w:gridSpan w:val="3"/>
          </w:tcPr>
          <w:p>
            <w:pPr>
              <w:jc w:val="right"/>
              <w:ind w:right="980"/>
              <w:spacing w:after="0"/>
              <w:rPr>
                <w:sz w:val="20"/>
                <w:szCs w:val="20"/>
                <w:color w:val="auto"/>
              </w:rPr>
            </w:pPr>
            <w:r>
              <w:rPr>
                <w:rFonts w:ascii="Arial" w:cs="Arial" w:eastAsia="Arial" w:hAnsi="Arial"/>
                <w:sz w:val="18"/>
                <w:szCs w:val="18"/>
                <w:color w:val="auto"/>
              </w:rPr>
              <w:t>6,303(21)</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6,020</w:t>
            </w: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James Campbell, Jr.</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5,445(22)</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5,306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Sarah T. Campbell</w:t>
            </w:r>
          </w:p>
        </w:tc>
        <w:tc>
          <w:tcPr>
            <w:tcW w:w="4380" w:type="dxa"/>
            <w:vAlign w:val="bottom"/>
            <w:gridSpan w:val="3"/>
          </w:tcPr>
          <w:p>
            <w:pPr>
              <w:jc w:val="right"/>
              <w:ind w:right="980"/>
              <w:spacing w:after="0"/>
              <w:rPr>
                <w:sz w:val="20"/>
                <w:szCs w:val="20"/>
                <w:color w:val="auto"/>
              </w:rPr>
            </w:pPr>
            <w:r>
              <w:rPr>
                <w:rFonts w:ascii="Arial" w:cs="Arial" w:eastAsia="Arial" w:hAnsi="Arial"/>
                <w:sz w:val="18"/>
                <w:szCs w:val="18"/>
                <w:color w:val="auto"/>
              </w:rPr>
              <w:t>1,025(23)</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1,025</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Taber C. Hook</w:t>
            </w:r>
          </w:p>
        </w:tc>
        <w:tc>
          <w:tcPr>
            <w:tcW w:w="4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9,007(24)</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9,007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Thomas M. Campbell</w:t>
            </w:r>
          </w:p>
        </w:tc>
        <w:tc>
          <w:tcPr>
            <w:tcW w:w="4380" w:type="dxa"/>
            <w:vAlign w:val="bottom"/>
            <w:gridSpan w:val="3"/>
          </w:tcPr>
          <w:p>
            <w:pPr>
              <w:jc w:val="right"/>
              <w:ind w:right="980"/>
              <w:spacing w:after="0"/>
              <w:rPr>
                <w:sz w:val="20"/>
                <w:szCs w:val="20"/>
                <w:color w:val="auto"/>
              </w:rPr>
            </w:pPr>
            <w:r>
              <w:rPr>
                <w:rFonts w:ascii="Arial" w:cs="Arial" w:eastAsia="Arial" w:hAnsi="Arial"/>
                <w:sz w:val="18"/>
                <w:szCs w:val="18"/>
                <w:color w:val="auto"/>
              </w:rPr>
              <w:t>20,822(25)</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20,822</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54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8"/>
              </w:rPr>
              <w:t>Number of</w:t>
            </w:r>
          </w:p>
        </w:tc>
        <w:tc>
          <w:tcPr>
            <w:tcW w:w="20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Number of</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54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84"/>
              </w:rPr>
              <w:t>Common Shares</w:t>
            </w:r>
          </w:p>
        </w:tc>
        <w:tc>
          <w:tcPr>
            <w:tcW w:w="20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20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2"/>
              </w:rPr>
              <w:t>Being</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Shareholder</w:t>
            </w:r>
          </w:p>
        </w:tc>
        <w:tc>
          <w:tcPr>
            <w:tcW w:w="254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1"/>
              </w:rPr>
              <w:t>Prior to Offering (1)</w:t>
            </w:r>
          </w:p>
        </w:tc>
        <w:tc>
          <w:tcPr>
            <w:tcW w:w="20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0"/>
              </w:rPr>
              <w:t>Offered (2)</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After the Offering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2,566(26)</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2,566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Trustees of the Generation Skipping Transfer Tax Exempt Trust</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u/w of S. James Campbell</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9,550(27)</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9,550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25,467(28)</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25,467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Paul D. Dollenberg, Jr.</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3,548(29)</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3,548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Trust No. 2 u/w Michael T. Campbell</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10,806(30)</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10,806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Jamie N. Campbell</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1,542(31)</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1,542</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 T. Campbell</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6,136(32)</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6,136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Kathleen B. Dollenberg</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1,201(33)</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1,201</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Campbell Alcarese</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1,756(34)</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1,756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Kristin D. Chottiner</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3,548(35)</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3,548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F. Campbell, Custodian for Connor M. Campbell under</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OR-UGMA</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386(36)</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Douglas F. Campbell, Custodian for Mitchell W. Campbell under</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OR-UGMA</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386(37)</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386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F. Campbell, Custodian for Sarah A. Campbell under</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OR-UGMA</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386(38)</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E. Mills Dancy</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348(39)</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348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Beall</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174(40)</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174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James C. Alban, IV</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348(41)</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348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R. Modica</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348(42)</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348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Jessica C. Hughes</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1,505(43)</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1,505</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Claire J. McHale under WA-</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UGMA</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386(44)</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Marcie C. McHale, Custodian for Madeline C. McHale under</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WA-UGMA</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386(45)</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386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Samuel H. McHale under WA-</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UGMA</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386(46)</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Meredith McLean Alcarese</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1,756(47)</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1,756</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W. Hook</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348(48)</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348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Natal Modica</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348(49)</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348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White Marsh, Inc.</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20(50)</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Richard E. Hook, IV</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174(51)</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174</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T. Campbell, Custodian for Jessica J. Campbell under</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OR-UGMA</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290(52)</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290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Russell T. Campbell, Custodian for Kelsey N. Campbell under</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OR-UGMA</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290(53)</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290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T. Campbell, Custodian for Lindsey M. Campbell under</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OR-UGMA</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290(54)</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290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Russell T. Campbell, Custodian for Tyler W. Campbell under</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OR-UGMA</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290(55)</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290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Trust u/w Michael T. Campbell f/b/o Jamie N.</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Campbell</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8,991(56)</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8,991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Trustees u/a dated 4/23/85 (Richard E. Hook, IV, Grantor)</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348(57)</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348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Taber A. Frederick</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348(58)</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348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 Douglas Dollenberg, Sr.</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1,200(59)</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1,200</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6</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40" w:hanging="452"/>
        <w:spacing w:after="0" w:line="28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Assuming (i) the conversion (upon the election of the preferred shareholders) as of the date hereof of all outstanding preferred shares, and (ii) the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 The information set forth in this column is partially based on information provided to us by the transfer agent and registrar for the common shares on April 9, 2010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Assuming the sale of all of the shares being offered under this registration statement.</w:t>
      </w:r>
    </w:p>
    <w:p>
      <w:pPr>
        <w:spacing w:after="0" w:line="9"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149 outstanding common shares, 0 common shares that are issuable to the selling shareholder upon conversion of all preferred shares owned by the selling shareholder, and 907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9,757 common shares that are issuable to the selling shareholder upon conversion of all preferred shares owned by the selling shareholder, and 7,023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369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7,332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3,473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11,706 outstanding common shares, 33,585 common shares that are issuable to the selling shareholder upon conversion of all preferred shares owned by the selling shareholder, and 8,142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283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jc w:val="both"/>
        <w:ind w:left="460" w:right="3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774 outstanding common shares, 26,868 common shares that are issuable to the selling shareholder upon conversion of all preferred shares owned by the selling shareholder, and 9,647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3,473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670 outstanding common shares, 0 common shares that are issuable to the selling shareholder upon conversion of all preferred shares owned by the selling shareholder, and 7,679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280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7,177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283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139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369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1,675 common shares that are issuable to the selling shareholder upon conversion of all preferred shares owned by the selling shareholder, and 7,332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11,175 common shares that are issuable to the selling shareholder upon conversion of all preferred shares owned by the selling shareholder, and 9,647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2,566 common shares that are issuable to the selling shareholder upon redemption of all of the downREIT units owned by the selling shareholder.</w:t>
      </w: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9,550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25,467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3,548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10,806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886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6,136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1,201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3,548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174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1,505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174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8,991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1,200 common shares that are issuable to the selling shareholder upon redemption of all of the downREIT units owned by the selling shareholder.</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otherwise specified, the information set forth above has been prepared based solely upon information furnished to us by the selling shareholders listed above.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sections summarize the material federal income tax issues that you may consider relevant relating to our taxation as a REIT under the Code, and the acquisition, ownership and disposition of our common shares.</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or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their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(e.g., estate or gift tax) other than the income tax and, only to the extent specifically provided herein, certain excise taxes potentially applicable to REITs.</w:t>
      </w:r>
    </w:p>
    <w:p>
      <w:pPr>
        <w:spacing w:after="0" w:line="12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79" w:lineRule="exact"/>
        <w:rPr>
          <w:sz w:val="20"/>
          <w:szCs w:val="20"/>
          <w:color w:val="auto"/>
        </w:rPr>
      </w:pPr>
    </w:p>
    <w:p>
      <w:pPr>
        <w:jc w:val="both"/>
        <w:ind w:right="220" w:firstLine="456"/>
        <w:spacing w:after="0" w:line="262" w:lineRule="auto"/>
        <w:rPr>
          <w:sz w:val="20"/>
          <w:szCs w:val="20"/>
          <w:color w:val="auto"/>
        </w:rPr>
      </w:pPr>
      <w:r>
        <w:rPr>
          <w:rFonts w:ascii="Arial" w:cs="Arial" w:eastAsia="Arial" w:hAnsi="Arial"/>
          <w:sz w:val="18"/>
          <w:szCs w:val="18"/>
          <w:b w:val="1"/>
          <w:bCs w:val="1"/>
          <w:color w:val="auto"/>
        </w:rPr>
        <w:t>WE URGE YOU TO CONSULT YOUR OWN TAX ADVISOR REGARDING THE SPECIFIC FEDERAL, STATE, LOCAL, FOREIGN AND OTHER TAX CONSEQUENCES TO YOU OF PURCHASING, OWNING AND DISPOSING OF OUR COMMON SHARES, OUR ELECTION TO BE TAXED AS A REIT AND THE EFFECT OF POTENTIAL CHANGES IN APPLICABLE TAX 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2009;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trust,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2009, which is incorporated herein by reference, under the caption “Risk Factors — To maintain our status as a REIT, we limit the amount of shares any one shareholder can own.”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in certain limited circumstances involving taxable REIT subsidiaries, if we or someone who owns 10% or more of our shares owns 10% or more of a tenant from whom we receive rent, the tenant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09" w:lineRule="auto"/>
        <w:rPr>
          <w:sz w:val="20"/>
          <w:szCs w:val="20"/>
          <w:color w:val="auto"/>
        </w:rPr>
      </w:pPr>
      <w:r>
        <w:rPr>
          <w:rFonts w:ascii="Arial" w:cs="Arial" w:eastAsia="Arial" w:hAnsi="Arial"/>
          <w:sz w:val="15"/>
          <w:szCs w:val="15"/>
          <w:color w:val="auto"/>
        </w:rPr>
        <w:t>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62" w:lineRule="exact"/>
        <w:rPr>
          <w:sz w:val="20"/>
          <w:szCs w:val="20"/>
          <w:color w:val="auto"/>
        </w:rPr>
      </w:pPr>
    </w:p>
    <w:p>
      <w:pPr>
        <w:ind w:left="900" w:right="20" w:hanging="446"/>
        <w:spacing w:after="0" w:line="318"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6" w:lineRule="exact"/>
        <w:rPr>
          <w:sz w:val="20"/>
          <w:szCs w:val="20"/>
          <w:color w:val="auto"/>
        </w:rPr>
      </w:pPr>
    </w:p>
    <w:p>
      <w:pPr>
        <w:ind w:left="900" w:right="120" w:hanging="325"/>
        <w:spacing w:after="0" w:line="370"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Tax on Prohibited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37"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920" w:right="60" w:hanging="318"/>
        <w:spacing w:after="0" w:line="268"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ind w:left="1920" w:right="320" w:hanging="318"/>
        <w:spacing w:after="0" w:line="259"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920" w:right="320" w:hanging="318"/>
        <w:spacing w:after="0" w:line="268"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Asset Tests. </w:t>
      </w:r>
      <w:r>
        <w:rPr>
          <w:rFonts w:ascii="Arial" w:cs="Arial" w:eastAsia="Arial" w:hAnsi="Arial"/>
          <w:sz w:val="18"/>
          <w:szCs w:val="18"/>
          <w:color w:val="auto"/>
        </w:rPr>
        <w:t>If we fail to satisfy one or more of the asset tests for any quarter of a taxable year,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nevertheless may qualify as a REIT for such year if we qualify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w:t>
      </w:r>
    </w:p>
    <w:p>
      <w:pPr>
        <w:spacing w:after="0" w:line="1" w:lineRule="exact"/>
        <w:rPr>
          <w:sz w:val="20"/>
          <w:szCs w:val="20"/>
          <w:color w:val="auto"/>
        </w:rPr>
      </w:pPr>
    </w:p>
    <w:p>
      <w:pPr>
        <w:ind w:right="80" w:firstLine="8"/>
        <w:spacing w:after="0" w:line="255"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believe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Pursuant to a recent revenue procedure (Revenue Procedure 2010-12), or the Revenue Procedure, issued by the IRS, the IRS has indicated that it will treat distributions from certain publicly traded REITs that are paid part in cash and part in stock as dividends that would satisfy the REIT annual distribution requirements and qualify for the dividends paid deduction for federal income tax purposes. In order to qualify for such treatment, the Revenue Procedure requires that at least 10% of the total distribution be payable in cash and that each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stockholder have a right to elect to receive its entire distribution in cash. If too many stockholders elect to receive cash, each stockholder electing to receive cash must receive a proportionate share of the cash to be distributed (although no stockholder electing to receive cash may receive less than 10% of such stockholder’s distribution in cash). This Revenue Procedure applies to distributions declared on or before December 31, 2012 with respect to taxable years ending on or before December 31, 2011. We have no current intention of paying dividends in shares of our stock.</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 is</w:t>
      </w:r>
    </w:p>
    <w:p>
      <w:pPr>
        <w:spacing w:after="0" w:line="23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common shares, the treatment of a partner in the partnership will generally depend on the status of the partner and the activities of the partnership. Shareholders that are partnerships (and partners in such partnerships) should consult their tax advisors.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of Taxable U.S. Shareholders on the Disposition of Our Shares. </w:t>
      </w:r>
      <w:r>
        <w:rPr>
          <w:rFonts w:ascii="Arial" w:cs="Arial" w:eastAsia="Arial" w:hAnsi="Arial"/>
          <w:sz w:val="18"/>
          <w:szCs w:val="18"/>
          <w:color w:val="auto"/>
        </w:rPr>
        <w:t>In general, a taxable U.S. shareholder who is not a dealer in securities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 any gain or loss realized upon a taxable disposition of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common shares as long-term capital gain or loss if the taxable U.S. shareholder has held the shares for more than one year and otherwise as short-term capital gain or loss.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shares may be disallowed if the taxable U.S. shareholder purchases substantially identical shares within the 61-day period beginning 30 days before and ending 30 days after the disposition.</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shares will not be treated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Newly enacted legislation requires certain taxable U.S. shareholders who are individuals, estates or trusts to pay a 3.8% tax on, among other things, dividends on and capital gains from the sale or other disposition of stock for taxable years beginning after December 31, 2012. Taxable U.S. shareholders should consult their tax advisors regarding the effect, if any, of this legislation on their ownership and disposition of our common stock.</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8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 (as defined above under “— Taxation of Tax-Exempt U.S. Shareholders”).</w:t>
      </w:r>
    </w:p>
    <w:p>
      <w:pPr>
        <w:spacing w:after="0" w:line="13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a branch profits tax in the case of a non-U.S. shareholder that is a non-U.S. corporation at a rate of 30%, unless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other applicable form) to us evidencing eligibility for that reduced rate, (ii) the non-U.S. shareholder timely provides an IRS Form W-8ECI (or other applicable form) to us claiming that the distribution is effectively connected income, or (iii) the non-U.S. shareholder holds shares through a “qualified intermediary” that has elected to perform any necessary withholding itself.</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i w:val="1"/>
          <w:iCs w:val="1"/>
          <w:color w:val="auto"/>
        </w:rPr>
        <w:t>Capital Gain 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that a particular class of our shares is “regularly traded” on an established securities market in the United States,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non-U.S. shareholder does not own more than 5%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branch profits tax on gains from the sale of shares taxed under FIRPTA.</w:t>
      </w:r>
    </w:p>
    <w:p>
      <w:pPr>
        <w:spacing w:after="0" w:line="1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be subject to a 30% tax (subject to reduction or exemption under an applicable tax treaty) on the amount by which capital gains from U.S. sources (including gains from the sale or other disposition of the common shares) exceed certain capital losses allocable to U.S. sources. Capital gains dividends not subject to FIRPTA will be subject to similar rules. A non-U.S. shareholder that is treated as a corporation for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0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38"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Legislation Relating to Foreign Accounts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18, 2010, the President signed the Hiring Incentives to Restore Employment Act into law. Effective for payments made after December 31, 2012, this law imposes a 30% U.S. federal withholding tax on distributions and the gross proceeds of sale in respect of our shares of common stock to a foreign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institution or non-financial foreign entity,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Under certain circumstances, a non-U.S. shareholder might be eligible for refunds or credits of such taxes. Prospective investors should consult with their own tax advisors regarding the possible implications of this recently enacted legislation on the ownership and disposition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i w:val="1"/>
          <w:iCs w:val="1"/>
          <w:color w:val="auto"/>
        </w:rPr>
        <w:t>State and Local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and/or you may be subject to state and local tax in various states and localities, including those states and localities 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common shares.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sale or distribution of all or any portion of the common shares covered by this prospectus may be effected from time to time by the selling shareholders, or any of their permissible transferees.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methods by which the common shares covered by this prospectus may be sold or distributed include any one or more of the following:</w:t>
      </w:r>
    </w:p>
    <w:p>
      <w:pPr>
        <w:spacing w:after="0" w:line="235" w:lineRule="exact"/>
        <w:rPr>
          <w:sz w:val="20"/>
          <w:szCs w:val="20"/>
          <w:color w:val="auto"/>
        </w:rPr>
      </w:pPr>
    </w:p>
    <w:p>
      <w:pPr>
        <w:ind w:left="900" w:right="7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shareholders or successor in interest that is an entity;</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if any, thereunder; or</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Commission permit any underwriter to engage in certain transactions that stabilize the price of the common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shares covered by this prospectus. These transactions may consist of bids or purchases for the purpose of pegging, fixing or maintaining the price of the common shares covered by this prospectus.</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4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Exchange Act (Exchange Act File No. 1-07533) made from the date of this prospectus until we sell all of the securities under this prospectus as supplemented.</w:t>
      </w:r>
    </w:p>
    <w:p>
      <w:pPr>
        <w:spacing w:after="0" w:line="1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Definitive Proxy Statement for our 2010 Annual Meeting of Shareholders, filed with the SEC on March 24, 2010;</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19, 2010;</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1, 2010;</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874395</wp:posOffset>
            </wp:positionV>
            <wp:extent cx="2160905" cy="823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090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582,722 Common Shares of Beneficial Interest</w:t>
      </w:r>
    </w:p>
    <w:p>
      <w:pPr>
        <w:spacing w:after="0" w:line="5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(par value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w:t>
      </w:r>
    </w:p>
    <w:p>
      <w:pPr>
        <w:spacing w:after="0" w:line="16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14, 2010</w:t>
      </w:r>
    </w:p>
    <w:p>
      <w:pPr>
        <w:sectPr>
          <w:pgSz w:w="11900" w:h="16838" w:orient="portrait"/>
          <w:cols w:equalWidth="0" w:num="1">
            <w:col w:w="10219"/>
          </w:cols>
          <w:pgMar w:left="24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Printing and Duplicating Costs</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27,000*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1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w:t>
      </w:r>
    </w:p>
    <w:p>
      <w:pPr>
        <w:spacing w:after="0" w:line="3" w:lineRule="exact"/>
        <w:rPr>
          <w:sz w:val="20"/>
          <w:szCs w:val="20"/>
          <w:color w:val="auto"/>
        </w:rPr>
      </w:pPr>
    </w:p>
    <w:p>
      <w:pPr>
        <w:ind w:right="80" w:firstLine="8"/>
        <w:spacing w:after="0" w:line="292" w:lineRule="auto"/>
        <w:tabs>
          <w:tab w:leader="none" w:pos="2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56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86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4"/>
              </w:rPr>
              <w:t>Declaration</w:t>
            </w:r>
          </w:p>
        </w:tc>
        <w:tc>
          <w:tcPr>
            <w:tcW w:w="9000" w:type="dxa"/>
            <w:vAlign w:val="bottom"/>
          </w:tcPr>
          <w:p>
            <w:pPr>
              <w:ind w:left="160"/>
              <w:spacing w:after="0" w:line="201" w:lineRule="exact"/>
              <w:rPr>
                <w:sz w:val="20"/>
                <w:szCs w:val="20"/>
                <w:color w:val="auto"/>
              </w:rPr>
            </w:pPr>
            <w:r>
              <w:rPr>
                <w:rFonts w:ascii="Arial" w:cs="Arial" w:eastAsia="Arial" w:hAnsi="Arial"/>
                <w:sz w:val="18"/>
                <w:szCs w:val="18"/>
                <w:color w:val="auto"/>
                <w:w w:val="90"/>
              </w:rPr>
              <w:t>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8"/>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8"/>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S-3, filed on June 16, 2009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7"/>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filed on June 16,</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3"/>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4"/>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incorporated herein by reference)</w:t>
            </w:r>
          </w:p>
        </w:tc>
      </w:tr>
    </w:tbl>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10620" w:type="dxa"/>
            <w:vAlign w:val="bottom"/>
          </w:tcPr>
          <w:p>
            <w:pPr>
              <w:ind w:left="380"/>
              <w:spacing w:after="0"/>
              <w:rPr>
                <w:sz w:val="20"/>
                <w:szCs w:val="20"/>
                <w:color w:val="auto"/>
              </w:rPr>
            </w:pPr>
            <w:r>
              <w:rPr>
                <w:rFonts w:ascii="Arial" w:cs="Arial" w:eastAsia="Arial" w:hAnsi="Arial"/>
                <w:sz w:val="18"/>
                <w:szCs w:val="18"/>
                <w:color w:val="auto"/>
                <w:w w:val="89"/>
              </w:rPr>
              <w:t>First Amendment to Amended and Restated Rights Agreement, dated as of November 2003, between the Trust and American Stock Transfer &amp;</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Trust Company (previously filed as Exhibit 4.5 to the Trust’s Annual Report on Form 10-K for the year ended December 31, 2003 (File No. 1-</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10620" w:type="dxa"/>
            <w:vAlign w:val="bottom"/>
          </w:tcPr>
          <w:p>
            <w:pPr>
              <w:ind w:left="380"/>
              <w:spacing w:after="0"/>
              <w:rPr>
                <w:sz w:val="20"/>
                <w:szCs w:val="20"/>
                <w:color w:val="auto"/>
              </w:rPr>
            </w:pPr>
            <w:r>
              <w:rPr>
                <w:rFonts w:ascii="Arial" w:cs="Arial" w:eastAsia="Arial" w:hAnsi="Arial"/>
                <w:sz w:val="18"/>
                <w:szCs w:val="18"/>
                <w:color w:val="auto"/>
                <w:w w:val="87"/>
              </w:rPr>
              <w:t>Second Amendment to Amended and Restated Rights Agreement, dated as of March 16, 2009, between the Trust and American Stock Transfer &amp;</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3"/>
              </w:rPr>
              <w:t>Trust Company (previously filed as Exhibit 4.3 to the Trust’s Current Report on Form 8-K (File No. 001-07533) and incorporated herein by</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Articles Supplementary relating to the 5.417% Series 1 Cumulative Convertible Preferred Shares (previously filed as Exhibit 4.1 to the Trust’s</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Current Report on Form 8-K filed on March 13, 2007 and incorporated herein by reference)</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5.1*</w:t>
            </w:r>
          </w:p>
        </w:tc>
        <w:tc>
          <w:tcPr>
            <w:tcW w:w="10620" w:type="dxa"/>
            <w:vAlign w:val="bottom"/>
          </w:tcPr>
          <w:p>
            <w:pPr>
              <w:ind w:left="38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8.1*</w:t>
            </w:r>
          </w:p>
        </w:tc>
        <w:tc>
          <w:tcPr>
            <w:tcW w:w="10620" w:type="dxa"/>
            <w:vAlign w:val="bottom"/>
          </w:tcPr>
          <w:p>
            <w:pPr>
              <w:ind w:left="38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620" w:type="dxa"/>
            <w:vAlign w:val="bottom"/>
          </w:tcPr>
          <w:p>
            <w:pPr>
              <w:ind w:left="38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10620" w:type="dxa"/>
            <w:vAlign w:val="bottom"/>
          </w:tcPr>
          <w:p>
            <w:pPr>
              <w:ind w:left="38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10620" w:type="dxa"/>
            <w:vAlign w:val="bottom"/>
          </w:tcPr>
          <w:p>
            <w:pPr>
              <w:ind w:left="38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9"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90"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right="40" w:firstLine="421"/>
        <w:spacing w:after="0" w:line="286" w:lineRule="auto"/>
        <w:tabs>
          <w:tab w:leader="none" w:pos="1598"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6" w:lineRule="exact"/>
        <w:rPr>
          <w:rFonts w:ascii="Arial" w:cs="Arial" w:eastAsia="Arial" w:hAnsi="Arial"/>
          <w:sz w:val="16"/>
          <w:szCs w:val="16"/>
          <w:color w:val="auto"/>
        </w:rPr>
      </w:pPr>
    </w:p>
    <w:p>
      <w:pPr>
        <w:ind w:left="460" w:right="600" w:firstLine="443"/>
        <w:spacing w:after="0" w:line="268"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6" w:lineRule="exact"/>
        <w:rPr>
          <w:sz w:val="20"/>
          <w:szCs w:val="20"/>
          <w:color w:val="auto"/>
        </w:rPr>
      </w:pPr>
    </w:p>
    <w:p>
      <w:pPr>
        <w:ind w:left="1560" w:hanging="219"/>
        <w:spacing w:after="0"/>
        <w:tabs>
          <w:tab w:leader="none" w:pos="15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40" w:firstLine="421"/>
        <w:spacing w:after="0" w:line="268" w:lineRule="auto"/>
        <w:tabs>
          <w:tab w:leader="none" w:pos="159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6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firstLine="464"/>
        <w:spacing w:after="0" w:line="255"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89"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April 14, 2010.</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Secretary</w:t>
      </w:r>
    </w:p>
    <w:p>
      <w:pPr>
        <w:spacing w:after="0" w:line="17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Donald C. Wood</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8"/>
        </w:trPr>
        <w:tc>
          <w:tcPr>
            <w:tcW w:w="2540" w:type="dxa"/>
            <w:vAlign w:val="bottom"/>
            <w:gridSpan w:val="3"/>
          </w:tcPr>
          <w:p>
            <w:pPr>
              <w:spacing w:after="0"/>
              <w:rPr>
                <w:sz w:val="20"/>
                <w:szCs w:val="20"/>
                <w:color w:val="auto"/>
              </w:rPr>
            </w:pPr>
            <w:r>
              <w:rPr>
                <w:rFonts w:ascii="Arial" w:cs="Arial" w:eastAsia="Arial" w:hAnsi="Arial"/>
                <w:sz w:val="18"/>
                <w:szCs w:val="18"/>
                <w:color w:val="auto"/>
              </w:rPr>
              <w:t>Donald C. Wood</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Officer and Trustee (principal executive officer)</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Andrew P. Blocher</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Senior Vice President-Chief Financial Officer and</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8"/>
        </w:trPr>
        <w:tc>
          <w:tcPr>
            <w:tcW w:w="2540" w:type="dxa"/>
            <w:vAlign w:val="bottom"/>
            <w:gridSpan w:val="3"/>
          </w:tcPr>
          <w:p>
            <w:pPr>
              <w:spacing w:after="0"/>
              <w:rPr>
                <w:sz w:val="20"/>
                <w:szCs w:val="20"/>
                <w:color w:val="auto"/>
              </w:rPr>
            </w:pPr>
            <w:r>
              <w:rPr>
                <w:rFonts w:ascii="Arial" w:cs="Arial" w:eastAsia="Arial" w:hAnsi="Arial"/>
                <w:sz w:val="18"/>
                <w:szCs w:val="18"/>
                <w:color w:val="auto"/>
              </w:rPr>
              <w:t>Andrew P. Blocher</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Treasurer (principal financial and accounting officer)</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S. Vassalluzzo*</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Chairman</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Joseph S. Vassalluzzo</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Jon E. Bortz*</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Jon E. Bortz</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W. Faeder*</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David W. Faeder</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Kristin Gamble*</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Kristin Gamble</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Gail P. Steinel*</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Gail P. Steinel</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Warren M. Thompson*</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Warren M. Thompson</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3"/>
            <w:vMerge w:val="restart"/>
          </w:tcPr>
          <w:p>
            <w:pPr>
              <w:spacing w:after="0"/>
              <w:rPr>
                <w:sz w:val="20"/>
                <w:szCs w:val="20"/>
                <w:color w:val="auto"/>
              </w:rPr>
            </w:pPr>
            <w:r>
              <w:rPr>
                <w:rFonts w:ascii="Arial" w:cs="Arial" w:eastAsia="Arial" w:hAnsi="Arial"/>
                <w:sz w:val="18"/>
                <w:szCs w:val="18"/>
                <w:color w:val="auto"/>
              </w:rPr>
              <w:t>*By: /s/ Andrew P. Blocher</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100" w:type="dxa"/>
            <w:vAlign w:val="bottom"/>
            <w:gridSpan w:val="3"/>
          </w:tcPr>
          <w:p>
            <w:pPr>
              <w:ind w:left="1060"/>
              <w:spacing w:after="0"/>
              <w:rPr>
                <w:sz w:val="20"/>
                <w:szCs w:val="20"/>
                <w:color w:val="auto"/>
              </w:rPr>
            </w:pPr>
            <w:r>
              <w:rPr>
                <w:rFonts w:ascii="Arial" w:cs="Arial" w:eastAsia="Arial" w:hAnsi="Arial"/>
                <w:sz w:val="18"/>
                <w:szCs w:val="18"/>
                <w:color w:val="auto"/>
                <w:w w:val="91"/>
              </w:rPr>
              <w:t>April 14, 2010</w:t>
            </w:r>
          </w:p>
        </w:tc>
        <w:tc>
          <w:tcPr>
            <w:tcW w:w="0" w:type="dxa"/>
            <w:vAlign w:val="bottom"/>
          </w:tcPr>
          <w:p>
            <w:pPr>
              <w:spacing w:after="0"/>
              <w:rPr>
                <w:sz w:val="1"/>
                <w:szCs w:val="1"/>
                <w:color w:val="auto"/>
              </w:rPr>
            </w:pPr>
          </w:p>
        </w:tc>
      </w:tr>
      <w:tr>
        <w:trPr>
          <w:trHeight w:val="217"/>
        </w:trPr>
        <w:tc>
          <w:tcPr>
            <w:tcW w:w="25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180" w:type="dxa"/>
            <w:vAlign w:val="bottom"/>
            <w:tcBorders>
              <w:top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Andrew P. Blocher</w:t>
            </w:r>
          </w:p>
        </w:tc>
        <w:tc>
          <w:tcPr>
            <w:tcW w:w="300" w:type="dxa"/>
            <w:vAlign w:val="bottom"/>
            <w:tcBorders>
              <w:top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0" w:type="dxa"/>
            <w:vAlign w:val="bottom"/>
          </w:tcPr>
          <w:p>
            <w:pPr>
              <w:ind w:left="27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56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86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4"/>
              </w:rPr>
              <w:t>Declaration</w:t>
            </w:r>
          </w:p>
        </w:tc>
        <w:tc>
          <w:tcPr>
            <w:tcW w:w="9000" w:type="dxa"/>
            <w:vAlign w:val="bottom"/>
          </w:tcPr>
          <w:p>
            <w:pPr>
              <w:ind w:left="160"/>
              <w:spacing w:after="0" w:line="201" w:lineRule="exact"/>
              <w:rPr>
                <w:sz w:val="20"/>
                <w:szCs w:val="20"/>
                <w:color w:val="auto"/>
              </w:rPr>
            </w:pPr>
            <w:r>
              <w:rPr>
                <w:rFonts w:ascii="Arial" w:cs="Arial" w:eastAsia="Arial" w:hAnsi="Arial"/>
                <w:sz w:val="18"/>
                <w:szCs w:val="18"/>
                <w:color w:val="auto"/>
                <w:w w:val="90"/>
              </w:rPr>
              <w:t>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8"/>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8"/>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S-3, filed on June 16, 2009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7"/>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filed on June 16,</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3"/>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4"/>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First Amendment to Amended and Restated Rights Agreement, dated as of November 2003, between the Trust and American Stock</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0"/>
              </w:rPr>
              <w:t>Transfer &amp; Trust Company (previously filed as Exhibit 4.5 to the Trust’s Annual Report on Form 10-K for the year ended December 31,</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2003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9"/>
              </w:rPr>
              <w:t>Second Amendment to Amended and Restated Rights Agreement, dated as of March 16, 2009, between the Trust and American Stock</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6"/>
              </w:rPr>
              <w:t>Transfer &amp; Trust Company (previously filed as Exhibit 4.3 to the Trust’s Current Report on Form 8-K (File No. 001-07533) and</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Articles Supplementary relating to the 5.417% Series 1 Cumulative Convertible Preferred Shares (previously filed as Exhibit 4.1 to the</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Trust’s Current Report on Form 8-K filed on March 13, 2007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280"/>
          </w:cols>
          <w:pgMar w:left="240" w:top="459"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Street, NW, Washington, DC 20037</w:t>
      </w:r>
    </w:p>
    <w:p>
      <w:pPr>
        <w:spacing w:after="0" w:line="16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April 14,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S-3 relating to the registration under the Securities Act of 1933 (the “Act”) of 582,722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(i) the conversion of the Company’s 5.417% Series 1 Cumulative Convertible Preferred Shares of Beneficial Interest, par value $0.01 per share (the “Preferred Shares”), or (ii) the redemption of units (the “DownREIT Units”) of limited liability company interest in NVI-Avenue, LLC (“NVI-Avenue”), a consolidated subsidiary of the Company.</w:t>
      </w:r>
    </w:p>
    <w:p>
      <w:pPr>
        <w:spacing w:after="0" w:line="11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(i) conversion of the Preferred Shares into Common Shares in accordance with the Articles Supplementary establishing and fixing the rights and preferences of the Preferred Shares and (ii) redemption of the DownREIT Units for Common Shares in accordance with the Amended and Restated Limited Liability Company Agreement of NVI-Avenue, will be validly issued, fully paid and nonassessable.</w:t>
      </w:r>
    </w:p>
    <w:p>
      <w:pPr>
        <w:spacing w:after="0" w:line="144"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have assumed that (a) at or prior to the time of the delivery of any of the Selling Shareholder Shares, the Registration Statement will have been declared effective by the Securities and Exchange Commission (the “Commission”) under the Act, (b) the Company has a sufficient number of authorized but unissued Common Shares under the Declaration of Trust, as amended and corrected, of the Company at the time of issuance, and (c) the Company’s Board of Trustees shall not have rescinded or otherwise modified the authorization of the Selling Shareholder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matters governed by the Maryland General Corporation Law.</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Commission promulgated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80"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8.1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14,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 prospectus (the “Prospectus”)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2010;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(2010) taxable year and for future taxable years, and (iii) the discussions in (x) the Prospectus under the caption “Material Federal Income Tax Considerations,” and (y) the Company’s Annual Report on Form 10-K for the year ended December 31, 2009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2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00"/>
          </w:cols>
          <w:pgMar w:left="240" w:top="280" w:right="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issued our reports dated February 17, 2010, with respect to the consolidated financial statements, schedules and internal control over financial reporting included in the Annual Report of Federal Realty Investment Trust on Form 10-K for the year ended December 31, 2009, which are incorporated by reference in this Registration Statement. We consent to the incorporation by reference of the aforementioned reports in this Registration Statement on Form S-3 of Federal Realty Investment Trust, and to the use of our name as it appears under the caption “Experts” in such Registration Statement.</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13, 2010</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24.1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Andrew P. Blocher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300" w:type="dxa"/>
            <w:vAlign w:val="bottom"/>
          </w:tcPr>
          <w:p>
            <w:pPr>
              <w:spacing w:after="0"/>
              <w:rPr>
                <w:sz w:val="14"/>
                <w:szCs w:val="14"/>
                <w:color w:val="auto"/>
              </w:rPr>
            </w:pPr>
          </w:p>
        </w:tc>
      </w:tr>
      <w:tr>
        <w:trPr>
          <w:trHeight w:val="42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8"/>
        </w:trPr>
        <w:tc>
          <w:tcPr>
            <w:tcW w:w="254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8"/>
                <w:szCs w:val="18"/>
                <w:color w:val="auto"/>
              </w:rPr>
            </w:pPr>
          </w:p>
        </w:tc>
        <w:tc>
          <w:tcPr>
            <w:tcW w:w="48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Officer and Trustee (principal executive officer)</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P. Blocher</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Senior Vice President-Chief Financial Officer and</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8"/>
        </w:trPr>
        <w:tc>
          <w:tcPr>
            <w:tcW w:w="254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700" w:type="dxa"/>
            <w:vAlign w:val="bottom"/>
          </w:tcPr>
          <w:p>
            <w:pPr>
              <w:spacing w:after="0"/>
              <w:rPr>
                <w:sz w:val="18"/>
                <w:szCs w:val="18"/>
                <w:color w:val="auto"/>
              </w:rPr>
            </w:pPr>
          </w:p>
        </w:tc>
        <w:tc>
          <w:tcPr>
            <w:tcW w:w="48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Treasurer (principal financial and accounting officer)</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Chairman</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April 14, 2010</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upperLetter"/>
      <w:start w:val="2"/>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3"/>
    </w:lvl>
  </w:abstractNum>
  <w:abstractNum w:abstractNumId="4">
    <w:nsid w:val="7C83E458"/>
    <w:multiLevelType w:val="hybridMultilevel"/>
    <w:lvl w:ilvl="0">
      <w:lvlJc w:val="left"/>
      <w:lvlText w:val="(%1)"/>
      <w:numFmt w:val="decimal"/>
      <w:start w:val="26"/>
    </w:lvl>
  </w:abstractNum>
  <w:abstractNum w:abstractNumId="5">
    <w:nsid w:val="257130A3"/>
    <w:multiLevelType w:val="hybridMultilevel"/>
    <w:lvl w:ilvl="0">
      <w:lvlJc w:val="left"/>
      <w:lvlText w:val="(%1)"/>
      <w:numFmt w:val="decimal"/>
      <w:start w:val="39"/>
    </w:lvl>
  </w:abstractNum>
  <w:abstractNum w:abstractNumId="6">
    <w:nsid w:val="62BBD95A"/>
    <w:multiLevelType w:val="hybridMultilevel"/>
    <w:lvl w:ilvl="0">
      <w:lvlJc w:val="left"/>
      <w:lvlText w:val="(%1)"/>
      <w:numFmt w:val="decimal"/>
      <w:start w:val="53"/>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lvl w:ilvl="1">
      <w:lvlJc w:val="left"/>
      <w:lvlText w:val="•"/>
      <w:numFmt w:val="bullet"/>
      <w:start w:val="1"/>
    </w:lvl>
  </w:abstractNum>
  <w:abstractNum w:abstractNumId="19">
    <w:nsid w:val="189A769B"/>
    <w:multiLevelType w:val="hybridMultilevel"/>
    <w:lvl w:ilvl="0">
      <w:lvlJc w:val="left"/>
      <w:lvlText w:val="(%1)"/>
      <w:numFmt w:val="lowerRoman"/>
      <w:start w:val="4"/>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Roman"/>
      <w:start w:val="2"/>
    </w:lvl>
  </w:abstractNum>
  <w:abstractNum w:abstractNumId="28">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737B8DDC"/>
    <w:multiLevelType w:val="hybridMultilevel"/>
    <w:lvl w:ilvl="0">
      <w:lvlJc w:val="left"/>
      <w:lvlText w:val="(%1)"/>
      <w:numFmt w:val="decimal"/>
      <w:start w:val="2"/>
    </w:lvl>
    <w:lvl w:ilvl="1">
      <w:lvlJc w:val="left"/>
      <w:lvlText w:val="(%2)"/>
      <w:numFmt w:val="lowerRoman"/>
      <w:start w:val="1"/>
    </w:lvl>
  </w:abstractNum>
  <w:abstractNum w:abstractNumId="30">
    <w:nsid w:val="6CEAF087"/>
    <w:multiLevelType w:val="hybridMultilevel"/>
    <w:lvl w:ilvl="0">
      <w:lvlJc w:val="left"/>
      <w:lvlText w:val="%1"/>
      <w:numFmt w:val="lowerLetter"/>
      <w:start w:val="1"/>
    </w:lvl>
    <w:lvl w:ilvl="1">
      <w:lvlJc w:val="left"/>
      <w:lvlText w:val="(%2)"/>
      <w:numFmt w:val="lowerRoman"/>
      <w:start w:val="1"/>
    </w:lvl>
  </w:abstractNum>
  <w:abstractNum w:abstractNumId="31">
    <w:nsid w:val="22221A70"/>
    <w:multiLevelType w:val="hybridMultilevel"/>
    <w:lvl w:ilvl="0">
      <w:lvlJc w:val="left"/>
      <w:lvlText w:val="(%1)"/>
      <w:numFmt w:val="lowerLetter"/>
      <w:start w:val="2"/>
    </w:lvl>
    <w:lvl w:ilvl="1">
      <w:lvlJc w:val="left"/>
      <w:lvlText w:val="%2"/>
      <w:numFmt w:val="lowerRoman"/>
      <w:start w:val="1"/>
    </w:lvl>
  </w:abstractNum>
  <w:abstractNum w:abstractNumId="32">
    <w:nsid w:val="4516DD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2019-12-10T00:15:31Z</dcterms:created>
  <dcterms:modified xsi:type="dcterms:W3CDTF">2019-12-10T00:15:31Z</dcterms:modified>
</cp:coreProperties>
</file>