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erif" w:hAnsi="Times New Roman;serif"/>
          <w:b/>
          <w:color w:val="000000"/>
          <w:sz w:val="22"/>
        </w:rPr>
        <w:t>Date of Report (Date of earliest event reported) August 6, 2025</w:t>
      </w:r>
      <w:r>
        <w:rPr>
          <w:color w:val="000000"/>
        </w:rPr>
        <w:t xml:space="preserve">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Federal Realty Investment Trust</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Federal Realty OP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301/998-8100 </w:t>
      </w:r>
    </w:p>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18"/>
        <w:gridCol w:w="1665"/>
        <w:gridCol w:w="1663"/>
        <w:gridCol w:w="448"/>
        <w:gridCol w:w="448"/>
        <w:gridCol w:w="444"/>
        <w:gridCol w:w="1057"/>
        <w:gridCol w:w="1057"/>
        <w:gridCol w:w="1505"/>
      </w:tblGrid>
      <w:tr>
        <w:trPr/>
        <w:tc>
          <w:tcPr>
            <w:tcW w:w="191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Depositary Shares, each representing 1/1000 of a 5.00%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FRT-C</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Series C Cumulative Redeemable Preferred Stock, $.01 par value per share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OP LP</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The information under this Item 2.02-Results of Operations and Financial Condition and the exhibits attached hereto, are being furnished and shall not be deemed “filed” for any purpose, including for the purposes of Section 18 of the Securities Exchange Act of 1934, as amended (the “Exchange Act”), or otherwise subject to the liabilities of that Section. The information under this Item 2.02 and the exhibits attached hereto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On August 6, 2025, Federal Realty Investment Trust issued supplemental data pertaining to its operations, as well as a press release, to report its financial results for the quarter ended June 30, 2025. The supplemental data and press release are furnished as Exhibit 99.1 hereto.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erif" w:hAnsi="Times New Roman;serif"/>
          <w:b w:val="false"/>
          <w:color w:val="000000"/>
          <w:sz w:val="24"/>
        </w:rPr>
        <w:t>99.1</w:t>
      </w:r>
      <w:r>
        <w:rPr>
          <w:color w:val="000000"/>
        </w:rPr>
        <w:t>    </w:t>
      </w:r>
      <w:r>
        <w:rPr>
          <w:rFonts w:ascii="Times New Roman;serif" w:hAnsi="Times New Roman;serif"/>
          <w:b w:val="false"/>
          <w:color w:val="000000"/>
          <w:sz w:val="24"/>
        </w:rPr>
        <w:t>Supplemental information at June 30, 2025 (including press release dated August 6, 2025)</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555" w:type="dxa"/>
        <w:jc w:val="center"/>
        <w:tblInd w:w="0" w:type="dxa"/>
        <w:tblLayout w:type="fixed"/>
        <w:tblCellMar>
          <w:top w:w="28" w:type="dxa"/>
          <w:left w:w="28" w:type="dxa"/>
          <w:bottom w:w="28" w:type="dxa"/>
          <w:right w:w="28" w:type="dxa"/>
        </w:tblCellMar>
      </w:tblPr>
      <w:tblGrid>
        <w:gridCol w:w="228"/>
        <w:gridCol w:w="200"/>
        <w:gridCol w:w="202"/>
        <w:gridCol w:w="524"/>
        <w:gridCol w:w="524"/>
        <w:gridCol w:w="526"/>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6302025x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at June 30, 2025</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874" w:type="dxa"/>
        <w:jc w:val="center"/>
        <w:tblInd w:w="0" w:type="dxa"/>
        <w:tblLayout w:type="fixed"/>
        <w:tblCellMar>
          <w:top w:w="28" w:type="dxa"/>
          <w:left w:w="28" w:type="dxa"/>
          <w:bottom w:w="28" w:type="dxa"/>
          <w:right w:w="28" w:type="dxa"/>
        </w:tblCellMar>
      </w:tblPr>
      <w:tblGrid>
        <w:gridCol w:w="360"/>
        <w:gridCol w:w="317"/>
        <w:gridCol w:w="317"/>
        <w:gridCol w:w="617"/>
        <w:gridCol w:w="617"/>
        <w:gridCol w:w="617"/>
        <w:gridCol w:w="1980"/>
        <w:gridCol w:w="1980"/>
        <w:gridCol w:w="198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880" w:type="dxa"/>
            <w:gridSpan w:val="9"/>
            <w:tcBorders/>
          </w:tcPr>
          <w:p>
            <w:pPr>
              <w:pStyle w:val="TableContents"/>
              <w:bidi w:val="0"/>
              <w:spacing w:before="0" w:after="283"/>
              <w:jc w:val="left"/>
              <w:rPr>
                <w:sz w:val="4"/>
                <w:szCs w:val="4"/>
              </w:rPr>
            </w:pPr>
            <w:r>
              <w:rPr>
                <w:sz w:val="4"/>
                <w:szCs w:val="4"/>
              </w:rPr>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SUPPLEMENTAL INFORMATION</w:t>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7">
              <w:r>
                <w:rPr>
                  <w:rStyle w:val="InternetLink"/>
                  <w:rFonts w:ascii="Times New Roman;serif" w:hAnsi="Times New Roman;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10">
              <w:r>
                <w:rPr>
                  <w:rStyle w:val="InternetLink"/>
                  <w:rFonts w:ascii="Times New Roman;serif" w:hAnsi="Times New Roman;serif"/>
                  <w:b w:val="false"/>
                  <w:color w:val="0000FF"/>
                  <w:sz w:val="20"/>
                  <w:u w:val="single"/>
                </w:rPr>
                <w:t>8</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13">
              <w:r>
                <w:rPr>
                  <w:rStyle w:val="InternetLink"/>
                  <w:rFonts w:ascii="Times New Roman;serif" w:hAnsi="Times New Roman;serif"/>
                  <w:b w:val="false"/>
                  <w:color w:val="0000FF"/>
                  <w:sz w:val="20"/>
                  <w:u w:val="single"/>
                </w:rPr>
                <w:t>9</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 / Other Supplemental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16">
              <w:r>
                <w:rPr>
                  <w:rStyle w:val="InternetLink"/>
                  <w:rFonts w:ascii="Times New Roman;serif" w:hAnsi="Times New Roman;serif"/>
                  <w:b w:val="false"/>
                  <w:color w:val="0000FF"/>
                  <w:sz w:val="20"/>
                  <w:u w:val="single"/>
                </w:rPr>
                <w:t>10</w:t>
              </w:r>
            </w:hyperlink>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 of Rental Income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19">
              <w:r>
                <w:rPr>
                  <w:rStyle w:val="InternetLink"/>
                  <w:rFonts w:ascii="Times New Roman;serif" w:hAnsi="Times New Roman;serif"/>
                  <w:b w:val="false"/>
                  <w:color w:val="0000FF"/>
                  <w:sz w:val="20"/>
                  <w:u w:val="single"/>
                </w:rPr>
                <w:t>11</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Property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22">
              <w:r>
                <w:rPr>
                  <w:rStyle w:val="InternetLink"/>
                  <w:rFonts w:ascii="Times New Roman;serif" w:hAnsi="Times New Roman;serif"/>
                  <w:b w:val="false"/>
                  <w:color w:val="0000FF"/>
                  <w:sz w:val="20"/>
                  <w:u w:val="single"/>
                </w:rPr>
                <w:t>12</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 Debt Metrics, and Senior Notes and Debentures Covenants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25">
              <w:r>
                <w:rPr>
                  <w:rStyle w:val="InternetLink"/>
                  <w:rFonts w:ascii="Times New Roman;serif" w:hAnsi="Times New Roman;serif"/>
                  <w:b w:val="false"/>
                  <w:color w:val="0000FF"/>
                  <w:sz w:val="20"/>
                  <w:u w:val="single"/>
                </w:rPr>
                <w:t>13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Outstanding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28">
              <w:r>
                <w:rPr>
                  <w:rStyle w:val="InternetLink"/>
                  <w:rFonts w:ascii="Times New Roman;serif" w:hAnsi="Times New Roman;serif"/>
                  <w:b w:val="false"/>
                  <w:color w:val="0000FF"/>
                  <w:sz w:val="20"/>
                  <w:u w:val="single"/>
                </w:rPr>
                <w:t>14</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Debt Maturities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31">
              <w:r>
                <w:rPr>
                  <w:rStyle w:val="InternetLink"/>
                  <w:rFonts w:ascii="Times New Roman;serif" w:hAnsi="Times New Roman;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34">
              <w:r>
                <w:rPr>
                  <w:rStyle w:val="InternetLink"/>
                  <w:rFonts w:ascii="Times New Roman;serif" w:hAnsi="Times New Roman;serif"/>
                  <w:b w:val="false"/>
                  <w:color w:val="0000FF"/>
                  <w:sz w:val="20"/>
                  <w:u w:val="single"/>
                </w:rPr>
                <w:t>16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37">
              <w:r>
                <w:rPr>
                  <w:rStyle w:val="InternetLink"/>
                  <w:rFonts w:ascii="Times New Roman;serif" w:hAnsi="Times New Roman;serif"/>
                  <w:b w:val="false"/>
                  <w:color w:val="0000FF"/>
                  <w:sz w:val="20"/>
                  <w:u w:val="single"/>
                </w:rPr>
                <w:t>17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Transactions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40">
              <w:r>
                <w:rPr>
                  <w:rStyle w:val="InternetLink"/>
                  <w:rFonts w:ascii="Times New Roman;serif" w:hAnsi="Times New Roman;serif"/>
                  <w:b w:val="false"/>
                  <w:color w:val="0000FF"/>
                  <w:sz w:val="20"/>
                  <w:u w:val="single"/>
                </w:rPr>
                <w:t>18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Status Report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43">
              <w:r>
                <w:rPr>
                  <w:rStyle w:val="InternetLink"/>
                  <w:rFonts w:ascii="Times New Roman;serif" w:hAnsi="Times New Roman;serif"/>
                  <w:b w:val="false"/>
                  <w:color w:val="0000FF"/>
                  <w:sz w:val="20"/>
                  <w:u w:val="single"/>
                </w:rPr>
                <w:t>19</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Leasing Summary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46">
              <w:r>
                <w:rPr>
                  <w:rStyle w:val="InternetLink"/>
                  <w:rFonts w:ascii="Times New Roman;serif" w:hAnsi="Times New Roman;serif"/>
                  <w:b w:val="false"/>
                  <w:color w:val="0000FF"/>
                  <w:sz w:val="20"/>
                  <w:u w:val="single"/>
                </w:rPr>
                <w:t>23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Expirations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49">
              <w:r>
                <w:rPr>
                  <w:rStyle w:val="InternetLink"/>
                  <w:rFonts w:ascii="Times New Roman;serif" w:hAnsi="Times New Roman;serif"/>
                  <w:b w:val="false"/>
                  <w:color w:val="0000FF"/>
                  <w:sz w:val="20"/>
                  <w:u w:val="single"/>
                </w:rPr>
                <w:t>24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Leased Statistics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52">
              <w:r>
                <w:rPr>
                  <w:rStyle w:val="InternetLink"/>
                  <w:rFonts w:ascii="Times New Roman;serif" w:hAnsi="Times New Roman;serif"/>
                  <w:b w:val="false"/>
                  <w:color w:val="0000FF"/>
                  <w:sz w:val="20"/>
                  <w:u w:val="single"/>
                </w:rPr>
                <w:t>25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Summary of Top 25 Tenants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55">
              <w:r>
                <w:rPr>
                  <w:rStyle w:val="InternetLink"/>
                  <w:rFonts w:ascii="Times New Roman;serif" w:hAnsi="Times New Roman;serif"/>
                  <w:b w:val="false"/>
                  <w:color w:val="0000FF"/>
                  <w:sz w:val="20"/>
                  <w:u w:val="single"/>
                </w:rPr>
                <w:t>26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85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FFO Guidance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58">
              <w:r>
                <w:rPr>
                  <w:rStyle w:val="InternetLink"/>
                  <w:rFonts w:ascii="Times New Roman;serif" w:hAnsi="Times New Roman;serif"/>
                  <w:b w:val="false"/>
                  <w:color w:val="0000FF"/>
                  <w:sz w:val="20"/>
                  <w:u w:val="single"/>
                </w:rPr>
                <w:t>27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779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Glossary of Terms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a0421b0bbe34be3876ca15458436dd2_61">
              <w:r>
                <w:rPr>
                  <w:rStyle w:val="InternetLink"/>
                  <w:rFonts w:ascii="Times New Roman;serif" w:hAnsi="Times New Roman;serif"/>
                  <w:b w:val="false"/>
                  <w:color w:val="0000FF"/>
                  <w:sz w:val="20"/>
                  <w:u w:val="single"/>
                </w:rPr>
                <w:t>28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909 Rose Avenue, Suite 200</w:t>
            </w:r>
          </w:p>
        </w:tc>
      </w:tr>
      <w:tr>
        <w:trPr/>
        <w:tc>
          <w:tcPr>
            <w:tcW w:w="987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Bethesda, Maryland 20852</w:t>
            </w:r>
          </w:p>
        </w:tc>
      </w:tr>
      <w:tr>
        <w:trPr/>
        <w:tc>
          <w:tcPr>
            <w:tcW w:w="987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Safe Harbor Language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618" w:type="dxa"/>
        <w:jc w:val="left"/>
        <w:tblInd w:w="0" w:type="dxa"/>
        <w:tblLayout w:type="fixed"/>
        <w:tblCellMar>
          <w:top w:w="28" w:type="dxa"/>
          <w:left w:w="28" w:type="dxa"/>
          <w:bottom w:w="28" w:type="dxa"/>
          <w:right w:w="28" w:type="dxa"/>
        </w:tblCellMar>
      </w:tblPr>
      <w:tblGrid>
        <w:gridCol w:w="1342"/>
        <w:gridCol w:w="1177"/>
        <w:gridCol w:w="1185"/>
        <w:gridCol w:w="1145"/>
        <w:gridCol w:w="1145"/>
        <w:gridCol w:w="162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7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Media Inquiries: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Jill Sawyer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jsawyer@federalrealty.com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Reports Second Quarter 2025 Results</w:t>
      </w:r>
    </w:p>
    <w:p>
      <w:pPr>
        <w:pStyle w:val="TextBody"/>
        <w:bidi w:val="0"/>
        <w:spacing w:lineRule="auto" w:line="417" w:before="0" w:after="160"/>
        <w:jc w:val="left"/>
        <w:rPr/>
      </w:pPr>
      <w:r>
        <w:rPr>
          <w:rFonts w:ascii="Arial;sans-serif" w:hAnsi="Arial;sans-serif"/>
          <w:b w:val="false"/>
          <w:color w:val="000000"/>
          <w:sz w:val="20"/>
        </w:rPr>
        <w:t xml:space="preserve">NORTH BETHESDA, Md. (August 6, 2025) - </w:t>
      </w:r>
      <w:r>
        <w:rPr>
          <w:rFonts w:ascii="Arial;sans-serif" w:hAnsi="Arial;sans-serif"/>
          <w:b w:val="false"/>
          <w:color w:val="000000"/>
          <w:sz w:val="20"/>
          <w:u w:val="single"/>
        </w:rPr>
        <w:t>Federal Realty Investment Trust</w:t>
      </w:r>
      <w:r>
        <w:rPr>
          <w:color w:val="000000"/>
        </w:rPr>
        <w:t xml:space="preserve"> </w:t>
      </w:r>
      <w:r>
        <w:rPr>
          <w:rFonts w:ascii="Arial;sans-serif" w:hAnsi="Arial;sans-serif"/>
          <w:b w:val="false"/>
          <w:color w:val="000000"/>
          <w:sz w:val="20"/>
        </w:rPr>
        <w:t>(NYSE:FRT) today reported its results for the second quarter ended June 30, 2025. For the three months ended June 30, 2025 and 2024, net income available for common shareholders was $1.78 per diluted share and $1.32 per diluted share, respectively. Operating income for the same periods was $202.7 million and $157.0 million, respectively.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Highlights for the second quarter and subsequent to quarter-end include: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Generated NAREIT funds from operations available to common shareholders (FFO) per diluted share of $1.91 for the quarter, compared to $1.69 for the second quarter of 2024.</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FFO for the second quarter of 2025 included $13.0 million, or $0.15 per share of new market tax credit ("NMTC") transaction income. Excluding this income, FFO per diluted share was $1.76.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Signed 119 leases for 643,810 square feet of comparable retail space at a cash basis rollover growth of 10% and 21% on a straight-line basis.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Generated comparable property operating income (POI) growth of 4.9%, excluding lease termination fees and prior period rents collected.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Reported overall portfolio occupancy of 93.6% and a leased rate of 95.4% at quarter end, representing a change of:</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+50 basis points of occupancy and +10 basis points of leased rate year-over-year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Flat occupancy and -30 basis points of leased rate quarter-over-quarter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Continued strong small shop leased rate, ending the quarter at 93.4% leased representing an increase of +90 basis points year-over-year.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During the quarter and subsequent to quarter end, announced the advancement of Federal’s capital allocation strategy with the following transactions: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Acquired two dominant open-air retail centers in Leawood, KS totaling 550,000 square feet for $289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Sold two properties in California for $143 million;</w:t>
      </w:r>
    </w:p>
    <w:p>
      <w:pPr>
        <w:pStyle w:val="TextBody"/>
        <w:bidi w:val="0"/>
        <w:spacing w:lineRule="auto" w:line="417"/>
        <w:ind w:left="0" w:right="0" w:hanging="360"/>
        <w:jc w:val="both"/>
        <w:rPr/>
      </w:pPr>
      <w:r>
        <w:rPr>
          <w:color w:val="000000"/>
        </w:rPr>
        <w:t>◦</w:t>
      </w:r>
      <w:r>
        <w:rPr>
          <w:rFonts w:ascii="Arial;sans-serif" w:hAnsi="Arial;sans-serif"/>
          <w:b w:val="false"/>
          <w:color w:val="000000"/>
          <w:sz w:val="20"/>
        </w:rPr>
        <w:t>Commenced construction on Lot 12, a 258-unit residential project at Santana Row in San Jose, CA.</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Announced a first-of-its-kind agreement with Mercedes-Benz High-Power Charging (HPC), naming the automaker its preferred electric vehicle charging provider.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Increased the regular quarterly cash dividend by approximately 3% to $1.13 per common share, resulting in an indicated annual rate of $4.52 per common share. This marks the 58</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consecutive year that Federal Realty has increased its common dividend, the longest record of consecutive annual dividend increases in the REIT sector.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Ended the quarter with over $1.5 billion in total liquidity. </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Raised guidance for 2025 earnings per diluted share to $3.91 - $4.01 and 2025 FFO per diluted share to $7.16 - $7.26, which includes $0.15 in NMTC transaction income, representing over 6% growth at the midpoint year-over-year.</w:t>
      </w:r>
    </w:p>
    <w:p>
      <w:pPr>
        <w:pStyle w:val="TextBody"/>
        <w:bidi w:val="0"/>
        <w:spacing w:lineRule="auto" w:line="417" w:before="0" w:after="160"/>
        <w:jc w:val="left"/>
        <w:rPr>
          <w:color w:val="000000"/>
        </w:rPr>
      </w:pPr>
      <w:r>
        <w:rPr>
          <w:color w:val="000000"/>
        </w:rPr>
        <w:t>“</w:t>
      </w:r>
      <w:r>
        <w:rPr>
          <w:rFonts w:ascii="Arial;sans-serif" w:hAnsi="Arial;sans-serif"/>
          <w:b w:val="false"/>
          <w:color w:val="000000"/>
          <w:sz w:val="20"/>
        </w:rPr>
        <w:t>Our second quarter results were strong, and we feel great about the back half of the year – driving our confidence to raise guidance,” said Donald C. Wood, Federal Realty’s Chief Executive Officer. “Our consumer remains healthy, tenant credit is strong and we’re staying sharply focused on disciplined capital allocation. Our new partnership with Mercedes-Benz HCP further reinforces the strength of our premium brand and the caliber of companies that choose to partner with us.”</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Financial Results</w:t>
      </w:r>
    </w:p>
    <w:p>
      <w:pPr>
        <w:pStyle w:val="TextBody"/>
        <w:bidi w:val="0"/>
        <w:spacing w:lineRule="auto" w:line="417" w:before="0" w:after="160"/>
        <w:jc w:val="left"/>
        <w:rPr/>
      </w:pPr>
      <w:r>
        <w:rPr>
          <w:rFonts w:ascii="Arial;sans-serif" w:hAnsi="Arial;sans-serif"/>
          <w:b w:val="false"/>
          <w:i/>
          <w:color w:val="000000"/>
          <w:sz w:val="20"/>
        </w:rPr>
        <w:t>Net Incom</w:t>
      </w:r>
      <w:r>
        <w:rPr>
          <w:rFonts w:ascii="Arial;sans-serif" w:hAnsi="Arial;sans-serif"/>
          <w:b w:val="false"/>
          <w:color w:val="000000"/>
          <w:sz w:val="20"/>
        </w:rPr>
        <w:t>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second quarter 2025, net income available for common shareholders was $153.9 million and earnings per diluted share was $1.78 versus $110.0 million and $1.32, respectively, for the second quarter 2024.</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FFO</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For the second quarter 2025, FFO was $165.5 million, or $1.91 per diluted share, which includes $13.0 million, or $0.15 per share, of NMTC transaction income. Excluding this income, FFO was $1.76 per diluted share. This compares to $141.3 million, or $1.69 per diluted share for the second quarter 2024.</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FFO is a non-GAAP supplemental earnings measure which the Trust considers meaningful in measuring its operating performance. A reconciliation of FFO to net income is attached to this press release.</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Operational Update</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Occupancy</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following operational metrics for the commercial portfolio are as of June 30, 2025:</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The overall portfolio was 93.6% occupied, an increase of +50 basis points year-over-year and flat sequentially.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Leased rate for the overall portfolio was 95.4%, an increase of +10 basis points year-over-year and down 30 basis points sequentially.</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Small shop leased rate was 93.4%, an increase of +90 basis points year-over-year and down 10 basis points sequentially.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The residential leased rate was 96.9% as of June 30, 2025.</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Leasing Activity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During the second quarter 2025, Federal Realty signed 122 leases for 653,366 square feet of retail space. On a comparable space basis (i.e., spaces for which there was a former tenant), Federal Realty signed 119 leases for 643,810 square feet at an average rent of $37.98 per square foot, compared to the average contractual rent of $34.39 per square foot for the last year of the prior leases, representing a cash basis rollover growth on those comparable spaces of 10%, and 21% on a straight-line basis. Comparable leases represented 98% of total comparable and non-comparable retail leases signed during the second quarter 2025.</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Transaction Activity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July 1, 2025 – acquired Town Center Plaza and Town Center Crossing, two dominant open-air retail centers in Leawood, KS totaling approximately 550,000 square feet, for $289 million.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June 23, 2025 – completed the sale of its 181,000 square feet Hollywood Boulevard retail property in Los Angeles, CA for $69 million. </w:t>
      </w:r>
    </w:p>
    <w:p>
      <w:pPr>
        <w:pStyle w:val="TextBody"/>
        <w:bidi w:val="0"/>
        <w:spacing w:lineRule="auto" w:line="417" w:before="0" w:after="160"/>
        <w:ind w:left="0" w:right="0" w:hanging="360"/>
        <w:jc w:val="both"/>
        <w:rPr/>
      </w:pPr>
      <w:r>
        <w:rPr>
          <w:color w:val="000000"/>
        </w:rPr>
        <w:t>•</w:t>
      </w:r>
      <w:r>
        <w:rPr>
          <w:rFonts w:ascii="Arial;sans-serif" w:hAnsi="Arial;sans-serif"/>
          <w:b w:val="false"/>
          <w:color w:val="000000"/>
          <w:sz w:val="20"/>
        </w:rPr>
        <w:t xml:space="preserve">May 12, 2025 – completed the sale of Levare, a 108-unit residential building located on the periphery of Santana Row (see quarterly earnings area of the Investors section on our website for explanation of periphery) in San Jose, CA for $74 million. </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Development</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commenced construction on Lot 12 at Santana Row, a 258-unit residential project with an expected total investment of approximately $145 million.</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Other Activity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Announced a first-of-its-kind agreement with Mercedes-Benz High-Power Charging (HPC), naming the automaker its preferred electric vehicle (EV) charging provider. The collaboration establishes the foundation for a scalable rollout, expected to bring more than 500 ultra-fast charging stalls to at least 50 of Federal Realty's premier open-air retail destinations in its national portfolio.</w:t>
      </w:r>
    </w:p>
    <w:p>
      <w:pPr>
        <w:pStyle w:val="TextBody"/>
        <w:bidi w:val="0"/>
        <w:spacing w:lineRule="auto" w:line="417" w:before="0" w:after="160"/>
        <w:ind w:left="0" w:right="0" w:hanging="360"/>
        <w:jc w:val="left"/>
        <w:rPr/>
      </w:pPr>
      <w:r>
        <w:rPr>
          <w:color w:val="000000"/>
        </w:rPr>
        <w:t>•</w:t>
      </w:r>
      <w:r>
        <w:rPr>
          <w:rFonts w:ascii="Arial;sans-serif" w:hAnsi="Arial;sans-serif"/>
          <w:b w:val="false"/>
          <w:color w:val="000000"/>
          <w:sz w:val="20"/>
        </w:rPr>
        <w:t>Released the company's 2024 Sustainability Report.</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Regular Quarterly Dividends</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announced today that its Board of Trustees increased the regular quarterly cash dividend to $1.13 per common share, resulting in an indicated annual rate of $4.52 per common share. The regular common dividend will be payable on October 15, 2025 to common shareholders of record as of October 1, 2025. This increase represents the 58th consecutive year that Federal Realty has increased its common dividend, the longest record of consecutive annual dividend increases in the REIT sector.</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15, 2025 to shareholders of record as of October 1, 2025.</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2025 Guidance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has raised and tightened its 2025 guidance, as summarized in the table below:</w:t>
      </w:r>
    </w:p>
    <w:tbl>
      <w:tblPr>
        <w:tblW w:w="8892" w:type="dxa"/>
        <w:jc w:val="left"/>
        <w:tblInd w:w="0" w:type="dxa"/>
        <w:tblLayout w:type="fixed"/>
        <w:tblCellMar>
          <w:top w:w="28" w:type="dxa"/>
          <w:left w:w="28" w:type="dxa"/>
          <w:bottom w:w="28" w:type="dxa"/>
          <w:right w:w="28" w:type="dxa"/>
        </w:tblCellMar>
      </w:tblPr>
      <w:tblGrid>
        <w:gridCol w:w="2083"/>
        <w:gridCol w:w="1833"/>
        <w:gridCol w:w="1843"/>
        <w:gridCol w:w="564"/>
        <w:gridCol w:w="564"/>
        <w:gridCol w:w="566"/>
        <w:gridCol w:w="420"/>
        <w:gridCol w:w="420"/>
        <w:gridCol w:w="599"/>
      </w:tblGrid>
      <w:tr>
        <w:trPr/>
        <w:tc>
          <w:tcPr>
            <w:tcW w:w="208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 2025 Guidance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Revised Guidance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Prior Guidance</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Earnings per diluted share</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$3.91 to $4.01</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$3.00 to $3.12</w:t>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 FFO per diluted share</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$7.16 to $7.26</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$7.11 to $7.23</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2025 FFO per diluted share, excluding NMTC transaction income</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$7.01 to $7.11</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$6.96 to $7.08</w:t>
            </w:r>
          </w:p>
        </w:tc>
      </w:tr>
    </w:tbl>
    <w:p>
      <w:pPr>
        <w:pStyle w:val="TextBody"/>
        <w:bidi w:val="0"/>
        <w:spacing w:lineRule="auto" w:line="417" w:before="160" w:after="16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Realty’s management team will present an in-depth discussion of Federal Realty’s operating performance on its second quarter 2025 earnings conference call, which is scheduled for Wednesday, August 6, 2025 at 5:00 PM ET. To participate, please call 833-821-4548 or 412-652-1258 five to ten minutes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August 20, 2025 by dialing 844-512-2921 or 412-317-6671; Passcode: 10201012.</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About Federal Realty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is a recognized leader in the ownership, operation and redevelopment of high-quality retail-based properties located primarily in major coastal markets and select underserved regions with strong economic and demographic fundamentals. Founded in 1962, Federal Realty's mission is to deliver long-term, sustainable growth through investing in communities where retail demand exceeds supply. This includes a portfolio of open-air shopping centers and mixed-use destinations—such as Santana Row, Pike &amp; Rose and Assembly Row—which together reflect the company's ability to create distinctive, high-performing environments that serve as vibrant destinations for their communities. Federal Realty's 102 properties include approximately 3,500 tenants, in 27 million commercial square feet, and approximately 3,000 residential units.</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has increased its quarterly dividends to its shareholders for 58 consecutive years, the longest record in the REIT industry. The company is an S&amp;P 500 index member and its shares are traded on the NYSE under the symbol FRT. For additional information about Federal Realty and its properties, visit www.federalrealty.com.</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2025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ind w:left="0" w:right="0" w:hanging="360"/>
        <w:jc w:val="left"/>
        <w:rPr/>
      </w:pPr>
      <w:r>
        <w:rPr>
          <w:color w:val="000000"/>
        </w:rPr>
        <w:t>•</w:t>
      </w:r>
      <w:r>
        <w:rPr>
          <w:rFonts w:ascii="Arial;sans-serif" w:hAnsi="Arial;sans-serif"/>
          <w:b w:val="false"/>
          <w:i/>
          <w:color w:val="000000"/>
          <w:sz w:val="16"/>
        </w:rPr>
        <w:t>risks associated with general economic conditions, including inflation, tariffs, and local economic conditions in our geographic markets;</w:t>
      </w:r>
    </w:p>
    <w:p>
      <w:pPr>
        <w:pStyle w:val="TextBody"/>
        <w:bidi w:val="0"/>
        <w:spacing w:before="0" w:after="0"/>
        <w:jc w:val="right"/>
        <w:rPr/>
      </w:pPr>
      <w:r>
        <w:rPr/>
        <w:drawing>
          <wp:inline distT="0" distB="0" distL="0" distR="0">
            <wp:extent cx="895350" cy="3524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2025 and subsequent quarterly reports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2"/>
        <w:gridCol w:w="142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4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Statements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82,768 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914"/>
        <w:gridCol w:w="1939"/>
        <w:gridCol w:w="1908"/>
        <w:gridCol w:w="221"/>
        <w:gridCol w:w="1137"/>
        <w:gridCol w:w="114"/>
        <w:gridCol w:w="114"/>
        <w:gridCol w:w="114"/>
        <w:gridCol w:w="114"/>
        <w:gridCol w:w="221"/>
        <w:gridCol w:w="1137"/>
        <w:gridCol w:w="114"/>
        <w:gridCol w:w="158"/>
      </w:tblGrid>
      <w:tr>
        <w:trPr/>
        <w:tc>
          <w:tcPr>
            <w:tcW w:w="2914"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$1,824,341 and $1,825,656 of consolidated variable interest entities, respectively)</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10,721,587 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$20,665 and $9,939 of consolidated variable interest entities, respectively)</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11,046,022 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10,903,713 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$445,556 and $424,044 of consolidated variable interest entities, respectively)</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(3,250,219)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7,795,803 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7,750,914 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8,623,794 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$184,155 and $186,643 of consolidated variable interest entities, respectively)</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5,122,503 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5,100,327 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authorized 15,000,000 shares, $.01 par:</w:t>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(stated at liquidation preference $25,000 per share), 6,000 shares issued and outstanding</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 (stated at liquidation preference $25 per share), 392,878 shares issued and outstanding</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$.01 par, 200,000,000 shares authorized, respectively, 86,261,214 and 85,666,220 shares issued and outstanding, respectively</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4,248,824 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of the Trust</w:t>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3,249,029 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3,171,594 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3,320,100 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3,244,144 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8,623,794 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8,524,757 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36"/>
        <w:gridCol w:w="1069"/>
        <w:gridCol w:w="1076"/>
        <w:gridCol w:w="127"/>
        <w:gridCol w:w="127"/>
        <w:gridCol w:w="127"/>
        <w:gridCol w:w="246"/>
        <w:gridCol w:w="966"/>
        <w:gridCol w:w="12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8"/>
      </w:tblGrid>
      <w:tr>
        <w:trPr/>
        <w:tc>
          <w:tcPr>
            <w:tcW w:w="143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4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 / Other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0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Funds from Operations available for common shareholders (FFO)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initial direct costs of leases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 (2)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downREIT operating partnership units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unvested shares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diluted (2)(4)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FFO per diluted share (3)(4)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Dividends and Payout Ratios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common dividends declared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payout ratio as a percentage of FFO</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Summary of Capital Expenditures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Non-maintenance capital expenditures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redevelopment and expansions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 and incentives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non-maintenance capital expenditures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Information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(non-cash)</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Noncontrolling Interests Supplemental Information (5)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(1)See Glossary of Terms.</w:t>
      </w:r>
    </w:p>
    <w:p>
      <w:pPr>
        <w:pStyle w:val="TextBody"/>
        <w:bidi w:val="0"/>
        <w:spacing w:lineRule="auto" w:line="288" w:before="0" w:after="0"/>
        <w:ind w:left="0" w:right="0" w:hanging="720"/>
        <w:jc w:val="left"/>
        <w:rPr/>
      </w:pPr>
      <w:r>
        <w:rPr>
          <w:rFonts w:ascii="Times New Roman;serif" w:hAnsi="Times New Roman;serif"/>
          <w:b w:val="false"/>
          <w:color w:val="000000"/>
          <w:sz w:val="18"/>
        </w:rPr>
        <w:t>(2)For the three and six</w:t>
      </w:r>
      <w:r>
        <w:rPr>
          <w:color w:val="000000"/>
        </w:rPr>
        <w:t xml:space="preserve"> </w:t>
      </w:r>
      <w:r>
        <w:rPr>
          <w:rFonts w:ascii="Times New Roman;serif" w:hAnsi="Times New Roman;serif"/>
          <w:b w:val="false"/>
          <w:color w:val="000000"/>
          <w:sz w:val="18"/>
        </w:rPr>
        <w:t xml:space="preserve">months ended June 30, 2025 and 2024,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0" w:after="0"/>
        <w:ind w:left="0" w:right="0" w:hanging="720"/>
        <w:jc w:val="left"/>
        <w:rPr/>
      </w:pPr>
      <w:r>
        <w:rPr>
          <w:rFonts w:ascii="Times New Roman;serif" w:hAnsi="Times New Roman;serif"/>
          <w:b w:val="false"/>
          <w:color w:val="000000"/>
          <w:sz w:val="18"/>
        </w:rPr>
        <w:t xml:space="preserve">(3)FFO available for common shareholders includes new market tax credit transaction income, net of noncontrolling interest of $13.0 million (see page </w:t>
      </w:r>
      <w:hyperlink w:anchor="ifa0421b0bbe34be3876ca15458436dd2_58">
        <w:r>
          <w:rPr>
            <w:rStyle w:val="InternetLink"/>
            <w:rFonts w:ascii="Times New Roman;serif" w:hAnsi="Times New Roman;serif"/>
            <w:b w:val="false"/>
            <w:strike w:val="false"/>
            <w:dstrike w:val="false"/>
            <w:color w:val="000000"/>
            <w:sz w:val="18"/>
            <w:u w:val="none"/>
            <w:effect w:val="none"/>
          </w:rPr>
          <w:t>27</w:t>
        </w:r>
      </w:hyperlink>
      <w:r>
        <w:rPr>
          <w:rFonts w:ascii="Times New Roman;serif" w:hAnsi="Times New Roman;serif"/>
          <w:b w:val="false"/>
          <w:color w:val="000000"/>
          <w:sz w:val="18"/>
        </w:rPr>
        <w:t xml:space="preserve"> for additional information). Excluding this income, FFO for the three and six months ended June 30, 2025 would have been $152.6 million and $299.1 million, respectively, and FFO per diluted share would have been $1.76 per share and $3.46 per share, respectively.</w:t>
      </w:r>
    </w:p>
    <w:p>
      <w:pPr>
        <w:pStyle w:val="TextBody"/>
        <w:bidi w:val="0"/>
        <w:spacing w:lineRule="auto" w:line="288" w:before="0" w:after="0"/>
        <w:ind w:left="0" w:right="0" w:hanging="720"/>
        <w:jc w:val="left"/>
        <w:rPr/>
      </w:pPr>
      <w:r>
        <w:rPr>
          <w:rFonts w:ascii="Times New Roman;serif" w:hAnsi="Times New Roman;serif"/>
          <w:b w:val="false"/>
          <w:color w:val="000000"/>
          <w:sz w:val="18"/>
        </w:rPr>
        <w:t xml:space="preserve">(4)The weighted average common shares used to compute FFO per diluted common share includes downREIT operating partnership units that were excluded from the computation of diluted EPS for the six months ended June 30, 2024. Conversion of these operating partnership units is dilutive in the computation of FFO per diluted share for all periods presented, but is anti-dilutive for the computation of diluted EPS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18"/>
        </w:rPr>
        <w:t>the six months ended June 30, 2024.</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(5)Amounts reflect the components of "net income attributable to noncontrolling interests," but excludes "income attributable to downREIT operating partnership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853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lease related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Collectibility related impacts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604,771 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571,081 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9"/>
          <w:u w:val="single"/>
        </w:rPr>
      </w:pPr>
      <w:r>
        <w:rPr>
          <w:rFonts w:ascii="Times New Roman;serif" w:hAnsi="Times New Roman;serif"/>
          <w:b w:val="false"/>
          <w:color w:val="000000"/>
          <w:sz w:val="19"/>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erif" w:hAnsi="Times New Roman;serif"/>
          <w:b w:val="false"/>
          <w:color w:val="000000"/>
          <w:sz w:val="19"/>
        </w:rPr>
      </w:pPr>
      <w:r>
        <w:rPr>
          <w:rFonts w:ascii="Times New Roman;serif" w:hAnsi="Times New Roman;serif"/>
          <w:b w:val="false"/>
          <w:color w:val="000000"/>
          <w:sz w:val="19"/>
        </w:rPr>
        <w:t>(2)Minimum rents include the following:</w:t>
      </w:r>
    </w:p>
    <w:tbl>
      <w:tblPr>
        <w:tblW w:w="7106"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9"/>
        </w:rPr>
        <w:t xml:space="preserve">(3)Includes lease termination fees of $1.1 million and $1.3 million for the three months ended June 30, 2025 and 2024, respectively, and $2.4 million and $2.0 million for the </w:t>
      </w:r>
      <w:r>
        <w:rPr>
          <w:rFonts w:ascii="Times New Roman;serif" w:hAnsi="Times New Roman;serif"/>
          <w:b w:val="false"/>
          <w:color w:val="000000"/>
          <w:sz w:val="20"/>
        </w:rPr>
        <w:t>six</w:t>
      </w:r>
      <w:r>
        <w:rPr>
          <w:color w:val="000000"/>
        </w:rPr>
        <w:t xml:space="preserve"> </w:t>
      </w:r>
      <w:r>
        <w:rPr>
          <w:rFonts w:ascii="Times New Roman;serif" w:hAnsi="Times New Roman;serif"/>
          <w:b w:val="false"/>
          <w:color w:val="000000"/>
          <w:sz w:val="19"/>
        </w:rPr>
        <w:t>months ended June 30, 2025 and 2024.</w:t>
      </w:r>
    </w:p>
    <w:p>
      <w:pPr>
        <w:pStyle w:val="TextBody"/>
        <w:bidi w:val="0"/>
        <w:spacing w:lineRule="auto" w:line="288" w:before="60" w:after="283"/>
        <w:ind w:left="0" w:right="0" w:hanging="720"/>
        <w:jc w:val="left"/>
        <w:rPr/>
      </w:pPr>
      <w:r>
        <w:rPr>
          <w:rFonts w:ascii="Times New Roman;serif" w:hAnsi="Times New Roman;serif"/>
          <w:b w:val="false"/>
          <w:color w:val="000000"/>
          <w:sz w:val="19"/>
        </w:rPr>
        <w:t xml:space="preserve">(4)For the three months ended June 30, 2025 and 2024, our collectability related impacts include the collection of approximately $0.1 million and $0.8 million, respectively, and $0.1 million and $1.7 million for the </w:t>
      </w:r>
      <w:r>
        <w:rPr>
          <w:rFonts w:ascii="Times New Roman;serif" w:hAnsi="Times New Roman;serif"/>
          <w:b w:val="false"/>
          <w:color w:val="000000"/>
          <w:sz w:val="20"/>
        </w:rPr>
        <w:t>six</w:t>
      </w:r>
      <w:r>
        <w:rPr>
          <w:color w:val="000000"/>
        </w:rPr>
        <w:t xml:space="preserve"> </w:t>
      </w:r>
      <w:r>
        <w:rPr>
          <w:rFonts w:ascii="Times New Roman;serif" w:hAnsi="Times New Roman;serif"/>
          <w:b w:val="false"/>
          <w:color w:val="000000"/>
          <w:sz w:val="19"/>
        </w:rPr>
        <w:t>months ended June 30, 2025 and 2024, respectively, of prior period rents which were contractually deferred or payments renegotiated specifically related to the COVID-19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74"/>
        <w:gridCol w:w="1065"/>
        <w:gridCol w:w="1072"/>
        <w:gridCol w:w="392"/>
        <w:gridCol w:w="1373"/>
        <w:gridCol w:w="203"/>
        <w:gridCol w:w="203"/>
        <w:gridCol w:w="203"/>
        <w:gridCol w:w="203"/>
        <w:gridCol w:w="392"/>
        <w:gridCol w:w="1373"/>
        <w:gridCol w:w="203"/>
        <w:gridCol w:w="510"/>
        <w:gridCol w:w="203"/>
        <w:gridCol w:w="203"/>
        <w:gridCol w:w="109"/>
        <w:gridCol w:w="109"/>
        <w:gridCol w:w="109"/>
        <w:gridCol w:w="109"/>
        <w:gridCol w:w="109"/>
        <w:gridCol w:w="109"/>
        <w:gridCol w:w="109"/>
        <w:gridCol w:w="109"/>
        <w:gridCol w:w="161"/>
      </w:tblGrid>
      <w:tr>
        <w:trPr/>
        <w:tc>
          <w:tcPr>
            <w:tcW w:w="15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Federal Realty Investment Trust</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Comparable Property Information</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June 30, 2025</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Friendship Center, Grossmont Center, Huntington Shopping Center, Pike &amp; Rose Phase IV, Santana West, Willow Grove Shopping Center, and all properties acquired, disposed of, or not consolidated from Q2 2024 to Q2 2025. Comparable Property property operating income ("Comparable Property POI") is a non-GAAP measure used by management in evaluating the operating performance of our properties period over period.</w:t>
            </w:r>
          </w:p>
        </w:tc>
        <w:tc>
          <w:tcPr>
            <w:tcW w:w="1033" w:type="dxa"/>
            <w:gridSpan w:val="9"/>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u w:val="single"/>
              </w:rPr>
            </w:pPr>
            <w:r>
              <w:rPr>
                <w:rFonts w:ascii="Times New Roman;serif" w:hAnsi="Times New Roman;serif"/>
                <w:b/>
                <w:i/>
                <w:color w:val="000000"/>
                <w:sz w:val="17"/>
                <w:u w:val="single"/>
              </w:rPr>
              <w:t>Reconciliation of GAAP operating income to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income</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202,744 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157,011 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Add: </w:t>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89,241 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85,049 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12,092 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real estate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(52,280)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market tax credit transaction income</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(14,176)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income (POI)</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213,233 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201,872 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Non-comparable POI - acquisitions/dispositions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Non-comparable POI - redevelopment, development &amp; other</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(8,172)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Comparable property POI</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195,813 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187,470 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u w:val="single"/>
              </w:rPr>
            </w:pPr>
            <w:r>
              <w:rPr>
                <w:rFonts w:ascii="Times New Roman;serif" w:hAnsi="Times New Roman;serif"/>
                <w:b/>
                <w:i/>
                <w:color w:val="000000"/>
                <w:sz w:val="17"/>
                <w:u w:val="single"/>
              </w:rPr>
              <w:t>Additional information regarding the components of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Minimum rents (1)</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214,205 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205,974 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reimbursements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52,691 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Collectibility related impacts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property revenue</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281,358 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272,820 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expenses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(52,499)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(52,502)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(33,046)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(32,848)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property expenses</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(85,545)</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(85,350)</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Comparable property POI</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195,813 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187,470 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Less: </w:t>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Lease termination fees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Prior period rents collected (2)</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Comparable property POI excluding lease termination fees and prior period rents collected</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194,621 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185,453 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u w:val="single"/>
              </w:rPr>
            </w:pPr>
            <w:r>
              <w:rPr>
                <w:rFonts w:ascii="Times New Roman;serif" w:hAnsi="Times New Roman;serif"/>
                <w:b w:val="false"/>
                <w:i/>
                <w:color w:val="000000"/>
                <w:sz w:val="17"/>
                <w:u w:val="single"/>
              </w:rPr>
              <w:t>Comparable Property - Summary of Capital Expenditures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 thousands)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Redevelopment and tenant improvements and incentives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Maintenance capital expenditures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40,130 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40,088 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17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u w:val="single"/>
              </w:rPr>
            </w:pPr>
            <w:r>
              <w:rPr>
                <w:rFonts w:ascii="Times New Roman;serif" w:hAnsi="Times New Roman;serif"/>
                <w:b w:val="false"/>
                <w:i/>
                <w:color w:val="000000"/>
                <w:sz w:val="17"/>
                <w:u w:val="single"/>
              </w:rPr>
              <w:t>Comparable Property - Occupancy Statistics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At June 30,</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3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2024</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GLA - comparable commercial properties</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24,302,000 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24,322,000 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Leased % - comparable commercial properties</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95.5%</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 % - comparable commercial properties</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92.8%</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Notes:</w:t>
      </w:r>
    </w:p>
    <w:p>
      <w:pPr>
        <w:pStyle w:val="TextBody"/>
        <w:bidi w:val="0"/>
        <w:spacing w:lineRule="auto" w:line="288" w:before="0" w:after="0"/>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 xml:space="preserve">(1)For the three months ended June 30, 2025 and 2024, amount includes straight-line rents of $3.8 million and $2.8 million, respectively, and amortization of in-place leases of $3.2 million and $2.3 million, respectively. </w:t>
      </w:r>
    </w:p>
    <w:p>
      <w:pPr>
        <w:pStyle w:val="TextBody"/>
        <w:bidi w:val="0"/>
        <w:spacing w:lineRule="auto" w:line="288" w:before="0" w:after="0"/>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(2)Amount represents collection of prior period rents which were contractually deferred or payment renegotiated specifically related to the COVID-19 pandemic.</w:t>
      </w:r>
    </w:p>
    <w:p>
      <w:pPr>
        <w:pStyle w:val="TextBody"/>
        <w:bidi w:val="0"/>
        <w:spacing w:lineRule="auto" w:line="288" w:before="0" w:after="0"/>
        <w:ind w:left="0" w:right="0" w:hanging="720"/>
        <w:jc w:val="left"/>
        <w:rPr/>
      </w:pPr>
      <w:r>
        <w:rPr>
          <w:rFonts w:ascii="Times New Roman;serif" w:hAnsi="Times New Roman;serif"/>
          <w:b w:val="false"/>
          <w:color w:val="000000"/>
          <w:sz w:val="17"/>
        </w:rPr>
        <w:t xml:space="preserve">(3)See page </w:t>
      </w:r>
      <w:hyperlink w:anchor="ifa0421b0bbe34be3876ca15458436dd2_16">
        <w:r>
          <w:rPr>
            <w:rStyle w:val="InternetLink"/>
            <w:rFonts w:ascii="Times New Roman;serif" w:hAnsi="Times New Roman;serif"/>
            <w:b w:val="false"/>
            <w:strike w:val="false"/>
            <w:dstrike w:val="false"/>
            <w:color w:val="000000"/>
            <w:sz w:val="17"/>
            <w:u w:val="none"/>
            <w:effect w:val="none"/>
          </w:rPr>
          <w:t>10</w:t>
        </w:r>
      </w:hyperlink>
      <w:r>
        <w:rPr>
          <w:rFonts w:ascii="Times New Roman;serif" w:hAnsi="Times New Roman;serif"/>
          <w:b w:val="false"/>
          <w:color w:val="000000"/>
          <w:sz w:val="17"/>
        </w:rPr>
        <w:t xml:space="preserve"> for "Summary of Capital Expenditures" and page </w:t>
      </w:r>
      <w:hyperlink w:anchor="ifa0421b0bbe34be3876ca15458436dd2_52">
        <w:r>
          <w:rPr>
            <w:rStyle w:val="InternetLink"/>
            <w:rFonts w:ascii="Times New Roman;serif" w:hAnsi="Times New Roman;serif"/>
            <w:b w:val="false"/>
            <w:strike w:val="false"/>
            <w:dstrike w:val="false"/>
            <w:color w:val="000000"/>
            <w:sz w:val="17"/>
            <w:u w:val="none"/>
            <w:effect w:val="none"/>
          </w:rPr>
          <w:t>25</w:t>
        </w:r>
      </w:hyperlink>
      <w:r>
        <w:rPr>
          <w:rFonts w:ascii="Times New Roman;serif" w:hAnsi="Times New Roman;serif"/>
          <w:b w:val="false"/>
          <w:color w:val="000000"/>
          <w:sz w:val="17"/>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47"/>
        <w:gridCol w:w="147"/>
        <w:gridCol w:w="1809"/>
        <w:gridCol w:w="1687"/>
        <w:gridCol w:w="1692"/>
        <w:gridCol w:w="136"/>
        <w:gridCol w:w="136"/>
        <w:gridCol w:w="136"/>
        <w:gridCol w:w="265"/>
        <w:gridCol w:w="1358"/>
        <w:gridCol w:w="136"/>
        <w:gridCol w:w="136"/>
        <w:gridCol w:w="136"/>
        <w:gridCol w:w="136"/>
        <w:gridCol w:w="284"/>
        <w:gridCol w:w="1461"/>
        <w:gridCol w:w="218"/>
      </w:tblGrid>
      <w:tr>
        <w:trPr/>
        <w:tc>
          <w:tcPr>
            <w:tcW w:w="18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 Data, Debt Metrics, and Senior Notes and Debentures Covenants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r>
      <w:tr>
        <w:trPr/>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6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Data</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and downREIT operating partnership units (1)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84,219 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price per common share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market capitalization including downREIT operating partnership units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8,244,182 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8,503,592 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shares outstanding</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C preferred share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preferred equity market capitalization</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shares outstanding (2)</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Liquidation price per Series 1 preferred share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1 preferred equity market capitalization</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market capitalization</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8,404,007 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8,663,417 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4,487,507 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4,553,672 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(103,234)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(3)</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4,310,504 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4,450,438 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 capitalization</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12,714,511 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13,113,855 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Leverage and Liquidity Ratios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debt to market capitalization at market price per common share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79" w:type="dxa"/>
            <w:gridSpan w:val="3"/>
            <w:tcBorders/>
            <w:vAlign w:val="center"/>
          </w:tcPr>
          <w:p>
            <w:pPr>
              <w:pStyle w:val="TableContents"/>
              <w:bidi w:val="0"/>
              <w:spacing w:before="0" w:after="283"/>
              <w:jc w:val="left"/>
              <w:rPr>
                <w:sz w:val="4"/>
                <w:szCs w:val="4"/>
              </w:rPr>
            </w:pPr>
            <w:r>
              <w:rPr>
                <w:sz w:val="4"/>
                <w:szCs w:val="4"/>
              </w:rPr>
            </w:r>
          </w:p>
        </w:tc>
        <w:tc>
          <w:tcPr>
            <w:tcW w:w="51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r>
      <w:tr>
        <w:trPr/>
        <w:tc>
          <w:tcPr>
            <w:tcW w:w="479" w:type="dxa"/>
            <w:gridSpan w:val="3"/>
            <w:tcBorders/>
            <w:vAlign w:val="center"/>
          </w:tcPr>
          <w:p>
            <w:pPr>
              <w:pStyle w:val="TableContents"/>
              <w:bidi w:val="0"/>
              <w:spacing w:before="0" w:after="283"/>
              <w:jc w:val="left"/>
              <w:rPr>
                <w:sz w:val="4"/>
                <w:szCs w:val="4"/>
              </w:rPr>
            </w:pPr>
            <w:r>
              <w:rPr>
                <w:sz w:val="4"/>
                <w:szCs w:val="4"/>
              </w:rPr>
            </w:r>
          </w:p>
        </w:tc>
        <w:tc>
          <w:tcPr>
            <w:tcW w:w="51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EBITDAre to combined fixed charges and preferred share dividends, three months ended (4)(5)(6)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4.2x</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3.6x</w:t>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Ratio of EBITDAre to combined fixed charges and preferred share dividends, six months ended (4)(5)(6)</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4.0x</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3.6x</w:t>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Covenants (7)</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Covenant Threshold (8)</w:t>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Assets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60%</w:t>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Debt to Total Assets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40%</w:t>
            </w:r>
          </w:p>
        </w:tc>
      </w:tr>
      <w:tr>
        <w:trPr/>
        <w:tc>
          <w:tcPr>
            <w:tcW w:w="4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to Annual Debt Service Charge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4.0x</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1.5x</w:t>
            </w:r>
          </w:p>
        </w:tc>
      </w:tr>
      <w:tr>
        <w:trPr/>
        <w:tc>
          <w:tcPr>
            <w:tcW w:w="4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Assets to Unsecured Debt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150%</w:t>
            </w:r>
          </w:p>
        </w:tc>
      </w:tr>
      <w:tr>
        <w:trPr/>
        <w:tc>
          <w:tcPr>
            <w:tcW w:w="479" w:type="dxa"/>
            <w:gridSpan w:val="3"/>
            <w:tcBorders/>
            <w:vAlign w:val="center"/>
          </w:tcPr>
          <w:p>
            <w:pPr>
              <w:pStyle w:val="TableContents"/>
              <w:bidi w:val="0"/>
              <w:spacing w:before="0" w:after="283"/>
              <w:jc w:val="left"/>
              <w:rPr>
                <w:sz w:val="4"/>
                <w:szCs w:val="4"/>
              </w:rPr>
            </w:pPr>
            <w:r>
              <w:rPr>
                <w:sz w:val="4"/>
                <w:szCs w:val="4"/>
              </w:rPr>
            </w:r>
          </w:p>
        </w:tc>
        <w:tc>
          <w:tcPr>
            <w:tcW w:w="51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r>
      <w:tr>
        <w:trPr/>
        <w:tc>
          <w:tcPr>
            <w:tcW w:w="479" w:type="dxa"/>
            <w:gridSpan w:val="3"/>
            <w:tcBorders/>
            <w:vAlign w:val="center"/>
          </w:tcPr>
          <w:p>
            <w:pPr>
              <w:pStyle w:val="TableContents"/>
              <w:bidi w:val="0"/>
              <w:spacing w:before="0" w:after="283"/>
              <w:jc w:val="left"/>
              <w:rPr>
                <w:sz w:val="4"/>
                <w:szCs w:val="4"/>
              </w:rPr>
            </w:pPr>
            <w:r>
              <w:rPr>
                <w:sz w:val="4"/>
                <w:szCs w:val="4"/>
              </w:rPr>
            </w:r>
          </w:p>
        </w:tc>
        <w:tc>
          <w:tcPr>
            <w:tcW w:w="51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r>
      <w:tr>
        <w:trPr/>
        <w:tc>
          <w:tcPr>
            <w:tcW w:w="479" w:type="dxa"/>
            <w:gridSpan w:val="3"/>
            <w:tcBorders/>
            <w:vAlign w:val="center"/>
          </w:tcPr>
          <w:p>
            <w:pPr>
              <w:pStyle w:val="TableContents"/>
              <w:bidi w:val="0"/>
              <w:spacing w:before="0" w:after="283"/>
              <w:jc w:val="left"/>
              <w:rPr>
                <w:sz w:val="4"/>
                <w:szCs w:val="4"/>
              </w:rPr>
            </w:pPr>
            <w:r>
              <w:rPr>
                <w:sz w:val="4"/>
                <w:szCs w:val="4"/>
              </w:rPr>
            </w:r>
          </w:p>
        </w:tc>
        <w:tc>
          <w:tcPr>
            <w:tcW w:w="51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r>
      <w:tr>
        <w:trPr/>
        <w:tc>
          <w:tcPr>
            <w:tcW w:w="479" w:type="dxa"/>
            <w:gridSpan w:val="3"/>
            <w:tcBorders/>
            <w:vAlign w:val="center"/>
          </w:tcPr>
          <w:p>
            <w:pPr>
              <w:pStyle w:val="TableContents"/>
              <w:bidi w:val="0"/>
              <w:spacing w:before="0" w:after="283"/>
              <w:jc w:val="left"/>
              <w:rPr>
                <w:sz w:val="4"/>
                <w:szCs w:val="4"/>
              </w:rPr>
            </w:pPr>
            <w:r>
              <w:rPr>
                <w:sz w:val="4"/>
                <w:szCs w:val="4"/>
              </w:rPr>
            </w:r>
          </w:p>
        </w:tc>
        <w:tc>
          <w:tcPr>
            <w:tcW w:w="51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r>
      <w:tr>
        <w:trPr/>
        <w:tc>
          <w:tcPr>
            <w:tcW w:w="479" w:type="dxa"/>
            <w:gridSpan w:val="3"/>
            <w:tcBorders/>
            <w:vAlign w:val="center"/>
          </w:tcPr>
          <w:p>
            <w:pPr>
              <w:pStyle w:val="TableContents"/>
              <w:bidi w:val="0"/>
              <w:spacing w:before="0" w:after="283"/>
              <w:jc w:val="left"/>
              <w:rPr>
                <w:sz w:val="4"/>
                <w:szCs w:val="4"/>
              </w:rPr>
            </w:pPr>
            <w:r>
              <w:rPr>
                <w:sz w:val="4"/>
                <w:szCs w:val="4"/>
              </w:rPr>
            </w:r>
          </w:p>
        </w:tc>
        <w:tc>
          <w:tcPr>
            <w:tcW w:w="518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(1)Amounts include 529,207 and 628,419 downREIT operating partnership units outstanding at June 30, 2025 and 2024, respectively.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(4)EBITDAre is reconciled to net income in the Glossary of Terms.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(5)Fixed charges consist of interest on borrowed funds and finance leases (including capitalized interest), amortization of debt discount/premium and debt costs, and the portion of rent expense representing an interest factor.</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(6)Excluding the $14.2 million of new market tax credit transaction income, the ratio of EBITDAre to combined fixed charges and preferred share dividends for the three and six months ended June 30, 2025 would have been 4.0x and 3.9x, respectively.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(7)The reference period for calculating these covenants is the most recent twelve months ended June 30, 2025.</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(8)For a detailed description of the senior unsecured notes covenants and definitions of the terms, please refer to our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
        <w:gridCol w:w="230"/>
        <w:gridCol w:w="230"/>
        <w:gridCol w:w="686"/>
        <w:gridCol w:w="655"/>
        <w:gridCol w:w="580"/>
        <w:gridCol w:w="447"/>
        <w:gridCol w:w="447"/>
        <w:gridCol w:w="448"/>
        <w:gridCol w:w="109"/>
        <w:gridCol w:w="109"/>
        <w:gridCol w:w="109"/>
        <w:gridCol w:w="407"/>
        <w:gridCol w:w="396"/>
        <w:gridCol w:w="398"/>
        <w:gridCol w:w="109"/>
        <w:gridCol w:w="109"/>
        <w:gridCol w:w="109"/>
        <w:gridCol w:w="196"/>
        <w:gridCol w:w="871"/>
        <w:gridCol w:w="109"/>
        <w:gridCol w:w="109"/>
        <w:gridCol w:w="109"/>
        <w:gridCol w:w="109"/>
        <w:gridCol w:w="164"/>
        <w:gridCol w:w="155"/>
        <w:gridCol w:w="151"/>
        <w:gridCol w:w="109"/>
        <w:gridCol w:w="109"/>
        <w:gridCol w:w="109"/>
        <w:gridCol w:w="328"/>
        <w:gridCol w:w="318"/>
        <w:gridCol w:w="318"/>
        <w:gridCol w:w="318"/>
        <w:gridCol w:w="318"/>
        <w:gridCol w:w="465"/>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effective rate (6)</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Mortgages payable (1)</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Secured fixed rate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12/28/2025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5.03%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3.67%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(13 Buildings)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3.91% to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 payable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(4)(5)</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(4)</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 through 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5.48%</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Senior notes and debentures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fixed rate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3.77%</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variable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5.48%</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39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4.09%</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w:t>
            </w:r>
          </w:p>
        </w:tc>
      </w:tr>
    </w:tbl>
    <w:p>
      <w:pPr>
        <w:pStyle w:val="TextBody"/>
        <w:bidi w:val="0"/>
        <w:spacing w:lineRule="auto" w:line="288" w:before="6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Notes:</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(1)Mortgages payable does not include our share of debt on our unconsolidated real estate partnerships. At June 30, 2025, our share of unconsolidated debt was approximately $61.7 million. At June 30, 2025, our noncontrolling interests' share of mortgages payable was $14.9 million.</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(2)We have two one-year extensions, at our option to extend the maturity date to December 28, 2027.</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(3)The mortgage loans have interest rate swap agreements that effectively fix the interest rate through the initial maturity date.</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(4)Our revolving credit facility SOFR loans and our term loan bear interest at Daily Simple SOFR or Term SOFR, as defined in the respective credit agreements, plus a spread, based on our current credit rating. Our revolving credit facility also includes a 0.10% adjustment to SOFR.</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(5)The maximum amount drawn under our $1.25 billion revolving credit facility during both the three and six months ended June 30, 2025 was $122.1 million, and the weighted average interest rate on borrowings under our credit facility, before amortization of debt fees, for both periods was 5.2%.</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(6)The weighted average effective interest rate includes the amortization of any debt issuance costs and discounts and premiums, if applicable, except as described in Note 7.</w:t>
      </w:r>
    </w:p>
    <w:p>
      <w:pPr>
        <w:pStyle w:val="TextBody"/>
        <w:bidi w:val="0"/>
        <w:spacing w:lineRule="auto" w:line="288" w:before="40" w:after="283"/>
        <w:ind w:left="0" w:right="0" w:hanging="720"/>
        <w:jc w:val="left"/>
        <w:rPr>
          <w:rFonts w:ascii="Times New Roman;serif" w:hAnsi="Times New Roman;serif"/>
          <w:b w:val="false"/>
          <w:color w:val="000000"/>
          <w:sz w:val="17"/>
        </w:rPr>
      </w:pPr>
      <w:r>
        <w:rPr>
          <w:rFonts w:ascii="Times New Roman;serif" w:hAnsi="Times New Roman;serif"/>
          <w:b w:val="false"/>
          <w:color w:val="000000"/>
          <w:sz w:val="17"/>
        </w:rPr>
        <w:t>(7)The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Rate (5)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40" w:after="100"/>
        <w:jc w:val="left"/>
        <w:rPr>
          <w:rFonts w:ascii="Times New Roman;serif" w:hAnsi="Times New Roman;serif"/>
          <w:b w:val="false"/>
          <w:color w:val="000000"/>
          <w:sz w:val="18"/>
        </w:rPr>
      </w:pPr>
      <w:r>
        <w:rPr>
          <w:rFonts w:ascii="Times New Roman;serif" w:hAnsi="Times New Roman;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(1)Our $200.0 million mortgage loan secured by Bethesda Row matures on December 28, 2025 plus two one-year extensions, at our option to December 28, 2027.</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(2)Our $1.25 billion revolving credit facility matures on April 5, 2027, plus two six-month extensions at our option to April 5, 2028. As of June 30, 2025, there was $17.6 million balance outstanding under this credit facility.</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(3)Our $600.0 million term loan matures on March 20, 2028, plus two one-year extensions at our option to March 20, 2030. </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total debt maturities differ from the total reported on the consolidated balance sheet due to the debt issuance costs and unamortized net premium/discount on certain mortgage loans, notes payable, and senior notes as of June 30, 2025. The weighted average remaining term on our mortgages payable, notes payable, and senior notes and debentures is approximately 6 years.</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(5)The weighted average rate reflects the weighted average interest rate on debt maturing in the respective year. </w:t>
      </w:r>
    </w:p>
    <w:p>
      <w:pPr>
        <w:pStyle w:val="TextBody"/>
        <w:bidi w:val="0"/>
        <w:spacing w:lineRule="auto" w:line="288" w:before="6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(6)The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61"/>
        <w:gridCol w:w="236"/>
        <w:gridCol w:w="236"/>
        <w:gridCol w:w="728"/>
        <w:gridCol w:w="286"/>
        <w:gridCol w:w="225"/>
        <w:gridCol w:w="1320"/>
        <w:gridCol w:w="1133"/>
        <w:gridCol w:w="1146"/>
        <w:gridCol w:w="207"/>
        <w:gridCol w:w="207"/>
        <w:gridCol w:w="461"/>
        <w:gridCol w:w="292"/>
        <w:gridCol w:w="292"/>
        <w:gridCol w:w="293"/>
        <w:gridCol w:w="339"/>
        <w:gridCol w:w="189"/>
        <w:gridCol w:w="171"/>
        <w:gridCol w:w="519"/>
        <w:gridCol w:w="332"/>
        <w:gridCol w:w="333"/>
        <w:gridCol w:w="109"/>
        <w:gridCol w:w="109"/>
        <w:gridCol w:w="109"/>
        <w:gridCol w:w="109"/>
        <w:gridCol w:w="163"/>
      </w:tblGrid>
      <w:tr>
        <w:trPr/>
        <w:tc>
          <w:tcPr>
            <w:tcW w:w="6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Summary of Redevelopment and Expansion Opportunities</w:t>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0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The following redevelopment opportunities are actively being worked on by the Trust.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2482" w:type="dxa"/>
            <w:gridSpan w:val="11"/>
            <w:tcBorders/>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597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(2)</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2025 POI Delivered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a % of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West (3)</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369,000 square foot office building. 327,000 square feet of office space leased</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- 6%</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 $335</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 - 10%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Pike &amp; Rose - 915 Meeting Street (3)</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Bethesda, MD</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262,000 square foot office building with 10,000 square feet of retail space. 251,000 square feet of office and 10,000 square feet of retail space leased.</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 $190</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 - 75%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 - Lot 12</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six story building with 258 residential units and associated parking</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 $148</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on City Avenue</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 Cynwyd, PA</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two level department store building to construct a new six story building with 217 residential units, 19,000 square feet of retail and a two-story parking structure with 234 parking stalls</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 $95</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Huntington, NY</w:t>
            </w:r>
          </w:p>
        </w:tc>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the main two level building consisting of 161,000 square feet of anchor and small shop space to construct 102,000 square feet of new ground-level anchor and small shop retail space</w:t>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 $85</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 - 95%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Hoboken - 301 Washington Street </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Hoboken, NJ</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5 story, 45-unit residential building with 10,200 square feet of ground floor retail space</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- 7%</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 $48</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Opportunity</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ROI (4)</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Projected Cost (1)</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to Date</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Anticipated Stabilization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Andorra</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Philadelphia, PA</w:t>
            </w:r>
          </w:p>
        </w:tc>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Demolition of 31,500 square feet of anchor and small shop spaces to construct a 50,000 square foot turnkey building for a national grocer tenant and redevelopment of 27,000 square feet of vacant small shop space at the north end of the property to construct 10,400 square feet of small shop, and a 10,000 square foot anchor tenant</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- 8%</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Willow Grove, PA</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a new 17,000 square foot multi-tenant pad building</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Santana Row</w:t>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San Jose, CA</w:t>
            </w:r>
          </w:p>
        </w:tc>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Installation and implementation of paid parking system</w:t>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Stabilized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Mercer on One</w:t>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Lawrenceville, NJ</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of a 2,225 square foot pad building with drive-thru for a restaurant tenant</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133"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599"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7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Active Property Improvement Projects (6)</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Ongoing improvements at 6 properties to better position those properties to capture a disproportionate amount of retail demand</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- 13%</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p>
      <w:pPr>
        <w:pStyle w:val="TextBody"/>
        <w:bidi w:val="0"/>
        <w:spacing w:lineRule="auto" w:line="288" w:before="100" w:after="283"/>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40" w:after="283"/>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(2)Projected ROI for mixed-use redevelopment/expansion projects reflects the unleveraged Property Operating Income (POI) generated by the project and is calculated as POI divided by cost. Projected POI delivered includes straight line rent.</w:t>
      </w:r>
    </w:p>
    <w:p>
      <w:pPr>
        <w:pStyle w:val="TextBody"/>
        <w:bidi w:val="0"/>
        <w:spacing w:lineRule="auto" w:line="288" w:before="40" w:after="283"/>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40" w:after="283"/>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40" w:after="283"/>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(5)Stabilization is generally the year in which 90% physical occupancy of the redeveloped space is achieved. Economic stabilization may occur at a later point in time.</w:t>
      </w:r>
    </w:p>
    <w:p>
      <w:pPr>
        <w:pStyle w:val="TextBody"/>
        <w:bidi w:val="0"/>
        <w:spacing w:lineRule="auto" w:line="288" w:before="40" w:after="283"/>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0"/>
        <w:gridCol w:w="451"/>
        <w:gridCol w:w="451"/>
        <w:gridCol w:w="451"/>
        <w:gridCol w:w="451"/>
        <w:gridCol w:w="451"/>
        <w:gridCol w:w="1318"/>
        <w:gridCol w:w="451"/>
        <w:gridCol w:w="451"/>
        <w:gridCol w:w="1013"/>
        <w:gridCol w:w="451"/>
        <w:gridCol w:w="451"/>
        <w:gridCol w:w="988"/>
        <w:gridCol w:w="451"/>
        <w:gridCol w:w="451"/>
        <w:gridCol w:w="466"/>
        <w:gridCol w:w="222"/>
        <w:gridCol w:w="327"/>
      </w:tblGrid>
      <w:tr>
        <w:trPr/>
        <w:tc>
          <w:tcPr>
            <w:tcW w:w="9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Federal Realty Investment Trust</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Future Redevelopment and Expansion Opportunities</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June 30, 2025</w:t>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Redevelopment Opportunities</w:t>
            </w:r>
          </w:p>
        </w:tc>
      </w:tr>
      <w:tr>
        <w:trPr/>
        <w:tc>
          <w:tcPr>
            <w:tcW w:w="3165"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1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Expansion/Conversion (4)</w:t>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Residential (5)</w:t>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Mixed Use - Long Term</w:t>
            </w:r>
          </w:p>
        </w:tc>
      </w:tr>
      <w:tr>
        <w:trPr/>
        <w:tc>
          <w:tcPr>
            <w:tcW w:w="3165"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Assembly Row (1)</w:t>
            </w:r>
          </w:p>
        </w:tc>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Somerville, MA</w:t>
            </w:r>
          </w:p>
        </w:tc>
        <w:tc>
          <w:tcPr>
            <w:tcW w:w="1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on City Avenue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 Cynwyd,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Barracks Road</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Charlottesville,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MD</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Camelback Colonnade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Phoenix, AZ</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Commons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 MA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Plaza</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Dedham, MA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 Monte Shopping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Monterey, CA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Promenade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Escondido, CA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Junction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Plaza</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Rockville,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Finley Square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Downers Grove, IL</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Fresh Meadows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Queens, NY</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Friendship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 DC</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Governor Plaza</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Glen Burnie, MD</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Grossmont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 Mesa, CA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NY</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Square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 Northport, NY</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Langhorne Square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Levittown, PA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Northeast</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Philadelphia,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&amp; Rose (2)</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Bethesda,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Pike 7 Plaza</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Vienna,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Providence Place</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Fairfax,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Riverpoint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IL</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Santana Row (3)</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Jose, CA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Shops at Pembroke Gardens</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Pembroke Pines, FL</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AVENUE at White Marsh</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White Marsh, MD</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Tower Shopping Center</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Springfield, VA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Troy Hills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Parsippany-Troy, NJ</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Village at Shirlington</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Arlington, VA</w:t>
            </w:r>
          </w:p>
        </w:tc>
        <w:tc>
          <w:tcPr>
            <w:tcW w:w="1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Virginia Gateway</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Gainesville, VA</w:t>
            </w:r>
          </w:p>
        </w:tc>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Willow Grove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Willow Grove,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Willow Lawn</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Richmond, VA</w:t>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Wynnewood, PA</w:t>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ü</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p>
      <w:pPr>
        <w:pStyle w:val="TextBody"/>
        <w:bidi w:val="0"/>
        <w:spacing w:lineRule="auto" w:line="288" w:before="120" w:after="283"/>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(3)Remaining entitlements at Santana Row include approximately 321,000 square feet of commercial space and 137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0" w:after="283"/>
        <w:jc w:val="left"/>
        <w:rPr>
          <w:rFonts w:ascii="Times New Roman;serif" w:hAnsi="Times New Roman;serif"/>
          <w:b/>
          <w:color w:val="000000"/>
          <w:sz w:val="20"/>
          <w:u w:val="single"/>
        </w:rPr>
      </w:pPr>
      <w:r>
        <w:rPr>
          <w:rFonts w:ascii="Times New Roman;serif" w:hAnsi="Times New Roman;serif"/>
          <w:b/>
          <w:color w:val="000000"/>
          <w:sz w:val="20"/>
          <w:u w:val="single"/>
        </w:rPr>
        <w:t>Property Acquisitions</w:t>
      </w:r>
    </w:p>
    <w:tbl>
      <w:tblPr>
        <w:tblW w:w="10205" w:type="dxa"/>
        <w:jc w:val="left"/>
        <w:tblInd w:w="0" w:type="dxa"/>
        <w:tblLayout w:type="fixed"/>
        <w:tblCellMar>
          <w:top w:w="28" w:type="dxa"/>
          <w:left w:w="28" w:type="dxa"/>
          <w:bottom w:w="28" w:type="dxa"/>
          <w:right w:w="28" w:type="dxa"/>
        </w:tblCellMar>
      </w:tblPr>
      <w:tblGrid>
        <w:gridCol w:w="381"/>
        <w:gridCol w:w="334"/>
        <w:gridCol w:w="340"/>
        <w:gridCol w:w="109"/>
        <w:gridCol w:w="109"/>
        <w:gridCol w:w="109"/>
        <w:gridCol w:w="439"/>
        <w:gridCol w:w="439"/>
        <w:gridCol w:w="445"/>
        <w:gridCol w:w="109"/>
        <w:gridCol w:w="109"/>
        <w:gridCol w:w="109"/>
        <w:gridCol w:w="395"/>
        <w:gridCol w:w="395"/>
        <w:gridCol w:w="400"/>
        <w:gridCol w:w="109"/>
        <w:gridCol w:w="109"/>
        <w:gridCol w:w="109"/>
        <w:gridCol w:w="447"/>
        <w:gridCol w:w="398"/>
        <w:gridCol w:w="292"/>
        <w:gridCol w:w="109"/>
        <w:gridCol w:w="109"/>
        <w:gridCol w:w="109"/>
        <w:gridCol w:w="239"/>
        <w:gridCol w:w="698"/>
        <w:gridCol w:w="123"/>
        <w:gridCol w:w="109"/>
        <w:gridCol w:w="109"/>
        <w:gridCol w:w="109"/>
        <w:gridCol w:w="949"/>
        <w:gridCol w:w="766"/>
        <w:gridCol w:w="1090"/>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Principal Tenants</w:t>
            </w:r>
          </w:p>
        </w:tc>
      </w:tr>
      <w:tr>
        <w:trPr/>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February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Del Monte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Monterey,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675,000 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Whole Foods / Macy's / Petco / Pottery Barn / Apple</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July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Town Center Plaza &amp; </w:t>
              <w:br/>
              <w:t>Town Center Crossing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19"/>
              </w:rPr>
            </w:pPr>
            <w:r>
              <w:rPr>
                <w:rFonts w:ascii="Times New Roman;serif" w:hAnsi="Times New Roman;serif"/>
                <w:b w:val="false"/>
                <w:color w:val="000000"/>
                <w:sz w:val="19"/>
              </w:rPr>
              <w:t>Leawood, Kansas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550,000 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Trader Joe’s / Crate &amp; Barrel / Pottery Barn / Restoration Hardware / Apple / Aritzia</w:t>
            </w:r>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hanging="270"/>
        <w:jc w:val="left"/>
        <w:rPr>
          <w:rFonts w:ascii="Times New Roman;serif" w:hAnsi="Times New Roman;serif"/>
          <w:b/>
          <w:color w:val="000000"/>
          <w:sz w:val="20"/>
          <w:u w:val="single"/>
        </w:rPr>
      </w:pPr>
      <w:r>
        <w:rPr>
          <w:rFonts w:ascii="Times New Roman;serif" w:hAnsi="Times New Roman;serif"/>
          <w:b/>
          <w:color w:val="000000"/>
          <w:sz w:val="20"/>
          <w:u w:val="single"/>
        </w:rPr>
        <w:t>Property Dispositions</w:t>
      </w:r>
    </w:p>
    <w:tbl>
      <w:tblPr>
        <w:tblW w:w="8655" w:type="dxa"/>
        <w:jc w:val="left"/>
        <w:tblInd w:w="0" w:type="dxa"/>
        <w:tblLayout w:type="fixed"/>
        <w:tblCellMar>
          <w:top w:w="28" w:type="dxa"/>
          <w:left w:w="28" w:type="dxa"/>
          <w:bottom w:w="28" w:type="dxa"/>
          <w:right w:w="28" w:type="dxa"/>
        </w:tblCellMar>
      </w:tblPr>
      <w:tblGrid>
        <w:gridCol w:w="509"/>
        <w:gridCol w:w="447"/>
        <w:gridCol w:w="454"/>
        <w:gridCol w:w="109"/>
        <w:gridCol w:w="109"/>
        <w:gridCol w:w="109"/>
        <w:gridCol w:w="804"/>
        <w:gridCol w:w="804"/>
        <w:gridCol w:w="807"/>
        <w:gridCol w:w="109"/>
        <w:gridCol w:w="109"/>
        <w:gridCol w:w="109"/>
        <w:gridCol w:w="672"/>
        <w:gridCol w:w="672"/>
        <w:gridCol w:w="681"/>
        <w:gridCol w:w="109"/>
        <w:gridCol w:w="109"/>
        <w:gridCol w:w="109"/>
        <w:gridCol w:w="286"/>
        <w:gridCol w:w="693"/>
        <w:gridCol w:w="146"/>
        <w:gridCol w:w="109"/>
        <w:gridCol w:w="109"/>
        <w:gridCol w:w="109"/>
        <w:gridCol w:w="109"/>
        <w:gridCol w:w="109"/>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City/State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Sales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January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White Marsh Other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Santana Row Residential </w:t>
              <w:br/>
              <w:t>(1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San Jose,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June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Hollywood Boulevard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 Angeles,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jc w:val="left"/>
        <w:rPr>
          <w:rFonts w:ascii="Times New Roman;serif" w:hAnsi="Times New Roman;serif"/>
          <w:b/>
          <w:color w:val="000000"/>
          <w:sz w:val="20"/>
          <w:u w:val="single"/>
        </w:rPr>
      </w:pPr>
      <w:r>
        <w:rPr>
          <w:rFonts w:ascii="Times New Roman;serif" w:hAnsi="Times New Roman;serif"/>
          <w:b/>
          <w:color w:val="000000"/>
          <w:sz w:val="20"/>
          <w:u w:val="single"/>
        </w:rPr>
        <w:t>Financing Transactions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Issuance of Common Shares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March 28, 2025, we settled our remaining open forward sales agreements by issuing 476,497 common shares which were sold at a weighted average gross offering price of $115.43.</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Amendment and Restatement of Term Loan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Under an accordion feature, we have the right to request additional loans, subject to an aggregate maximum of $1.0 billion borrowed under the restated agreement. Additionally, on May 1, 2025, the interest rate was reduced by removing the 0.10% adjustment to SOFR.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As of August 6, 2025, no common shares have been repurchased through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1671" w:type="dxa"/>
        <w:jc w:val="center"/>
        <w:tblInd w:w="0" w:type="dxa"/>
        <w:tblLayout w:type="fixed"/>
        <w:tblCellMar>
          <w:top w:w="28" w:type="dxa"/>
          <w:left w:w="28" w:type="dxa"/>
          <w:bottom w:w="28" w:type="dxa"/>
          <w:right w:w="28" w:type="dxa"/>
        </w:tblCellMar>
      </w:tblPr>
      <w:tblGrid>
        <w:gridCol w:w="364"/>
        <w:gridCol w:w="319"/>
        <w:gridCol w:w="278"/>
        <w:gridCol w:w="109"/>
        <w:gridCol w:w="109"/>
        <w:gridCol w:w="109"/>
        <w:gridCol w:w="709"/>
        <w:gridCol w:w="709"/>
        <w:gridCol w:w="713"/>
        <w:gridCol w:w="109"/>
        <w:gridCol w:w="181"/>
        <w:gridCol w:w="541"/>
        <w:gridCol w:w="109"/>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96"/>
        <w:gridCol w:w="220"/>
        <w:gridCol w:w="221"/>
        <w:gridCol w:w="109"/>
        <w:gridCol w:w="109"/>
        <w:gridCol w:w="109"/>
        <w:gridCol w:w="335"/>
        <w:gridCol w:w="200"/>
        <w:gridCol w:w="201"/>
        <w:gridCol w:w="449"/>
        <w:gridCol w:w="391"/>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7800"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0" w:type="dxa"/>
            <w:gridSpan w:val="1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Apple / Anthropologie / Equinox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194</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Ulta / Barnes &amp; Noble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TBA</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 Depot Design Center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Shoppers Food Warehouse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 Depot / Old Navy / Burlington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&amp; Rose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898,865 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765</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Pike 7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Mercado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Talbots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Twinbrooke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Outback Steakhouse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Virginia Gateway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 / Target (S) / BJ's Wholesale Club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Total Wine &amp; More / Best Buy / Ulta / Lowe's (S)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Westpost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Wildwood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Balducci's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7,151,000 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Walmart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 / El Super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1190" w:type="dxa"/>
        <w:jc w:val="center"/>
        <w:tblInd w:w="0" w:type="dxa"/>
        <w:tblLayout w:type="fixed"/>
        <w:tblCellMar>
          <w:top w:w="28" w:type="dxa"/>
          <w:left w:w="28" w:type="dxa"/>
          <w:bottom w:w="28" w:type="dxa"/>
          <w:right w:w="28" w:type="dxa"/>
        </w:tblCellMar>
      </w:tblPr>
      <w:tblGrid>
        <w:gridCol w:w="459"/>
        <w:gridCol w:w="205"/>
        <w:gridCol w:w="207"/>
        <w:gridCol w:w="113"/>
        <w:gridCol w:w="109"/>
        <w:gridCol w:w="109"/>
        <w:gridCol w:w="818"/>
        <w:gridCol w:w="745"/>
        <w:gridCol w:w="298"/>
        <w:gridCol w:w="109"/>
        <w:gridCol w:w="409"/>
        <w:gridCol w:w="312"/>
        <w:gridCol w:w="161"/>
        <w:gridCol w:w="109"/>
        <w:gridCol w:w="180"/>
        <w:gridCol w:w="181"/>
        <w:gridCol w:w="109"/>
        <w:gridCol w:w="109"/>
        <w:gridCol w:w="109"/>
        <w:gridCol w:w="109"/>
        <w:gridCol w:w="359"/>
        <w:gridCol w:w="362"/>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10"/>
        <w:gridCol w:w="200"/>
        <w:gridCol w:w="201"/>
        <w:gridCol w:w="570"/>
        <w:gridCol w:w="195"/>
        <w:gridCol w:w="196"/>
        <w:gridCol w:w="154"/>
      </w:tblGrid>
      <w:tr>
        <w:trPr/>
        <w:tc>
          <w:tcPr>
            <w:tcW w:w="4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749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914" w:type="dxa"/>
            <w:gridSpan w:val="13"/>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Colorado Blvd</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Crow Canyon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93,738 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Sprouts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Wine &amp; More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Monte Shopping Center</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Salinas,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129,602 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Macy's / Petco / Pottery Barn / Apple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East Bay Bridge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179,006 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Pak-N-Save / Target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Nordstrom Rack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Escondido Promenade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135,641 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Fourth Street</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Freedom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Smart &amp; Final</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Grossmont Center</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178,555 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294,000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Walmart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14"/>
              </w:rPr>
            </w:pPr>
            <w:r>
              <w:rPr>
                <w:rFonts w:ascii="Times New Roman;serif" w:hAnsi="Times New Roman;serif"/>
                <w:b w:val="false"/>
                <w:color w:val="000000"/>
                <w:sz w:val="14"/>
              </w:rPr>
              <w:t>Barnes &amp; Noble / Macy's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Hastings Ranch Plaza</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HomeGoods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3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Town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Sephora / Arhaus Furniture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Olivo at Mission Hills</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Pinole Vista Crossing</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FoodMaxx</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Nordstrom Rack / HomeGoods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Del Sol</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Superior Grocers (S)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Plaza El Segundo / The Point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311,045 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 Antonio Center</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Walmart</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Santana Row</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1,339,928 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554</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Crate &amp; Barrel / Container Store / Best Buy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Sylmar Towne Center</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 4 Less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Westgate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162,994 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 / TBA</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Nordstrom Rack / Nike Factory / TJ Maxx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3,176,179 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6,952,000 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Brick Plaza</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104,788 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Brook 35</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 (5)</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Banana Republic / Gap / Tommy's Tavern + Tap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Darien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124</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Equinox / Walgreens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Fresh Meadows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 Island of Gold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Georgetowne Shopping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Foodway</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Greenlawn Farms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Greenwich Avenue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Hauppauge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Hoboken</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(4) (6) </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232,061 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114,099 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Petsmart / REI / Ulta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Huntington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 / Stop &amp; Shop (S)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At Home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Melville Mall</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105,417 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Uncle Giuseppe's Marketplace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Dick's Sporting 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Mercer on One</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125,737 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 Rite</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13256" w:type="dxa"/>
        <w:jc w:val="center"/>
        <w:tblInd w:w="0" w:type="dxa"/>
        <w:tblLayout w:type="fixed"/>
        <w:tblCellMar>
          <w:top w:w="28" w:type="dxa"/>
          <w:left w:w="28" w:type="dxa"/>
          <w:bottom w:w="28" w:type="dxa"/>
          <w:right w:w="28" w:type="dxa"/>
        </w:tblCellMar>
      </w:tblPr>
      <w:tblGrid>
        <w:gridCol w:w="409"/>
        <w:gridCol w:w="225"/>
        <w:gridCol w:w="207"/>
        <w:gridCol w:w="109"/>
        <w:gridCol w:w="109"/>
        <w:gridCol w:w="109"/>
        <w:gridCol w:w="817"/>
        <w:gridCol w:w="817"/>
        <w:gridCol w:w="497"/>
        <w:gridCol w:w="616"/>
        <w:gridCol w:w="109"/>
        <w:gridCol w:w="409"/>
        <w:gridCol w:w="312"/>
        <w:gridCol w:w="161"/>
        <w:gridCol w:w="361"/>
        <w:gridCol w:w="109"/>
        <w:gridCol w:w="180"/>
        <w:gridCol w:w="181"/>
        <w:gridCol w:w="109"/>
        <w:gridCol w:w="360"/>
        <w:gridCol w:w="361"/>
        <w:gridCol w:w="109"/>
        <w:gridCol w:w="360"/>
        <w:gridCol w:w="361"/>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335"/>
        <w:gridCol w:w="200"/>
        <w:gridCol w:w="201"/>
        <w:gridCol w:w="449"/>
        <w:gridCol w:w="449"/>
        <w:gridCol w:w="318"/>
        <w:gridCol w:w="154"/>
      </w:tblGrid>
      <w:tr>
        <w:trPr/>
        <w:tc>
          <w:tcPr>
            <w:tcW w:w="4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4" w:type="dxa"/>
            <w:gridSpan w:val="13"/>
            <w:tcBorders/>
          </w:tcPr>
          <w:p>
            <w:pPr>
              <w:pStyle w:val="TableContents"/>
              <w:bidi w:val="0"/>
              <w:spacing w:before="0" w:after="283"/>
              <w:jc w:val="left"/>
              <w:rPr>
                <w:sz w:val="4"/>
                <w:szCs w:val="4"/>
              </w:rPr>
            </w:pPr>
            <w:r>
              <w:rPr>
                <w:sz w:val="4"/>
                <w:szCs w:val="4"/>
              </w:rPr>
            </w:r>
          </w:p>
        </w:tc>
      </w:tr>
      <w:tr>
        <w:trPr/>
        <w:tc>
          <w:tcPr>
            <w:tcW w:w="9381"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94" w:type="dxa"/>
            <w:gridSpan w:val="13"/>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Grove at Shrewsbury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 (5)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137,792 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Bloomies / Lululemon / Anthropologie / Pottery Barn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Troy Hills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York-Newark-Jersey City, NY-NJ-PA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Target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Floor &amp; Décor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NY Metro/New Jersey</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1,400,871 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3,280,000 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u w:val="single"/>
              </w:rPr>
            </w:pPr>
            <w:r>
              <w:rPr>
                <w:rFonts w:ascii="Times New Roman;serif" w:hAnsi="Times New Roman;serif"/>
                <w:b/>
                <w:color w:val="000000"/>
                <w:sz w:val="14"/>
                <w:u w:val="single"/>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Assembly Row / Assembly Square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1,148,252 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AMC / Nike / Burlington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Campus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Chelsea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Dedham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Star Market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Linden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159,228 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Roche Bros.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 Dartmouth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Providence-Warwick, RI-MA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Stop &amp; Shop</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Queen Anne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Boston-Cambridge-Newton, MA-NH</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Big Y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New England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1,462,761 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2,250,000 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Philadelphia Metropolitan Area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Andorra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TBA</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 Cynwyd on City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Ellisburg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Five Below / RH Outlet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Flourtown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Langhorne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Redner's Warehouse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Lawrence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Northeast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Amazon Food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206,215 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Winn Dixie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Nike Factory / Old Navy / DSW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Trader Joe's / Costco (S)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Ross Dress For Less / Best Buy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South Florida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576,918 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Aldi</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Dick's Sporting Goods / Ross Dress for Less / Petco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 Depot / Dick's Sporting Goods / Micro Center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11442" w:type="dxa"/>
        <w:jc w:val="center"/>
        <w:tblInd w:w="0" w:type="dxa"/>
        <w:tblLayout w:type="fixed"/>
        <w:tblCellMar>
          <w:top w:w="28" w:type="dxa"/>
          <w:left w:w="28" w:type="dxa"/>
          <w:bottom w:w="28" w:type="dxa"/>
          <w:right w:w="28" w:type="dxa"/>
        </w:tblCellMar>
      </w:tblPr>
      <w:tblGrid>
        <w:gridCol w:w="399"/>
        <w:gridCol w:w="205"/>
        <w:gridCol w:w="207"/>
        <w:gridCol w:w="109"/>
        <w:gridCol w:w="109"/>
        <w:gridCol w:w="109"/>
        <w:gridCol w:w="604"/>
        <w:gridCol w:w="604"/>
        <w:gridCol w:w="608"/>
        <w:gridCol w:w="109"/>
        <w:gridCol w:w="181"/>
        <w:gridCol w:w="826"/>
        <w:gridCol w:w="109"/>
        <w:gridCol w:w="109"/>
        <w:gridCol w:w="247"/>
        <w:gridCol w:w="249"/>
        <w:gridCol w:w="109"/>
        <w:gridCol w:w="109"/>
        <w:gridCol w:w="109"/>
        <w:gridCol w:w="109"/>
        <w:gridCol w:w="412"/>
        <w:gridCol w:w="414"/>
        <w:gridCol w:w="131"/>
        <w:gridCol w:w="109"/>
        <w:gridCol w:w="109"/>
        <w:gridCol w:w="109"/>
        <w:gridCol w:w="197"/>
        <w:gridCol w:w="164"/>
        <w:gridCol w:w="363"/>
        <w:gridCol w:w="109"/>
        <w:gridCol w:w="109"/>
        <w:gridCol w:w="109"/>
        <w:gridCol w:w="109"/>
        <w:gridCol w:w="109"/>
        <w:gridCol w:w="109"/>
        <w:gridCol w:w="260"/>
        <w:gridCol w:w="260"/>
        <w:gridCol w:w="261"/>
        <w:gridCol w:w="220"/>
        <w:gridCol w:w="220"/>
        <w:gridCol w:w="221"/>
        <w:gridCol w:w="109"/>
        <w:gridCol w:w="109"/>
        <w:gridCol w:w="109"/>
        <w:gridCol w:w="275"/>
        <w:gridCol w:w="200"/>
        <w:gridCol w:w="201"/>
        <w:gridCol w:w="570"/>
        <w:gridCol w:w="195"/>
        <w:gridCol w:w="196"/>
        <w:gridCol w:w="154"/>
      </w:tblGrid>
      <w:tr>
        <w:trPr/>
        <w:tc>
          <w:tcPr>
            <w:tcW w:w="3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8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88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7882"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White Marsh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Baltimore-Columbia-Towson, MD</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Baltimore</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Crossroads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 Fitness / Ulta / Binny's / Ferguson Home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Finley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Michaels / Five Below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Garden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Mariano's Fresh Market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Riverpoint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Chicago-Naperville-Elgin, IL-IN-WI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Jewel Osco</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Chicago</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Barracks 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Harris Teeter / 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Bristol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Hartford-West Hartford-East Hartford, CT</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Stop &amp; Shop</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Camelback Colonnade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Fry's Food &amp; Drug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Marshalls / Nordstrom Last Chance / Best Buy / Floor &amp; Décor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Gratiot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Detroit-Warren-Dearborn, MI</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Best Buy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The Shops at Hilton Village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(3)(4)</w:t>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29th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Lidl</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Willow Lawn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Old Navy / Ross Dress for Less / Gold's Gym / Dick's Sporting 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2,668,000 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Grand 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11,046,022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27,397,000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95</w:t>
            </w:r>
            <w:r>
              <w:rPr>
                <w:color w:val="000000"/>
              </w:rPr>
              <w:t>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2,996</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832"/>
        <w:gridCol w:w="2832"/>
        <w:gridCol w:w="4008"/>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Represents the GLA and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TBA indicates that a lease is signed.</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this property is owned pursuant to a ground lease.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The Trust has a controlling financial interest in this property.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This property includes CocoWalk and four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Grocer is a shadow anchor located adjacent to the property, but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14299"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871"/>
        <w:gridCol w:w="109"/>
        <w:gridCol w:w="109"/>
        <w:gridCol w:w="109"/>
        <w:gridCol w:w="109"/>
        <w:gridCol w:w="167"/>
        <w:gridCol w:w="167"/>
        <w:gridCol w:w="372"/>
        <w:gridCol w:w="109"/>
        <w:gridCol w:w="109"/>
        <w:gridCol w:w="109"/>
        <w:gridCol w:w="196"/>
        <w:gridCol w:w="556"/>
        <w:gridCol w:w="241"/>
        <w:gridCol w:w="109"/>
        <w:gridCol w:w="109"/>
        <w:gridCol w:w="109"/>
        <w:gridCol w:w="200"/>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643,810 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368,759 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649,372 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580,977 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2,570,061 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15,265,974 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2,242,918 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7,685,377 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52,056,900 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170,252 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13,999,311 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15,140,988 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788,001 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45,785,214 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473,558 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3,822,065 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436,066 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351,241 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1,454,917 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4,420,327 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and Non-comparable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of Comparable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653,366 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429,865 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653,869 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592,527 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2,329,627 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59,707,719 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45"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Lease Summary - Comparable, Non-comparable, and Option Exercises (2) (8) (9)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2nd Quarter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918,000 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1st Quarter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827,104 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4th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883,840 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3rd Quarter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813,665 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3,442,609 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59,707,719 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9"/>
        <w:gridCol w:w="165"/>
        <w:gridCol w:w="167"/>
        <w:gridCol w:w="2905"/>
        <w:gridCol w:w="2806"/>
        <w:gridCol w:w="3973"/>
      </w:tblGrid>
      <w:tr>
        <w:trPr/>
        <w:tc>
          <w:tcPr>
            <w:tcW w:w="1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Notes:</w:t>
            </w:r>
          </w:p>
        </w:tc>
        <w:tc>
          <w:tcPr>
            <w:tcW w:w="9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reflects activity in retail spaces only for consolidated properties; office and residential spaces are not included. See Glossary of Terms for further discussion of information included above.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Contractual rent represents annual rent under the new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rent represents contractual rent, including percentage rent considered part of base rent, from the prior tenant in the final 12 months of the term.</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is determined on the basis of contractual rent for the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See Glossary of Terms.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Renewal leases represent expiring leases rolling over with the same tenant in the same location. All other leases are categorized as new.</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Number of Leases Signed, GLA Signed, Contractual Rent Per Sq. Ft. and Weighted Average Lease Term columns include information for leases signed at Phase IV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 exercises reflect a fixed rate contractual option under the lease agreement that was exercised during the period reflected.</w:t>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3"/>
        <w:gridCol w:w="247"/>
        <w:gridCol w:w="212"/>
        <w:gridCol w:w="479"/>
        <w:gridCol w:w="482"/>
        <w:gridCol w:w="267"/>
        <w:gridCol w:w="246"/>
        <w:gridCol w:w="179"/>
        <w:gridCol w:w="267"/>
        <w:gridCol w:w="367"/>
        <w:gridCol w:w="293"/>
        <w:gridCol w:w="294"/>
        <w:gridCol w:w="109"/>
        <w:gridCol w:w="109"/>
        <w:gridCol w:w="109"/>
        <w:gridCol w:w="435"/>
        <w:gridCol w:w="436"/>
        <w:gridCol w:w="267"/>
        <w:gridCol w:w="299"/>
        <w:gridCol w:w="129"/>
        <w:gridCol w:w="271"/>
        <w:gridCol w:w="386"/>
        <w:gridCol w:w="273"/>
        <w:gridCol w:w="274"/>
        <w:gridCol w:w="109"/>
        <w:gridCol w:w="109"/>
        <w:gridCol w:w="109"/>
        <w:gridCol w:w="559"/>
        <w:gridCol w:w="402"/>
        <w:gridCol w:w="270"/>
        <w:gridCol w:w="273"/>
        <w:gridCol w:w="151"/>
        <w:gridCol w:w="295"/>
        <w:gridCol w:w="403"/>
        <w:gridCol w:w="253"/>
        <w:gridCol w:w="369"/>
      </w:tblGrid>
      <w:tr>
        <w:trPr/>
        <w:tc>
          <w:tcPr>
            <w:tcW w:w="4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$32.89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 (4)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25,635,000 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Anchor SF</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Expiring SF</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Small Shop SF</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Expiring SF (4)</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of Total SF</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Rent PSF (2)</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576,000 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15,498,000 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Total (3) (4)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25,635,000 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9"/>
        <w:gridCol w:w="183"/>
        <w:gridCol w:w="184"/>
        <w:gridCol w:w="2815"/>
        <w:gridCol w:w="2815"/>
        <w:gridCol w:w="3999"/>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9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Anchor is defined as a commercial tenant leasing 10,000 square feet or more.</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Rent reflects in-place contractual (defined as rents on a cash-basis without taking the impacts of rent abatements into account) rent as of June 30, 2025.</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occupied square footage of the commercial portion of our portfolio as of June 30, 2025.</w:t>
            </w:r>
          </w:p>
        </w:tc>
      </w:tr>
      <w:tr>
        <w:trPr/>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7162" w:type="dxa"/>
        <w:jc w:val="left"/>
        <w:tblInd w:w="0" w:type="dxa"/>
        <w:tblLayout w:type="fixed"/>
        <w:tblCellMar>
          <w:top w:w="28" w:type="dxa"/>
          <w:left w:w="28" w:type="dxa"/>
          <w:bottom w:w="28" w:type="dxa"/>
          <w:right w:w="28" w:type="dxa"/>
        </w:tblCellMar>
      </w:tblPr>
      <w:tblGrid>
        <w:gridCol w:w="1038"/>
        <w:gridCol w:w="910"/>
        <w:gridCol w:w="916"/>
        <w:gridCol w:w="264"/>
        <w:gridCol w:w="264"/>
        <w:gridCol w:w="627"/>
        <w:gridCol w:w="109"/>
        <w:gridCol w:w="109"/>
        <w:gridCol w:w="109"/>
        <w:gridCol w:w="295"/>
        <w:gridCol w:w="295"/>
        <w:gridCol w:w="699"/>
        <w:gridCol w:w="109"/>
        <w:gridCol w:w="109"/>
        <w:gridCol w:w="109"/>
        <w:gridCol w:w="251"/>
        <w:gridCol w:w="251"/>
        <w:gridCol w:w="698"/>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Portfolio Leased Statistics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Properties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Leasable Area (GLA)</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26,681,000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anchor tenants</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 - small shop tenants</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commercial tenant leases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GLA </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24,322,000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Occupied %</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Residential Properties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Overall Portfolio (1)(2)</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Comparable Properties (1)(3)</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units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6780" w:type="dxa"/>
        <w:jc w:val="left"/>
        <w:tblInd w:w="0" w:type="dxa"/>
        <w:tblLayout w:type="fixed"/>
        <w:tblCellMar>
          <w:top w:w="28" w:type="dxa"/>
          <w:left w:w="28" w:type="dxa"/>
          <w:bottom w:w="28" w:type="dxa"/>
          <w:right w:w="28" w:type="dxa"/>
        </w:tblCellMar>
      </w:tblPr>
      <w:tblGrid>
        <w:gridCol w:w="212"/>
        <w:gridCol w:w="186"/>
        <w:gridCol w:w="187"/>
        <w:gridCol w:w="1813"/>
        <w:gridCol w:w="1813"/>
        <w:gridCol w:w="256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and residential units not yet placed in service.</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periods are adjusted for the current comparable property pool.</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814"/>
        <w:gridCol w:w="702"/>
        <w:gridCol w:w="594"/>
        <w:gridCol w:w="297"/>
        <w:gridCol w:w="297"/>
        <w:gridCol w:w="298"/>
        <w:gridCol w:w="203"/>
        <w:gridCol w:w="1092"/>
        <w:gridCol w:w="113"/>
        <w:gridCol w:w="418"/>
        <w:gridCol w:w="304"/>
        <w:gridCol w:w="718"/>
        <w:gridCol w:w="479"/>
        <w:gridCol w:w="482"/>
        <w:gridCol w:w="228"/>
        <w:gridCol w:w="372"/>
        <w:gridCol w:w="258"/>
        <w:gridCol w:w="610"/>
        <w:gridCol w:w="315"/>
        <w:gridCol w:w="315"/>
        <w:gridCol w:w="45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Tenant Name</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Credit Ratings </w:t>
              <w:br/>
              <w:t>(S&amp;P/Moody's) (1)</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Annualized Base Rent</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Annualized Base Rent (3)</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Tenant GLA</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Percentage of Total GLA (3)</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TJX Companies,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Ahold Delhaize</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NetApp,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Cisco Systems,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Gap, Inc.,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CVS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Ross Stores,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Albertsons Companies Inc. (Acme, Balducci's, Safeway)</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 / Ba1</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KnitWell Group (Ann Taylor, Chico's, Loft, Talbots, White House Black Market, Soma, Lane Bryant)</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Fitness International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Depot,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AMC Entertainment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CCC+ / Caa2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Kroger Co., The</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Dick's Sporting Goods,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PUMA North America, Inc.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Ulta Beauty,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of America, N.A.</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Bob's Discount Furniture, LLC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NR / NR</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Amazon/Whole Foods</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Michaels Stores,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Starbucks Corporation</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Choice Hotels International, Inc.</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BBB- / Baa3</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JPMorgan Chase Bank</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A1</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Target Corporation</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 A2</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J.Crew Group, LLC</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 B3</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 Top 25 Tenants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224,397,000 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24.08 </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8,691,000 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(5):</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931,755,000 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Notes:</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Ratings are as of June 30, 2025.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725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FFO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range of estimated earnings per diluted share to estimated FFO per diluted share for the full year 2025.</w:t>
      </w:r>
    </w:p>
    <w:p>
      <w:pPr>
        <w:pStyle w:val="TextBody"/>
        <w:bidi w:val="0"/>
        <w:spacing w:before="0" w:after="0"/>
        <w:jc w:val="left"/>
        <w:rPr/>
      </w:pPr>
      <w:r>
        <w:rPr/>
      </w:r>
    </w:p>
    <w:p>
      <w:pPr>
        <w:pStyle w:val="TextBody"/>
        <w:bidi w:val="0"/>
        <w:spacing w:before="0" w:after="0"/>
        <w:jc w:val="left"/>
        <w:rPr/>
      </w:pPr>
      <w:r>
        <w:rPr/>
      </w:r>
    </w:p>
    <w:tbl>
      <w:tblPr>
        <w:tblW w:w="9267" w:type="dxa"/>
        <w:jc w:val="left"/>
        <w:tblInd w:w="0" w:type="dxa"/>
        <w:tblLayout w:type="fixed"/>
        <w:tblCellMar>
          <w:top w:w="28" w:type="dxa"/>
          <w:left w:w="28" w:type="dxa"/>
          <w:bottom w:w="28" w:type="dxa"/>
          <w:right w:w="28" w:type="dxa"/>
        </w:tblCellMar>
      </w:tblPr>
      <w:tblGrid>
        <w:gridCol w:w="2224"/>
        <w:gridCol w:w="1950"/>
        <w:gridCol w:w="1960"/>
        <w:gridCol w:w="325"/>
        <w:gridCol w:w="787"/>
        <w:gridCol w:w="168"/>
        <w:gridCol w:w="168"/>
        <w:gridCol w:w="168"/>
        <w:gridCol w:w="168"/>
        <w:gridCol w:w="325"/>
        <w:gridCol w:w="787"/>
        <w:gridCol w:w="237"/>
      </w:tblGrid>
      <w:tr>
        <w:trPr/>
        <w:tc>
          <w:tcPr>
            <w:tcW w:w="222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2025 Guidance Range (1)</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net income available to common shareholders, per diluted share</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gain on sale of real estate,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FFO per diluted share</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FFO per diluted share, excluding NMTC transaction income (4)</w:t>
            </w:r>
          </w:p>
        </w:tc>
        <w:tc>
          <w:tcPr>
            <w:tcW w:w="3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Glossary of Terms. Individual items may not add up to total due to rounding.</w:t>
      </w:r>
    </w:p>
    <w:p>
      <w:pPr>
        <w:pStyle w:val="TextBody"/>
        <w:bidi w:val="0"/>
        <w:spacing w:before="0" w:after="0"/>
        <w:jc w:val="left"/>
        <w:rPr/>
      </w:pPr>
      <w:r>
        <w:rPr/>
      </w:r>
    </w:p>
    <w:p>
      <w:pPr>
        <w:pStyle w:val="TextBody"/>
        <w:bidi w:val="0"/>
        <w:spacing w:before="0" w:after="0"/>
        <w:jc w:val="left"/>
        <w:rPr/>
      </w:pPr>
      <w:r>
        <w:rPr/>
      </w:r>
    </w:p>
    <w:tbl>
      <w:tblPr>
        <w:tblW w:w="5639" w:type="dxa"/>
        <w:jc w:val="left"/>
        <w:tblInd w:w="0" w:type="dxa"/>
        <w:tblLayout w:type="fixed"/>
        <w:tblCellMar>
          <w:top w:w="28" w:type="dxa"/>
          <w:left w:w="28" w:type="dxa"/>
          <w:bottom w:w="28" w:type="dxa"/>
          <w:right w:w="28" w:type="dxa"/>
        </w:tblCellMar>
      </w:tblPr>
      <w:tblGrid>
        <w:gridCol w:w="1398"/>
        <w:gridCol w:w="1224"/>
        <w:gridCol w:w="1232"/>
        <w:gridCol w:w="523"/>
        <w:gridCol w:w="523"/>
        <w:gridCol w:w="739"/>
      </w:tblGrid>
      <w:tr>
        <w:trPr/>
        <w:tc>
          <w:tcPr>
            <w:tcW w:w="13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Guidance Assumptions:</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properties growth (2)</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3.25% - 4%</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termination fees</w:t>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 $5 million</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redevelopment/expansion POI (3)</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 $5 million</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$45 - $47 million</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Development/redevelopment capital</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$175 - $225 million</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$13 - $14 million</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NMTC transaction income, net (4)</w:t>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 million</w:t>
            </w:r>
          </w:p>
        </w:tc>
      </w:tr>
    </w:tbl>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(1)Does not assume the impact of potential acquisitions or dispositions which have not closed as of August 1, 2025.</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(2)Includes a 0.4% negative impact from lower collection of prior period rents which were contractually deferred, specifically related to the COVID-19 pandemic.</w:t>
      </w:r>
    </w:p>
    <w:p>
      <w:pPr>
        <w:pStyle w:val="TextBody"/>
        <w:bidi w:val="0"/>
        <w:spacing w:lineRule="auto" w:line="288" w:before="0" w:after="0"/>
        <w:ind w:left="0" w:right="0" w:hanging="540"/>
        <w:jc w:val="left"/>
        <w:rPr/>
      </w:pPr>
      <w:r>
        <w:rPr>
          <w:rFonts w:ascii="Times New Roman;serif" w:hAnsi="Times New Roman;serif"/>
          <w:b w:val="false"/>
          <w:color w:val="000000"/>
          <w:sz w:val="20"/>
        </w:rPr>
        <w:t xml:space="preserve">(3)Includes the expected additional POI to be recognized in 2025 compared to the amount recognized in 2024 from all of the redevelopments listed on page </w:t>
      </w:r>
      <w:hyperlink w:anchor="ifa0421b0bbe34be3876ca15458436dd2_34">
        <w:r>
          <w:rPr>
            <w:rStyle w:val="InternetLink"/>
            <w:rFonts w:ascii="Times New Roman;serif" w:hAnsi="Times New Roman;serif"/>
            <w:b w:val="false"/>
            <w:strike w:val="false"/>
            <w:dstrike w:val="false"/>
            <w:color w:val="000000"/>
            <w:sz w:val="20"/>
            <w:u w:val="none"/>
            <w:effect w:val="none"/>
          </w:rPr>
          <w:t>16</w:t>
        </w:r>
      </w:hyperlink>
      <w:r>
        <w:rPr>
          <w:rFonts w:ascii="Times New Roman;serif" w:hAnsi="Times New Roman;serif"/>
          <w:b w:val="false"/>
          <w:color w:val="000000"/>
          <w:sz w:val="20"/>
        </w:rPr>
        <w:t>. Does not include any additional POI from "Active Property Improvement Projects."</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(4)In June 2018, we formed a joint venture to develop Freedom Plaza (formerly Jordan Downs Plaza), for which we own 92%. The investment in this development qualified for tax credits under the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three and six months ended June 30, 2025, we recognized $14.2 million ($13.0 million, net of income attributable to noncontrolling interest) in income related to the sale of the new market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jc w:val="left"/>
        <w:rPr/>
      </w:pPr>
      <w:r>
        <w:rPr>
          <w:rFonts w:ascii="Times New Roman;serif" w:hAnsi="Times New Roman;serif"/>
          <w:b/>
          <w:color w:val="000000"/>
          <w:sz w:val="18"/>
        </w:rPr>
        <w:t>EBITDA for Real Estate ("EBITDAre"):</w:t>
      </w:r>
      <w:r>
        <w:rPr>
          <w:color w:val="000000"/>
        </w:rPr>
        <w:t xml:space="preserve"> </w:t>
      </w:r>
      <w:r>
        <w:rPr>
          <w:rFonts w:ascii="Times New Roman;serif" w:hAnsi="Times New Roman;serif"/>
          <w:b w:val="false"/>
          <w:color w:val="000000"/>
          <w:sz w:val="18"/>
        </w:rPr>
        <w:t xml:space="preserve">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w:t>
      </w:r>
      <w:r>
        <w:rPr>
          <w:rFonts w:ascii="Times New Roman;serif" w:hAnsi="Times New Roman;serif"/>
          <w:b w:val="false"/>
          <w:color w:val="000000"/>
          <w:sz w:val="20"/>
        </w:rPr>
        <w:t xml:space="preserve">six </w:t>
      </w:r>
      <w:r>
        <w:rPr>
          <w:rFonts w:ascii="Times New Roman;serif" w:hAnsi="Times New Roman;serif"/>
          <w:b w:val="false"/>
          <w:color w:val="000000"/>
          <w:sz w:val="18"/>
        </w:rPr>
        <w:t>months ended June 30, 2025 and 2024 is as follows:</w:t>
      </w:r>
    </w:p>
    <w:tbl>
      <w:tblPr>
        <w:tblW w:w="9413" w:type="dxa"/>
        <w:jc w:val="center"/>
        <w:tblInd w:w="0" w:type="dxa"/>
        <w:tblLayout w:type="fixed"/>
        <w:tblCellMar>
          <w:top w:w="28" w:type="dxa"/>
          <w:left w:w="28" w:type="dxa"/>
          <w:bottom w:w="28" w:type="dxa"/>
          <w:right w:w="28" w:type="dxa"/>
        </w:tblCellMar>
      </w:tblPr>
      <w:tblGrid>
        <w:gridCol w:w="1448"/>
        <w:gridCol w:w="1276"/>
        <w:gridCol w:w="128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of EBITDAre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00" w:after="283"/>
        <w:jc w:val="left"/>
        <w:rPr/>
      </w:pPr>
      <w:r>
        <w:rPr>
          <w:rFonts w:ascii="Times New Roman;serif" w:hAnsi="Times New Roman;serif"/>
          <w:b/>
          <w:color w:val="000000"/>
          <w:sz w:val="18"/>
        </w:rPr>
        <w:t>Funds From Operations (FFO):</w:t>
      </w:r>
      <w:r>
        <w:rPr>
          <w:color w:val="000000"/>
        </w:rPr>
        <w:t xml:space="preserve"> </w:t>
      </w:r>
      <w:r>
        <w:rPr>
          <w:rFonts w:ascii="Times New Roman;serif" w:hAnsi="Times New Roman;serif"/>
          <w:b w:val="false"/>
          <w:color w:val="000000"/>
          <w:sz w:val="18"/>
        </w:rPr>
        <w:t xml:space="preserve">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w:t>
      </w:r>
    </w:p>
    <w:p>
      <w:pPr>
        <w:pStyle w:val="TextBody"/>
        <w:bidi w:val="0"/>
        <w:spacing w:lineRule="auto" w:line="288" w:before="140" w:after="283"/>
        <w:jc w:val="left"/>
        <w:rPr/>
      </w:pPr>
      <w:r>
        <w:rPr>
          <w:rFonts w:ascii="Times New Roman;serif" w:hAnsi="Times New Roman;serif"/>
          <w:b/>
          <w:color w:val="000000"/>
          <w:sz w:val="18"/>
        </w:rPr>
        <w:t xml:space="preserve">Property Operating Income: </w:t>
      </w:r>
      <w:r>
        <w:rPr>
          <w:rFonts w:ascii="Times New Roman;serif" w:hAnsi="Times New Roman;serif"/>
          <w:b w:val="false"/>
          <w:color w:val="000000"/>
          <w:sz w:val="18"/>
        </w:rPr>
        <w:t>Rental income and mortgage interest income, less rental expenses and real estate taxes.</w:t>
      </w:r>
    </w:p>
    <w:p>
      <w:pPr>
        <w:pStyle w:val="TextBody"/>
        <w:bidi w:val="0"/>
        <w:spacing w:lineRule="auto" w:line="288" w:before="140" w:after="283"/>
        <w:jc w:val="left"/>
        <w:rPr/>
      </w:pPr>
      <w:r>
        <w:rPr>
          <w:rFonts w:ascii="Times New Roman;serif" w:hAnsi="Times New Roman;serif"/>
          <w:b/>
          <w:color w:val="000000"/>
          <w:sz w:val="18"/>
        </w:rPr>
        <w:t>Overall Portfolio:</w:t>
      </w:r>
      <w:r>
        <w:rPr>
          <w:color w:val="000000"/>
        </w:rPr>
        <w:t xml:space="preserve"> </w:t>
      </w:r>
      <w:r>
        <w:rPr>
          <w:rFonts w:ascii="Times New Roman;serif" w:hAnsi="Times New Roman;serif"/>
          <w:b w:val="false"/>
          <w:color w:val="000000"/>
          <w:sz w:val="18"/>
        </w:rPr>
        <w:t>Includes all consolidated operating properties owned in reporting period.</w:t>
      </w:r>
    </w:p>
    <w:p>
      <w:pPr>
        <w:pStyle w:val="TextBody"/>
        <w:bidi w:val="0"/>
        <w:spacing w:lineRule="auto" w:line="288" w:before="140" w:after="283"/>
        <w:jc w:val="left"/>
        <w:rPr/>
      </w:pPr>
      <w:r>
        <w:rPr>
          <w:rFonts w:ascii="Times New Roman;serif" w:hAnsi="Times New Roman;serif"/>
          <w:b/>
          <w:color w:val="000000"/>
          <w:sz w:val="18"/>
        </w:rPr>
        <w:t xml:space="preserve">Comparable Properties: </w:t>
      </w:r>
      <w:r>
        <w:rPr>
          <w:rFonts w:ascii="Times New Roman;serif" w:hAnsi="Times New Roman;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40" w:after="283"/>
        <w:jc w:val="left"/>
        <w:rPr/>
      </w:pPr>
      <w:r>
        <w:rPr>
          <w:rFonts w:ascii="Times New Roman;serif" w:hAnsi="Times New Roman;serif"/>
          <w:b/>
          <w:color w:val="000000"/>
          <w:sz w:val="18"/>
        </w:rPr>
        <w:t xml:space="preserve">Annualized Base Rent (ABR): </w:t>
      </w:r>
      <w:r>
        <w:rPr>
          <w:rFonts w:ascii="Times New Roman;serif" w:hAnsi="Times New Roman;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40" w:after="283"/>
        <w:jc w:val="left"/>
        <w:rPr/>
      </w:pPr>
      <w:r>
        <w:rPr>
          <w:rFonts w:ascii="Times New Roman;serif" w:hAnsi="Times New Roman;serif"/>
          <w:b/>
          <w:color w:val="000000"/>
          <w:sz w:val="18"/>
        </w:rPr>
        <w:t xml:space="preserve">Retail Leasing Summary - Lease Rollover Calculation: </w:t>
      </w:r>
      <w:r>
        <w:rPr>
          <w:rFonts w:ascii="Times New Roman;serif" w:hAnsi="Times New Roman;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considered to be part of base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40" w:after="283"/>
        <w:jc w:val="left"/>
        <w:rPr/>
      </w:pPr>
      <w:r>
        <w:rPr>
          <w:rFonts w:ascii="Times New Roman;serif" w:hAnsi="Times New Roman;serif"/>
          <w:b/>
          <w:color w:val="000000"/>
          <w:sz w:val="18"/>
        </w:rPr>
        <w:t xml:space="preserve">Tenant Improvements and Incentives: </w:t>
      </w:r>
      <w:r>
        <w:rPr>
          <w:rFonts w:ascii="Times New Roman;serif" w:hAnsi="Times New Roman;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40" w:after="283"/>
        <w:jc w:val="left"/>
        <w:rPr/>
      </w:pPr>
      <w:r>
        <w:rPr>
          <w:rFonts w:ascii="Times New Roman;serif" w:hAnsi="Times New Roman;serif"/>
          <w:b/>
          <w:color w:val="000000"/>
          <w:sz w:val="18"/>
        </w:rPr>
        <w:t>General:</w:t>
      </w:r>
      <w:r>
        <w:rPr>
          <w:color w:val="000000"/>
        </w:rPr>
        <w:t xml:space="preserve"> </w:t>
      </w:r>
      <w:r>
        <w:rPr>
          <w:rFonts w:ascii="Times New Roman;serif" w:hAnsi="Times New Roman;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13821</Words>
  <Characters>74312</Characters>
  <CharactersWithSpaces>85720</CharactersWithSpaces>
  <Paragraphs>4160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