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40"/>
        <w:spacing w:after="0"/>
        <w:rPr>
          <w:sz w:val="20"/>
          <w:szCs w:val="20"/>
          <w:color w:val="auto"/>
        </w:rPr>
      </w:pPr>
      <w:r>
        <w:rPr>
          <w:rFonts w:ascii="Courier New" w:cs="Courier New" w:eastAsia="Courier New" w:hAnsi="Courier New"/>
          <w:sz w:val="16"/>
          <w:szCs w:val="16"/>
          <w:color w:val="auto"/>
        </w:rPr>
        <w:t>SECURITIES AND EXCHANGE COMMISSION</w:t>
      </w:r>
    </w:p>
    <w:p>
      <w:pPr>
        <w:ind w:left="2600"/>
        <w:spacing w:after="0"/>
        <w:tabs>
          <w:tab w:leader="none" w:pos="426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56"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8-K</w:t>
      </w:r>
    </w:p>
    <w:p>
      <w:pPr>
        <w:spacing w:after="0" w:line="355"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CURRENT REPORT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72" w:lineRule="exact"/>
        <w:rPr>
          <w:sz w:val="24"/>
          <w:szCs w:val="24"/>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Date of Report:</w:t>
      </w:r>
      <w:r>
        <w:rPr>
          <w:sz w:val="20"/>
          <w:szCs w:val="20"/>
          <w:color w:val="auto"/>
        </w:rPr>
        <w:tab/>
      </w:r>
      <w:r>
        <w:rPr>
          <w:rFonts w:ascii="Courier New" w:cs="Courier New" w:eastAsia="Courier New" w:hAnsi="Courier New"/>
          <w:sz w:val="14"/>
          <w:szCs w:val="14"/>
          <w:color w:val="auto"/>
        </w:rPr>
        <w:t>February 16, 1995</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3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Federal Realty Investment Trust</w:t>
      </w:r>
    </w:p>
    <w:p>
      <w:pPr>
        <w:ind w:left="1020"/>
        <w:spacing w:after="0" w:line="236" w:lineRule="auto"/>
        <w:rPr>
          <w:sz w:val="20"/>
          <w:szCs w:val="20"/>
          <w:color w:val="auto"/>
        </w:rPr>
      </w:pPr>
      <w:r>
        <w:rPr>
          <w:rFonts w:ascii="Courier New" w:cs="Courier New" w:eastAsia="Courier New" w:hAnsi="Courier New"/>
          <w:sz w:val="16"/>
          <w:szCs w:val="16"/>
          <w:color w:val="auto"/>
        </w:rPr>
        <w:t>--------------------------------------------------------</w:t>
      </w:r>
    </w:p>
    <w:p>
      <w:pPr>
        <w:ind w:left="1120"/>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589" w:right="1440" w:bottom="1440" w:gutter="0" w:footer="0" w:header="0"/>
        </w:sectPr>
      </w:pPr>
    </w:p>
    <w:p>
      <w:pPr>
        <w:spacing w:after="0" w:line="362" w:lineRule="exact"/>
        <w:rPr>
          <w:sz w:val="24"/>
          <w:szCs w:val="24"/>
          <w:color w:val="auto"/>
        </w:rPr>
      </w:pPr>
    </w:p>
    <w:p>
      <w:pPr>
        <w:ind w:firstLine="465"/>
        <w:spacing w:after="0" w:line="235" w:lineRule="auto"/>
        <w:rPr>
          <w:sz w:val="20"/>
          <w:szCs w:val="20"/>
          <w:color w:val="auto"/>
        </w:rPr>
      </w:pPr>
      <w:r>
        <w:rPr>
          <w:rFonts w:ascii="Courier New" w:cs="Courier New" w:eastAsia="Courier New" w:hAnsi="Courier New"/>
          <w:sz w:val="16"/>
          <w:szCs w:val="16"/>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1-7533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52-0782497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4" w:lineRule="exact"/>
        <w:rPr>
          <w:sz w:val="24"/>
          <w:szCs w:val="24"/>
          <w:color w:val="auto"/>
        </w:rPr>
      </w:pPr>
    </w:p>
    <w:p>
      <w:pPr>
        <w:sectPr>
          <w:pgSz w:w="11900" w:h="16838" w:orient="portrait"/>
          <w:cols w:equalWidth="0" w:num="3">
            <w:col w:w="2700" w:space="460"/>
            <w:col w:w="1200" w:space="380"/>
            <w:col w:w="5479"/>
          </w:cols>
          <w:pgMar w:left="240" w:top="589" w:right="1440"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4800 Hampden Lane, Suite 500, Bethesda,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20814</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680" w:space="720"/>
            <w:col w:w="4819"/>
          </w:cols>
          <w:pgMar w:left="240" w:top="589" w:right="1440" w:bottom="1440" w:gutter="0" w:footer="0" w:header="0"/>
          <w:type w:val="continuous"/>
        </w:sectPr>
      </w:pPr>
    </w:p>
    <w:p>
      <w:pPr>
        <w:spacing w:after="0" w:line="155" w:lineRule="exact"/>
        <w:rPr>
          <w:sz w:val="24"/>
          <w:szCs w:val="24"/>
          <w:color w:val="auto"/>
        </w:rPr>
      </w:pPr>
    </w:p>
    <w:p>
      <w:pPr>
        <w:spacing w:after="0"/>
        <w:tabs>
          <w:tab w:leader="none" w:pos="4820"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4"/>
          <w:szCs w:val="14"/>
          <w:color w:val="auto"/>
        </w:rPr>
        <w:t>301/652-3360</w:t>
      </w:r>
    </w:p>
    <w:p>
      <w:pPr>
        <w:spacing w:after="0" w:line="4" w:lineRule="exact"/>
        <w:rPr>
          <w:sz w:val="24"/>
          <w:szCs w:val="24"/>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 appears on page 5</w:t>
      </w:r>
    </w:p>
    <w:p>
      <w:pPr>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8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5. OTHER EVENTS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period January 1, 1995 through September 12, 1995 Federal Realty Investment Trust ("the Trust") purchased one shopping center and twelve commercial buildings ("Main Street Retail Properties"). The Trust also purchased a building that was abutting Flourtown Shopping Center, one of its existing centers, for $3.1 million on September 1, 1995. The 302,000 square foot Finley Square Shopping Center was purchased on April 27, 1995 for approximately $18.8 million. The Main Street Retail Properties were purchased for a combined price of approximately $29.8 million, as follows: (1) a 6,800 square foot building in Greenwich, Connecticut for $2.0 million on February 16, 1995; (2) a 125,000 square foot group of seven buildings in West Hartford, Connecticut for $15.3 million on April 5, 1995; (3) a 10,000 square foot retail building in Westport, Connecticut for $5.7 million on June 15, 1995; (4) an 11,000 square foot building in Westfield, New Jersey for $2.1 million on August 16, 1995; (5) a 12,000 square foot building in Brookline, Massachusetts for $3.7 million on September 7, 1995 and (6) a 7,000 square foot building in Evanston, Illinois for $1.0 million on September 12, 1995.</w:t>
      </w:r>
    </w:p>
    <w:p>
      <w:pPr>
        <w:spacing w:after="0" w:line="1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above acquisitions, the Trust purchased two properties that had not been operating properties; on April 12, 1995 the Trust purchased for $12.9 million a 35,500 square foot building in Greenwich, Connecticut, which had been used by its prior owners in its operations and on June 12, 1995 a newly constructed building in an infill space at Bethesda Row, one of its existing properties, for $2.0 million.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All these purchases were for cash except for the building abutting Flourtown, which was purchased for cash of $1.3 million and the assumption of a $1.8 million mortgage which the Trust intends to prepay in October 1995. The cash for these acquisitions was obtained from the proceeds of the 1995 senior debt offerings and from borrowings on bank credit facilities.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Trust acquired the 250,000 square foot Bristol Shopping Center in Bristol, Connecticut on September 22, 1995 for a price of approximately $19.0 million, which was paid by assuming a mortgage of approximately $11.3 million and the issuance of approximately $7.7 million worth of shares of beneficial interest of the Trust. Financial statements for this shopping center are not yet available.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Financial statements for the acquisition of Finley Square are included in this Form 8-K. The Main Street Retail Properties and Bristol Shopping Center are not individually significant and, in the aggregate, are under 10% of the total assets of the Trust as of December 31, 1994 and their income from continuing operations before income taxes, extraordinary items and cumulative effect of a change in accounting principle, in the aggregate, for 1995 are expected to be under 10% of the Trust's income from continuing operations. Therefore, audited financial statements for these acquisitions are not included with this Form 8-K.</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2" w:name="page3"/>
    <w:bookmarkEnd w:id="2"/>
    <w:p>
      <w:pPr>
        <w:ind w:left="5"/>
        <w:spacing w:after="0"/>
        <w:tabs>
          <w:tab w:leader="none" w:pos="824"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following financial statements, pro forma financial information and exhibits are filed as part of this report:</w:t>
      </w:r>
    </w:p>
    <w:p>
      <w:pPr>
        <w:spacing w:after="0" w:line="183" w:lineRule="exact"/>
        <w:rPr>
          <w:sz w:val="20"/>
          <w:szCs w:val="20"/>
          <w:color w:val="auto"/>
        </w:rPr>
      </w:pPr>
    </w:p>
    <w:p>
      <w:pPr>
        <w:ind w:left="365" w:hanging="365"/>
        <w:spacing w:after="0"/>
        <w:tabs>
          <w:tab w:leader="none" w:pos="36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the real estate acquired, prepared pursuant to Rule</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3.14 of Regulation S-X:</w:t>
      </w:r>
    </w:p>
    <w:tbl>
      <w:tblPr>
        <w:tblLayout w:type="fixed"/>
        <w:tblInd w:w="285"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Page</w:t>
            </w:r>
          </w:p>
        </w:tc>
      </w:tr>
      <w:tr>
        <w:trPr>
          <w:trHeight w:val="179"/>
        </w:trPr>
        <w:tc>
          <w:tcPr>
            <w:tcW w:w="6140" w:type="dxa"/>
            <w:vAlign w:val="bottom"/>
          </w:tcPr>
          <w:p>
            <w:pPr>
              <w:spacing w:after="0" w:line="179" w:lineRule="exact"/>
              <w:rPr>
                <w:sz w:val="20"/>
                <w:szCs w:val="20"/>
                <w:color w:val="auto"/>
              </w:rPr>
            </w:pPr>
            <w:r>
              <w:rPr>
                <w:rFonts w:ascii="Courier New" w:cs="Courier New" w:eastAsia="Courier New" w:hAnsi="Courier New"/>
                <w:sz w:val="16"/>
                <w:szCs w:val="16"/>
                <w:color w:val="auto"/>
              </w:rPr>
              <w:t>(1) Audited financial statement of Sidcor Finley Associates</w:t>
            </w:r>
          </w:p>
        </w:tc>
        <w:tc>
          <w:tcPr>
            <w:tcW w:w="1020" w:type="dxa"/>
            <w:vAlign w:val="bottom"/>
          </w:tcPr>
          <w:p>
            <w:pPr>
              <w:spacing w:after="0"/>
              <w:rPr>
                <w:sz w:val="15"/>
                <w:szCs w:val="15"/>
                <w:color w:val="auto"/>
              </w:rPr>
            </w:pPr>
          </w:p>
        </w:tc>
      </w:tr>
      <w:tr>
        <w:trPr>
          <w:trHeight w:val="358"/>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Independent Auditor's Report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79"/>
        </w:trPr>
        <w:tc>
          <w:tcPr>
            <w:tcW w:w="6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Statement of Revenue and Certain Expenses, for the year</w:t>
            </w:r>
          </w:p>
        </w:tc>
        <w:tc>
          <w:tcPr>
            <w:tcW w:w="1020" w:type="dxa"/>
            <w:vAlign w:val="bottom"/>
          </w:tcPr>
          <w:p>
            <w:pPr>
              <w:spacing w:after="0"/>
              <w:rPr>
                <w:sz w:val="15"/>
                <w:szCs w:val="15"/>
                <w:color w:val="auto"/>
              </w:rPr>
            </w:pPr>
          </w:p>
        </w:tc>
      </w:tr>
      <w:tr>
        <w:trPr>
          <w:trHeight w:val="179"/>
        </w:trPr>
        <w:tc>
          <w:tcPr>
            <w:tcW w:w="6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ended December 31, 1994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6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Notes to Statement of Revenue and Certain Expenses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bl>
    <w:p>
      <w:pPr>
        <w:spacing w:after="0" w:line="183" w:lineRule="exact"/>
        <w:rPr>
          <w:sz w:val="20"/>
          <w:szCs w:val="20"/>
          <w:color w:val="auto"/>
        </w:rPr>
      </w:pPr>
    </w:p>
    <w:p>
      <w:pPr>
        <w:ind w:left="85" w:right="3719" w:hanging="85"/>
        <w:spacing w:after="0" w:line="234" w:lineRule="auto"/>
        <w:tabs>
          <w:tab w:leader="none" w:pos="3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 required pursuant to Article 11 of Regulation S-X:</w:t>
      </w:r>
    </w:p>
    <w:p>
      <w:pPr>
        <w:spacing w:after="0" w:line="177"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(1) Pro</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Forma</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Condensed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Balance Sheet - June 30,</w:t>
            </w:r>
          </w:p>
        </w:tc>
        <w:tc>
          <w:tcPr>
            <w:tcW w:w="150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126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Pro Forma</w:t>
            </w:r>
          </w:p>
        </w:tc>
        <w:tc>
          <w:tcPr>
            <w:tcW w:w="4740" w:type="dxa"/>
            <w:vAlign w:val="bottom"/>
            <w:gridSpan w:val="3"/>
          </w:tcPr>
          <w:p>
            <w:pPr>
              <w:jc w:val="right"/>
              <w:ind w:right="902"/>
              <w:spacing w:after="0" w:line="179" w:lineRule="exact"/>
              <w:rPr>
                <w:sz w:val="20"/>
                <w:szCs w:val="20"/>
                <w:color w:val="auto"/>
              </w:rPr>
            </w:pPr>
            <w:r>
              <w:rPr>
                <w:rFonts w:ascii="Courier New" w:cs="Courier New" w:eastAsia="Courier New" w:hAnsi="Courier New"/>
                <w:sz w:val="16"/>
                <w:szCs w:val="16"/>
                <w:color w:val="auto"/>
                <w:w w:val="97"/>
              </w:rPr>
              <w:t>Condensed Statement of Operations - Year</w:t>
            </w:r>
          </w:p>
        </w:tc>
        <w:tc>
          <w:tcPr>
            <w:tcW w:w="116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38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ended December 31, 1994</w:t>
            </w:r>
          </w:p>
        </w:tc>
        <w:tc>
          <w:tcPr>
            <w:tcW w:w="15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358"/>
        </w:trPr>
        <w:tc>
          <w:tcPr>
            <w:tcW w:w="4500" w:type="dxa"/>
            <w:vAlign w:val="bottom"/>
            <w:gridSpan w:val="4"/>
          </w:tcPr>
          <w:p>
            <w:pPr>
              <w:ind w:left="360"/>
              <w:spacing w:after="0"/>
              <w:rPr>
                <w:sz w:val="20"/>
                <w:szCs w:val="20"/>
                <w:color w:val="auto"/>
              </w:rPr>
            </w:pPr>
            <w:r>
              <w:rPr>
                <w:rFonts w:ascii="Courier New" w:cs="Courier New" w:eastAsia="Courier New" w:hAnsi="Courier New"/>
                <w:sz w:val="16"/>
                <w:szCs w:val="16"/>
                <w:color w:val="auto"/>
                <w:w w:val="99"/>
              </w:rPr>
              <w:t>Pro Forma Condensed Statement of Operations</w:t>
            </w:r>
          </w:p>
        </w:tc>
        <w:tc>
          <w:tcPr>
            <w:tcW w:w="15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 Six</w:t>
            </w:r>
          </w:p>
        </w:tc>
        <w:tc>
          <w:tcPr>
            <w:tcW w:w="116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38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months ended June 30, 1995</w:t>
            </w:r>
          </w:p>
        </w:tc>
        <w:tc>
          <w:tcPr>
            <w:tcW w:w="15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bl>
    <w:p>
      <w:pPr>
        <w:spacing w:after="0" w:line="362" w:lineRule="exact"/>
        <w:rPr>
          <w:sz w:val="20"/>
          <w:szCs w:val="20"/>
          <w:color w:val="auto"/>
        </w:rPr>
      </w:pPr>
    </w:p>
    <w:p>
      <w:pPr>
        <w:ind w:left="5" w:right="2879" w:firstLine="461"/>
        <w:spacing w:after="0" w:line="235" w:lineRule="auto"/>
        <w:tabs>
          <w:tab w:leader="none" w:pos="65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 forma condensed balance sheet as of June 30, 1995 is filed since the acquisition of Finley Square is reflected in the actual balance sheet as of June 30, 1995.</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pro forma condensed statement of operation for the year ended December 31, 1994 is based on audited historical financial statements of Finley Square and the Trust after giving effect to the acquisition of Finley Square and the adjustments as described in the accompanying notes to the pro forma financial statement.</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pro forma condensed statement of operation for the six months ended June 30, 1995 is based on unaudited historical financial statements of Finley Square and the Trust after giving effect to the acquisition of Finley Square and the adjustments as described in the accompanying notes to the pro forma financial statement.</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pro forma financial statements of operation have been prepared by the Trust based upon the financial statements of Sidcor Finley Associates (filed with this report under Item 7(a)). These pro forma financial statements may not be indicative of the results that actually would have occurred if the acquisition had been in effect on the dates indicated or which may be obtained in the future. The pro forma financial statements should be read in conjunction with the audited financial statements and notes of Sidcor Finley Associates, the audited consolidated financial statements of the Trust in its Annual Report on Form 10-K for the year ended December 31, 1994 and the unaudited financial statements of the Trust on Form 10-Q for the six months ended June 30, 1995.</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48" w:right="1440" w:bottom="1440" w:gutter="0" w:footer="0" w:header="0"/>
        </w:sectPr>
      </w:pPr>
    </w:p>
    <w:bookmarkStart w:id="3" w:name="page4"/>
    <w:bookmarkEnd w:id="3"/>
    <w:p>
      <w:pPr>
        <w:ind w:left="460"/>
        <w:spacing w:after="0"/>
        <w:rPr>
          <w:sz w:val="20"/>
          <w:szCs w:val="20"/>
          <w:color w:val="auto"/>
        </w:rPr>
      </w:pPr>
      <w:r>
        <w:rPr>
          <w:rFonts w:ascii="Courier New" w:cs="Courier New" w:eastAsia="Courier New" w:hAnsi="Courier New"/>
          <w:sz w:val="14"/>
          <w:szCs w:val="14"/>
          <w:color w:val="auto"/>
        </w:rPr>
        <w:t>(c) Exhibits in accordance with the provisions of Item 601 of Regulation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Exhibit 23. Independent Auditor's Consent</w:t>
      </w:r>
    </w:p>
    <w:p>
      <w:pPr>
        <w:spacing w:after="0" w:line="200" w:lineRule="exact"/>
        <w:rPr>
          <w:sz w:val="20"/>
          <w:szCs w:val="20"/>
          <w:color w:val="auto"/>
        </w:rPr>
      </w:pP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hereto duly authorized.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Federal Realty Investment Trust</w:t>
      </w:r>
    </w:p>
    <w:p>
      <w:pPr>
        <w:ind w:left="4360"/>
        <w:spacing w:after="0" w:line="236" w:lineRule="auto"/>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54" w:right="1440" w:bottom="1440" w:gutter="0" w:footer="0" w:header="0"/>
        </w:sectPr>
      </w:pP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Date: September 22, 1995</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/s/Cecily A. Ward</w:t>
      </w:r>
    </w:p>
    <w:p>
      <w:pPr>
        <w:spacing w:after="0" w:line="236" w:lineRule="auto"/>
        <w:rPr>
          <w:sz w:val="20"/>
          <w:szCs w:val="20"/>
          <w:color w:val="auto"/>
        </w:rPr>
      </w:pPr>
      <w:r>
        <w:rPr>
          <w:rFonts w:ascii="Courier New" w:cs="Courier New" w:eastAsia="Courier New" w:hAnsi="Courier New"/>
          <w:sz w:val="16"/>
          <w:szCs w:val="16"/>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(Principal Accounting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177" w:lineRule="exact"/>
        <w:rPr>
          <w:sz w:val="20"/>
          <w:szCs w:val="20"/>
          <w:color w:val="auto"/>
        </w:rPr>
      </w:pPr>
    </w:p>
    <w:p>
      <w:pPr>
        <w:sectPr>
          <w:pgSz w:w="11900" w:h="16838" w:orient="portrait"/>
          <w:cols w:equalWidth="0" w:num="2">
            <w:col w:w="3180" w:space="720"/>
            <w:col w:w="6319"/>
          </w:cols>
          <w:pgMar w:left="240" w:top="654"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type w:val="continuous"/>
        </w:sectPr>
      </w:pPr>
    </w:p>
    <w:bookmarkStart w:id="4" w:name="page5"/>
    <w:bookmarkEnd w:id="4"/>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54"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NO.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PAGE NO.</w:t>
      </w:r>
    </w:p>
    <w:p>
      <w:pPr>
        <w:spacing w:after="0" w:line="199" w:lineRule="exact"/>
        <w:rPr>
          <w:sz w:val="20"/>
          <w:szCs w:val="20"/>
          <w:color w:val="auto"/>
        </w:rPr>
      </w:pPr>
    </w:p>
    <w:p>
      <w:pPr>
        <w:sectPr>
          <w:pgSz w:w="11900" w:h="16838" w:orient="portrait"/>
          <w:cols w:equalWidth="0" w:num="2">
            <w:col w:w="4480" w:space="720"/>
            <w:col w:w="5019"/>
          </w:cols>
          <w:pgMar w:left="240" w:top="654" w:right="1440" w:bottom="1440" w:gutter="0" w:footer="0" w:header="0"/>
          <w:type w:val="continuous"/>
        </w:sectPr>
      </w:pPr>
    </w:p>
    <w:p>
      <w:pPr>
        <w:ind w:left="280"/>
        <w:spacing w:after="0"/>
        <w:tabs>
          <w:tab w:leader="none" w:pos="90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Independent Auditor's 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193" w:lineRule="exact"/>
        <w:rPr>
          <w:sz w:val="20"/>
          <w:szCs w:val="20"/>
          <w:color w:val="auto"/>
        </w:rPr>
      </w:pPr>
    </w:p>
    <w:p>
      <w:pPr>
        <w:sectPr>
          <w:pgSz w:w="11900" w:h="16838" w:orient="portrait"/>
          <w:cols w:equalWidth="0" w:num="2">
            <w:col w:w="4760" w:space="720"/>
            <w:col w:w="4739"/>
          </w:cols>
          <w:pgMar w:left="240" w:top="654"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type w:val="continuous"/>
        </w:sectPr>
      </w:pPr>
    </w:p>
    <w:bookmarkStart w:id="5" w:name="page6"/>
    <w:bookmarkEnd w:id="5"/>
    <w:p>
      <w:pPr>
        <w:jc w:val="center"/>
        <w:ind w:right="2879"/>
        <w:spacing w:after="0"/>
        <w:rPr>
          <w:sz w:val="20"/>
          <w:szCs w:val="20"/>
          <w:color w:val="auto"/>
        </w:rPr>
      </w:pPr>
      <w:r>
        <w:rPr>
          <w:rFonts w:ascii="Courier New" w:cs="Courier New" w:eastAsia="Courier New" w:hAnsi="Courier New"/>
          <w:sz w:val="16"/>
          <w:szCs w:val="16"/>
          <w:color w:val="auto"/>
        </w:rPr>
        <w:t>(Letterhead of Warady &amp; Davis LLP Appears Here)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w:t>
      </w:r>
    </w:p>
    <w:p>
      <w:pPr>
        <w:spacing w:after="0" w:line="236" w:lineRule="auto"/>
        <w:rPr>
          <w:sz w:val="20"/>
          <w:szCs w:val="20"/>
          <w:color w:val="auto"/>
        </w:rPr>
      </w:pPr>
      <w:r>
        <w:rPr>
          <w:rFonts w:ascii="Courier New" w:cs="Courier New" w:eastAsia="Courier New" w:hAnsi="Courier New"/>
          <w:sz w:val="16"/>
          <w:szCs w:val="16"/>
          <w:color w:val="auto"/>
        </w:rPr>
        <w:t>Sidcor Finley Associates</w:t>
      </w:r>
    </w:p>
    <w:p>
      <w:pPr>
        <w:spacing w:after="0" w:line="237" w:lineRule="auto"/>
        <w:rPr>
          <w:sz w:val="20"/>
          <w:szCs w:val="20"/>
          <w:color w:val="auto"/>
        </w:rPr>
      </w:pPr>
      <w:r>
        <w:rPr>
          <w:rFonts w:ascii="Courier New" w:cs="Courier New" w:eastAsia="Courier New" w:hAnsi="Courier New"/>
          <w:sz w:val="16"/>
          <w:szCs w:val="16"/>
          <w:color w:val="auto"/>
        </w:rPr>
        <w:t>Skokie, Illinois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have audited the statement of revenue and certain expenses of SIDCOR FINLEY ASSOCIATES (An Illinois Limited Partnership) for the year ended December 31, 1994. This financial statement is the responsibility of management. Our responsibility is to express an opinion on this financial statement based on our audit.</w:t>
      </w:r>
    </w:p>
    <w:p>
      <w:pPr>
        <w:spacing w:after="0" w:line="186"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accompanying statement of revenue and certain expenses was prepared for the purpose of complying with the purchase agreement between SIDCOR FINLEY ASSOCIATES and Federal Realty Investment Trust and is not intended to be a complete presentation of SIDCOR FINLEY ASSOCIATES' revenue and expenses.</w:t>
      </w:r>
    </w:p>
    <w:p>
      <w:pPr>
        <w:spacing w:after="0" w:line="185"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 our opinion, the financial statement referred to above presents fairly, in all material respects, the revenue and certain expenses of SIDCOR FINLEY ASSOCIATES for the year ended December 31, 1994, in conformity with generally accepted accounting principles.</w:t>
      </w:r>
    </w:p>
    <w:p>
      <w:pPr>
        <w:spacing w:after="0" w:line="200" w:lineRule="exact"/>
        <w:rPr>
          <w:sz w:val="20"/>
          <w:szCs w:val="20"/>
          <w:color w:val="auto"/>
        </w:rPr>
      </w:pPr>
    </w:p>
    <w:p>
      <w:pPr>
        <w:spacing w:after="0" w:line="336"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June 13, 1995</w:t>
      </w:r>
      <w:r>
        <w:rPr>
          <w:sz w:val="20"/>
          <w:szCs w:val="20"/>
          <w:color w:val="auto"/>
        </w:rPr>
        <w:tab/>
      </w:r>
      <w:r>
        <w:rPr>
          <w:rFonts w:ascii="Courier New" w:cs="Courier New" w:eastAsia="Courier New" w:hAnsi="Courier New"/>
          <w:sz w:val="14"/>
          <w:szCs w:val="14"/>
          <w:color w:val="auto"/>
        </w:rPr>
        <w:t>Warady &amp; Davis LLP</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6" w:name="page7"/>
    <w:bookmarkEnd w:id="6"/>
    <w:p>
      <w:pPr>
        <w:ind w:left="4280"/>
        <w:spacing w:after="0"/>
        <w:rPr>
          <w:sz w:val="20"/>
          <w:szCs w:val="20"/>
          <w:color w:val="auto"/>
        </w:rPr>
      </w:pPr>
      <w:r>
        <w:rPr>
          <w:rFonts w:ascii="Courier New" w:cs="Courier New" w:eastAsia="Courier New" w:hAnsi="Courier New"/>
          <w:sz w:val="14"/>
          <w:szCs w:val="14"/>
          <w:color w:val="auto"/>
        </w:rPr>
        <w:t>SIDCOR FINLEY ASSOCIATES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REVENUE AND CERTAIN EXPENSES</w:t>
      </w:r>
    </w:p>
    <w:p>
      <w:pPr>
        <w:spacing w:after="0" w:line="236" w:lineRule="auto"/>
        <w:rPr>
          <w:sz w:val="20"/>
          <w:szCs w:val="20"/>
          <w:color w:val="auto"/>
        </w:rPr>
      </w:pPr>
      <w:r>
        <w:rPr>
          <w:rFonts w:ascii="Courier New" w:cs="Courier New" w:eastAsia="Courier New" w:hAnsi="Courier New"/>
          <w:sz w:val="16"/>
          <w:szCs w:val="16"/>
          <w:color w:val="auto"/>
        </w:rPr>
        <w:t>For the Year Ended December 31, 1994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480" w:type="dxa"/>
            <w:vAlign w:val="bottom"/>
          </w:tcPr>
          <w:p>
            <w:pPr>
              <w:spacing w:after="0"/>
              <w:rPr>
                <w:sz w:val="15"/>
                <w:szCs w:val="15"/>
                <w:color w:val="auto"/>
              </w:rPr>
            </w:pP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Rental</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  1,467,775</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Tenant Reimbursement</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611,179</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13,584</w:t>
            </w:r>
          </w:p>
        </w:tc>
      </w:tr>
      <w:tr>
        <w:trPr>
          <w:trHeight w:val="179"/>
        </w:trPr>
        <w:tc>
          <w:tcPr>
            <w:tcW w:w="3020" w:type="dxa"/>
            <w:vAlign w:val="bottom"/>
          </w:tcPr>
          <w:p>
            <w:pPr>
              <w:spacing w:after="0"/>
              <w:rPr>
                <w:sz w:val="15"/>
                <w:szCs w:val="15"/>
                <w:color w:val="auto"/>
              </w:rPr>
            </w:pP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20" w:type="dxa"/>
            <w:vAlign w:val="bottom"/>
          </w:tcPr>
          <w:p>
            <w:pPr>
              <w:spacing w:after="0"/>
              <w:rPr>
                <w:sz w:val="15"/>
                <w:szCs w:val="15"/>
                <w:color w:val="auto"/>
              </w:rPr>
            </w:pPr>
          </w:p>
        </w:tc>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2,092,538</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480" w:type="dxa"/>
            <w:vAlign w:val="bottom"/>
          </w:tcPr>
          <w:p>
            <w:pPr>
              <w:spacing w:after="0"/>
              <w:rPr>
                <w:sz w:val="24"/>
                <w:szCs w:val="24"/>
                <w:color w:val="auto"/>
              </w:rPr>
            </w:pP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Salaries</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15,256</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Payroll Taxes and Benefits</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4,107</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Advertising</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1,128</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Decorating</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6,029</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Grounds and Landscaping</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7,119</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Mall Music</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895</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Management Fees</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73,359</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Professional Services</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21,811</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Property Taxes and Insurance</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370,435</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Repairs and Maintenance</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48,212</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Security</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3,972</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Sign Maintenance</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5,015</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Snow Removal</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52,839</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Telephone and Paging</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262</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Travel and Entertainment</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1,223</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Utilities</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35,053</w:t>
            </w:r>
          </w:p>
        </w:tc>
      </w:tr>
      <w:tr>
        <w:trPr>
          <w:trHeight w:val="179"/>
        </w:trPr>
        <w:tc>
          <w:tcPr>
            <w:tcW w:w="3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348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3,793</w:t>
            </w:r>
          </w:p>
        </w:tc>
      </w:tr>
      <w:tr>
        <w:trPr>
          <w:trHeight w:val="179"/>
        </w:trPr>
        <w:tc>
          <w:tcPr>
            <w:tcW w:w="3020" w:type="dxa"/>
            <w:vAlign w:val="bottom"/>
          </w:tcPr>
          <w:p>
            <w:pPr>
              <w:spacing w:after="0"/>
              <w:rPr>
                <w:sz w:val="15"/>
                <w:szCs w:val="15"/>
                <w:color w:val="auto"/>
              </w:rPr>
            </w:pPr>
          </w:p>
        </w:tc>
        <w:tc>
          <w:tcPr>
            <w:tcW w:w="348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20" w:type="dxa"/>
            <w:vAlign w:val="bottom"/>
          </w:tcPr>
          <w:p>
            <w:pPr>
              <w:spacing w:after="0"/>
              <w:rPr>
                <w:sz w:val="15"/>
                <w:szCs w:val="15"/>
                <w:color w:val="auto"/>
              </w:rPr>
            </w:pPr>
          </w:p>
        </w:tc>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650,508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REVENUE IN EXCESS OF CERTAIN EXPENSES</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  1,442,030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012" w:right="1440" w:bottom="1440" w:gutter="0" w:footer="0" w:header="0"/>
        </w:sectPr>
      </w:pPr>
    </w:p>
    <w:bookmarkStart w:id="7" w:name="page8"/>
    <w:bookmarkEnd w:id="7"/>
    <w:p>
      <w:pPr>
        <w:ind w:left="5200"/>
        <w:spacing w:after="0"/>
        <w:rPr>
          <w:sz w:val="20"/>
          <w:szCs w:val="20"/>
          <w:color w:val="auto"/>
        </w:rPr>
      </w:pPr>
      <w:r>
        <w:rPr>
          <w:rFonts w:ascii="Courier New" w:cs="Courier New" w:eastAsia="Courier New" w:hAnsi="Courier New"/>
          <w:sz w:val="14"/>
          <w:szCs w:val="14"/>
          <w:color w:val="auto"/>
        </w:rPr>
        <w:t>SIDCOR FINLEY ASSOCIATES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STATEMENT OF REVENUE AND CERTAIN EXPENSES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BASIS OF PRESENTATION AND SUMMARY OF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The accompanying financial statement includes the operations (see Basis of Presentation below) of a retail shopping center referred to as SIDCOR FINLEY ASSOCIATES (the "Center").</w:t>
      </w:r>
    </w:p>
    <w:p>
      <w:pPr>
        <w:spacing w:after="0" w:line="183" w:lineRule="exact"/>
        <w:rPr>
          <w:sz w:val="20"/>
          <w:szCs w:val="20"/>
          <w:color w:val="auto"/>
        </w:rPr>
      </w:pPr>
    </w:p>
    <w:p>
      <w:pPr>
        <w:jc w:val="both"/>
        <w:ind w:right="3239"/>
        <w:spacing w:after="0" w:line="295" w:lineRule="auto"/>
        <w:rPr>
          <w:sz w:val="20"/>
          <w:szCs w:val="20"/>
          <w:color w:val="auto"/>
        </w:rPr>
      </w:pPr>
      <w:r>
        <w:rPr>
          <w:rFonts w:ascii="Courier New" w:cs="Courier New" w:eastAsia="Courier New" w:hAnsi="Courier New"/>
          <w:sz w:val="14"/>
          <w:szCs w:val="14"/>
          <w:color w:val="auto"/>
        </w:rPr>
        <w:t>Federal Realty Investment Trust (the "Company") intends to acquire the real estate and assume the outstanding lease obligations of each of the tenants.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accompanying statement of revenue and certain expenses is not representation of the actual operations of SIDCOR FINLEY ASSOCIATES for the period presented as certain expenses, principally depreciation, amortization and interest expense, which may not be comparable to the revenue and expenses expected to be incurred by the Company in the proposed future operations of the Center, have been excluded.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Rental income is recognized on an accrual basis over the terms of the related leases which approximates a straight-line basis.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RELATED PARTY TRANSACTIONS</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A company owned by a general partner manages the property for a fee equal to 3-1/2% of gross revenues. The company was compensated $73,359 for 1994.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SUBSEQUENT EVENT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was sold in April 1995.</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8" w:name="page9"/>
    <w:bookmarkEnd w:id="8"/>
    <w:p>
      <w:pPr>
        <w:jc w:val="center"/>
        <w:ind w:right="2975"/>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Pro Forma Condensed Statement of Operations</w:t>
      </w:r>
    </w:p>
    <w:p>
      <w:pPr>
        <w:ind w:left="3165"/>
        <w:spacing w:after="0" w:line="236" w:lineRule="auto"/>
        <w:rPr>
          <w:sz w:val="20"/>
          <w:szCs w:val="20"/>
          <w:color w:val="auto"/>
        </w:rPr>
      </w:pPr>
      <w:r>
        <w:rPr>
          <w:rFonts w:ascii="Courier New" w:cs="Courier New" w:eastAsia="Courier New" w:hAnsi="Courier New"/>
          <w:sz w:val="16"/>
          <w:szCs w:val="16"/>
          <w:color w:val="auto"/>
        </w:rPr>
        <w:t>(unaudited)</w:t>
      </w:r>
    </w:p>
    <w:p>
      <w:pPr>
        <w:ind w:left="2325"/>
        <w:spacing w:after="0" w:line="237" w:lineRule="auto"/>
        <w:rPr>
          <w:sz w:val="20"/>
          <w:szCs w:val="20"/>
          <w:color w:val="auto"/>
        </w:rPr>
      </w:pPr>
      <w:r>
        <w:rPr>
          <w:rFonts w:ascii="Courier New" w:cs="Courier New" w:eastAsia="Courier New" w:hAnsi="Courier New"/>
          <w:sz w:val="16"/>
          <w:szCs w:val="16"/>
          <w:color w:val="auto"/>
        </w:rPr>
        <w:t>Year ended December 31, 1994</w:t>
      </w:r>
    </w:p>
    <w:p>
      <w:pPr>
        <w:ind w:left="1945"/>
        <w:spacing w:after="0" w:line="237"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gridSpan w:val="3"/>
          </w:tcPr>
          <w:p>
            <w:pPr>
              <w:spacing w:after="0"/>
              <w:rPr>
                <w:sz w:val="20"/>
                <w:szCs w:val="20"/>
                <w:color w:val="auto"/>
              </w:rPr>
            </w:pPr>
            <w:r>
              <w:rPr>
                <w:rFonts w:ascii="Courier New" w:cs="Courier New" w:eastAsia="Courier New" w:hAnsi="Courier New"/>
                <w:sz w:val="16"/>
                <w:szCs w:val="16"/>
                <w:color w:val="auto"/>
              </w:rPr>
              <w:t>Pro Forma Adjustments</w:t>
            </w:r>
          </w:p>
        </w:tc>
      </w:tr>
      <w:tr>
        <w:trPr>
          <w:trHeight w:val="358"/>
        </w:trPr>
        <w:tc>
          <w:tcPr>
            <w:tcW w:w="4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Debit</w:t>
            </w:r>
          </w:p>
        </w:tc>
        <w:tc>
          <w:tcPr>
            <w:tcW w:w="2040" w:type="dxa"/>
            <w:vAlign w:val="bottom"/>
          </w:tcPr>
          <w:p>
            <w:pPr>
              <w:jc w:val="right"/>
              <w:ind w:right="1122"/>
              <w:spacing w:after="0"/>
              <w:rPr>
                <w:sz w:val="20"/>
                <w:szCs w:val="20"/>
                <w:color w:val="auto"/>
              </w:rPr>
            </w:pPr>
            <w:r>
              <w:rPr>
                <w:rFonts w:ascii="Courier New" w:cs="Courier New" w:eastAsia="Courier New" w:hAnsi="Courier New"/>
                <w:sz w:val="16"/>
                <w:szCs w:val="16"/>
                <w:color w:val="auto"/>
              </w:rPr>
              <w:t>Credit</w:t>
            </w:r>
          </w:p>
        </w:tc>
      </w:tr>
      <w:tr>
        <w:trPr>
          <w:trHeight w:val="358"/>
        </w:trPr>
        <w:tc>
          <w:tcPr>
            <w:tcW w:w="4360" w:type="dxa"/>
            <w:vAlign w:val="bottom"/>
          </w:tcPr>
          <w:p>
            <w:pPr>
              <w:spacing w:after="0"/>
              <w:rPr>
                <w:sz w:val="24"/>
                <w:szCs w:val="24"/>
                <w:color w:val="auto"/>
              </w:rPr>
            </w:pPr>
          </w:p>
        </w:tc>
        <w:tc>
          <w:tcPr>
            <w:tcW w:w="12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Trust</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Finley</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ind w:left="1120"/>
              <w:spacing w:after="0"/>
              <w:rPr>
                <w:sz w:val="20"/>
                <w:szCs w:val="20"/>
                <w:color w:val="auto"/>
              </w:rPr>
            </w:pPr>
            <w:r>
              <w:rPr>
                <w:rFonts w:ascii="Courier New" w:cs="Courier New" w:eastAsia="Courier New" w:hAnsi="Courier New"/>
                <w:sz w:val="16"/>
                <w:szCs w:val="16"/>
                <w:color w:val="auto"/>
              </w:rPr>
              <w:t>Pro Forma</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Actual</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Square</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4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Actual</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Rental and other income</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$133,831</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$2,092</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$135,923</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3,933</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3,933</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137,764</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2,092</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139,856</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31,462</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1,051</w:t>
            </w: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32,513</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29,801</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w:t>
            </w: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30,073</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Administrative &amp; other charges</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6,661</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6,661</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charges</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1,055</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1,055</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operating expenses</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47,927</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650</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48,577</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116,906</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650</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118,879</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before investors' share of operations,</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20,858</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1,442</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20,977</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Investors' share of operations</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(392)</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$ 20,466</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$1,442</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$ 20,585</w:t>
            </w:r>
          </w:p>
        </w:tc>
      </w:tr>
      <w:tr>
        <w:trPr>
          <w:trHeight w:val="179"/>
        </w:trPr>
        <w:tc>
          <w:tcPr>
            <w:tcW w:w="43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30,679</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30,679</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$0.67</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right="2880" w:firstLine="372"/>
        <w:spacing w:after="0" w:line="235"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Finley Square as though it was acquired at the beginning of the period presented.</w:t>
      </w:r>
    </w:p>
    <w:p>
      <w:pPr>
        <w:spacing w:after="0" w:line="183" w:lineRule="exact"/>
        <w:rPr>
          <w:sz w:val="20"/>
          <w:szCs w:val="20"/>
          <w:color w:val="auto"/>
        </w:rPr>
      </w:pPr>
    </w:p>
    <w:p>
      <w:pPr>
        <w:ind w:left="365" w:right="2980" w:hanging="365"/>
        <w:spacing w:after="0" w:line="234"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interest expense on revolving credit facilities to purchase Finley Square.</w:t>
      </w:r>
    </w:p>
    <w:p>
      <w:pPr>
        <w:spacing w:after="0" w:line="4" w:lineRule="exact"/>
        <w:rPr>
          <w:rFonts w:ascii="Courier New" w:cs="Courier New" w:eastAsia="Courier New" w:hAnsi="Courier New"/>
          <w:sz w:val="16"/>
          <w:szCs w:val="16"/>
          <w:color w:val="auto"/>
        </w:rPr>
      </w:pPr>
    </w:p>
    <w:p>
      <w:pPr>
        <w:ind w:left="365" w:right="3260" w:hanging="365"/>
        <w:spacing w:after="0" w:line="234"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depreciation based on the book value of depreciable real estate purchased.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325"/>
          </w:cols>
          <w:pgMar w:left="235" w:top="648" w:right="1339" w:bottom="1440" w:gutter="0" w:footer="0" w:header="0"/>
        </w:sectPr>
      </w:pPr>
    </w:p>
    <w:bookmarkStart w:id="9" w:name="page10"/>
    <w:bookmarkEnd w:id="9"/>
    <w:p>
      <w:pPr>
        <w:ind w:left="2225"/>
        <w:spacing w:after="0"/>
        <w:rPr>
          <w:sz w:val="20"/>
          <w:szCs w:val="20"/>
          <w:color w:val="auto"/>
        </w:rPr>
      </w:pPr>
      <w:r>
        <w:rPr>
          <w:rFonts w:ascii="Courier New" w:cs="Courier New" w:eastAsia="Courier New" w:hAnsi="Courier New"/>
          <w:sz w:val="16"/>
          <w:szCs w:val="16"/>
          <w:color w:val="auto"/>
        </w:rPr>
        <w:t>Federal Realty Investment Trust</w:t>
      </w:r>
    </w:p>
    <w:p>
      <w:pPr>
        <w:spacing w:after="0" w:line="355"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Pro Forma Condensed Statement of Operations</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ind w:left="2225"/>
        <w:spacing w:after="0" w:line="237" w:lineRule="auto"/>
        <w:rPr>
          <w:sz w:val="20"/>
          <w:szCs w:val="20"/>
          <w:color w:val="auto"/>
        </w:rPr>
      </w:pPr>
      <w:r>
        <w:rPr>
          <w:rFonts w:ascii="Courier New" w:cs="Courier New" w:eastAsia="Courier New" w:hAnsi="Courier New"/>
          <w:sz w:val="16"/>
          <w:szCs w:val="16"/>
          <w:color w:val="auto"/>
        </w:rPr>
        <w:t>Six months ended June 30, 1995</w:t>
      </w:r>
    </w:p>
    <w:p>
      <w:pPr>
        <w:ind w:left="1945"/>
        <w:spacing w:after="0" w:line="237"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60" w:type="dxa"/>
            <w:vAlign w:val="bottom"/>
            <w:gridSpan w:val="3"/>
          </w:tcPr>
          <w:p>
            <w:pPr>
              <w:jc w:val="right"/>
              <w:ind w:right="942"/>
              <w:spacing w:after="0"/>
              <w:rPr>
                <w:sz w:val="20"/>
                <w:szCs w:val="20"/>
                <w:color w:val="auto"/>
              </w:rPr>
            </w:pPr>
            <w:r>
              <w:rPr>
                <w:rFonts w:ascii="Courier New" w:cs="Courier New" w:eastAsia="Courier New" w:hAnsi="Courier New"/>
                <w:sz w:val="16"/>
                <w:szCs w:val="16"/>
                <w:color w:val="auto"/>
              </w:rPr>
              <w:t>Pro Forma Adjustments</w:t>
            </w:r>
          </w:p>
        </w:tc>
      </w:tr>
      <w:tr>
        <w:trPr>
          <w:trHeight w:val="537"/>
        </w:trPr>
        <w:tc>
          <w:tcPr>
            <w:tcW w:w="4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Debit</w:t>
            </w:r>
          </w:p>
        </w:tc>
        <w:tc>
          <w:tcPr>
            <w:tcW w:w="1960" w:type="dxa"/>
            <w:vAlign w:val="bottom"/>
          </w:tcPr>
          <w:p>
            <w:pPr>
              <w:jc w:val="right"/>
              <w:ind w:right="1122"/>
              <w:spacing w:after="0"/>
              <w:rPr>
                <w:sz w:val="20"/>
                <w:szCs w:val="20"/>
                <w:color w:val="auto"/>
              </w:rPr>
            </w:pPr>
            <w:r>
              <w:rPr>
                <w:rFonts w:ascii="Courier New" w:cs="Courier New" w:eastAsia="Courier New" w:hAnsi="Courier New"/>
                <w:sz w:val="16"/>
                <w:szCs w:val="16"/>
                <w:color w:val="auto"/>
              </w:rPr>
              <w:t>Credit</w:t>
            </w:r>
          </w:p>
        </w:tc>
      </w:tr>
      <w:tr>
        <w:trPr>
          <w:trHeight w:val="179"/>
        </w:trPr>
        <w:tc>
          <w:tcPr>
            <w:tcW w:w="47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Trust</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Finley</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w w:val="94"/>
              </w:rPr>
              <w:t>Pro Forma</w:t>
            </w:r>
          </w:p>
        </w:tc>
      </w:tr>
      <w:tr>
        <w:trPr>
          <w:trHeight w:val="179"/>
        </w:trPr>
        <w:tc>
          <w:tcPr>
            <w:tcW w:w="478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Actual</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Square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Rental and other income</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$72,023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$687</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$72,710</w:t>
            </w: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1,893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1,893</w:t>
            </w:r>
          </w:p>
        </w:tc>
      </w:tr>
      <w:tr>
        <w:trPr>
          <w:trHeight w:val="179"/>
        </w:trPr>
        <w:tc>
          <w:tcPr>
            <w:tcW w:w="47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73,916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687</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74,603</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18,716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438</w:t>
            </w: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19,154</w:t>
            </w: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16,988</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91</w:t>
            </w: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17,079</w:t>
            </w: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Administrative &amp; other charges</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2,817</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2,817</w:t>
            </w: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operating expenses</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23,204</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231</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23,435</w:t>
            </w:r>
          </w:p>
        </w:tc>
      </w:tr>
      <w:tr>
        <w:trPr>
          <w:trHeight w:val="179"/>
        </w:trPr>
        <w:tc>
          <w:tcPr>
            <w:tcW w:w="47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61,725</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231</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62,485</w:t>
            </w:r>
          </w:p>
        </w:tc>
      </w:tr>
      <w:tr>
        <w:trPr>
          <w:trHeight w:val="179"/>
        </w:trPr>
        <w:tc>
          <w:tcPr>
            <w:tcW w:w="47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before investors' share of operations, and</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12,118</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loss on real estate to be sold</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12,191</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Investors' share of operations</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on real estate to be sold</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(535)</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(535)</w:t>
            </w:r>
          </w:p>
        </w:tc>
      </w:tr>
      <w:tr>
        <w:trPr>
          <w:trHeight w:val="179"/>
        </w:trPr>
        <w:tc>
          <w:tcPr>
            <w:tcW w:w="47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$11,826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$11,753</w:t>
            </w:r>
          </w:p>
        </w:tc>
      </w:tr>
      <w:tr>
        <w:trPr>
          <w:trHeight w:val="179"/>
        </w:trPr>
        <w:tc>
          <w:tcPr>
            <w:tcW w:w="47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31,691</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31,691</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$0.37</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Finley Square as though it was acquired at the beginning of the period presented. The operations of Finley Square are partially reflected in the Trust actual numbers at June 30, 1995, since Finley Square was purchased on April 27, 1995. Operations for the period prior to acquisition is reflected in the actual numbers for Finley Square.</w:t>
      </w:r>
    </w:p>
    <w:p>
      <w:pPr>
        <w:spacing w:after="0" w:line="183" w:lineRule="exact"/>
        <w:rPr>
          <w:sz w:val="20"/>
          <w:szCs w:val="20"/>
          <w:color w:val="auto"/>
        </w:rPr>
      </w:pPr>
    </w:p>
    <w:p>
      <w:pPr>
        <w:ind w:left="365" w:right="3059" w:hanging="365"/>
        <w:spacing w:after="0" w:line="234"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interest expense on revolving credit facilities as if Finley Square were purchased at the beginning of the period.</w:t>
      </w:r>
    </w:p>
    <w:p>
      <w:pPr>
        <w:spacing w:after="0" w:line="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depreciation based on the book value of depreciable real estate purchased, as if Finley Square were purchased at the beginning of the period.</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648" w:right="1440" w:bottom="1440" w:gutter="0" w:footer="0" w:header="0"/>
        </w:sectPr>
      </w:pPr>
    </w:p>
    <w:bookmarkStart w:id="10" w:name="page11"/>
    <w:bookmarkEnd w:id="10"/>
    <w:p>
      <w:pPr>
        <w:jc w:val="right"/>
        <w:ind w:right="2779"/>
        <w:spacing w:after="0"/>
        <w:rPr>
          <w:sz w:val="20"/>
          <w:szCs w:val="20"/>
          <w:color w:val="auto"/>
        </w:rPr>
      </w:pPr>
      <w:r>
        <w:rPr>
          <w:rFonts w:ascii="Courier New" w:cs="Courier New" w:eastAsia="Courier New" w:hAnsi="Courier New"/>
          <w:sz w:val="16"/>
          <w:szCs w:val="16"/>
          <w:color w:val="auto"/>
        </w:rPr>
        <w:t>Exhibit 23</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(Letterhead of Warady &amp; Davis LLP Appears Here)</w:t>
      </w:r>
    </w:p>
    <w:p>
      <w:pPr>
        <w:spacing w:after="0" w:line="200" w:lineRule="exact"/>
        <w:rPr>
          <w:sz w:val="20"/>
          <w:szCs w:val="20"/>
          <w:color w:val="auto"/>
        </w:rPr>
      </w:pPr>
    </w:p>
    <w:p>
      <w:pPr>
        <w:spacing w:after="0" w:line="33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CONSENT OF INDEPENDENT PUBLIC ACCOUNTANTS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1"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We have issued our report dated June 13, 1995 accompanying the Statement of Revenue and Certain Expenses of SIDCOR FINLEY ASSOCIATES for the year ended December 31, 1994 included in the Trust's Current Form 8-K. We hereby consent to the incorporation by reference of said report in the Registration Statements of</w:t>
      </w:r>
    </w:p>
    <w:p>
      <w:pPr>
        <w:spacing w:after="0" w:line="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Federal Realty Investment Trust, Form S-3 (File No. 33- as filed on September 6, 1995), Form S-3 (File No. 33-51029, effective December 31, 1993), Form S-3 (File No. 33-5956, effective March 10, 1993), Form S-8 (File No. 33-55111, effective August 17, 1994), and Form S-8 (File No. 33-60252, effective March 30, 1993).</w:t>
      </w: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Warady &amp; Davis LLP</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September 21, 1995</w:t>
      </w:r>
    </w:p>
    <w:p>
      <w:pPr>
        <w:spacing w:after="0" w:line="177"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/s/ Warady &amp; Davis LLP</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sectPr>
      <w:pgSz w:w="11900" w:h="16838" w:orient="portrait"/>
      <w:cols w:equalWidth="0" w:num="1">
        <w:col w:w="10219"/>
      </w:cols>
      <w:pgMar w:left="240" w:top="3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2019-12-13T00:53:55Z</dcterms:created>
  <dcterms:modified xsi:type="dcterms:W3CDTF">2019-12-13T00:53:55Z</dcterms:modified>
</cp:coreProperties>
</file>