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2005</w:t>
      </w:r>
    </w:p>
    <w:p>
      <w:pPr>
        <w:spacing w:after="0" w:line="23" w:lineRule="exact"/>
        <w:rPr>
          <w:sz w:val="24"/>
          <w:szCs w:val="24"/>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-17780</wp:posOffset>
            </wp:positionV>
            <wp:extent cx="222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tbl>
      <w:tblPr>
        <w:tblLayout w:type="fixed"/>
        <w:tblInd w:w="980" w:type="dxa"/>
        <w:tblCellMar>
          <w:top w:w="0" w:type="dxa"/>
          <w:left w:w="0" w:type="dxa"/>
          <w:bottom w:w="0" w:type="dxa"/>
          <w:right w:w="0" w:type="dxa"/>
        </w:tblCellMar>
      </w:tblPr>
      <w:tr>
        <w:trPr>
          <w:trHeight w:val="178"/>
        </w:trPr>
        <w:tc>
          <w:tcPr>
            <w:tcW w:w="9320" w:type="dxa"/>
            <w:vAlign w:val="bottom"/>
            <w:gridSpan w:val="3"/>
          </w:tcPr>
          <w:p>
            <w:pPr>
              <w:ind w:left="3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45"/>
        </w:trPr>
        <w:tc>
          <w:tcPr>
            <w:tcW w:w="3760" w:type="dxa"/>
            <w:vAlign w:val="bottom"/>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3600" w:type="dxa"/>
            <w:vAlign w:val="bottom"/>
          </w:tcPr>
          <w:p>
            <w:pPr>
              <w:spacing w:after="0"/>
              <w:rPr>
                <w:sz w:val="12"/>
                <w:szCs w:val="12"/>
                <w:color w:val="auto"/>
              </w:rPr>
            </w:pPr>
          </w:p>
        </w:tc>
      </w:tr>
      <w:tr>
        <w:trPr>
          <w:trHeight w:val="368"/>
        </w:trPr>
        <w:tc>
          <w:tcPr>
            <w:tcW w:w="57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600" w:type="dxa"/>
            <w:vAlign w:val="bottom"/>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49"/>
        </w:trPr>
        <w:tc>
          <w:tcPr>
            <w:tcW w:w="5720" w:type="dxa"/>
            <w:vAlign w:val="bottom"/>
            <w:gridSpan w:val="2"/>
          </w:tcPr>
          <w:p>
            <w:pPr>
              <w:jc w:val="center"/>
              <w:ind w:right="19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600" w:type="dxa"/>
            <w:vAlign w:val="bottom"/>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572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60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r>
      <w:tr>
        <w:trPr>
          <w:trHeight w:val="416"/>
        </w:trPr>
        <w:tc>
          <w:tcPr>
            <w:tcW w:w="3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7"/>
              </w:rPr>
              <w:t>Dawn M. Becker</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7"/>
              </w:rPr>
              <w:t>Executive Vice President, General Counsel,</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7"/>
              </w:rPr>
              <w:t>Secretary</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7"/>
              </w:rPr>
              <w:t>Federal Realty Investment Trust</w:t>
            </w:r>
          </w:p>
        </w:tc>
      </w:tr>
      <w:tr>
        <w:trPr>
          <w:trHeight w:val="216"/>
        </w:trPr>
        <w:tc>
          <w:tcPr>
            <w:tcW w:w="57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7"/>
              </w:rPr>
              <w:t>1626 East Jefferson Street</w:t>
            </w:r>
          </w:p>
        </w:tc>
        <w:tc>
          <w:tcPr>
            <w:tcW w:w="360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7"/>
              </w:rPr>
              <w:t>1626 East Jefferson Street</w:t>
            </w:r>
          </w:p>
        </w:tc>
      </w:tr>
      <w:tr>
        <w:trPr>
          <w:trHeight w:val="216"/>
        </w:trPr>
        <w:tc>
          <w:tcPr>
            <w:tcW w:w="572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Rockville, Maryland 20852</w:t>
            </w:r>
          </w:p>
        </w:tc>
        <w:tc>
          <w:tcPr>
            <w:tcW w:w="360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7"/>
              </w:rPr>
              <w:t>Rockville, Maryland 20852</w:t>
            </w:r>
          </w:p>
        </w:tc>
      </w:tr>
      <w:tr>
        <w:trPr>
          <w:trHeight w:val="229"/>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(301) 998-8100</w:t>
            </w:r>
          </w:p>
        </w:tc>
        <w:tc>
          <w:tcPr>
            <w:tcW w:w="1960" w:type="dxa"/>
            <w:vAlign w:val="bottom"/>
          </w:tcPr>
          <w:p>
            <w:pPr>
              <w:spacing w:after="0"/>
              <w:rPr>
                <w:sz w:val="19"/>
                <w:szCs w:val="19"/>
                <w:color w:val="auto"/>
              </w:rPr>
            </w:pPr>
          </w:p>
        </w:tc>
        <w:tc>
          <w:tcPr>
            <w:tcW w:w="3600" w:type="dxa"/>
            <w:vAlign w:val="bottom"/>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rPr>
              <w:t>(301) 998-8100</w:t>
            </w:r>
          </w:p>
        </w:tc>
      </w:tr>
      <w:tr>
        <w:trPr>
          <w:trHeight w:val="149"/>
        </w:trPr>
        <w:tc>
          <w:tcPr>
            <w:tcW w:w="5720" w:type="dxa"/>
            <w:vAlign w:val="bottom"/>
            <w:gridSpan w:val="2"/>
          </w:tcPr>
          <w:p>
            <w:pPr>
              <w:jc w:val="center"/>
              <w:ind w:right="19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(Address, Including Zip Code, and Telephone Number,</w:t>
            </w:r>
          </w:p>
        </w:tc>
        <w:tc>
          <w:tcPr>
            <w:tcW w:w="3600" w:type="dxa"/>
            <w:vAlign w:val="bottom"/>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w w:val="95"/>
              </w:rPr>
              <w:t>(Name, Address, Including Zip Code, and Telephone</w:t>
            </w:r>
          </w:p>
        </w:tc>
      </w:tr>
      <w:tr>
        <w:trPr>
          <w:trHeight w:val="178"/>
        </w:trPr>
        <w:tc>
          <w:tcPr>
            <w:tcW w:w="572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w w:val="96"/>
              </w:rPr>
              <w:t>Including Area Code, of Registrant’s Principal Executive Offices)</w:t>
            </w:r>
          </w:p>
        </w:tc>
        <w:tc>
          <w:tcPr>
            <w:tcW w:w="36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5"/>
              </w:rPr>
              <w:t>Number, Including Area Code, of Agent for Service)</w:t>
            </w:r>
          </w:p>
        </w:tc>
      </w:tr>
    </w:tbl>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Sylvia M. Mahaffey,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9" w:lineRule="exact"/>
        <w:rPr>
          <w:sz w:val="24"/>
          <w:szCs w:val="24"/>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Approximate date the registrant proposes to begin selling securities to the public: </w:t>
      </w:r>
      <w:r>
        <w:rPr>
          <w:rFonts w:ascii="Times New Roman" w:cs="Times New Roman" w:eastAsia="Times New Roman" w:hAnsi="Times New Roman"/>
          <w:sz w:val="18"/>
          <w:szCs w:val="18"/>
          <w:color w:val="auto"/>
        </w:rPr>
        <w:t>From time to time after the effective date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78" w:lineRule="exact"/>
        <w:rPr>
          <w:sz w:val="24"/>
          <w:szCs w:val="24"/>
          <w:color w:val="auto"/>
        </w:rPr>
      </w:pPr>
    </w:p>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7" w:lineRule="exact"/>
        <w:rPr>
          <w:sz w:val="24"/>
          <w:szCs w:val="24"/>
          <w:color w:val="auto"/>
        </w:rPr>
      </w:pPr>
    </w:p>
    <w:p>
      <w:pPr>
        <w:ind w:right="34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in connection with dividend or interest reinvestment plans, check the following box.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7" w:lineRule="exact"/>
        <w:rPr>
          <w:sz w:val="24"/>
          <w:szCs w:val="24"/>
          <w:color w:val="auto"/>
        </w:rPr>
      </w:pPr>
    </w:p>
    <w:p>
      <w:pPr>
        <w:ind w:right="56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600" w:type="dxa"/>
            <w:vAlign w:val="bottom"/>
            <w:vMerge w:val="restart"/>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Proposed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100" w:type="dxa"/>
            <w:vAlign w:val="bottom"/>
          </w:tcPr>
          <w:p>
            <w:pPr>
              <w:jc w:val="center"/>
              <w:ind w:left="327"/>
              <w:spacing w:after="0" w:line="13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jc w:val="center"/>
              <w:ind w:right="306"/>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160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0"/>
              </w:rPr>
              <w:t>To Be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100" w:type="dxa"/>
            <w:vAlign w:val="bottom"/>
          </w:tcPr>
          <w:p>
            <w:pPr>
              <w:jc w:val="center"/>
              <w:ind w:left="307"/>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Borders>
              <w:bottom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16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4"/>
              </w:rPr>
              <w:t>Registered</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Unit</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100" w:type="dxa"/>
            <w:vAlign w:val="bottom"/>
            <w:tcBorders>
              <w:bottom w:val="single" w:sz="8" w:color="auto"/>
            </w:tcBorders>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of Beneficial Interest, par value $.01 per share (1)</w:t>
            </w:r>
          </w:p>
        </w:tc>
        <w:tc>
          <w:tcPr>
            <w:tcW w:w="1600" w:type="dxa"/>
            <w:vAlign w:val="bottom"/>
          </w:tcPr>
          <w:p>
            <w:pPr>
              <w:jc w:val="center"/>
              <w:ind w:left="7"/>
              <w:spacing w:after="0"/>
              <w:rPr>
                <w:sz w:val="20"/>
                <w:szCs w:val="20"/>
                <w:color w:val="auto"/>
              </w:rPr>
            </w:pPr>
            <w:r>
              <w:rPr>
                <w:rFonts w:ascii="Times New Roman" w:cs="Times New Roman" w:eastAsia="Times New Roman" w:hAnsi="Times New Roman"/>
                <w:sz w:val="18"/>
                <w:szCs w:val="18"/>
                <w:color w:val="auto"/>
                <w:w w:val="95"/>
              </w:rPr>
              <w:t>123,130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$55.81(2)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$6,871,886(2)</w:t>
            </w:r>
          </w:p>
        </w:tc>
        <w:tc>
          <w:tcPr>
            <w:tcW w:w="1100" w:type="dxa"/>
            <w:vAlign w:val="bottom"/>
          </w:tcPr>
          <w:p>
            <w:pPr>
              <w:jc w:val="center"/>
              <w:ind w:left="307"/>
              <w:spacing w:after="0"/>
              <w:rPr>
                <w:sz w:val="20"/>
                <w:szCs w:val="20"/>
                <w:color w:val="auto"/>
              </w:rPr>
            </w:pPr>
            <w:r>
              <w:rPr>
                <w:rFonts w:ascii="Times New Roman" w:cs="Times New Roman" w:eastAsia="Times New Roman" w:hAnsi="Times New Roman"/>
                <w:sz w:val="18"/>
                <w:szCs w:val="18"/>
                <w:color w:val="auto"/>
                <w:w w:val="95"/>
              </w:rPr>
              <w:t>$808.82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0"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associated rights to purchase common shares of beneficial interest of the registrant.</w:t>
      </w:r>
    </w:p>
    <w:p>
      <w:pPr>
        <w:spacing w:after="0" w:line="76"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457(c) under the Securities Act of 1933 and based upon prices on the New York Stock Exchange on June 1, 2005.</w:t>
      </w:r>
    </w:p>
    <w:p>
      <w:pPr>
        <w:spacing w:after="0" w:line="106" w:lineRule="exact"/>
        <w:rPr>
          <w:sz w:val="24"/>
          <w:szCs w:val="24"/>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The information in this prospectus is not complete and may be changed. The selling shareholder identified herein may not sell the securities covered by this prospectus until the Securities and Exchange Commission declares the registration statement of which this prospectus is a part effective. This prospectus is not an offer to sell these securities and it is not soliciting an offer to buy these securities in any state where such an offer or sale is not permitted.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to Completion, Dated June 3,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[LOGO]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Common Shares of Beneficial Interest</w:t>
      </w:r>
    </w:p>
    <w:p>
      <w:pPr>
        <w:spacing w:after="0" w:line="17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person listed herein, who is a shareholder of Federal Realty Investment Trust, may offer and sell from time to time up to 123,130 common shares of beneficial interest under this prospectus. We refer to such person as the selling shareholder. We are registering the offered shares as required under the terms of a registration rights agreement between the selling shareholder and us. Our registration of the offered shares does not mean that the selling shareholder will offer or sell any of the offered shares. We will receive no proceeds of any sales of the offered shares by the selling shareholder, but we will incur expenses in connection with the offering.</w:t>
      </w:r>
    </w:p>
    <w:p>
      <w:pPr>
        <w:spacing w:after="0" w:line="125"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selling shareholder may sell the offered shares in public or private transactions, on or off the New York Stock Exchange, at prevailing market prices or at privately negotiated prices. The selling shareholder may sell the offered shares directly or through agents or broker-dealers acting as principal or agent, or in a distribution by underwriters.</w:t>
      </w:r>
    </w:p>
    <w:p>
      <w:pPr>
        <w:spacing w:after="0" w:line="119" w:lineRule="exact"/>
        <w:rPr>
          <w:sz w:val="20"/>
          <w:szCs w:val="20"/>
          <w:color w:val="auto"/>
        </w:rPr>
      </w:pPr>
    </w:p>
    <w:p>
      <w:pPr>
        <w:ind w:left="460" w:right="4400"/>
        <w:spacing w:after="0" w:line="4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common shares are listed on the New York Stock Exchange under the symbol “FRT.” Investing in our common shares involves risks. See “ </w:t>
      </w:r>
      <w:hyperlink w:anchor="page5">
        <w:r>
          <w:rPr>
            <w:rFonts w:ascii="Times New Roman" w:cs="Times New Roman" w:eastAsia="Times New Roman" w:hAnsi="Times New Roman"/>
            <w:sz w:val="20"/>
            <w:szCs w:val="20"/>
            <w:b w:val="1"/>
            <w:bCs w:val="1"/>
            <w:u w:val="single" w:color="auto"/>
            <w:color w:val="auto"/>
          </w:rPr>
          <w:t>Risk Factors</w:t>
        </w:r>
      </w:hyperlink>
      <w:r>
        <w:rPr>
          <w:rFonts w:ascii="Times New Roman" w:cs="Times New Roman" w:eastAsia="Times New Roman" w:hAnsi="Times New Roman"/>
          <w:sz w:val="17"/>
          <w:szCs w:val="17"/>
          <w:color w:val="auto"/>
        </w:rPr>
        <w:t>” beginning on page 3.</w:t>
      </w:r>
    </w:p>
    <w:p>
      <w:pPr>
        <w:spacing w:after="0" w:line="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offered shares, or determined if this prospectus is truthful or complete. Any representation to the contrary is a criminal offense.</w:t>
      </w:r>
    </w:p>
    <w:p>
      <w:pPr>
        <w:spacing w:after="0" w:line="89" w:lineRule="exact"/>
        <w:rPr>
          <w:sz w:val="20"/>
          <w:szCs w:val="20"/>
          <w:color w:val="auto"/>
        </w:rPr>
      </w:pPr>
    </w:p>
    <w:tbl>
      <w:tblPr>
        <w:tblLayout w:type="fixed"/>
        <w:tblInd w:w="38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The date of this prospectus is</w:t>
            </w: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2005.</w:t>
            </w:r>
          </w:p>
        </w:tc>
      </w:tr>
    </w:tbl>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20" w:type="dxa"/>
            <w:vAlign w:val="bottom"/>
            <w:gridSpan w:val="2"/>
          </w:tcPr>
          <w:p>
            <w:pPr>
              <w:jc w:val="right"/>
              <w:ind w:right="469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About This Prospectus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304"/>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Disclosure Regarding Forward-Looking Statements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6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The Trust</w:t>
              </w:r>
            </w:hyperlink>
          </w:p>
        </w:tc>
        <w:tc>
          <w:tcPr>
            <w:tcW w:w="56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304"/>
        </w:trPr>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Risk Factors</w:t>
              </w:r>
            </w:hyperlink>
          </w:p>
        </w:tc>
        <w:tc>
          <w:tcPr>
            <w:tcW w:w="3300" w:type="dxa"/>
            <w:vAlign w:val="bottom"/>
            <w:gridSpan w:val="8"/>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Use of Proceeds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304"/>
        </w:trPr>
        <w:tc>
          <w:tcPr>
            <w:tcW w:w="14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Selling Shareholder</w:t>
              </w:r>
            </w:hyperlink>
          </w:p>
        </w:tc>
        <w:tc>
          <w:tcPr>
            <w:tcW w:w="2800" w:type="dxa"/>
            <w:vAlign w:val="bottom"/>
            <w:gridSpan w:val="5"/>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Federal Income Tax Considerations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5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Plan of Distribution</w:t>
              </w:r>
            </w:hyperlink>
          </w:p>
        </w:tc>
        <w:tc>
          <w:tcPr>
            <w:tcW w:w="1700" w:type="dxa"/>
            <w:vAlign w:val="bottom"/>
            <w:gridSpan w:val="3"/>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4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Experts</w:t>
              </w:r>
            </w:hyperlink>
          </w:p>
        </w:tc>
        <w:tc>
          <w:tcPr>
            <w:tcW w:w="2800" w:type="dxa"/>
            <w:vAlign w:val="bottom"/>
            <w:gridSpan w:val="5"/>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304"/>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Matters</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304"/>
        </w:trPr>
        <w:tc>
          <w:tcPr>
            <w:tcW w:w="4200" w:type="dxa"/>
            <w:vAlign w:val="bottom"/>
            <w:gridSpan w:val="1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Where You Can Find More Information</w:t>
              </w:r>
            </w:hyperlink>
          </w:p>
        </w:tc>
        <w:tc>
          <w:tcPr>
            <w:tcW w:w="7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0"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9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offered shares. Each time the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2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As used in this prospectus, references to “we,” “our,” the “Trust” and “Federal Realty” and similar references are to Federal Realty Investment Trust, a Maryland real estate investment trust and its consolidated subsidiaries. As used in this prospectus, references to the “selling shareholder” and similar references are to the person listed herein, who is a shareholder of Federal Realty Investment Trust and who may offer and sell from time to time up to 123,130 common shares of beneficial interest under this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Given these uncertainties, we caution you not to place undue reliance on any forward-looking statements that we make, including those in this prospectus. Such factors include, but are not limited to, the risk factors described below, and include the following:</w:t>
      </w:r>
    </w:p>
    <w:p>
      <w:pPr>
        <w:spacing w:after="0" w:line="44" w:lineRule="exact"/>
        <w:rPr>
          <w:sz w:val="20"/>
          <w:szCs w:val="20"/>
          <w:color w:val="auto"/>
        </w:rPr>
      </w:pPr>
    </w:p>
    <w:p>
      <w:pPr>
        <w:ind w:left="5680" w:right="1440" w:hanging="5226"/>
        <w:spacing w:after="0" w:line="478" w:lineRule="auto"/>
        <w:tabs>
          <w:tab w:leader="none" w:pos="9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or that we may be unable to renew leases or re-let space at favorable rents as leases expire; 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number of properties we acquire for our own account, and therefore the amount of capital we invest in acquisitions, may be impacted by our real estate joint venture partnership;</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anticipated or ongoing property redevelopments or renovations may fail to perform as expected,</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new acquisitions may fail to perform as expected,</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risks at our properties and result in unanticipated costs, and</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that we may not be able to sell properties when appropriate;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03"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7" w:lineRule="exact"/>
        <w:rPr>
          <w:rFonts w:ascii="Times New Roman" w:cs="Times New Roman" w:eastAsia="Times New Roman" w:hAnsi="Times New Roman"/>
          <w:sz w:val="18"/>
          <w:szCs w:val="18"/>
          <w:color w:val="auto"/>
        </w:rPr>
      </w:pPr>
    </w:p>
    <w:p>
      <w:pPr>
        <w:ind w:left="900" w:right="120" w:hanging="446"/>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identify forward-looking statements in this prospectus and other materials filed or to be filed by us with the Securities and Exchange Commission, or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Except as may be required by law, we make no promise to update any of the forward-looking statements as a result of new information, future events, or otherwise.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160"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are an equity real estate investment trust specializing in the ownership, management, development and redevelopment of retail and mixed-use properties. As of March 31, 2005, we owned or had a majority interest in 105 community and neighborhood shopping centers and retail mixed-use properties comprising approximately 17.4 million square feet, located primarily in densely populated and affluent communities throughout the Northeast and Mid-Atlantic United States, as well as in California, and one apartment complex in Maryland. In total, these 105 commercial properties were 95.1% leased at March 31, 2005, 95.1% leased at December 31, 2004, 94.2% leased at June 30, 2004, 93.1% leased at December 31, 2003 and 93.1% leased at June 30, 2003. A joint venture in which we own a 30% interest owned four neighborhood shopping centers totaling approximately 0.5 million square feet as of March 31, 2005. In total, the joint venture properties in which we own an interest were 98% leased at March 31, 2005. We have paid quarterly dividends to our shareholders continuously since our founding in 1962, and have increased our dividend rate for 37 consecutive years.</w:t>
      </w:r>
    </w:p>
    <w:p>
      <w:pPr>
        <w:spacing w:after="0" w:line="125"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operate our business on an asset management model, where focused teams are responsible for a portfolio of assets. We have divided our portfolio of properties into two operating regions: the East and West. Each region is operated under the direction of an asset manager, with dedicated leasing, property management and financial staff, and operates largely autonomously with respect to day-to-day operating decisions.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Our principal executive offices are located at 1626 East Jefferson Street, Rockville, Maryland 20852 and our telephone number is (301) 998-8100. Our Web site address is www.federalrealty.com. The information contained on our Web site is not a part of this prospectus.</w:t>
      </w:r>
    </w:p>
    <w:p>
      <w:pPr>
        <w:spacing w:after="0" w:line="1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our properties may be reduced or limited if the retail operations of our tenants are not successful.</w:t>
      </w:r>
    </w:p>
    <w:p>
      <w:pPr>
        <w:spacing w:after="0" w:line="7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income depends on the success and continued presence of our “anchor” tenants.</w:t>
      </w:r>
    </w:p>
    <w:p>
      <w:pPr>
        <w:spacing w:after="0" w:line="7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amounts of customers to a property. The closing of one or more 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difficulty or delay in renewing leases or re-leasing space.</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amount of debt we have and the restrictions imposed by that debt could adversely affect our business and financial condition.</w:t>
      </w:r>
    </w:p>
    <w:p>
      <w:pPr>
        <w:spacing w:after="0" w:line="79"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We have a substantial amount of debt. As of March 31, 2005, we had approximately $1.4 billion of debt outstanding. Of that outstanding debt, approximately $251 million was secured by 12 of our properties and approximately $159 million represented capital lease obligations on 11 of our properties. In addition, we own a 30% interest in a joint venture that had $47.2 million of debt secured by four properties as of March 31, 2005. All of our property secured debt (including the property secured debt of the joint venture), our capital lease obligations and approximately $720 million of our remaining debt is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16" w:lineRule="exact"/>
        <w:rPr>
          <w:sz w:val="20"/>
          <w:szCs w:val="20"/>
          <w:color w:val="auto"/>
        </w:rPr>
      </w:pPr>
    </w:p>
    <w:p>
      <w:pPr>
        <w:ind w:left="9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make distributions on our outstanding common shares and preferred shares;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to satisfy our debt service requirements;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increased amounts of our cash flow from operations to payments on our variable rate, unhedged debt if interest rates rise;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factors that affect the profitability of our business;</w:t>
      </w:r>
    </w:p>
    <w:p>
      <w:pPr>
        <w:spacing w:after="0" w:line="103" w:lineRule="exact"/>
        <w:rPr>
          <w:rFonts w:ascii="Times New Roman" w:cs="Times New Roman" w:eastAsia="Times New Roman" w:hAnsi="Times New Roman"/>
          <w:sz w:val="18"/>
          <w:szCs w:val="18"/>
          <w:color w:val="auto"/>
        </w:rPr>
      </w:pPr>
    </w:p>
    <w:p>
      <w:pPr>
        <w:ind w:left="900" w:right="880" w:hanging="446"/>
        <w:spacing w:after="0" w:line="325"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1" w:lineRule="exact"/>
        <w:rPr>
          <w:rFonts w:ascii="Times New Roman" w:cs="Times New Roman" w:eastAsia="Times New Roman" w:hAnsi="Times New Roman"/>
          <w:sz w:val="16"/>
          <w:szCs w:val="16"/>
          <w:color w:val="auto"/>
        </w:rPr>
      </w:pPr>
    </w:p>
    <w:p>
      <w:pPr>
        <w:ind w:left="900" w:right="46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conducting our business, which may place us at a disadvantage compared to competitors with less debt or debt with less restrictive terms.</w:t>
      </w:r>
    </w:p>
    <w:p>
      <w:pPr>
        <w:spacing w:after="0" w:line="10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2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2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credit facility and term loans include financial covenants that may limit our operating activities in the future. These covenants require us, among other things, to:</w:t>
      </w:r>
    </w:p>
    <w:p>
      <w:pPr>
        <w:spacing w:after="0" w:line="25"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debt as a percentage of total asset value to less than .55 to 1 (we maintained a ratio of .44 to 1 as of March 31,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secured debt as a percentage of total asset value to less than .30 to 1 (we maintained a ratio of .14 to 1 as of March 31, 2005);</w:t>
      </w:r>
    </w:p>
    <w:p>
      <w:pPr>
        <w:spacing w:after="0" w:line="103"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debt so that our interest and other fixed charge coverage will exceed 1.75 to 1 (we maintained a ratio of 2.23 to 1 as of March 31, 2005);</w:t>
      </w:r>
    </w:p>
    <w:p>
      <w:pPr>
        <w:spacing w:after="0" w:line="25"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unsecured debt so that unencumbered asset value to unsecured debt will equal or exceed 1.75 to 1 (we maintained a ratio of 2.59 to 1 as of March 31, 2005); and</w:t>
      </w:r>
    </w:p>
    <w:p>
      <w:pPr>
        <w:spacing w:after="0" w:line="25" w:lineRule="exact"/>
        <w:rPr>
          <w:rFonts w:ascii="Times New Roman" w:cs="Times New Roman" w:eastAsia="Times New Roman" w:hAnsi="Times New Roman"/>
          <w:sz w:val="18"/>
          <w:szCs w:val="18"/>
          <w:color w:val="auto"/>
        </w:rPr>
      </w:pPr>
    </w:p>
    <w:p>
      <w:pPr>
        <w:ind w:left="900" w:right="5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total cost of development projects under construction to 15% or less of total asset value (the budgeted total cost of our projects under construction at March 31, 2005 represented 2.7% of gross asset value).</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Because these covenants are calculated in accordance with the terms of our credit facility, there is no relevant reconciliation to these ratios under generally accepted accounting principles.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obligated to comply with additional covenants, including, among others, provisions:</w:t>
      </w:r>
    </w:p>
    <w:p>
      <w:pPr>
        <w:spacing w:after="0" w:line="77"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maintenance of property securing a mortgage;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pledge assets or create other liens;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incur additional debt;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amend or modify existing leases at properties securing a mortgage;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enter into transactions with affiliates;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consolidate, merge or sell all or substantially all of our assets.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93" w:lineRule="auto"/>
        <w:rPr>
          <w:sz w:val="20"/>
          <w:szCs w:val="20"/>
          <w:color w:val="auto"/>
        </w:rPr>
      </w:pPr>
      <w:r>
        <w:rPr>
          <w:rFonts w:ascii="Times New Roman" w:cs="Times New Roman" w:eastAsia="Times New Roman" w:hAnsi="Times New Roman"/>
          <w:sz w:val="16"/>
          <w:szCs w:val="16"/>
          <w:color w:val="auto"/>
        </w:rPr>
        <w:t>As of March 31, 2005,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activities are inherently risky.</w:t>
      </w:r>
    </w:p>
    <w:p>
      <w:pPr>
        <w:spacing w:after="0" w:line="77"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The ground-up development of improvements on real property, as opposed to the renovation and redevelopment of existing improvements,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presents substantial risks. We do not intend to undertake construction of any new large-scale mixed-use, ground-up development projects; however, we do intend to complete the development and construction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8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risks associated with real estate investment in general as described elsewhere, the risks associated with our remaining development activities include:</w:t>
      </w:r>
    </w:p>
    <w:p>
      <w:pPr>
        <w:spacing w:after="0" w:line="25"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lag between commencement and completion subjects us to greater risks due to fluctuation in the general economy;</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to obtain construction or permanent financing on favorable terms;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money and time on projects that may never be completed;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projected rental rates or anticipated pace of lease-up;</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higher-than-estimated construction costs, including labor and material costs; and</w:t>
      </w:r>
    </w:p>
    <w:p>
      <w:pPr>
        <w:spacing w:after="0" w:line="103"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04"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Santana Row</w:t>
      </w:r>
      <w:r>
        <w:rPr>
          <w:rFonts w:ascii="Times New Roman" w:cs="Times New Roman" w:eastAsia="Times New Roman" w:hAnsi="Times New Roman"/>
          <w:sz w:val="18"/>
          <w:szCs w:val="18"/>
          <w:color w:val="auto"/>
        </w:rPr>
        <w:t>. Santana Row is our largest single investment, and if it is not successful it could have a material adverse effect on our financial condition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As of December 31, 2004, we had in excess of $500 million invested at Santana Row, and we expect to invest an additional $35 - $45 million to complete ongoing redevelopment projects at Santana Row over the next 12-18 months. We are currently in the process of constructing Phase IV of the project, which consists of rebuilding on Building 7 256 residential units that were destroyed by a fire in August 2002. We have estimated the incremental cost of completing Phase IV to be approximately $60 million.</w:t>
      </w:r>
    </w:p>
    <w:p>
      <w:pPr>
        <w:spacing w:after="0" w:line="12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Phase IV or future phases of Santana Row, by an inability to achieve the market rents that were projected when the project was commenced, or by slower than projected lease-up of the project.</w:t>
      </w:r>
    </w:p>
    <w:p>
      <w:pPr>
        <w:spacing w:after="0" w:line="125"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currently exploring the possibility of selling some of the residential units at Santana Row as condominium units. If we complete any of those sales, our costs of operating the project could increase which would reduce our net income from the project. In addition, the condominium associations for those units we sell would have some rights to vote on budgets and some ability to impact the way in which the project is operated which could adversely impact the success of the project or reduce our net income.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Redevelopments and acquisitions may fail to perform as expected.</w:t>
      </w:r>
    </w:p>
    <w:p>
      <w:pPr>
        <w:spacing w:after="0" w:line="7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 risks that include the following, any of which could adversely affect our results of operations and our ability to meet our obligations:</w:t>
      </w:r>
    </w:p>
    <w:p>
      <w:pPr>
        <w:spacing w:after="0" w:line="38" w:lineRule="exact"/>
        <w:rPr>
          <w:sz w:val="20"/>
          <w:szCs w:val="20"/>
          <w:color w:val="auto"/>
        </w:rPr>
      </w:pPr>
    </w:p>
    <w:p>
      <w:pPr>
        <w:ind w:left="900" w:right="30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properties to acquire or may be unable to complete the acquisition of the properties we identify;</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integrate any acquisitions into our existing operations successfully;</w:t>
      </w:r>
    </w:p>
    <w:p>
      <w:pPr>
        <w:spacing w:after="0" w:line="103"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will be limited if we cannot obtain additional capital.</w:t>
      </w:r>
    </w:p>
    <w:p>
      <w:pPr>
        <w:spacing w:after="0" w:line="7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Rising interest rates could adversely affect our cash flow and the market price of our outstanding debt and preferred shares.</w:t>
      </w:r>
    </w:p>
    <w:p>
      <w:pPr>
        <w:spacing w:after="0" w:line="79"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Of our approximately $1.4 billion of debt outstanding as of March 31, 2005, approximately $229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shares, to demand a higher annual yield, which could adversely affect the market price of our outstanding debt securities and preferred shares and the cost of issuing additional debt securities or preferred shares.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and value are subject to general risks associated with the real estate industry.</w:t>
      </w:r>
    </w:p>
    <w:p>
      <w:pPr>
        <w:spacing w:after="0" w:line="7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8"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the areas where our properties are located;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local real estate market conditions, such as oversupply or reduction in demand;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tenant preferences that reduce the attractiveness of our properties to tenants;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or regulatory restrictions;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market rental rates;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may increase or decrease energy costs and other weather-related expenses;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need to periodically repair, renovate and re-lease space; and</w:t>
      </w:r>
    </w:p>
    <w:p>
      <w:pPr>
        <w:spacing w:after="0" w:line="103"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Many real estate costs are fixed, even if income from our properties decreases.</w:t>
      </w:r>
    </w:p>
    <w:p>
      <w:pPr>
        <w:spacing w:after="0" w:line="7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that property until the property is fully leased.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may limit our ability to purchase new properties and generate sufficient income from tenants.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Numerous commercial developers and real estate companies compete with us in seeking tenants for our existing properties and properties for acquisition.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competition may:</w:t>
      </w:r>
    </w:p>
    <w:p>
      <w:pPr>
        <w:spacing w:after="0" w:line="64"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properties available for acquisition;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properties available for acquisition;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rents payable to us;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our ability to attract and retain tenants;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increased vacancy rates at our properties;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ability to minimize expenses of operation.</w:t>
      </w:r>
    </w:p>
    <w:p>
      <w:pPr>
        <w:spacing w:after="0" w:line="185"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sell properties when appropriate because real estate investments are illiquid.</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insurance coverage on our properties may be inadequate or may become inadequate.</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of May 31, 2005, we carry comprehensive insurance on all of our properties, including insurance for liability, fire, flood, and rental loss. We also carry earthquake insurance on all of our properties in California and environmental insurance on most of our properties. All of these policies contain coverage limitations. We believe these coverages are of the types and amounts customarily obtained for or by an owner of real property assets. We intend to obtain similar insurance coverage on subsequently acquired properties.</w:t>
      </w:r>
    </w:p>
    <w:p>
      <w:pPr>
        <w:spacing w:after="0" w:line="12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As a consequence of significant losses incurred by the insurance industry, the availability of insurance coverage may decrease and the prices for insurance may increase.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limited flexibility in dealing with our jointly owned investments.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organizational documents do not limit the amount of funds that we may invest in properties and assets jointly with other persons or entities and as of May 31, 2005, excluding our joint venture with Clarion Lion Properties Fund we hold eight shopping centers and five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17 of our existing co-investments as of May 31, 2005, we must obtain the consent of the co-investor or meet defined criteria to sell or to finance five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3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on July 1, 2004, we entered into a new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44"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new leases, modify existing leases or enforce remedies against, anchor tenants;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repairs, renovations or other changes or improvements to properties; and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finance the property with secured debt.</w:t>
      </w:r>
    </w:p>
    <w:p>
      <w:pPr>
        <w:spacing w:after="0" w:line="18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terms of our partnership require that certain acquisition opportunities be presented first to the joint venture which limit our ability to acquire properties for our own account which could, in turn, limit our ability to grow. Our investment in this joint venture is also subject to the risks described above for jointly owned investments. As of May 31, 2005, this joint venture owned four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 and regulations could reduce the value or profitability of our properties.</w:t>
      </w:r>
    </w:p>
    <w:p>
      <w:pPr>
        <w:spacing w:after="0" w:line="7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0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Americans with Disabilities Act of 1990 could require us to take remedial steps with respect to existing or newly acquired properties.</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existing properties, as well as properties we may acquire, as commercial facilities, are required to comply with Title III of the Americans with Disabilities Act of 1990, or the ADA. Investigation of a property may reveal non-compliance with the ADA. The requirements of the ADA, or of other federal, state or local laws, also may change in the future and restrict further renovations of our properties with respect to access for disabled persons. Future compliance with the ADA may require expensive changes to the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revenues generated by our tenants could be negatively affected by various federal, state and local laws to which they are subject.</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0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24"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we cannot assure you that we will remain qualified as such in the future.</w:t>
      </w:r>
    </w:p>
    <w:p>
      <w:pPr>
        <w:spacing w:after="0" w:line="11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qualify as a REIT:</w:t>
      </w:r>
    </w:p>
    <w:p>
      <w:pPr>
        <w:spacing w:after="0" w:line="77"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shareholders in computing taxable income;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income tax at regular corporate rates;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the federal alternative minimum tax;</w:t>
      </w:r>
    </w:p>
    <w:p>
      <w:pPr>
        <w:spacing w:after="0" w:line="103"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specific statutory provisions, we could not elect to be taxed as a REIT for four taxable years following the year during which we were disqualified;</w:t>
      </w:r>
    </w:p>
    <w:p>
      <w:pPr>
        <w:spacing w:after="0" w:line="25"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required by law to make any distributions to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incur additional debt to qualify as a REIT.</w:t>
      </w:r>
    </w:p>
    <w:p>
      <w:pPr>
        <w:spacing w:after="0" w:line="79"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11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25" w:lineRule="exact"/>
        <w:rPr>
          <w:sz w:val="20"/>
          <w:szCs w:val="20"/>
          <w:color w:val="auto"/>
        </w:rPr>
      </w:pPr>
    </w:p>
    <w:p>
      <w:pPr>
        <w:ind w:left="900" w:right="18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income may not be matched by our related expenses at the time the income is considered received for purposes of determining taxable income; and</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non-deductible capital expenditures, creation of reserves, or debt service requirements may reduce available cash but not taxable income.</w:t>
      </w:r>
    </w:p>
    <w:p>
      <w:pPr>
        <w:spacing w:after="0" w:line="185"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maintain our status as a REIT, we limit the amount of shares any one shareholder can own.</w:t>
      </w:r>
    </w:p>
    <w:p>
      <w:pPr>
        <w:spacing w:after="0" w:line="7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3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assure you we will continue to pay dividends at historical rates.</w:t>
      </w:r>
    </w:p>
    <w:p>
      <w:pPr>
        <w:spacing w:after="0" w:line="7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25"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future operations;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lease terms by tenants;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loan covenants;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finance, develop or redevelop and lease additional properties at attractive rates.</w:t>
      </w:r>
    </w:p>
    <w:p>
      <w:pPr>
        <w:spacing w:after="0" w:line="18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tax and anti-takeover provisions of our declaration of trust and bylaws may inhibit a change of our control.</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2"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ownership limit described above;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our preferred shares with powers, preferences or rights to be determined by the Board of Trustees;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fixed-size Board of Trustees consisting of three classes of trustees;</w:t>
      </w:r>
    </w:p>
    <w:p>
      <w:pPr>
        <w:spacing w:after="0" w:line="103"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shareholders may be called by the chairman of the board, the chief executive officer, the president, by one-third of the trustees or by shareholders possessing no less than 25% of all the votes entitled to be cast at the meeting;</w:t>
      </w:r>
    </w:p>
    <w:p>
      <w:pPr>
        <w:spacing w:after="0" w:line="25"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shareholder vote is required to approve some amendments to the declaration of trust;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advance-notice requirements for proposals to be presented at shareholder meetings; and</w:t>
      </w:r>
    </w:p>
    <w:p>
      <w:pPr>
        <w:spacing w:after="0" w:line="103"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11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25"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8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We may amend or revise our business policies without your approval, and we have adopted a business plan that involves changes in our operational policies.</w:t>
      </w:r>
    </w:p>
    <w:p>
      <w:pPr>
        <w:spacing w:after="0" w:line="24"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3"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jc w:val="both"/>
        <w:ind w:right="140" w:firstLine="456"/>
        <w:spacing w:after="0" w:line="310" w:lineRule="auto"/>
        <w:rPr>
          <w:sz w:val="20"/>
          <w:szCs w:val="20"/>
          <w:color w:val="auto"/>
        </w:rPr>
      </w:pPr>
      <w:r>
        <w:rPr>
          <w:rFonts w:ascii="Times New Roman" w:cs="Times New Roman" w:eastAsia="Times New Roman" w:hAnsi="Times New Roman"/>
          <w:sz w:val="16"/>
          <w:szCs w:val="16"/>
          <w:color w:val="auto"/>
        </w:rPr>
        <w:t>We will not receive any of the proceeds from sales of the common shares covered by this prospectus by the selling shareholder. We will pay all costs and expenses incurred in connection with the offering of the offered shares, other than any brokerage fees and commissions, fees and disbursements of legal counsel for the selling shareholder and share transfer and other taxes attributable to the sale of the common shares, which will be paid by the selling shareholder.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selling shareholder received the common shares in exchange for its limited partnership interests in one of our partnerships, pursuant to the terms of the partnership agreement of that partnership. The following table provides the name of the selling shareholder and the number of common shares that may be offered by the selling shareholder. The address for the selling shareholder is RKR Limited Partnership, c/o N. Richard Kimmel, 1200 Royal Palm Way, Boca Raton, FL 33432. Since the selling shareholder may sell all, some or none of the offered shares, no estimate can be made of the number of offered shares that will be sold by the selling shareholder or that will be owned by the selling shareholder upon completion of the offering. The offered shares represent approximately 0.23% of our total common shares outstanding as of May 31, 2005.</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72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720" w:type="dxa"/>
            <w:vAlign w:val="bottom"/>
            <w:gridSpan w:val="4"/>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Owned Prior to the</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0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gridSpan w:val="2"/>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After the Offering(1)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2840" w:type="dxa"/>
            <w:vAlign w:val="bottom"/>
            <w:gridSpan w:val="3"/>
          </w:tcPr>
          <w:p>
            <w:pPr>
              <w:jc w:val="center"/>
              <w:ind w:left="11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Being</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68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5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6"/>
              </w:rPr>
              <w:t>Percent(2)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Offered</w:t>
            </w:r>
          </w:p>
        </w:tc>
        <w:tc>
          <w:tcPr>
            <w:tcW w:w="4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4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Percent(2)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RKR Limited Partnership</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123,130</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of the shares being offered under this registration statement.</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52,614,174 common shares outstanding as of May 31, 2005.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6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following sections summarize the material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Tax—Exempt U.S. Shareholders” below), financial institutions and broker-dealers, and non-U.S. individuals and foreign corporations (except to the extent discussed in “— Taxation of Non-U.S. Shareholders” below).</w:t>
      </w:r>
    </w:p>
    <w:p>
      <w:pPr>
        <w:spacing w:after="0" w:line="12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859 of the Code with respect to our taxable years ended through December 31, 2004;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38" w:lineRule="exact"/>
        <w:rPr>
          <w:sz w:val="20"/>
          <w:szCs w:val="20"/>
          <w:color w:val="auto"/>
        </w:rPr>
      </w:pPr>
    </w:p>
    <w:p>
      <w:pPr>
        <w:ind w:left="900" w:right="560" w:hanging="446"/>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that we do not distribute or allocate to our shareholders;</w:t>
      </w:r>
    </w:p>
    <w:p>
      <w:pPr>
        <w:spacing w:after="0" w:line="103"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25"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41"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our 2005 taxable year, 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41" w:lineRule="exact"/>
        <w:rPr>
          <w:rFonts w:ascii="Times New Roman" w:cs="Times New Roman" w:eastAsia="Times New Roman" w:hAnsi="Times New Roman"/>
          <w:sz w:val="18"/>
          <w:szCs w:val="18"/>
          <w:color w:val="auto"/>
        </w:rPr>
      </w:pPr>
    </w:p>
    <w:p>
      <w:pPr>
        <w:jc w:val="both"/>
        <w:ind w:left="900" w:right="120" w:hanging="446"/>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our 2005 taxable year, 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37"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03"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58" w:lineRule="exact"/>
        <w:rPr>
          <w:sz w:val="20"/>
          <w:szCs w:val="20"/>
          <w:color w:val="auto"/>
        </w:rPr>
      </w:pPr>
    </w:p>
    <w:p>
      <w:pPr>
        <w:ind w:left="640" w:hanging="17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57" w:lineRule="exact"/>
        <w:rPr>
          <w:rFonts w:ascii="Times New Roman" w:cs="Times New Roman" w:eastAsia="Times New Roman" w:hAnsi="Times New Roman"/>
          <w:sz w:val="18"/>
          <w:szCs w:val="18"/>
          <w:color w:val="auto"/>
        </w:rPr>
      </w:pPr>
    </w:p>
    <w:p>
      <w:pPr>
        <w:ind w:left="5620" w:right="2840" w:hanging="5156"/>
        <w:spacing w:after="0" w:line="447" w:lineRule="auto"/>
        <w:tabs>
          <w:tab w:leader="none" w:pos="6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 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5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57" w:lineRule="exact"/>
        <w:rPr>
          <w:rFonts w:ascii="Times New Roman" w:cs="Times New Roman" w:eastAsia="Times New Roman" w:hAnsi="Times New Roman"/>
          <w:sz w:val="18"/>
          <w:szCs w:val="18"/>
          <w:color w:val="auto"/>
        </w:rPr>
      </w:pPr>
    </w:p>
    <w:p>
      <w:pPr>
        <w:ind w:firstLine="464"/>
        <w:spacing w:after="0" w:line="275"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06" w:lineRule="exact"/>
        <w:rPr>
          <w:rFonts w:ascii="Times New Roman" w:cs="Times New Roman" w:eastAsia="Times New Roman" w:hAnsi="Times New Roman"/>
          <w:sz w:val="18"/>
          <w:szCs w:val="18"/>
          <w:color w:val="auto"/>
        </w:rPr>
      </w:pPr>
    </w:p>
    <w:p>
      <w:pPr>
        <w:ind w:right="480" w:firstLine="464"/>
        <w:spacing w:after="0" w:line="275"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06" w:lineRule="exact"/>
        <w:rPr>
          <w:rFonts w:ascii="Times New Roman" w:cs="Times New Roman" w:eastAsia="Times New Roman" w:hAnsi="Times New Roman"/>
          <w:sz w:val="18"/>
          <w:szCs w:val="18"/>
          <w:color w:val="auto"/>
        </w:rPr>
      </w:pPr>
    </w:p>
    <w:p>
      <w:pPr>
        <w:ind w:right="160" w:firstLine="464"/>
        <w:spacing w:after="0" w:line="275"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U.S. Department of Treasury (“Treasury”); and</w:t>
      </w:r>
    </w:p>
    <w:p>
      <w:pPr>
        <w:spacing w:after="0" w:line="10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“Risk Factors – To maintain our status as a REIT, we limit the amount of shares any one shareholder can own.”</w:t>
      </w:r>
    </w:p>
    <w:p>
      <w:pPr>
        <w:spacing w:after="0" w:line="12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30"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are treated as our assets and gross income for purposes of applying the various REIT qualification requirements.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Tests</w:t>
      </w:r>
      <w:r>
        <w:rPr>
          <w:rFonts w:ascii="Times New Roman" w:cs="Times New Roman" w:eastAsia="Times New Roman" w:hAnsi="Times New Roman"/>
          <w:sz w:val="18"/>
          <w:szCs w:val="18"/>
          <w:color w:val="auto"/>
        </w:rPr>
        <w:t>. We must satisfy two gross income tests annually to maintain our qualification as a REIT:</w:t>
      </w:r>
    </w:p>
    <w:p>
      <w:pPr>
        <w:spacing w:after="0" w:line="79" w:lineRule="exact"/>
        <w:rPr>
          <w:sz w:val="20"/>
          <w:szCs w:val="20"/>
          <w:color w:val="auto"/>
        </w:rPr>
      </w:pPr>
    </w:p>
    <w:p>
      <w:pPr>
        <w:ind w:left="900" w:right="60" w:hanging="446"/>
        <w:spacing w:after="0" w:line="25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4"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15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 Our primary source of income derives from leasing properties. Rent that we receive from real property that we own and lease to tenants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“rents from real property” (which is qualifying income for purposes of the 75% and 95% gross income tests) only if several conditions are met under the REIT tax rules:</w:t>
      </w:r>
    </w:p>
    <w:p>
      <w:pPr>
        <w:spacing w:after="0" w:line="35" w:lineRule="exact"/>
        <w:rPr>
          <w:sz w:val="20"/>
          <w:szCs w:val="20"/>
          <w:color w:val="auto"/>
        </w:rPr>
      </w:pPr>
    </w:p>
    <w:p>
      <w:pPr>
        <w:jc w:val="both"/>
        <w:ind w:left="900" w:right="160" w:hanging="446"/>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37" w:lineRule="exact"/>
        <w:rPr>
          <w:rFonts w:ascii="Times New Roman" w:cs="Times New Roman" w:eastAsia="Times New Roman" w:hAnsi="Times New Roman"/>
          <w:sz w:val="18"/>
          <w:szCs w:val="18"/>
          <w:color w:val="auto"/>
        </w:rPr>
      </w:pPr>
    </w:p>
    <w:p>
      <w:pPr>
        <w:ind w:left="900" w:hanging="446"/>
        <w:spacing w:after="0" w:line="253"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6" w:lineRule="exact"/>
        <w:rPr>
          <w:rFonts w:ascii="Times New Roman" w:cs="Times New Roman" w:eastAsia="Times New Roman" w:hAnsi="Times New Roman"/>
          <w:sz w:val="18"/>
          <w:szCs w:val="18"/>
          <w:color w:val="auto"/>
        </w:rPr>
      </w:pPr>
    </w:p>
    <w:p>
      <w:pPr>
        <w:ind w:left="900" w:right="20" w:hanging="446"/>
        <w:spacing w:after="0" w:line="25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4" w:lineRule="exact"/>
        <w:rPr>
          <w:rFonts w:ascii="Times New Roman" w:cs="Times New Roman" w:eastAsia="Times New Roman" w:hAnsi="Times New Roman"/>
          <w:sz w:val="18"/>
          <w:szCs w:val="18"/>
          <w:color w:val="auto"/>
        </w:rPr>
      </w:pPr>
    </w:p>
    <w:p>
      <w:pPr>
        <w:ind w:left="900" w:right="120" w:hanging="446"/>
        <w:spacing w:after="0" w:line="25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line="25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28"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an ongoing basis, we will use our best efforts not to:</w:t>
      </w:r>
    </w:p>
    <w:p>
      <w:pPr>
        <w:spacing w:after="0" w:line="77" w:lineRule="exact"/>
        <w:rPr>
          <w:sz w:val="20"/>
          <w:szCs w:val="20"/>
          <w:color w:val="auto"/>
        </w:rPr>
      </w:pPr>
    </w:p>
    <w:p>
      <w:pPr>
        <w:ind w:left="900" w:right="8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rent for any property that is based in whole or in part on the income or profits of any person (except by reason of being based on a percentage of receipts or sales, as described above);</w:t>
      </w:r>
    </w:p>
    <w:p>
      <w:pPr>
        <w:spacing w:after="0" w:line="25" w:lineRule="exact"/>
        <w:rPr>
          <w:rFonts w:ascii="Times New Roman" w:cs="Times New Roman" w:eastAsia="Times New Roman" w:hAnsi="Times New Roman"/>
          <w:sz w:val="18"/>
          <w:szCs w:val="18"/>
          <w:color w:val="auto"/>
        </w:rPr>
      </w:pPr>
    </w:p>
    <w:p>
      <w:pPr>
        <w:ind w:left="900" w:right="260" w:hanging="446"/>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37"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25" w:lineRule="exact"/>
        <w:rPr>
          <w:rFonts w:ascii="Times New Roman" w:cs="Times New Roman" w:eastAsia="Times New Roman" w:hAnsi="Times New Roman"/>
          <w:sz w:val="18"/>
          <w:szCs w:val="18"/>
          <w:color w:val="auto"/>
        </w:rPr>
      </w:pPr>
    </w:p>
    <w:p>
      <w:pPr>
        <w:jc w:val="both"/>
        <w:ind w:left="900" w:right="420" w:hanging="446"/>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the Code provisions applicable to REITs are complex, however, we may fail to meet one or more of the foregoing.</w:t>
      </w:r>
    </w:p>
    <w:p>
      <w:pPr>
        <w:spacing w:after="0" w:line="156"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Tax on Income From Property Acquired in Foreclosure</w:t>
      </w:r>
      <w:r>
        <w:rPr>
          <w:rFonts w:ascii="Times New Roman" w:cs="Times New Roman" w:eastAsia="Times New Roman" w:hAnsi="Times New Roman"/>
          <w:sz w:val="18"/>
          <w:szCs w:val="18"/>
          <w:color w:val="auto"/>
        </w:rPr>
        <w:t>. We will be subject to tax at the maximum corporate rate on any income from foreclosure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35" w:lineRule="exact"/>
        <w:rPr>
          <w:sz w:val="20"/>
          <w:szCs w:val="20"/>
          <w:color w:val="auto"/>
        </w:rPr>
      </w:pPr>
    </w:p>
    <w:p>
      <w:pPr>
        <w:ind w:left="900" w:right="220" w:hanging="446"/>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85" w:lineRule="exact"/>
        <w:rPr>
          <w:sz w:val="20"/>
          <w:szCs w:val="20"/>
          <w:color w:val="auto"/>
        </w:rPr>
      </w:pPr>
    </w:p>
    <w:p>
      <w:pPr>
        <w:jc w:val="both"/>
        <w:ind w:right="40" w:firstLine="456"/>
        <w:spacing w:after="0" w:line="325" w:lineRule="auto"/>
        <w:rPr>
          <w:sz w:val="20"/>
          <w:szCs w:val="20"/>
          <w:color w:val="auto"/>
        </w:rPr>
      </w:pPr>
      <w:r>
        <w:rPr>
          <w:rFonts w:ascii="Times New Roman" w:cs="Times New Roman" w:eastAsia="Times New Roman" w:hAnsi="Times New Roman"/>
          <w:sz w:val="16"/>
          <w:szCs w:val="16"/>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900" w:right="20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25"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460"/>
        <w:spacing w:after="0" w:line="275" w:lineRule="auto"/>
        <w:rPr>
          <w:sz w:val="20"/>
          <w:szCs w:val="20"/>
          <w:color w:val="auto"/>
        </w:rPr>
      </w:pPr>
      <w:r>
        <w:rPr>
          <w:rFonts w:ascii="Times New Roman" w:cs="Times New Roman" w:eastAsia="Times New Roman" w:hAnsi="Times New Roman"/>
          <w:sz w:val="18"/>
          <w:szCs w:val="18"/>
          <w:color w:val="auto"/>
        </w:rPr>
        <w:t>directly or indirectly, pursuant to a lease entered into on or after such day that will give rise to income that does not qualify under the 75% gross income test;</w:t>
      </w:r>
    </w:p>
    <w:p>
      <w:pPr>
        <w:spacing w:after="0" w:line="25" w:lineRule="exact"/>
        <w:rPr>
          <w:sz w:val="20"/>
          <w:szCs w:val="20"/>
          <w:color w:val="auto"/>
        </w:rPr>
      </w:pPr>
    </w:p>
    <w:p>
      <w:pPr>
        <w:ind w:left="900" w:right="280" w:hanging="446"/>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25" w:lineRule="exact"/>
        <w:rPr>
          <w:rFonts w:ascii="Times New Roman" w:cs="Times New Roman" w:eastAsia="Times New Roman" w:hAnsi="Times New Roman"/>
          <w:sz w:val="18"/>
          <w:szCs w:val="18"/>
          <w:color w:val="auto"/>
        </w:rPr>
      </w:pPr>
    </w:p>
    <w:p>
      <w:pPr>
        <w:ind w:left="900" w:right="100" w:hanging="446"/>
        <w:spacing w:after="0" w:line="339" w:lineRule="auto"/>
        <w:tabs>
          <w:tab w:leader="none" w:pos="9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Tax on Prohibited Transactions</w:t>
      </w:r>
      <w:r>
        <w:rPr>
          <w:rFonts w:ascii="Times New Roman" w:cs="Times New Roman" w:eastAsia="Times New Roman" w:hAnsi="Times New Roman"/>
          <w:sz w:val="16"/>
          <w:szCs w:val="16"/>
          <w:color w:val="auto"/>
        </w:rPr>
        <w:t>. A REIT will incur a 100% tax on net income derived from any “prohibited transaction.” A “prohibited transaction”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generally is a sale or other disposition of property (other than foreclosure property) that the REIT holds primarily for sale to customers in the ordinary course of a trade or business. We believe that none of our assets we are treated as holding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Tax and Deduction Limits on Certain Transactions with Taxable REIT Subsidiaries</w:t>
      </w:r>
      <w:r>
        <w:rPr>
          <w:rFonts w:ascii="Times New Roman" w:cs="Times New Roman" w:eastAsia="Times New Roman" w:hAnsi="Times New Roman"/>
          <w:sz w:val="18"/>
          <w:szCs w:val="18"/>
          <w:color w:val="auto"/>
        </w:rPr>
        <w:t>. A REIT will incur a 100% tax on certain transactions between a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Relief from Consequences of Failing to Meet Income Tests</w:t>
      </w:r>
      <w:r>
        <w:rPr>
          <w:rFonts w:ascii="Times New Roman" w:cs="Times New Roman" w:eastAsia="Times New Roman" w:hAnsi="Times New Roman"/>
          <w:sz w:val="18"/>
          <w:szCs w:val="18"/>
          <w:color w:val="auto"/>
        </w:rPr>
        <w:t>. If we fail to satisfy one or both of the 75% and 95% gross income tests for any taxable year,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attach a schedule of the sources of our income to our tax return.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Tests</w:t>
      </w:r>
      <w:r>
        <w:rPr>
          <w:rFonts w:ascii="Times New Roman" w:cs="Times New Roman" w:eastAsia="Times New Roman" w:hAnsi="Times New Roman"/>
          <w:sz w:val="18"/>
          <w:szCs w:val="18"/>
          <w:color w:val="auto"/>
        </w:rPr>
        <w:t>. To maintain our qualification as a REIT, we also must satisfy the following asset tests at the close of each quarter of each taxable year:</w:t>
      </w:r>
    </w:p>
    <w:p>
      <w:pPr>
        <w:spacing w:after="0" w:line="79" w:lineRule="exact"/>
        <w:rPr>
          <w:sz w:val="20"/>
          <w:szCs w:val="20"/>
          <w:color w:val="auto"/>
        </w:rPr>
      </w:pPr>
    </w:p>
    <w:p>
      <w:pPr>
        <w:ind w:left="900" w:right="300" w:hanging="446"/>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25" w:lineRule="exact"/>
        <w:rPr>
          <w:rFonts w:ascii="Times New Roman" w:cs="Times New Roman" w:eastAsia="Times New Roman" w:hAnsi="Times New Roman"/>
          <w:sz w:val="18"/>
          <w:szCs w:val="18"/>
          <w:color w:val="auto"/>
        </w:rPr>
      </w:pPr>
    </w:p>
    <w:p>
      <w:pPr>
        <w:ind w:left="1360" w:right="320" w:hanging="555"/>
        <w:spacing w:after="0" w:line="275"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the properties qualify as real estate assets.</w:t>
      </w:r>
    </w:p>
    <w:p>
      <w:pPr>
        <w:spacing w:after="0" w:line="25" w:lineRule="exact"/>
        <w:rPr>
          <w:rFonts w:ascii="Times New Roman" w:cs="Times New Roman" w:eastAsia="Times New Roman" w:hAnsi="Times New Roman"/>
          <w:sz w:val="18"/>
          <w:szCs w:val="18"/>
          <w:color w:val="auto"/>
        </w:rPr>
      </w:pPr>
    </w:p>
    <w:p>
      <w:pPr>
        <w:jc w:val="both"/>
        <w:ind w:left="1360" w:right="420" w:hanging="555"/>
        <w:spacing w:after="0" w:line="26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37" w:lineRule="exact"/>
        <w:rPr>
          <w:rFonts w:ascii="Times New Roman" w:cs="Times New Roman" w:eastAsia="Times New Roman" w:hAnsi="Times New Roman"/>
          <w:sz w:val="18"/>
          <w:szCs w:val="18"/>
          <w:color w:val="auto"/>
        </w:rPr>
      </w:pPr>
    </w:p>
    <w:p>
      <w:pPr>
        <w:ind w:left="1360" w:hanging="555"/>
        <w:spacing w:after="0" w:line="275"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25"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spacing w:after="0" w:line="275" w:lineRule="auto"/>
        <w:rPr>
          <w:sz w:val="20"/>
          <w:szCs w:val="20"/>
          <w:color w:val="auto"/>
        </w:rPr>
      </w:pPr>
      <w:r>
        <w:rPr>
          <w:rFonts w:ascii="Times New Roman" w:cs="Times New Roman" w:eastAsia="Times New Roman" w:hAnsi="Times New Roman"/>
          <w:sz w:val="18"/>
          <w:szCs w:val="18"/>
          <w:color w:val="auto"/>
        </w:rPr>
        <w:t>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Relief from Consequences of Failing to Meet Asset Tests. </w:t>
      </w:r>
      <w:r>
        <w:rPr>
          <w:rFonts w:ascii="Times New Roman" w:cs="Times New Roman" w:eastAsia="Times New Roman" w:hAnsi="Times New Roman"/>
          <w:sz w:val="18"/>
          <w:szCs w:val="18"/>
          <w:color w:val="auto"/>
        </w:rPr>
        <w:t>Beginning with our 2005 taxable year, if we fail to satisfy one or more of the asset tests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a taxable year, we nevertheless may qualify as a REIT for such year if we qualify for relief under certain provisions of the Code. Those relief provisions generally are available for failures of the 5% asset test and the 10% asset test if (i) the failure is due to the ownership of assets that do not exceed the lesser of 1% of our total assets or $10 million, and the failure is corrected within 6 months following the quarter in which it was discovered, or (ii) the failure is due to ownership of assets that exceed the amount in (i) above, the failure is due to reasonable cause and not due to willful neglect, we file a schedule with a description of each asset causing the failure in accordance with regulations prescribed by the Treasury, the failure is corrected within 6 months following the quarter in which it was discovered, and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 We may not qualify for the relief provisions in all circumstances.</w:t>
      </w:r>
    </w:p>
    <w:p>
      <w:pPr>
        <w:spacing w:after="0" w:line="130"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Distribution Requirements</w:t>
      </w:r>
      <w:r>
        <w:rPr>
          <w:rFonts w:ascii="Times New Roman" w:cs="Times New Roman" w:eastAsia="Times New Roman" w:hAnsi="Times New Roman"/>
          <w:sz w:val="18"/>
          <w:szCs w:val="18"/>
          <w:color w:val="auto"/>
        </w:rPr>
        <w:t>. Each taxable year, we must distribute dividends (other than capital gain dividends and deemed distributions of retained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21"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We generally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61"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21" w:lineRule="exact"/>
        <w:rPr>
          <w:sz w:val="20"/>
          <w:szCs w:val="20"/>
          <w:color w:val="auto"/>
        </w:rPr>
      </w:pPr>
    </w:p>
    <w:p>
      <w:pPr>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Record Keeping Requirements</w:t>
      </w:r>
      <w:r>
        <w:rPr>
          <w:rFonts w:ascii="Times New Roman" w:cs="Times New Roman" w:eastAsia="Times New Roman" w:hAnsi="Times New Roman"/>
          <w:sz w:val="18"/>
          <w:szCs w:val="18"/>
          <w:color w:val="auto"/>
        </w:rPr>
        <w:t>. We must maintain certain records to qualify as a REIT. In addition, to avoid a monetary penalty, we must request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certain information from our shareholders designed to disclose the actual ownership of our outstanding stock. We have complied, and we intend to continue to comply, with such requirements.</w:t>
      </w:r>
    </w:p>
    <w:p>
      <w:pPr>
        <w:spacing w:after="0" w:line="11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Beginning with our 2005 taxable year, if we fail to satisfy one or more of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1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Failure to Qualify</w:t>
      </w:r>
      <w:r>
        <w:rPr>
          <w:rFonts w:ascii="Times New Roman" w:cs="Times New Roman" w:eastAsia="Times New Roman" w:hAnsi="Times New Roman"/>
          <w:sz w:val="18"/>
          <w:szCs w:val="18"/>
          <w:color w:val="auto"/>
        </w:rPr>
        <w:t>. If we fail to qualify as a REIT in any taxable year, and no relief provision applied, we would be subject to federal income tax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stockholders.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“U.S. shareholder” means a holder of common shares that for U.S. federal income tax purposes is</w:t>
      </w:r>
    </w:p>
    <w:p>
      <w:pPr>
        <w:spacing w:after="0" w:line="77"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partnership, or other entity created or organized in or under the laws of the United States, any of its states or the District of Columbia;</w:t>
      </w:r>
    </w:p>
    <w:p>
      <w:pPr>
        <w:spacing w:after="0" w:line="126"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12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If a partnership, including an entity that is treated as a partnership for U.S. federal income tax purposes, is a beneficial owner of our common stock, the treatment of a partner in the partnership will generally depend on the status of the partner and the activities of the partnership.</w:t>
      </w:r>
    </w:p>
    <w:p>
      <w:pPr>
        <w:spacing w:after="0" w:line="104" w:lineRule="exact"/>
        <w:rPr>
          <w:sz w:val="20"/>
          <w:szCs w:val="20"/>
          <w:color w:val="auto"/>
        </w:rPr>
      </w:pPr>
    </w:p>
    <w:p>
      <w:pPr>
        <w:jc w:val="both"/>
        <w:ind w:right="20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Dividends and Other U.S. Shareholder Distributions. </w:t>
      </w:r>
      <w:r>
        <w:rPr>
          <w:rFonts w:ascii="Times New Roman" w:cs="Times New Roman" w:eastAsia="Times New Roman" w:hAnsi="Times New Roman"/>
          <w:sz w:val="16"/>
          <w:szCs w:val="16"/>
          <w:color w:val="auto"/>
        </w:rPr>
        <w:t>As long as we qualify as a REIT, a taxable U.S. shareholder must take into account distributions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2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whether our capital gain dividends are taxable at the usual capital gains rate or at the higher rate applicable to depreciation recapture. A corporate U.S. shareholder, however, may be required to treat up to 20% of certain capital gain dividends as ordinary income.</w:t>
      </w:r>
    </w:p>
    <w:p>
      <w:pPr>
        <w:spacing w:after="0" w:line="12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2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Taxation of U.S. Shareholders on the Disposition of the Common Shares</w:t>
      </w:r>
      <w:r>
        <w:rPr>
          <w:rFonts w:ascii="Times New Roman" w:cs="Times New Roman" w:eastAsia="Times New Roman" w:hAnsi="Times New Roman"/>
          <w:sz w:val="18"/>
          <w:szCs w:val="18"/>
          <w:color w:val="auto"/>
        </w:rPr>
        <w:t>. In general, a U.S. shareholder who is not a dealer in securities must treat any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the 61-day period beginning 30 days before and ending 30 days after the disposition.</w:t>
      </w:r>
    </w:p>
    <w:p>
      <w:pPr>
        <w:spacing w:after="0" w:line="12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Capital Gains and Losses</w:t>
      </w:r>
      <w:r>
        <w:rPr>
          <w:rFonts w:ascii="Times New Roman" w:cs="Times New Roman" w:eastAsia="Times New Roman" w:hAnsi="Times New Roman"/>
          <w:sz w:val="18"/>
          <w:szCs w:val="18"/>
          <w:color w:val="auto"/>
        </w:rPr>
        <w:t>. A taxpayer generally must hold a capital asset for more than one year for gain or loss derived from its sale or exchange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non-corporate shareholders at the lower or higher rate. The tax rate differential between capital gain and ordinary income for non-corporate taxpayers is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15% for taxable years beginning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December 31, 2008.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42"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03"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03"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Without further legislation, the maximum tax rate on long-term capital gains will increase to 20% in 2009, and qualified dividend income will no longer be taxed at a preferential rate compared to ordinary income.</w:t>
      </w:r>
    </w:p>
    <w:p>
      <w:pPr>
        <w:spacing w:after="0" w:line="10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Information Reporting Requirements and Back-up Withholding</w:t>
      </w:r>
      <w:r>
        <w:rPr>
          <w:rFonts w:ascii="Times New Roman" w:cs="Times New Roman" w:eastAsia="Times New Roman" w:hAnsi="Times New Roman"/>
          <w:sz w:val="18"/>
          <w:szCs w:val="18"/>
          <w:color w:val="auto"/>
        </w:rPr>
        <w:t>. We will report to our shareholders and to the IRS the amount of distributions we pay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calendar year, and the amount of tax we withhold, if any. Under the backup withholding rules, a shareholder may be subject to backup withholding (at the rate of 28% through December 31, 2010 and thereafter at a rate of 31%)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79"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common stock.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44"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03"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25"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0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7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that is not a U.S. shareholder.</w:t>
      </w:r>
    </w:p>
    <w:p>
      <w:pPr>
        <w:spacing w:after="0" w:line="82"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Ordinary Dividends</w:t>
      </w:r>
      <w:r>
        <w:rPr>
          <w:rFonts w:ascii="Times New Roman" w:cs="Times New Roman" w:eastAsia="Times New Roman" w:hAnsi="Times New Roman"/>
          <w:sz w:val="16"/>
          <w:szCs w:val="16"/>
          <w:color w:val="auto"/>
        </w:rPr>
        <w:t>. A non-U.S. shareholder that receives a distribution that is not attributable to gain from our sale or exchange of U.S. real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318"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310" w:lineRule="auto"/>
        <w:rPr>
          <w:sz w:val="20"/>
          <w:szCs w:val="20"/>
          <w:color w:val="auto"/>
        </w:rPr>
      </w:pPr>
      <w:r>
        <w:rPr>
          <w:rFonts w:ascii="Times New Roman" w:cs="Times New Roman" w:eastAsia="Times New Roman" w:hAnsi="Times New Roman"/>
          <w:sz w:val="16"/>
          <w:szCs w:val="16"/>
          <w:color w:val="auto"/>
        </w:rPr>
        <w:t>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82"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Capital Gain Dividends</w:t>
      </w:r>
      <w:r>
        <w:rPr>
          <w:rFonts w:ascii="Times New Roman" w:cs="Times New Roman" w:eastAsia="Times New Roman" w:hAnsi="Times New Roman"/>
          <w:sz w:val="18"/>
          <w:szCs w:val="18"/>
          <w:color w:val="auto"/>
        </w:rPr>
        <w:t>. Provided our common shares are “regularly traded” on an established securities market in the United States, and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does not own more than 5% of our common stock at any time during the taxable year, amounts designated as capital gains from our sale or exchange of “U.S. real property interests” (defined below) are treated as an ordinary dividend taxable as described above under “– Ordinary Dividends.”</w:t>
      </w:r>
    </w:p>
    <w:p>
      <w:pPr>
        <w:spacing w:after="0" w:line="116"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If the foregoing exceptions do not apply, for example because the non-U.S. shareholder owns more than 5% of our common stock,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32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7" w:lineRule="exact"/>
        <w:rPr>
          <w:sz w:val="20"/>
          <w:szCs w:val="20"/>
          <w:color w:val="auto"/>
        </w:rPr>
      </w:pPr>
    </w:p>
    <w:p>
      <w:pPr>
        <w:ind w:right="18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Sale of Shares</w:t>
      </w:r>
      <w:r>
        <w:rPr>
          <w:rFonts w:ascii="Times New Roman" w:cs="Times New Roman" w:eastAsia="Times New Roman" w:hAnsi="Times New Roman"/>
          <w:sz w:val="16"/>
          <w:szCs w:val="16"/>
          <w:color w:val="auto"/>
        </w:rPr>
        <w:t>. A non-U.S. shareholder generally will not incur tax under FIRPTA on gain from the sale of its common shares as long as we are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21"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Back-up Withholding</w:t>
      </w:r>
      <w:r>
        <w:rPr>
          <w:rFonts w:ascii="Times New Roman" w:cs="Times New Roman" w:eastAsia="Times New Roman" w:hAnsi="Times New Roman"/>
          <w:sz w:val="18"/>
          <w:szCs w:val="18"/>
          <w:color w:val="auto"/>
        </w:rPr>
        <w:t>. Back-up withholding tax (which generally is withholding at the rate of 28% through December 31, 2010 and thereafter at a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38"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U.S. shareholders) for U.S. tax purposes; or</w:t>
      </w:r>
    </w:p>
    <w:p>
      <w:pPr>
        <w:spacing w:after="0" w:line="103"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77"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State and Local Taxes</w:t>
      </w:r>
      <w:r>
        <w:rPr>
          <w:rFonts w:ascii="Times New Roman" w:cs="Times New Roman" w:eastAsia="Times New Roman" w:hAnsi="Times New Roman"/>
          <w:sz w:val="18"/>
          <w:szCs w:val="18"/>
          <w:color w:val="auto"/>
        </w:rPr>
        <w:t>. We and/or you may be subject to state and local tax in various states and localities, including those states and localities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common shares covered by this prospectus.</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sale or distribution of all or any portion of the commons shares covered by this prospectus may be effected from time to time by the selling shareholder, or any of its pledgees, donees, transferees or other successors in interest to the selling shareholder.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the common shares covered by this prospectus may be sold or distributed include:</w:t>
      </w:r>
    </w:p>
    <w:p>
      <w:pPr>
        <w:spacing w:after="0" w:line="77" w:lineRule="exact"/>
        <w:rPr>
          <w:sz w:val="20"/>
          <w:szCs w:val="20"/>
          <w:color w:val="auto"/>
        </w:rPr>
      </w:pPr>
    </w:p>
    <w:p>
      <w:pPr>
        <w:ind w:left="900" w:right="780" w:hanging="446"/>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account pursuant to this prospectus;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as part of the liquidation and winding up of the affairs of the selling shareholder or successor in interest that is an entity;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to a lender as collateral to secure loans, credit or other financing arrangements and any subsequent foreclosure, if any, thereunder; 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18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effecting sales, brokers or dealers engaged by the selling shareholder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selling shareholder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 also may enter into hedging transactions with brokers, dealers or other financial institutions, which may in turn engage in short sales of the common shares covered by this prospectus in the course of hedging the positions they assume.</w:t>
      </w:r>
    </w:p>
    <w:p>
      <w:pPr>
        <w:spacing w:after="0" w:line="123"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The selling shareholder and the brokers or dealers participating in the distribution of the common shares covered by this prospectus may be deemed “underwriters” within the meaning of the Securities Act. Any profit on the sale of the common shares covered by this prospectus by the selling shareholder and any discounts, concessions or commissions received by any such brokers or dealers may be regarded as underwriting commissions under the Securities Act.</w:t>
      </w:r>
    </w:p>
    <w:p>
      <w:pPr>
        <w:spacing w:after="0" w:line="8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sale or distribution of the common shares covered by this prospectus, the rules of the Commission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1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0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of the common shares covered by this prospectus. The selling shareholder will pay for any brokerage or underwriting commissions and taxes of any kind (including, without limitation, transfer taxes) with respect to any disposition, sale or transfer of the common shares covered by this prospectus.</w:t>
      </w:r>
    </w:p>
    <w:p>
      <w:pPr>
        <w:spacing w:after="0" w:line="119"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(or persons whose offered shares are aggregated) who has satisfied a one-year holding period may, under certain circumstances, sell within any three-month period a number of the common shares covered by this prospectus which does not exceed the greater of one percent of the our outstanding common shares or the average weekly reported trading volume of the common shares covered by this prospectus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the selling shareholder may sell the common shares covered by this prospectus pursuant to Rule 144.</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Pursuant to the Securities Act of 1933 and the rules promulgated thereunder, we are required to, and have incorporated into this registration statement our Annual Report on Form 10-K for the year ended December 31,</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2004.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2004,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2004 Form 10-K are incorporated by reference in reliance on Grant Thornton LLP’s report, given on their authority as experts in accounting and auditing.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The validity of the offered shares and the accuracy of the discussion under “Federal Income Tax Considerations” will be passed upon for us by Pillsbury Winthrop Shaw Pittman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120" w:firstLine="456"/>
        <w:spacing w:after="0" w:line="325" w:lineRule="auto"/>
        <w:rPr>
          <w:sz w:val="20"/>
          <w:szCs w:val="20"/>
          <w:color w:val="auto"/>
        </w:rPr>
      </w:pPr>
      <w:r>
        <w:rPr>
          <w:rFonts w:ascii="Times New Roman" w:cs="Times New Roman" w:eastAsia="Times New Roman" w:hAnsi="Times New Roman"/>
          <w:sz w:val="16"/>
          <w:szCs w:val="16"/>
          <w:color w:val="auto"/>
        </w:rPr>
        <w:t>We file annual, quarterly and special reports, proxy statements and other information with the Commission. Our Commission filings are available to the public over the Commission’s website at http://www.sec.gov. You may also read and copy any document we file at the Commission’s Public Reference Room at: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Public Reference Section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call the Commission at (800) SEC-0330 for further information on the operating rules and procedures for the public reference room.</w:t>
      </w:r>
    </w:p>
    <w:p>
      <w:pPr>
        <w:spacing w:after="0" w:line="15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Commission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from the date of the initial registration statement and prior to the effectiveness of this registration statement, and any filings made from the date of this prospectus until we sell all of the securities under this prospectus as supplemented.</w:t>
      </w:r>
    </w:p>
    <w:p>
      <w:pPr>
        <w:spacing w:after="0" w:line="45"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2004 filed March 7,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2005 filed May 5,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March 2,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February 18, 2005.</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w:t>
      </w:r>
    </w:p>
    <w:p>
      <w:pPr>
        <w:spacing w:after="0" w:line="103"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 Please direct your request to:</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Dawn M. Becker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w:t>
      </w:r>
    </w:p>
    <w:p>
      <w:pPr>
        <w:spacing w:after="0" w:line="14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Commission.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7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Duplicating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15,000.00*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24,808.82*</w:t>
            </w: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Estimated</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Indemnification of Trustees and Officers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2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a shareholder or Trustee of a Maryland real estate investment trust is not personally liable for the obligations of the real estate investment trust, except in any case in which a Trustee otherwise would be liable and such liability to the real estate investment trust or its shareholders constitutes bad faith, willful misfeasance, gross negligence or reckless disregard of the Trustee’s duties. Title 1 of the Corporations and Associations Code of the State of Maryland, as amended,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a Maryland corporation may not indemnify a Trustee or officer in a suit by or in the right of the trust if such Trustee or officer has been adjudged to be liable to the corporation.</w:t>
      </w:r>
    </w:p>
    <w:p>
      <w:pPr>
        <w:spacing w:after="0" w:line="12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5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300" w:type="dxa"/>
            <w:vAlign w:val="bottom"/>
          </w:tcPr>
          <w:p>
            <w:pPr>
              <w:spacing w:after="0"/>
              <w:rPr>
                <w:sz w:val="8"/>
                <w:szCs w:val="8"/>
                <w:color w:val="auto"/>
              </w:rPr>
            </w:pPr>
          </w:p>
        </w:tc>
      </w:tr>
      <w:tr>
        <w:trPr>
          <w:trHeight w:val="30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Specimen Common Share certificate (filed as Exhibit 4(i) to the Trust’s Annual Report on Form 10-K for the year ended December 31, 1999,</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Amended and Restated Rights Agreement, dated March 11, 1999, between the Trust and American Stock Transfer &amp; Trust Company (filed as</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 to the Trust’s Registration Statement No. 1-07533 on Form 8-A/A filed on March 11, 1999, and incorporated herein by reference)</w:t>
            </w:r>
          </w:p>
        </w:tc>
      </w:tr>
      <w:tr>
        <w:trPr>
          <w:trHeight w:val="3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First Amendment to Amended and Restated Rights Agreement, dated as of November 2003, between the Trust and American Stock Transfer &amp;</w:t>
            </w:r>
          </w:p>
        </w:tc>
      </w:tr>
      <w:tr>
        <w:trPr>
          <w:trHeight w:val="216"/>
        </w:trPr>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Trust Company (filed as Exhibit 4.5 to the Trust’s Annual Report on Form 10-K for the year ended December 31, 2003 filed on March 15, 2004,</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Registration Rights Agreement, dated as of December 17, 1997, by and between the Trust, N. Richard Kimmel and RKR Limited Partnership</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the validity of the shares (filed herewith)</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certain tax matters (filed herewith)</w:t>
            </w:r>
          </w:p>
        </w:tc>
      </w:tr>
    </w:tbl>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Grant Thornton LLP, independent registered public accounting firm (filed herewith)</w:t>
      </w:r>
    </w:p>
    <w:p>
      <w:pPr>
        <w:spacing w:after="0" w:line="11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Pillsbury Winthrop Shaw Pittman LLP (included in Exhibit 5.1)</w:t>
      </w:r>
    </w:p>
    <w:p>
      <w:pPr>
        <w:spacing w:after="0" w:line="11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 of Pillsbury Winthrop Shaw Pittman LLP (included in Exhibit 8.1)</w:t>
      </w:r>
    </w:p>
    <w:p>
      <w:pPr>
        <w:spacing w:after="0" w:line="11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(included on signature page)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58"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76" w:lineRule="exact"/>
        <w:rPr>
          <w:rFonts w:ascii="Times New Roman" w:cs="Times New Roman" w:eastAsia="Times New Roman" w:hAnsi="Times New Roman"/>
          <w:sz w:val="18"/>
          <w:szCs w:val="18"/>
          <w:color w:val="auto"/>
        </w:rPr>
      </w:pPr>
    </w:p>
    <w:p>
      <w:pPr>
        <w:ind w:left="460" w:right="20" w:firstLine="4"/>
        <w:spacing w:after="0" w:line="255" w:lineRule="auto"/>
        <w:tabs>
          <w:tab w:leader="none" w:pos="7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44" w:lineRule="exact"/>
        <w:rPr>
          <w:rFonts w:ascii="Times New Roman" w:cs="Times New Roman" w:eastAsia="Times New Roman" w:hAnsi="Times New Roman"/>
          <w:sz w:val="18"/>
          <w:szCs w:val="18"/>
          <w:color w:val="auto"/>
        </w:rPr>
      </w:pPr>
    </w:p>
    <w:p>
      <w:pPr>
        <w:ind w:left="460" w:right="500" w:firstLine="4"/>
        <w:spacing w:after="0" w:line="275" w:lineRule="auto"/>
        <w:tabs>
          <w:tab w:leader="none" w:pos="7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5" w:lineRule="exact"/>
        <w:rPr>
          <w:sz w:val="20"/>
          <w:szCs w:val="20"/>
          <w:color w:val="auto"/>
        </w:rPr>
      </w:pPr>
    </w:p>
    <w:p>
      <w:pPr>
        <w:jc w:val="both"/>
        <w:ind w:left="460" w:right="180"/>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38" w:lineRule="exact"/>
        <w:rPr>
          <w:sz w:val="20"/>
          <w:szCs w:val="20"/>
          <w:color w:val="auto"/>
        </w:rPr>
      </w:pPr>
    </w:p>
    <w:p>
      <w:pPr>
        <w:ind w:left="460" w:right="240" w:firstLine="4"/>
        <w:spacing w:after="0" w:line="262" w:lineRule="auto"/>
        <w:tabs>
          <w:tab w:leader="none" w:pos="70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37" w:lineRule="exact"/>
        <w:rPr>
          <w:rFonts w:ascii="Times New Roman" w:cs="Times New Roman" w:eastAsia="Times New Roman" w:hAnsi="Times New Roman"/>
          <w:sz w:val="18"/>
          <w:szCs w:val="18"/>
          <w:color w:val="auto"/>
        </w:rPr>
      </w:pPr>
    </w:p>
    <w:p>
      <w:pPr>
        <w:ind w:left="460" w:right="180" w:firstLine="4"/>
        <w:spacing w:after="0" w:line="275" w:lineRule="auto"/>
        <w:tabs>
          <w:tab w:leader="none" w:pos="70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6" w:lineRule="exact"/>
        <w:rPr>
          <w:rFonts w:ascii="Times New Roman" w:cs="Times New Roman" w:eastAsia="Times New Roman" w:hAnsi="Times New Roman"/>
          <w:sz w:val="18"/>
          <w:szCs w:val="18"/>
          <w:color w:val="auto"/>
        </w:rPr>
      </w:pPr>
    </w:p>
    <w:p>
      <w:pPr>
        <w:ind w:firstLine="8"/>
        <w:spacing w:after="0" w:line="258"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8"/>
          <w:szCs w:val="18"/>
          <w:color w:val="auto"/>
        </w:rPr>
      </w:pPr>
    </w:p>
    <w:p>
      <w:pPr>
        <w:ind w:right="80" w:firstLine="8"/>
        <w:spacing w:after="0" w:line="256" w:lineRule="auto"/>
        <w:tabs>
          <w:tab w:leader="none" w:pos="2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day of June, 2005.</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Donald C. Wood</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 Chief Executive Officer and Trustee</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the undersigned trustees and officers of Federal Realty Investment Trust, a Maryland real estate investment trust, do hereby constitute and appoint Dawn M. Becker and Larry E. Finger,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2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04" w:lineRule="exact"/>
        <w:rPr>
          <w:sz w:val="20"/>
          <w:szCs w:val="20"/>
          <w:color w:val="auto"/>
        </w:rPr>
      </w:pPr>
    </w:p>
    <w:p>
      <w:pPr>
        <w:spacing w:after="0"/>
        <w:tabs>
          <w:tab w:leader="none" w:pos="6920" w:val="left"/>
          <w:tab w:leader="none" w:pos="102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515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71120</wp:posOffset>
            </wp:positionV>
            <wp:extent cx="317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71120</wp:posOffset>
            </wp:positionV>
            <wp:extent cx="317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Chief Executive</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June 1, 2005</w:t>
            </w:r>
          </w:p>
        </w:tc>
        <w:tc>
          <w:tcPr>
            <w:tcW w:w="0" w:type="dxa"/>
            <w:vAlign w:val="bottom"/>
          </w:tcPr>
          <w:p>
            <w:pPr>
              <w:spacing w:after="0"/>
              <w:rPr>
                <w:sz w:val="1"/>
                <w:szCs w:val="1"/>
                <w:color w:val="auto"/>
              </w:rPr>
            </w:pPr>
          </w:p>
        </w:tc>
      </w:tr>
      <w:tr>
        <w:trPr>
          <w:trHeight w:val="122"/>
        </w:trPr>
        <w:tc>
          <w:tcPr>
            <w:tcW w:w="4800" w:type="dxa"/>
            <w:vAlign w:val="bottom"/>
            <w:tcBorders>
              <w:bottom w:val="single" w:sz="8" w:color="auto"/>
            </w:tcBorders>
          </w:tcPr>
          <w:p>
            <w:pPr>
              <w:spacing w:after="0"/>
              <w:rPr>
                <w:sz w:val="10"/>
                <w:szCs w:val="10"/>
                <w:color w:val="auto"/>
              </w:rPr>
            </w:pPr>
          </w:p>
        </w:tc>
        <w:tc>
          <w:tcPr>
            <w:tcW w:w="4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Officer and Trustee (principal executive officer)</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474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vMerge w:val="continue"/>
          </w:tcPr>
          <w:p>
            <w:pPr>
              <w:spacing w:after="0"/>
              <w:rPr>
                <w:sz w:val="19"/>
                <w:szCs w:val="19"/>
                <w:color w:val="auto"/>
              </w:rPr>
            </w:pPr>
          </w:p>
        </w:tc>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Larry E. Finger</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 and</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June 1, 2005</w:t>
            </w:r>
          </w:p>
        </w:tc>
        <w:tc>
          <w:tcPr>
            <w:tcW w:w="0" w:type="dxa"/>
            <w:vAlign w:val="bottom"/>
          </w:tcPr>
          <w:p>
            <w:pPr>
              <w:spacing w:after="0"/>
              <w:rPr>
                <w:sz w:val="1"/>
                <w:szCs w:val="1"/>
                <w:color w:val="auto"/>
              </w:rPr>
            </w:pPr>
          </w:p>
        </w:tc>
      </w:tr>
      <w:tr>
        <w:trPr>
          <w:trHeight w:val="122"/>
        </w:trPr>
        <w:tc>
          <w:tcPr>
            <w:tcW w:w="4800" w:type="dxa"/>
            <w:vAlign w:val="bottom"/>
            <w:tcBorders>
              <w:bottom w:val="single" w:sz="8" w:color="auto"/>
            </w:tcBorders>
          </w:tcPr>
          <w:p>
            <w:pPr>
              <w:spacing w:after="0"/>
              <w:rPr>
                <w:sz w:val="10"/>
                <w:szCs w:val="10"/>
                <w:color w:val="auto"/>
              </w:rPr>
            </w:pPr>
          </w:p>
        </w:tc>
        <w:tc>
          <w:tcPr>
            <w:tcW w:w="4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Treasurer (principal accounting officer)</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Larry E. Finger</w:t>
            </w:r>
          </w:p>
        </w:tc>
        <w:tc>
          <w:tcPr>
            <w:tcW w:w="474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vMerge w:val="continue"/>
          </w:tcPr>
          <w:p>
            <w:pPr>
              <w:spacing w:after="0"/>
              <w:rPr>
                <w:sz w:val="19"/>
                <w:szCs w:val="19"/>
                <w:color w:val="auto"/>
              </w:rPr>
            </w:pPr>
          </w:p>
        </w:tc>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6920" w:val="left"/>
          <w:tab w:leader="none" w:pos="102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51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71120</wp:posOffset>
            </wp:positionV>
            <wp:extent cx="317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71120</wp:posOffset>
            </wp:positionV>
            <wp:extent cx="317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David W. Faeder</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8"/>
              </w:rPr>
              <w:t>June 1,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Kristin Gamble</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8"/>
              </w:rPr>
              <w:t>June 1,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Kristin Gamble</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Joseph S. Vassalluzzo</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May 23,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Joseph S. Vassalluzzo</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Mark S. Ordan</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May 25,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Mark S. Ordan</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Amy B. Lane</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8"/>
              </w:rPr>
              <w:t>June 1,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Amy B. Lane</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Walter F. Loeb</w:t>
            </w:r>
          </w:p>
        </w:tc>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318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8"/>
              </w:rPr>
              <w:t>June 1, 2005</w:t>
            </w:r>
          </w:p>
        </w:tc>
      </w:tr>
      <w:tr>
        <w:trPr>
          <w:trHeight w:val="110"/>
        </w:trPr>
        <w:tc>
          <w:tcPr>
            <w:tcW w:w="4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Walter F. Loeb</w:t>
            </w:r>
          </w:p>
        </w:tc>
        <w:tc>
          <w:tcPr>
            <w:tcW w:w="29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0940"/>
          </w:cols>
          <w:pgMar w:left="240" w:top="455" w:right="7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4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12"/>
        </w:trPr>
        <w:tc>
          <w:tcPr>
            <w:tcW w:w="6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340" w:type="dxa"/>
            <w:vAlign w:val="bottom"/>
          </w:tcPr>
          <w:p>
            <w:pPr>
              <w:spacing w:after="0"/>
              <w:rPr>
                <w:sz w:val="8"/>
                <w:szCs w:val="8"/>
                <w:color w:val="auto"/>
              </w:rPr>
            </w:pPr>
          </w:p>
        </w:tc>
      </w:tr>
      <w:tr>
        <w:trPr>
          <w:trHeight w:val="303"/>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Specimen Common Share certificate (filed as Exhibit 4(i) to the Trust’s Annual Report on Form 10-K for the year ended December 31, 1999 and</w:t>
            </w:r>
          </w:p>
        </w:tc>
      </w:tr>
      <w:tr>
        <w:trPr>
          <w:trHeight w:val="228"/>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12"/>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Amended and Restated Rights Agreement, dated March 11, 1999, between the Trust and American Stock Transfer &amp; Trust Company (filed as</w:t>
            </w:r>
          </w:p>
        </w:tc>
      </w:tr>
      <w:tr>
        <w:trPr>
          <w:trHeight w:val="228"/>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 to the Trust’s Registration Statement No. 1-07533 on Form 8-A/A filed on March 11, 1999 and incorporated herein by reference)</w:t>
            </w:r>
          </w:p>
        </w:tc>
      </w:tr>
      <w:tr>
        <w:trPr>
          <w:trHeight w:val="312"/>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First Amendment to Amended and Restated Rights Agreement, dated as of November 2003, between the Trust and American Stock Transfer &amp;</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Trust Company (filed as Exhibit 4.5 to the Trust’s Annual Report on Form 10-K for the year ended December 31, 2003 filed on March 15, 2004</w:t>
            </w:r>
          </w:p>
        </w:tc>
      </w:tr>
      <w:tr>
        <w:trPr>
          <w:trHeight w:val="228"/>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12"/>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Registration Rights Agreement, dated as of December 17, 1997, by and between the Trust, N. Richard Kimmel and RKR Limited Partnership</w:t>
            </w:r>
          </w:p>
        </w:tc>
      </w:tr>
      <w:tr>
        <w:trPr>
          <w:trHeight w:val="228"/>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the validity of the shares (filed herewith)</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8.1</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certain tax matters (filed herewith)</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5"/>
              </w:rPr>
              <w:t>23.1</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Grant Thornton LLP, independent registered public accounting firm (filed herewith)</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5"/>
              </w:rPr>
              <w:t>23.2</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Pillsbury Winthrop Shaw Pittman LLP (included in Exhibit 5.1)</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5"/>
              </w:rPr>
              <w:t>23.3</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Pillsbury Winthrop Shaw Pittman LLP (included in Exhibit 8.1)</w:t>
            </w:r>
          </w:p>
        </w:tc>
      </w:tr>
      <w:tr>
        <w:trPr>
          <w:trHeight w:val="324"/>
        </w:trPr>
        <w:tc>
          <w:tcPr>
            <w:tcW w:w="6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5"/>
              </w:rPr>
              <w:t>24.1</w:t>
            </w:r>
          </w:p>
        </w:tc>
        <w:tc>
          <w:tcPr>
            <w:tcW w:w="5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ectPr>
          <w:pgSz w:w="11900" w:h="16838" w:orient="portrait"/>
          <w:cols w:equalWidth="0" w:num="1">
            <w:col w:w="11340"/>
          </w:cols>
          <w:pgMar w:left="240" w:top="455"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4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effective for all purposes as of December 17, 1997 (“Agreement”), by and between Federal Realty Investment Trust, a District of Columbia business trust (“Trust”), and N. Richard Kimmel, an individual resident of the state of Florida, and RKR Limited Partnership, a Maryland limited partnership (each, an “Initial Holder” and collectively “Initial 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w:t>
      </w:r>
    </w:p>
    <w:p>
      <w:pPr>
        <w:spacing w:after="0" w:line="160"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WHEREAS, pursuant to the terms of that certain Amended and Restated Agreement of Limited Partnership (“Partnership Agreement”) of Federal Realty Partners L.P. (“Partnership”), dated as of March 2, 1998, by and between, among others, Federal Realty Partners, Inc., a Delaware corporation, the Trust and the Initial Holders, the Initial Holders are receiving simultaneously herewith limited partnership units (“Units”) in the Partnership;</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WHEREAS, the Units may, upon the terms and conditions set forth in the Partnership Agreement, be exchanged (the “Exchange”) for common shares of beneficial interest, no par or stated value, of the Trust (“REIT Shares”); and</w:t>
      </w:r>
    </w:p>
    <w:p>
      <w:pPr>
        <w:spacing w:after="0" w:line="10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WHEREAS, in order to facilitate Transfers (as defined herein) of the REIT Shares to be received by the Holders in the Exchange, the Initial Holders have requested the Trust provide to the Holders certain registration rights with respect to such REIT Shares, and the Trust has agreed to provide limited registration rights on the terms and subject to the conditions set forth herein.</w:t>
      </w:r>
    </w:p>
    <w:p>
      <w:pPr>
        <w:sectPr>
          <w:pgSz w:w="11900" w:h="16838" w:orient="portrait"/>
          <w:cols w:equalWidth="0" w:num="1">
            <w:col w:w="11420"/>
          </w:cols>
          <w:pgMar w:left="240" w:top="123" w:right="239" w:bottom="1440" w:gutter="0" w:footer="0" w:header="0"/>
        </w:sectPr>
      </w:pPr>
    </w:p>
    <w:bookmarkStart w:id="38" w:name="page39"/>
    <w:bookmarkEnd w:id="38"/>
    <w:p>
      <w:pPr>
        <w:ind w:right="700" w:firstLine="456"/>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foregoing and the mutual covenants and agreements set forth herein and for other good and valuable consideration, the receipt and sufficiency of which are hereby acknowledged, the parties hereto, intending to be legally bound, agree as follows:</w:t>
      </w:r>
    </w:p>
    <w:p>
      <w:pPr>
        <w:spacing w:after="0" w:line="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w:t>
      </w:r>
    </w:p>
    <w:p>
      <w:pPr>
        <w:spacing w:after="0" w:line="160"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“Affiliate” of any specified Person means any other person that,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“Agreement” means this Registration Rights Agreement, as the same may be amended or supplemented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means the Board of Trustees of the Trust.</w:t>
      </w:r>
    </w:p>
    <w:p>
      <w:pPr>
        <w:spacing w:after="0" w:line="15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“Demand Right” means the single one-time right collectively granted to the Holders to cause the Trust to register some or all of such Holders’ Registrable Securities, to be exercised in accordance with the terms of this Agreement.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means the exchange of Units for REIT Shares, subject to the terms and conditions set forth in the Partnership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“Holder” or “Holders” means N. Richard Kimmel, an individual resident of the state of Florida, RKR Limited Partnership, a Maryland limited partnership, and/or any Person who or that has received directly from the Initial Holders pursuant to a Transfer any of such Initial Holder’s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(i) the General Partner (as defined in the Partnership Agreement) of the Partnership has consented to such Transfer or (ii) such Transfer meets the requirements of Section 11.3.A(i) of the Partnership Agreement.</w:t>
      </w:r>
    </w:p>
    <w:p>
      <w:pPr>
        <w:spacing w:after="0" w:line="12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“Initial Holder” or “Initial Holders” means N. Richard Kimmel, an individual resident of the state of Florida and/or RKR Limited Partnership, a Maryland limited partnership.</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“Partnership” means Federal Realty Partners L.P., a Delaware limited partnership.</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“Partnership Agreement” means that certain Amended and Restated Agreement of Limited Partnership of Federal Realty Partners L.P., dated as of March 2, 1998, by and between, among others, Federal Realty Partners, Inc., the Trust and the Initial Holders.</w:t>
      </w:r>
    </w:p>
    <w:p>
      <w:pPr>
        <w:spacing w:after="0" w:line="10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“Person” shall mean an individual, partnership, corporation, trust or unincorporated organization, or a government or agency or political subdivision thereof.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39" w:name="page40"/>
    <w:bookmarkEnd w:id="39"/>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“Registrable Securities” shall mean (i) any REIT Shares that may be issued to the Holders in an Exchange and (ii) any dividend or other distribution of REIT Shares with respect to, or in exchange for or in replacement of, such REIT Shares.</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“Registration Statement” shall mean a registration statement filed or to be filed by the Trust under the Securities Act (other than on Form S-8) that is available to register under the Securities Act the Transfer of any of the Registrable Securities by or for the account of any Holder, all amendments and supplements to such Registration Statement, including post-effective amendments, and all exhibits to and all information incorporated by reference in such Registration Statement. Such term also includes any prospectus included in such Registration Statement, as amended or supplemented by any prospectus supplement and by all other amendments and supplements to such prospectus, including post-effective amendments, and all information incorporated by reference in such prospectus.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Shares” means the common shares of beneficial interest, no par or stated value, of the Trust.</w:t>
      </w:r>
    </w:p>
    <w:p>
      <w:pPr>
        <w:spacing w:after="0" w:line="15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“Representative” means the Person designated by the Holders pursuant to Section 2.2.1 herein to be the Holders’ representative with respect to exercising the Demand Right.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 means the Securities and Exchange Commission.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158"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“Transfer, transferring or transferred” shall mean any sale or other disposition of any Registrable Securities that would constitute a sale thereof under the Securities Act.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“Trust” means Federal Realty Investment Trust, a District of Columbia business trust.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“Units” means limited partnership units in the Partnership.</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Securities Subject to Registration Rights.</w:t>
      </w:r>
      <w:r>
        <w:rPr>
          <w:rFonts w:ascii="Times New Roman" w:cs="Times New Roman" w:eastAsia="Times New Roman" w:hAnsi="Times New Roman"/>
          <w:sz w:val="18"/>
          <w:szCs w:val="18"/>
          <w:color w:val="auto"/>
        </w:rPr>
        <w:t xml:space="preserve"> The securities entitled to the benefits of this Agreement are the Registrable Securities but only, with respect to any particular Registrable Security, so long as such Registrable Security continues to be held by a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“Registrable Security” does not include REIT Shares (a) the Transfer of which has been effectively registered under the Securities Act pursuant to this Agreement or otherwise, and (b) that may be Transferred pursuant to Rule 144 (or any successor provision) under the Securities Act.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Demand Registration.</w:t>
      </w:r>
    </w:p>
    <w:p>
      <w:pPr>
        <w:spacing w:after="0" w:line="79" w:lineRule="exact"/>
        <w:rPr>
          <w:sz w:val="20"/>
          <w:szCs w:val="20"/>
          <w:color w:val="auto"/>
        </w:rPr>
      </w:pPr>
    </w:p>
    <w:p>
      <w:pPr>
        <w:ind w:left="460" w:right="460" w:firstLine="438"/>
        <w:spacing w:after="0" w:line="275" w:lineRule="auto"/>
        <w:rPr>
          <w:sz w:val="20"/>
          <w:szCs w:val="20"/>
          <w:color w:val="auto"/>
        </w:rPr>
      </w:pPr>
      <w:r>
        <w:rPr>
          <w:rFonts w:ascii="Times New Roman" w:cs="Times New Roman" w:eastAsia="Times New Roman" w:hAnsi="Times New Roman"/>
          <w:sz w:val="18"/>
          <w:szCs w:val="18"/>
          <w:color w:val="auto"/>
        </w:rPr>
        <w:t>2.2.1. Pursuant to this Section 2.2.1, the Holders are hereby collectively granted a single one-time right (“Demand Right”) to cause the Trust to register some or all of such Holders’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 shall not be obligated to register such Registrable Securities if the number of Registrable Securities with respect to which the Holders seek to exercise their Demand Right is not more than fifty percent (50%) of the total number of Registrable Securities with respect to which the Holders could have exercised their Demand Right. Such Demand Right shall be exercised in accordance with the terms of this Agreement, and written notice of exercise of the Demand Right shall be provided to the Trust in accordance with Section 3.5 herein. For purposes of Section 2.2, the Holders shall select one Person to be their representative (“Representative”) with respect to exercising the Demand Right and shall notify the Trust in writing designating the Representative and exercising the Demand Right. The Trust shall be entitled to rely on the representations and communications of such Representative in determining whether the Demand Right has been exercised in accordance with the provisions herein and in preparing and filing the Registration Statement and with respect to all other matters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 shall continue to provide notice as required in this Article II to all of the Holders. The Demand Right must be exercised, if at all, simultaneously with the exercise of the Holders’ right to cause a Redemption (as defined in Section 8.6.A of the Partnership Agreement) of all or a portion of such Holders’ Units and, subject only to Section 2.2.4, the exercise of such Demand Right shall be irrevocable.</w:t>
      </w:r>
    </w:p>
    <w:p>
      <w:pPr>
        <w:spacing w:after="0" w:line="44" w:lineRule="exact"/>
        <w:rPr>
          <w:sz w:val="20"/>
          <w:szCs w:val="20"/>
          <w:color w:val="auto"/>
        </w:rPr>
      </w:pPr>
    </w:p>
    <w:p>
      <w:pPr>
        <w:ind w:right="40" w:firstLine="438"/>
        <w:spacing w:after="0" w:line="255" w:lineRule="auto"/>
        <w:rPr>
          <w:sz w:val="20"/>
          <w:szCs w:val="20"/>
          <w:color w:val="auto"/>
        </w:rPr>
      </w:pPr>
      <w:r>
        <w:rPr>
          <w:rFonts w:ascii="Times New Roman" w:cs="Times New Roman" w:eastAsia="Times New Roman" w:hAnsi="Times New Roman"/>
          <w:sz w:val="18"/>
          <w:szCs w:val="18"/>
          <w:color w:val="auto"/>
        </w:rPr>
        <w:t>2.2.2. Upon receipt of such notice, the Trust shall file, as soon as practicable but not later than seventy-five (75) days after receipt of such notice, and subject to Section 2.2.1 hereof, a Registration Statement under the Securities Act for an offering to be made on a continuous basis pursuant to Rule 415 under the Securities Act. The Trust agrees to use its reasonable best efforts to cause such Registration Statement to be declared effective under the Securities Act within ninety (90) days after the date of filing such Registration Statement. The Trust further agrees to use its reasonable best efforts to keep such Registration Statement continuously effective for a period of forty-five (45) days following the date on which such Registration Statement is declared effective.</w:t>
      </w:r>
    </w:p>
    <w:p>
      <w:pPr>
        <w:spacing w:after="0" w:line="45" w:lineRule="exact"/>
        <w:rPr>
          <w:sz w:val="20"/>
          <w:szCs w:val="20"/>
          <w:color w:val="auto"/>
        </w:rPr>
      </w:pPr>
    </w:p>
    <w:p>
      <w:pPr>
        <w:ind w:right="120" w:firstLine="438"/>
        <w:spacing w:after="0" w:line="254" w:lineRule="auto"/>
        <w:rPr>
          <w:sz w:val="20"/>
          <w:szCs w:val="20"/>
          <w:color w:val="auto"/>
        </w:rPr>
      </w:pPr>
      <w:r>
        <w:rPr>
          <w:rFonts w:ascii="Times New Roman" w:cs="Times New Roman" w:eastAsia="Times New Roman" w:hAnsi="Times New Roman"/>
          <w:sz w:val="18"/>
          <w:szCs w:val="18"/>
          <w:color w:val="auto"/>
        </w:rPr>
        <w:t xml:space="preserve">2.2.3. If the Holders intend to distribute the Registrable Securities covered by the request by means of an underwritten offering, they shall so advise the Trust as a part of their request made pursuant to Section 2.2.1. In addition, the Holders shall select the investment banker or investment bankers and manager or managers in any such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investment bankers and managers and the proposed underwriter arrangements must be reasonably satisfactory to the Trust. The Holders shall enter into an underwriting agreement in customary form with the Trust and with the underwriter or underwriters. The Holders may not participate in any underwritten registration under this Section 2.2.3 unless they (i) agree to sell their securities on the basis provided in any underwriting arrangements approved by the Trust and (ii) complete and execute all questionnaires, powers of attorney, indemnities, lock-up letters, underwriting agreements and other documents and requests for information required under the terms of such underwriting arrangements.</w:t>
      </w:r>
    </w:p>
    <w:p>
      <w:pPr>
        <w:spacing w:after="0" w:line="44"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2.2.4. If any of the Registrable Securities registered pursuant to any Registration Statement are to be sold in an underwritten primary offering by the Trust, and no Suspension Event (as defined in Section 2.5.2) shall have occurred with respect to such offering, and the managing underwriter or underwriters deliver an opinion to the Trust and the Holders that the total number of REIT Shares that the Holders and any other Person intend to include in such offering exceeds the</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700" w:top="274" w:right="259" w:bottom="1440" w:gutter="0" w:footer="0" w:header="0"/>
        </w:sectPr>
      </w:pPr>
    </w:p>
    <w:bookmarkStart w:id="41" w:name="page42"/>
    <w:bookmarkEnd w:id="41"/>
    <w:p>
      <w:pPr>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number of REIT Shares that can be sold in such offering, there shall be included in such underwritten offering the number of REIT Shares of the Holders or such other Person or Persons that in the opinion of such underwriters can be sold in such offering, with such REIT Shares being allocated pro rata among the holders of REIT Shares to be sold on the basis of the number of REIT Shares to be registered;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pro rata allocation shall not affect the number of shares being offered by the Trust in any such offering. If any of the Registrable Securities registered pursuant to any Registration Statement are to be sold in an underwritten offering in which the Trust is not offering any REIT Shares, and the managing underwriter or underwriters deliver an opinion to the Trust and the Holders that the total number of REIT Shares that the Holders and any other Person intend to include in such offering exceeds the number of REIT Shares that can be sold in such offering, there shall be included in such underwritten offering the number of REIT Shares that in the opinion of such underwriters can be sold, with such REIT Shares being allocated pro rata among the holders of REIT Shares to be sold on the basis of the number of REIT Shares to be registered. In the event that the number of Registrable Securities registered pursuant to any Registration Statement is limited in the manner provided in this Section 2.2.4, and the result of such limitation is that less than thirty-five percent (35%) of the total number of Registrable Securities with respect to which the Holders could have exercised their Demand Right is included in such Registration Statement, the Holders shall have the one-time right, but not the obligation, to revoke the exercise of the Demand Right. Upon such revocation, the Holders shall be entitled to exercise the Demand Right for a period of six (6) months following the end of the sixty-day period referred to in Section 2.5.3.</w:t>
      </w:r>
    </w:p>
    <w:p>
      <w:pPr>
        <w:spacing w:after="0" w:line="236" w:lineRule="exact"/>
        <w:rPr>
          <w:sz w:val="20"/>
          <w:szCs w:val="20"/>
          <w:color w:val="auto"/>
        </w:rPr>
      </w:pPr>
    </w:p>
    <w:p>
      <w:pPr>
        <w:jc w:val="both"/>
        <w:ind w:right="80" w:firstLine="438"/>
        <w:spacing w:after="0" w:line="301" w:lineRule="auto"/>
        <w:rPr>
          <w:sz w:val="20"/>
          <w:szCs w:val="20"/>
          <w:color w:val="auto"/>
        </w:rPr>
      </w:pPr>
      <w:r>
        <w:rPr>
          <w:rFonts w:ascii="Times New Roman" w:cs="Times New Roman" w:eastAsia="Times New Roman" w:hAnsi="Times New Roman"/>
          <w:sz w:val="16"/>
          <w:szCs w:val="16"/>
          <w:color w:val="auto"/>
        </w:rPr>
        <w:t>2.2.5. The Trust shall promptly notify in writing each Holder of the filing and effectiveness of the Registration Statement and shall furnish, without charge, to each Holder a copy of the Registration Statement (including any amendments, supplements and exhibits thereto) and the prospectus included in the Registration Statement (including each preliminary prospectus) in conformity with the requirements of the Securities Act, and such other documents as such Holder may reasonably request in order to facilitate the public sale or other Transfer of Registrable Securities owned by the Holders.</w:t>
      </w:r>
    </w:p>
    <w:p>
      <w:pPr>
        <w:spacing w:after="0" w:line="9"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2.2.6. The Trust shall use its reasonable best efforts to prepare and file with the SEC such amendments and supplements to the Registration Statement and the prospectus used in connection therewith as may be necessary to keep the Registration Statement effective and to comply with the provisions of the Securities Act with respect to the Transfer of the Registrable Securities for as long as the Trust keeps the Registration Statement effective in accordance with Section 2.2.2.</w:t>
      </w:r>
    </w:p>
    <w:p>
      <w:pPr>
        <w:spacing w:after="0" w:line="42" w:lineRule="exact"/>
        <w:rPr>
          <w:sz w:val="20"/>
          <w:szCs w:val="20"/>
          <w:color w:val="auto"/>
        </w:rPr>
      </w:pPr>
    </w:p>
    <w:p>
      <w:pPr>
        <w:ind w:firstLine="438"/>
        <w:spacing w:after="0" w:line="296" w:lineRule="auto"/>
        <w:rPr>
          <w:sz w:val="20"/>
          <w:szCs w:val="20"/>
          <w:color w:val="auto"/>
        </w:rPr>
      </w:pPr>
      <w:r>
        <w:rPr>
          <w:rFonts w:ascii="Times New Roman" w:cs="Times New Roman" w:eastAsia="Times New Roman" w:hAnsi="Times New Roman"/>
          <w:sz w:val="16"/>
          <w:szCs w:val="16"/>
          <w:color w:val="auto"/>
        </w:rPr>
        <w:t>2.2.7. The Trust shall promptly notify the Holders of the existence of any fact of which the Trust becomes aware that results in the Registration Statement, the prospectus related thereto or any document incorporated therein by reference, containing an untrue statement of a material fact or omitting to state a material fact required to be stated therein or necessary to make any statement therein not misleading. In such event, the Trust shall promptly prepare and furnish to each Holder a reasonable number of copies of a prospectus supplement or amendment so that, as thereafter delivered to the purchasers of such Registrable Securities, such prospectus shall not include an untrue statement of a material fact or omit to state a material fact required to be stated</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700" w:top="274" w:right="239"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or necessary to make the statements therein in the light of the circumstances under which they were made not misleading.</w:t>
      </w:r>
    </w:p>
    <w:p>
      <w:pPr>
        <w:spacing w:after="0" w:line="15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State Securities Laws.</w:t>
      </w:r>
      <w:r>
        <w:rPr>
          <w:rFonts w:ascii="Times New Roman" w:cs="Times New Roman" w:eastAsia="Times New Roman" w:hAnsi="Times New Roman"/>
          <w:sz w:val="18"/>
          <w:szCs w:val="18"/>
          <w:color w:val="auto"/>
        </w:rPr>
        <w:t xml:space="preserve"> Subject to the conditions set forth in this Agreement, the Trust shall, in connection with filing of the Registration Statement, use its reasonable best efforts to register or qualify the Registrable Securities covered by the Registration Statement under such other securities or “blue sky” laws of such jurisdictions as a Holder shall reasonably request, and do any and all other acts and things that may be reasonably necessary or advisable to enable each Holder to consummate the Transfer of the Registrable Securities in such jurisdictions, except that in no event shall the Trust be required to qualify to do business as a foreign corporation in any jurisdiction where it would not, but for the requirements of this Section 2.3, be required to be so qualified, to subject itself to taxation in any such jurisdiction or to consent to general service of process in any such jurisdiction.</w:t>
      </w:r>
    </w:p>
    <w:p>
      <w:pPr>
        <w:spacing w:after="0" w:line="126"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All expenses incurred in connection with a registration, filing or qualification pursuant to Section 2.2 hereof, including, without limitation, registration, filing and qualification fees, printers’ and accounting fees, and the fees and disbursements of counsel for the Trust, shall be borne and paid by the Trust, other than fees and disbursements of the Holders’ counsel and all underwriting discounts and selling commissions attributable to sales of Registrable Securities, which shall be borne and paid by the Holders.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Suspension of Registration; Limitations on Registration Rights; Restriction on Sale.</w:t>
      </w:r>
    </w:p>
    <w:p>
      <w:pPr>
        <w:spacing w:after="0" w:line="79" w:lineRule="exact"/>
        <w:rPr>
          <w:sz w:val="20"/>
          <w:szCs w:val="20"/>
          <w:color w:val="auto"/>
        </w:rPr>
      </w:pPr>
    </w:p>
    <w:p>
      <w:pPr>
        <w:ind w:left="460" w:right="320" w:firstLine="438"/>
        <w:spacing w:after="0" w:line="258" w:lineRule="auto"/>
        <w:rPr>
          <w:sz w:val="20"/>
          <w:szCs w:val="20"/>
          <w:color w:val="auto"/>
        </w:rPr>
      </w:pPr>
      <w:r>
        <w:rPr>
          <w:rFonts w:ascii="Times New Roman" w:cs="Times New Roman" w:eastAsia="Times New Roman" w:hAnsi="Times New Roman"/>
          <w:sz w:val="18"/>
          <w:szCs w:val="18"/>
          <w:color w:val="auto"/>
        </w:rPr>
        <w:t>2.5.1 The Trust shall promptly notify the Holders of the issuance by the SEC of any stop order or other action suspending or postponing the effectiveness of the Registration Statement with respect to the qualification of any Registrable Securities for sale by the Holders or the initiation of any proceedings for such purpose. The Trust shall use its reasonable best efforts to obtain the withdrawal of any order suspending or postponing the effectiveness of the Registration Statement.</w:t>
      </w:r>
    </w:p>
    <w:p>
      <w:pPr>
        <w:spacing w:after="0" w:line="42" w:lineRule="exact"/>
        <w:rPr>
          <w:sz w:val="20"/>
          <w:szCs w:val="20"/>
          <w:color w:val="auto"/>
        </w:rPr>
      </w:pPr>
    </w:p>
    <w:p>
      <w:pPr>
        <w:ind w:left="460" w:right="20" w:firstLine="438"/>
        <w:spacing w:after="0" w:line="289" w:lineRule="auto"/>
        <w:rPr>
          <w:sz w:val="20"/>
          <w:szCs w:val="20"/>
          <w:color w:val="auto"/>
        </w:rPr>
      </w:pPr>
      <w:r>
        <w:rPr>
          <w:rFonts w:ascii="Times New Roman" w:cs="Times New Roman" w:eastAsia="Times New Roman" w:hAnsi="Times New Roman"/>
          <w:sz w:val="16"/>
          <w:szCs w:val="16"/>
          <w:color w:val="auto"/>
        </w:rPr>
        <w:t xml:space="preserve">2.5.2 Notwithstanding anything to the contrary contained in this Agreement, the Trust’s obligation under this Agreement to cause a Registration Statement and any filings with any state securities commission to become or remain effective shall be suspended in the event and during such period as a Suspension Event (as defined below) exists, but such suspension shall continue only for so long as such Suspension Event or its effect is continuing, but in no event for more than three (3) consecutive months. The Trust shall give written notice to the Holders of the occurrence of any Suspension Event and, to the extent deemed practical and advisable by the Trust, its circumstances and nature. “Suspension Event” shall include, but shall not be limited to, the following events: (i) an underwritten primary offering by the Trust if the Trust is advised by the underwriters that the Transfer of Registrable Securities under the Registration Statement would impair the pricing or commercial practicality of the primary offering, (ii) pending negotiations relating to, or consummation of, a transaction or the occurrence of an event that would require additional disclosure of material information by the Trust in a Registration Statement or other filing, as to which the Trust has a </w:t>
      </w:r>
      <w:r>
        <w:rPr>
          <w:rFonts w:ascii="Times New Roman" w:cs="Times New Roman" w:eastAsia="Times New Roman" w:hAnsi="Times New Roman"/>
          <w:sz w:val="16"/>
          <w:szCs w:val="16"/>
          <w:u w:val="single" w:color="auto"/>
          <w:color w:val="auto"/>
        </w:rPr>
        <w:t>bone fide</w:t>
      </w:r>
      <w:r>
        <w:rPr>
          <w:rFonts w:ascii="Times New Roman" w:cs="Times New Roman" w:eastAsia="Times New Roman" w:hAnsi="Times New Roman"/>
          <w:sz w:val="16"/>
          <w:szCs w:val="16"/>
          <w:color w:val="auto"/>
        </w:rPr>
        <w:t xml:space="preserve"> business purpose for preserving confidentiality or</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43" w:name="page44"/>
    <w:bookmarkEnd w:id="43"/>
    <w:p>
      <w:pPr>
        <w:ind w:right="8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renders the Trust unable to comply with SEC requirements, or (iii) such other unforeseen circumstances that would make it impractical or inadvisable to cause the Registration Statement or such other filings to become or remain effective.</w:t>
      </w:r>
    </w:p>
    <w:p>
      <w:pPr>
        <w:spacing w:after="0" w:line="25" w:lineRule="exact"/>
        <w:rPr>
          <w:sz w:val="20"/>
          <w:szCs w:val="20"/>
          <w:color w:val="auto"/>
        </w:rPr>
      </w:pPr>
    </w:p>
    <w:p>
      <w:pPr>
        <w:ind w:right="120" w:firstLine="438"/>
        <w:spacing w:after="0" w:line="258" w:lineRule="auto"/>
        <w:rPr>
          <w:sz w:val="20"/>
          <w:szCs w:val="20"/>
          <w:color w:val="auto"/>
        </w:rPr>
      </w:pPr>
      <w:r>
        <w:rPr>
          <w:rFonts w:ascii="Times New Roman" w:cs="Times New Roman" w:eastAsia="Times New Roman" w:hAnsi="Times New Roman"/>
          <w:sz w:val="18"/>
          <w:szCs w:val="18"/>
          <w:color w:val="auto"/>
        </w:rPr>
        <w:t>2.5.3 Each Holder agrees that, if requested by the Trust in the case of a Trust-initiated non-underwritten offering, or if requested by the managing or lead underwriter in a Trust-initiated underwritten offering, not to effect any public sale or distribution of any of the securities of the Trust, including a Transfer pursuant to Rule 144 under the Securities Act (or any successor provision), during the fifteen-day period prior to and during the sixty-day period beginning on, the date of effectiveness of the registration statement relating to such Trust-initiated offering.</w:t>
      </w:r>
    </w:p>
    <w:p>
      <w:pPr>
        <w:spacing w:after="0" w:line="42" w:lineRule="exact"/>
        <w:rPr>
          <w:sz w:val="20"/>
          <w:szCs w:val="20"/>
          <w:color w:val="auto"/>
        </w:rPr>
      </w:pPr>
    </w:p>
    <w:p>
      <w:pPr>
        <w:ind w:right="360" w:firstLine="438"/>
        <w:spacing w:after="0" w:line="275" w:lineRule="auto"/>
        <w:rPr>
          <w:sz w:val="20"/>
          <w:szCs w:val="20"/>
          <w:color w:val="auto"/>
        </w:rPr>
      </w:pPr>
      <w:r>
        <w:rPr>
          <w:rFonts w:ascii="Times New Roman" w:cs="Times New Roman" w:eastAsia="Times New Roman" w:hAnsi="Times New Roman"/>
          <w:sz w:val="18"/>
          <w:szCs w:val="18"/>
          <w:color w:val="auto"/>
        </w:rPr>
        <w:t>2.5.4 Nothing in this Agreement shall be deemed to create an independent obligation on the part of the Holders to sell any Registrable Securities pursuant to any effective Registration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Indemnification and Contribution.</w:t>
      </w:r>
    </w:p>
    <w:p>
      <w:pPr>
        <w:spacing w:after="0" w:line="79" w:lineRule="exact"/>
        <w:rPr>
          <w:sz w:val="20"/>
          <w:szCs w:val="20"/>
          <w:color w:val="auto"/>
        </w:rPr>
      </w:pPr>
    </w:p>
    <w:p>
      <w:pPr>
        <w:ind w:firstLine="438"/>
        <w:spacing w:after="0" w:line="289" w:lineRule="auto"/>
        <w:rPr>
          <w:sz w:val="20"/>
          <w:szCs w:val="20"/>
          <w:color w:val="auto"/>
        </w:rPr>
      </w:pPr>
      <w:r>
        <w:rPr>
          <w:rFonts w:ascii="Times New Roman" w:cs="Times New Roman" w:eastAsia="Times New Roman" w:hAnsi="Times New Roman"/>
          <w:sz w:val="16"/>
          <w:szCs w:val="16"/>
          <w:color w:val="auto"/>
        </w:rPr>
        <w:t>2.6.1 In connection with any Registration Statement filed pursuant to Section 2.2 hereof, the Trust shall indemnify and hold harmless the Holders, each underwriter who may purchase from the Holders or sell any Registrable Securities for the Holders and each Person who controls such underwriter, within the meaning of the Securities Act, and each of their respective directors, officers, employees, trustees and agents, from and against any and all losses, claims, damages, liabilities and expenses caused by any untrue statement or alleged untrue statement of a material fact contained in such Registration Statement or any related state securities or blue sky applications or other instruments or caused by any omission or alleged omission to state in such Registration Statement or any related state securities or blue sky applications or other instruments any material fact required to be stated or necessary to make the statements which are made not misleading, except insofar as such losses, claims, damages, liabilities or expenses are caused by any such untrue statement or by any such omission that was furnished in writing to the Trust by the Holders, underwriter or controlling person expressly for use in such Registration Statement or any related state securities or blue sky applications or other instruments and was used in accordance with such writing.</w:t>
      </w:r>
    </w:p>
    <w:p>
      <w:pPr>
        <w:spacing w:after="0" w:line="18"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 xml:space="preserve">2.6.2. Each Holder agrees, severally and not jointly, to indemnify and hold harmless the Trust, its directors, each officer signing such Registration Statement, each other person whose securities are included in such Registration Statement, each underwriter who may purchase from or sell any securities for the Trust or any other Person pursuant to such Registration Statement and each Person, if any, who controls the Trust, any such other Person or any such underwriter, within the meaning of the Securities Act, and each of their respective directors, officers, employees, trustees and agents, from and against any and all losses, claims, damages, liabilities and expenses, caused by any untrue statement of a material fact furnished in writing to the Trust by the Holders expressly for use in such Registration Statement or any related state securities or blue sky applications or other instruments and used in accordance with such writing and from any omission therefrom of a material fact needed to be furnished or necessary to make the information furnished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Holder shall be liable for any claims hereunder in</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excess of the amount of proceeds received by such Holder from the sale of Registrable Securities pursuant to the Registration Statement.</w:t>
      </w:r>
    </w:p>
    <w:p>
      <w:pPr>
        <w:spacing w:after="0" w:line="77" w:lineRule="exact"/>
        <w:rPr>
          <w:sz w:val="20"/>
          <w:szCs w:val="20"/>
          <w:color w:val="auto"/>
        </w:rPr>
      </w:pPr>
    </w:p>
    <w:p>
      <w:pPr>
        <w:ind w:right="20" w:firstLine="438"/>
        <w:spacing w:after="0" w:line="252" w:lineRule="auto"/>
        <w:rPr>
          <w:sz w:val="20"/>
          <w:szCs w:val="20"/>
          <w:color w:val="auto"/>
        </w:rPr>
      </w:pPr>
      <w:r>
        <w:rPr>
          <w:rFonts w:ascii="Times New Roman" w:cs="Times New Roman" w:eastAsia="Times New Roman" w:hAnsi="Times New Roman"/>
          <w:sz w:val="18"/>
          <w:szCs w:val="18"/>
          <w:color w:val="auto"/>
        </w:rPr>
        <w:t>2.6.3. Each indemnified party shall give prompt notice to each indemnifying party of any action commenced against the indemnified party in respect of which indemnity may be sought hereunder, enclosing a copy of all papers served on such indemnified party, but failure to so notify an indemnifying party shall not relieve it of any liability which it may have to the indemnified party under this Agreement if such failure does not materially prejudice the indemnifying party in the defense of any such action, and shall not relieve such indemnifying party from any liability which it may have other than on account of this indemnity agreement. An indemnifying party may participate at its own expense in the defense of any such action. If an indemnifying party so elects within a reasonable time after receipt of such notice, such indemnifying party, separately or jointly with any other indemnifying party, may assume the defense of such action with counsel chosen by it and approved by the indemnified party or parties defendant in such action, provided that if any such indemnified party reasonably determines that there may be legal defenses available to such indemnified party which are different from or in addition to those available to such indemnifying party or that representation of such indemnifying party and any indemnified party by the same counsel would present a conflict of interest, then such indemnifying party or parties shall not be entitled to assume such defense. If an indemnifying party is not entitled to assume the defense of such action as a result of the proviso to the preceding sentence, counsel for such indemnifying party shall be entitled to conduct the defense of such indemnifying party and counsel for such indemnified party or parties shall be entitled to conduct the defense of such indemnified party or parties. If an indemnifying party assumes the defense of an action in accordance with and as permitted by the provisions of this paragraph, such indemnifying party shall not be liable for any fees and expenses of counsel for the indemnified parties incurred thereafter in connection with such action. In no event shall the indemnifying party or parties be liable for the fees and expenses of more than one counsel (in addition to any one local counsel) separate from the indemnifying parties’ own counsel for all indemnified parties in connection with any one action or separate but similar or related actions in the same jurisdiction arising out of the same general allegations or circumstances.</w:t>
      </w:r>
    </w:p>
    <w:p>
      <w:pPr>
        <w:spacing w:after="0" w:line="46" w:lineRule="exact"/>
        <w:rPr>
          <w:sz w:val="20"/>
          <w:szCs w:val="20"/>
          <w:color w:val="auto"/>
        </w:rPr>
      </w:pPr>
    </w:p>
    <w:p>
      <w:pPr>
        <w:ind w:firstLine="438"/>
        <w:spacing w:after="0" w:line="289" w:lineRule="auto"/>
        <w:rPr>
          <w:sz w:val="20"/>
          <w:szCs w:val="20"/>
          <w:color w:val="auto"/>
        </w:rPr>
      </w:pPr>
      <w:r>
        <w:rPr>
          <w:rFonts w:ascii="Times New Roman" w:cs="Times New Roman" w:eastAsia="Times New Roman" w:hAnsi="Times New Roman"/>
          <w:sz w:val="16"/>
          <w:szCs w:val="16"/>
          <w:color w:val="auto"/>
        </w:rPr>
        <w:t>2.6.4. In order to provide for just and equitable contribution in circumstances in which the indemnity provision agreement provided for in Section 2.6 is for any reason held to be unavailable to the indemnified parties although applicable in accordance with its terms, the Trust and the Holders shall contribute to the aggregate losses, claims, damages, liabilities and expenses of the nature contemplated by said indemnity agreement incurred by the Trust, and the Holders, as incurred; provided that no Person guilty of fraudulent misrepresentation (within the meaning of Section 11(f) of the Securities Act) shall be entitled to contribution from any Person that was not guilty of such fraudulent misrepresentation. As between the Trust and the Holders, such parties shall contribute to such aggregate losses, claims, damages, liabilities and expenses of the nature contemplated by such indemnity agreement in such proportion as shall be appropriate to reflect the relative fault of the Trust, on the one hand, and of the Holders, on the other, with respect to the statements or omissions which resulted in such loss, claim, damage, liability or expense, or action in respect thereof, as well as any other relevant equitable considerations. The relative fault of the Trust, on the one hand, and of the Holders, on the other, shall be determined by reference to, among</w:t>
      </w:r>
    </w:p>
    <w:p>
      <w:pPr>
        <w:spacing w:after="0" w:line="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700" w:top="274" w:right="239" w:bottom="1440" w:gutter="0" w:footer="0" w:header="0"/>
        </w:sectPr>
      </w:pPr>
    </w:p>
    <w:bookmarkStart w:id="45" w:name="page46"/>
    <w:bookmarkEnd w:id="45"/>
    <w:p>
      <w:pPr>
        <w:ind w:left="46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things, whether the untrue or alleged untrue statement of a material fact or the omission or alleged omission to state a material fact relates to information supplied by the Trust, on the one hand, or by or on behalf of the Holders, on the other, and the parties’ relative intent, knowledge, access to information and opportunity to correct or prevent such statement or omission. The Trust and the Holders of the Registrable Securities agree that it would not be just and equitable if contribution pursuant to Section 2.6 were to be determined by pro rata allocation or by any other method of allocation that does not take into account the relevant equitable considerations. For purposes of Section 2.6, each director, officer, employee, trustee, agent and Person, if any, who controls the Holder within the meaning of Section 15 of the Securities Act or Section 20 of the Exchange Act shall have the same rights to contribution as the Holder, and each director, officer, employee, trustee and agent of the Trust, and each Person, if any, who controls the Trust within the meaning of the Securities Act shall have the same rights to contribution as the Trust. No party shall be liable for contribution with respect to any action, suit, proceeding or claim settled without its written consent.</w:t>
      </w:r>
    </w:p>
    <w:p>
      <w:pPr>
        <w:spacing w:after="0" w:line="1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58" w:lineRule="exact"/>
        <w:rPr>
          <w:sz w:val="20"/>
          <w:szCs w:val="20"/>
          <w:color w:val="auto"/>
        </w:rPr>
      </w:pPr>
    </w:p>
    <w:p>
      <w:pPr>
        <w:ind w:right="180" w:firstLine="456"/>
        <w:spacing w:after="0" w:line="31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b w:val="1"/>
          <w:bCs w:val="1"/>
          <w:color w:val="auto"/>
        </w:rPr>
        <w:t>Successors and Assigns; No Third Party Benefit.</w:t>
      </w:r>
      <w:r>
        <w:rPr>
          <w:rFonts w:ascii="Times New Roman" w:cs="Times New Roman" w:eastAsia="Times New Roman" w:hAnsi="Times New Roman"/>
          <w:sz w:val="16"/>
          <w:szCs w:val="16"/>
          <w:color w:val="auto"/>
        </w:rPr>
        <w:t xml:space="preserve"> This Agreement shall be binding upon and inure to the benefit of the parties and their respective permitted successors and assigns. Nothing in this Agreement, express or implied, is intended to confer upon any party other than the parties hereto and their respective permitted successors and assigns any rights or remedies under or by reason of this Agreement, except as expressly provided in this Agreement.</w:t>
      </w:r>
    </w:p>
    <w:p>
      <w:pPr>
        <w:spacing w:after="0" w:line="79" w:lineRule="exact"/>
        <w:rPr>
          <w:sz w:val="20"/>
          <w:szCs w:val="20"/>
          <w:color w:val="auto"/>
        </w:rPr>
      </w:pPr>
    </w:p>
    <w:p>
      <w:pPr>
        <w:ind w:right="6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Agreement shall be governed by, and construed and enforced in accordance with, the substantive laws of the District of Columbia, without giving effect to the principles of conflicts of law thereof.</w:t>
      </w:r>
    </w:p>
    <w:p>
      <w:pPr>
        <w:spacing w:after="0" w:line="10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by the parties hereto in separate counterparts, each of which when so executed and delivered shall be deemed an original, but all such counterparts shall together constitute one and the same instrument. Each counterpart may consist of a number of copies hereof each signed by less than all, but together signed by all, the parties hereto.</w:t>
      </w:r>
    </w:p>
    <w:p>
      <w:pPr>
        <w:spacing w:after="0" w:line="114"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Titles and Subtitles.</w:t>
      </w:r>
      <w:r>
        <w:rPr>
          <w:rFonts w:ascii="Times New Roman" w:cs="Times New Roman" w:eastAsia="Times New Roman" w:hAnsi="Times New Roman"/>
          <w:sz w:val="18"/>
          <w:szCs w:val="18"/>
          <w:color w:val="auto"/>
        </w:rPr>
        <w:t xml:space="preserve"> The titles and subtitles used in this Agreement are inserted for convenience only and are not to be considered in construing or interpreting this Agreement.</w:t>
      </w:r>
    </w:p>
    <w:p>
      <w:pPr>
        <w:spacing w:after="0" w:line="103"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and other communications provided for or permitted hereunder shall be made in writing by hand-delivery, first-class mail, telex, telecopier, or air courier guaranteeing overnight delivery:</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Trust:</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4" w:right="299" w:bottom="1440" w:gutter="0" w:footer="0" w:header="0"/>
        </w:sectPr>
      </w:pPr>
    </w:p>
    <w:bookmarkStart w:id="46" w:name="page47"/>
    <w:bookmarkEnd w:id="4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Rockville, Maryland 20852</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(301) 998-8100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(301) 998-3703</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Thomas F. Cooney, III, Esq.</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Kirkpatrick &amp; Lockhart LLP</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1800 Massachusetts Avenue, N.W.</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(202) 778-9076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(202) 778-9100</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Holders: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 Richard Kimmel</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21297 Bellechase Court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Boca Raton, Florida 33433</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Todd H. Reuben, Esq.</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Tucker, Flyer &amp; Lewis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1615 L Street, N.W.</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Washington, D.C. 20036-5812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(202) 429-3283</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(202) 429-3231</w:t>
      </w:r>
    </w:p>
    <w:p>
      <w:pPr>
        <w:spacing w:after="0" w:line="143" w:lineRule="exact"/>
        <w:rPr>
          <w:sz w:val="20"/>
          <w:szCs w:val="20"/>
          <w:color w:val="auto"/>
        </w:rPr>
      </w:pPr>
    </w:p>
    <w:p>
      <w:pPr>
        <w:ind w:firstLine="456"/>
        <w:spacing w:after="0" w:line="342" w:lineRule="auto"/>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b w:val="1"/>
          <w:bCs w:val="1"/>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qualified, modified or supplemented, and waivers or consents to departures from the provisions hereof may not be given, unless the written consent of each party hereto is obtained.</w:t>
      </w:r>
    </w:p>
    <w:p>
      <w:pPr>
        <w:spacing w:after="0" w:line="56"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19"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is intended by the parties as a final expression of their agreement and is intended to be a complete and exclusive statement of the agreement and understanding of the parties hereto in respect of the subject matter herein contained.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00"/>
          </w:cols>
          <w:pgMar w:left="240" w:top="274" w:right="359" w:bottom="1440" w:gutter="0" w:footer="0" w:header="0"/>
        </w:sectPr>
      </w:pPr>
    </w:p>
    <w:bookmarkStart w:id="47" w:name="page48"/>
    <w:bookmarkEnd w:id="47"/>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restrictions, promises, warranties or undertakings, other than those set forth or referred to herein, with respect to the registration rights granted by the Trust in connection with Registrable Securities that may be received by the Holders in the event of an Exchange. This Agreement supersedes all prior agreements and understandings between the parties with respect to such subject matter.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all as of the day and year first above written.</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Haward Biel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Haward Beil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 &amp; Managing Director of</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Development</w:t>
      </w:r>
    </w:p>
    <w:p>
      <w:pPr>
        <w:spacing w:after="0" w:line="1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 RICHARD KIMMEL</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N. Richard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RKR LIMITED PARTNERSHIP</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N. Richard Kimmel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N. Richard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General Partner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4" w:right="2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143"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We have acted as counsel to Federal Realty Investment Trust, a Maryland real estate investment trust (the “Company”), in connection with the Company’s filing with the Securities and Exchange Commission under the Securities Act of 1933, as amended (the “Act”), of a registration statement on Form S-3 (the “Registration Statement”) and the prospectus included therein (the “Prospectus”) relating to the resale of 123,130 of the Company’s common shares of beneficial interest, par value $.01 per share (the “Shares”), as provided in the Registration Statement, by the selling shareholder identified in the Registration Statement.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purposes of this opinion, we have examined copies of the following documents:</w:t>
      </w:r>
    </w:p>
    <w:p>
      <w:pPr>
        <w:spacing w:after="0" w:line="77"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76"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Declaration of Trust of the Company, as amended, restated or supplemented, if applicable, as certified by the Maryland State Department of Assessments and Taxation on May 24, 2005, and certified to us by the Executive Vice President, General Counsel and Secretary of the Company as being complete, accurate and in effect as of the date hereof;</w:t>
      </w:r>
    </w:p>
    <w:p>
      <w:pPr>
        <w:spacing w:after="0" w:line="37"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as amended, restated or supplemented, if applicable, in the form certified to us by the Executive Vice President, General Counsel and Secretary of the Company as being complete, accurate and in effect as of the date hereof;</w:t>
      </w:r>
    </w:p>
    <w:p>
      <w:pPr>
        <w:spacing w:after="0" w:line="25" w:lineRule="exact"/>
        <w:rPr>
          <w:rFonts w:ascii="Times New Roman" w:cs="Times New Roman" w:eastAsia="Times New Roman" w:hAnsi="Times New Roman"/>
          <w:sz w:val="18"/>
          <w:szCs w:val="18"/>
          <w:color w:val="auto"/>
        </w:rPr>
      </w:pPr>
    </w:p>
    <w:p>
      <w:pPr>
        <w:ind w:left="900" w:right="86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dated as of December 17, 1997, by and between the Company, N. Richard Kimmel and RKR Limited Partnership;</w:t>
      </w:r>
    </w:p>
    <w:p>
      <w:pPr>
        <w:sectPr>
          <w:pgSz w:w="11900" w:h="16838" w:orient="portrait"/>
          <w:cols w:equalWidth="0" w:num="1">
            <w:col w:w="11420"/>
          </w:cols>
          <w:pgMar w:left="240" w:top="125" w:right="2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June 3, 2005</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w:t>
      </w:r>
    </w:p>
    <w:p>
      <w:pPr>
        <w:spacing w:after="0" w:line="145" w:lineRule="exact"/>
        <w:rPr>
          <w:sz w:val="20"/>
          <w:szCs w:val="20"/>
          <w:color w:val="auto"/>
        </w:rPr>
      </w:pPr>
    </w:p>
    <w:p>
      <w:pPr>
        <w:ind w:left="900" w:right="6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 meeting of the Board of Trustees of the Company held on October 28, 2003, as certified to us by the Executive Vice President, General Counsel and Secretary of the Company as being complete, accurate and in effect as of the date hereof;</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dated as of the date hereof; and</w:t>
      </w:r>
    </w:p>
    <w:p>
      <w:pPr>
        <w:spacing w:after="0" w:line="76" w:lineRule="exact"/>
        <w:rPr>
          <w:rFonts w:ascii="Times New Roman" w:cs="Times New Roman" w:eastAsia="Times New Roman" w:hAnsi="Times New Roman"/>
          <w:sz w:val="18"/>
          <w:szCs w:val="18"/>
          <w:color w:val="auto"/>
        </w:rPr>
      </w:pPr>
    </w:p>
    <w:p>
      <w:pPr>
        <w:ind w:left="900" w:right="42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corporate records, certificates of public officials and other instruments as we have deemed necessary for the purposes of rendering this opinion.</w:t>
      </w:r>
    </w:p>
    <w:p>
      <w:pPr>
        <w:spacing w:after="0" w:line="106"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In our examination of the aforesaid documents, we have assumed the legal capacity of all natural persons, the authority of all entities other than the Company, the genuineness of all signatures, the completeness and authenticity of all documents submitted to us as originals, and the conformity to original documents of all documents submitted to us as certified, telecopied, photostatic or reproduced copies.</w:t>
      </w:r>
    </w:p>
    <w:p>
      <w:pPr>
        <w:spacing w:after="0" w:line="11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the Shares have been validly issued by the Company, and are fully paid and nonassessable.</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opinion is limited to the laws of the United States and, except as provided below, the laws of the State of Maryland. Our opinion is rendered only with respect to the laws and the rules, regulations and orders thereunder that are currently in effect. We assume no obligation to advise you of any changes in the foregoing subsequent to the delivery of this opinion. We express no opinion as to compliance with any state securities laws, including the securities laws of the State of Maryland. This opinion has been prepared for your use in connection with the filing of the Registration Statement.</w:t>
      </w:r>
    </w:p>
    <w:p>
      <w:pPr>
        <w:spacing w:after="0" w:line="12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360"/>
          </w:cols>
          <w:pgMar w:left="240" w:top="274"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8.1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 (the “Commission”).</w:t>
      </w:r>
    </w:p>
    <w:p>
      <w:pPr>
        <w:spacing w:after="0" w:line="123"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3, 2005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(2005) taxable year and for future taxable years, and (iii) the discussions in (y) the Registration Statement under the caption “Risk Factors,” specifically the discussion of the Company’s status as a REIT, and (z) the Registration Statement under the caption “Federal Income Tax Considerations,” which discussions are part of, or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the caption “Federal Income Tax Considerations” are hereby confirmed.</w:t>
      </w:r>
    </w:p>
    <w:p>
      <w:pPr>
        <w:spacing w:after="0" w:line="13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3, 2005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0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400"/>
          </w:cols>
          <w:pgMar w:left="240" w:top="274" w:right="2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issued our reports dated March 2, 2005, accompanying the consolidated financial statements and schedules and management’s assessment of the effectiveness of internal control over financial reporting, included in the Annual Report of Federal Realty Investment Trust on Form 10-K for the year ended December 31, 2004, which are incorporated by reference in this Registration Statement. We hereby consent to the incorporation by reference of said reports in the Registration Statement of Federal Realty Investment Trust on Form S-3, and to the use of our name as it appears under the caption “Experts.”</w:t>
      </w:r>
    </w:p>
    <w:p>
      <w:pPr>
        <w:spacing w:after="0" w:line="1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Vienna, Virginia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3"/>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lvl w:ilvl="1">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lvl w:ilvl="1">
      <w:lvlJc w:val="left"/>
      <w:lvlText w:val="(%2)"/>
      <w:numFmt w:val="lowerRoman"/>
      <w:start w:val="1"/>
    </w:lvl>
  </w:abstractNum>
  <w:abstractNum w:abstractNumId="38">
    <w:nsid w:val="580BD78F"/>
    <w:multiLevelType w:val="hybridMultilevel"/>
    <w:lvl w:ilvl="0">
      <w:lvlJc w:val="left"/>
      <w:lvlText w:val="%1"/>
      <w:numFmt w:val="lowerLetter"/>
      <w:start w:val="1"/>
    </w:lvl>
    <w:lvl w:ilvl="1">
      <w:lvlJc w:val="left"/>
      <w:lvlText w:val="(%2)"/>
      <w:numFmt w:val="decimal"/>
      <w:start w:val="2"/>
    </w:lvl>
  </w:abstractNum>
  <w:abstractNum w:abstractNumId="39">
    <w:nsid w:val="153EA438"/>
    <w:multiLevelType w:val="hybridMultilevel"/>
    <w:lvl w:ilvl="0">
      <w:lvlJc w:val="left"/>
      <w:lvlText w:val="(%1)"/>
      <w:numFmt w:val="lowerLetter"/>
      <w:start w:val="2"/>
    </w:lvl>
    <w:lvl w:ilvl="1">
      <w:lvlJc w:val="left"/>
      <w:lvlText w:val="%2"/>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2019-12-13T00:50:06Z</dcterms:created>
  <dcterms:modified xsi:type="dcterms:W3CDTF">2019-12-13T00:50:06Z</dcterms:modified>
</cp:coreProperties>
</file>