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8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ind w:left="2640"/>
        <w:spacing w:after="0"/>
        <w:tabs>
          <w:tab w:leader="none" w:pos="4320" w:val="left"/>
        </w:tabs>
        <w:rPr>
          <w:sz w:val="20"/>
          <w:szCs w:val="20"/>
          <w:color w:val="auto"/>
        </w:rPr>
      </w:pPr>
      <w:r>
        <w:rPr>
          <w:rFonts w:ascii="Courier New" w:cs="Courier New" w:eastAsia="Courier New" w:hAnsi="Courier New"/>
          <w:sz w:val="16"/>
          <w:szCs w:val="16"/>
          <w:color w:val="auto"/>
        </w:rPr>
        <w:t>Washington, D.C.</w:t>
        <w:tab/>
        <w:t>20549</w:t>
      </w:r>
    </w:p>
    <w:p>
      <w:pPr>
        <w:spacing w:after="0" w:line="364" w:lineRule="exact"/>
        <w:rPr>
          <w:sz w:val="24"/>
          <w:szCs w:val="24"/>
          <w:color w:val="auto"/>
        </w:rPr>
      </w:pPr>
    </w:p>
    <w:p>
      <w:pPr>
        <w:ind w:left="3300"/>
        <w:spacing w:after="0"/>
        <w:rPr>
          <w:sz w:val="20"/>
          <w:szCs w:val="20"/>
          <w:color w:val="auto"/>
        </w:rPr>
      </w:pPr>
      <w:r>
        <w:rPr>
          <w:rFonts w:ascii="Courier New" w:cs="Courier New" w:eastAsia="Courier New" w:hAnsi="Courier New"/>
          <w:sz w:val="16"/>
          <w:szCs w:val="16"/>
          <w:color w:val="auto"/>
        </w:rPr>
        <w:t>FORM 8-K</w:t>
      </w:r>
    </w:p>
    <w:p>
      <w:pPr>
        <w:spacing w:after="0" w:line="364" w:lineRule="exact"/>
        <w:rPr>
          <w:sz w:val="24"/>
          <w:szCs w:val="24"/>
          <w:color w:val="auto"/>
        </w:rPr>
      </w:pPr>
    </w:p>
    <w:p>
      <w:pPr>
        <w:ind w:left="3020"/>
        <w:spacing w:after="0"/>
        <w:rPr>
          <w:sz w:val="20"/>
          <w:szCs w:val="20"/>
          <w:color w:val="auto"/>
        </w:rPr>
      </w:pPr>
      <w:r>
        <w:rPr>
          <w:rFonts w:ascii="Courier New" w:cs="Courier New" w:eastAsia="Courier New" w:hAnsi="Courier New"/>
          <w:sz w:val="16"/>
          <w:szCs w:val="16"/>
          <w:color w:val="auto"/>
        </w:rPr>
        <w:t>CURRENT REPORT</w:t>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Pursuant to Section 13 or 15(d) of the Securities Exchange Act of 1934</w:t>
      </w:r>
    </w:p>
    <w:p>
      <w:pPr>
        <w:spacing w:after="0" w:line="372"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6"/>
          <w:szCs w:val="16"/>
          <w:color w:val="auto"/>
        </w:rPr>
        <w:t>Date of Report:</w:t>
      </w:r>
      <w:r>
        <w:rPr>
          <w:sz w:val="20"/>
          <w:szCs w:val="20"/>
          <w:color w:val="auto"/>
        </w:rPr>
        <w:tab/>
      </w:r>
      <w:r>
        <w:rPr>
          <w:rFonts w:ascii="Courier New" w:cs="Courier New" w:eastAsia="Courier New" w:hAnsi="Courier New"/>
          <w:sz w:val="15"/>
          <w:szCs w:val="15"/>
          <w:color w:val="auto"/>
        </w:rPr>
        <w:t>September 22,1995</w:t>
      </w:r>
    </w:p>
    <w:p>
      <w:pPr>
        <w:spacing w:after="0" w:line="200" w:lineRule="exact"/>
        <w:rPr>
          <w:sz w:val="24"/>
          <w:szCs w:val="24"/>
          <w:color w:val="auto"/>
        </w:rPr>
      </w:pPr>
    </w:p>
    <w:p>
      <w:pPr>
        <w:spacing w:after="0" w:line="346"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6"/>
          <w:szCs w:val="16"/>
          <w:color w:val="auto"/>
        </w:rPr>
        <w:t>Federal Realty Investment Trust</w:t>
      </w:r>
    </w:p>
    <w:p>
      <w:pPr>
        <w:spacing w:after="0" w:line="1"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598" w:right="1440" w:bottom="1440" w:gutter="0" w:footer="0" w:header="0"/>
        </w:sectPr>
      </w:pPr>
    </w:p>
    <w:p>
      <w:pPr>
        <w:spacing w:after="0" w:line="368" w:lineRule="exact"/>
        <w:rPr>
          <w:sz w:val="24"/>
          <w:szCs w:val="24"/>
          <w:color w:val="auto"/>
        </w:rPr>
      </w:pPr>
    </w:p>
    <w:p>
      <w:pPr>
        <w:ind w:firstLine="567"/>
        <w:spacing w:after="0" w:line="239" w:lineRule="auto"/>
        <w:rPr>
          <w:sz w:val="20"/>
          <w:szCs w:val="20"/>
          <w:color w:val="auto"/>
        </w:rPr>
      </w:pPr>
      <w:r>
        <w:rPr>
          <w:rFonts w:ascii="Courier New" w:cs="Courier New" w:eastAsia="Courier New" w:hAnsi="Courier New"/>
          <w:sz w:val="16"/>
          <w:szCs w:val="16"/>
          <w:color w:val="auto"/>
        </w:rPr>
        <w:t>District of Columbia ----------------------------- (State or other jurisdiction of incorporation)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1-7533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File Number)</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52-0782497</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6" w:lineRule="exact"/>
        <w:rPr>
          <w:sz w:val="24"/>
          <w:szCs w:val="24"/>
          <w:color w:val="auto"/>
        </w:rPr>
      </w:pPr>
    </w:p>
    <w:p>
      <w:pPr>
        <w:sectPr>
          <w:pgSz w:w="11900" w:h="16838" w:orient="portrait"/>
          <w:cols w:equalWidth="0" w:num="3">
            <w:col w:w="2840" w:space="460"/>
            <w:col w:w="1240" w:space="460"/>
            <w:col w:w="5219"/>
          </w:cols>
          <w:pgMar w:left="240" w:top="598" w:right="1440" w:bottom="1440" w:gutter="0" w:footer="0" w:header="0"/>
          <w:type w:val="continuous"/>
        </w:sectPr>
      </w:pP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4800 Hampden Lane, Suite 500, Bethesda, Maryland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20814</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960" w:space="720"/>
            <w:col w:w="4539"/>
          </w:cols>
          <w:pgMar w:left="240" w:top="598" w:right="1440" w:bottom="1440" w:gutter="0" w:footer="0" w:header="0"/>
          <w:type w:val="continuous"/>
        </w:sectPr>
      </w:pPr>
    </w:p>
    <w:p>
      <w:pPr>
        <w:spacing w:after="0" w:line="164" w:lineRule="exact"/>
        <w:rPr>
          <w:sz w:val="24"/>
          <w:szCs w:val="24"/>
          <w:color w:val="auto"/>
        </w:rPr>
      </w:pPr>
    </w:p>
    <w:p>
      <w:pPr>
        <w:spacing w:after="0"/>
        <w:tabs>
          <w:tab w:leader="none" w:pos="4900"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301/652-3360</w:t>
      </w:r>
    </w:p>
    <w:p>
      <w:pPr>
        <w:spacing w:after="0" w:line="5" w:lineRule="exact"/>
        <w:rPr>
          <w:sz w:val="24"/>
          <w:szCs w:val="24"/>
          <w:color w:val="auto"/>
        </w:rPr>
      </w:pPr>
    </w:p>
    <w:p>
      <w:pPr>
        <w:ind w:left="49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Exhibit Index appears on page 5</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98" w:right="1440" w:bottom="1440" w:gutter="0" w:footer="0" w:header="0"/>
          <w:type w:val="continuous"/>
        </w:sectPr>
      </w:pPr>
    </w:p>
    <w:bookmarkStart w:id="1" w:name="page2"/>
    <w:bookmarkEnd w:id="1"/>
    <w:p>
      <w:pPr>
        <w:ind w:left="80"/>
        <w:spacing w:after="0"/>
        <w:rPr>
          <w:sz w:val="20"/>
          <w:szCs w:val="20"/>
          <w:color w:val="auto"/>
        </w:rPr>
      </w:pPr>
      <w:r>
        <w:rPr>
          <w:rFonts w:ascii="Courier New" w:cs="Courier New" w:eastAsia="Courier New" w:hAnsi="Courier New"/>
          <w:sz w:val="16"/>
          <w:szCs w:val="16"/>
          <w:color w:val="auto"/>
        </w:rPr>
        <w:t>Item 5. OTHER EVENTS</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As reported on Form 8-K filed with the Commission on September 22, 1995, Federal Realty Investment Trust ("the Trust") acquired the 284,000 square foot Bristol Shopping Center in Bristol, Connecticut on September 22, 1995 for $19.6 million, consisting of a $19.0 million purchase price plus broker, transfer taxes and other acquisition costs. The acquisition was funded primarily by the assumption of an $11.3 million mortgage and the issuance of 337,527 shares of beneficial interest of the Trust, valued at $7.3 million. Financial statements for the acquisition of Bristol Shopping Center are included in this Form 8-K.</w:t>
      </w:r>
    </w:p>
    <w:p>
      <w:pPr>
        <w:spacing w:after="0" w:line="17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On November 30, 1995 the Trust purchased the 47,000 square foot Park &amp; Shop Center in Washington, D.C. for a cash purchase price of $11.0 million. On December 1, 1995 the Trust purchased a commercial building in Evanston, Illinois for a cash purchase price of $2.6 million. Neither of these properties is individually significant. In addition, the cost of these two properties aggregated with the other acquisitions of the Trust during 1995 for which financial statements have not been filed, as reported in Form 8-K filed with the Commission on September 22, 1995, is under 10% of the total assets of the Trust as of December 31, 1994 and the income from continuing operations before income taxes, extraordinary items and cumulative effect of a change in accounting principle, on these properties, in the aggregate, for 1995 is expected to be under 10% of the Trust's income from continuing operations. Therefore, audited financial statements for these acquisitions are not included with this Form 8-K.</w:t>
      </w:r>
    </w:p>
    <w:p>
      <w:pPr>
        <w:spacing w:after="0" w:line="18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119"/>
          </w:cols>
          <w:pgMar w:left="340" w:top="659" w:right="1440" w:bottom="1440" w:gutter="0" w:footer="0" w:header="0"/>
        </w:sectPr>
      </w:pPr>
    </w:p>
    <w:bookmarkStart w:id="2" w:name="page3"/>
    <w:bookmarkEnd w:id="2"/>
    <w:p>
      <w:pPr>
        <w:ind w:left="8"/>
        <w:spacing w:after="0"/>
        <w:tabs>
          <w:tab w:leader="none" w:pos="828"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FINANCIAL STATEMENTS AND EXHIBITS</w:t>
      </w:r>
    </w:p>
    <w:p>
      <w:pPr>
        <w:spacing w:after="0" w:line="186" w:lineRule="exact"/>
        <w:rPr>
          <w:sz w:val="20"/>
          <w:szCs w:val="20"/>
          <w:color w:val="auto"/>
        </w:rPr>
      </w:pPr>
    </w:p>
    <w:p>
      <w:pPr>
        <w:ind w:left="8" w:right="2939" w:firstLine="473"/>
        <w:spacing w:after="0" w:line="237" w:lineRule="auto"/>
        <w:rPr>
          <w:sz w:val="20"/>
          <w:szCs w:val="20"/>
          <w:color w:val="auto"/>
        </w:rPr>
      </w:pPr>
      <w:r>
        <w:rPr>
          <w:rFonts w:ascii="Courier New" w:cs="Courier New" w:eastAsia="Courier New" w:hAnsi="Courier New"/>
          <w:sz w:val="16"/>
          <w:szCs w:val="16"/>
          <w:color w:val="auto"/>
        </w:rPr>
        <w:t>The following financial statements, pro forma financial information and exhibits are filed as part of this report:</w:t>
      </w:r>
    </w:p>
    <w:p>
      <w:pPr>
        <w:spacing w:after="0" w:line="188" w:lineRule="exact"/>
        <w:rPr>
          <w:sz w:val="20"/>
          <w:szCs w:val="20"/>
          <w:color w:val="auto"/>
        </w:rPr>
      </w:pPr>
    </w:p>
    <w:p>
      <w:pPr>
        <w:ind w:left="368" w:hanging="368"/>
        <w:spacing w:after="0"/>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the real estate acquired, prepared pursuant to Rule</w:t>
      </w:r>
    </w:p>
    <w:p>
      <w:pPr>
        <w:spacing w:after="0" w:line="8"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3.14 of Regulation S-X:</w:t>
      </w:r>
    </w:p>
    <w:p>
      <w:pPr>
        <w:spacing w:after="0" w:line="1" w:lineRule="exact"/>
        <w:rPr>
          <w:sz w:val="20"/>
          <w:szCs w:val="20"/>
          <w:color w:val="auto"/>
        </w:rPr>
      </w:pPr>
    </w:p>
    <w:tbl>
      <w:tblPr>
        <w:tblLayout w:type="fixed"/>
        <w:tblInd w:w="188" w:type="dxa"/>
        <w:tblCellMar>
          <w:top w:w="0" w:type="dxa"/>
          <w:left w:w="0" w:type="dxa"/>
          <w:bottom w:w="0" w:type="dxa"/>
          <w:right w:w="0" w:type="dxa"/>
        </w:tblCellMar>
      </w:tblPr>
      <w:tr>
        <w:trPr>
          <w:trHeight w:val="181"/>
        </w:trPr>
        <w:tc>
          <w:tcPr>
            <w:tcW w:w="108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(1) Audited</w:t>
            </w:r>
          </w:p>
        </w:tc>
        <w:tc>
          <w:tcPr>
            <w:tcW w:w="5020" w:type="dxa"/>
            <w:vAlign w:val="bottom"/>
          </w:tcPr>
          <w:p>
            <w:pPr>
              <w:ind w:left="60"/>
              <w:spacing w:after="0"/>
              <w:rPr>
                <w:sz w:val="20"/>
                <w:szCs w:val="20"/>
                <w:color w:val="auto"/>
              </w:rPr>
            </w:pPr>
            <w:r>
              <w:rPr>
                <w:rFonts w:ascii="Courier New" w:cs="Courier New" w:eastAsia="Courier New" w:hAnsi="Courier New"/>
                <w:sz w:val="16"/>
                <w:szCs w:val="16"/>
                <w:color w:val="auto"/>
              </w:rPr>
              <w:t>financial statement of Bristol Shopping Plaza</w:t>
            </w:r>
          </w:p>
        </w:tc>
        <w:tc>
          <w:tcPr>
            <w:tcW w:w="620" w:type="dxa"/>
            <w:vAlign w:val="bottom"/>
          </w:tcPr>
          <w:p>
            <w:pPr>
              <w:spacing w:after="0"/>
              <w:rPr>
                <w:sz w:val="15"/>
                <w:szCs w:val="15"/>
                <w:color w:val="auto"/>
              </w:rPr>
            </w:pPr>
          </w:p>
        </w:tc>
      </w:tr>
      <w:tr>
        <w:trPr>
          <w:trHeight w:val="364"/>
        </w:trPr>
        <w:tc>
          <w:tcPr>
            <w:tcW w:w="6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Independent Auditor's Report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2"/>
        </w:trPr>
        <w:tc>
          <w:tcPr>
            <w:tcW w:w="61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Statement of Revenue and Direct Operating Expenses for</w:t>
            </w:r>
          </w:p>
        </w:tc>
        <w:tc>
          <w:tcPr>
            <w:tcW w:w="620" w:type="dxa"/>
            <w:vAlign w:val="bottom"/>
          </w:tcPr>
          <w:p>
            <w:pPr>
              <w:spacing w:after="0"/>
              <w:rPr>
                <w:sz w:val="15"/>
                <w:szCs w:val="15"/>
                <w:color w:val="auto"/>
              </w:rPr>
            </w:pPr>
          </w:p>
        </w:tc>
      </w:tr>
      <w:tr>
        <w:trPr>
          <w:trHeight w:val="182"/>
        </w:trPr>
        <w:tc>
          <w:tcPr>
            <w:tcW w:w="1080" w:type="dxa"/>
            <w:vAlign w:val="bottom"/>
          </w:tcPr>
          <w:p>
            <w:pPr>
              <w:ind w:left="280"/>
              <w:spacing w:after="0"/>
              <w:rPr>
                <w:sz w:val="20"/>
                <w:szCs w:val="20"/>
                <w:color w:val="auto"/>
              </w:rPr>
            </w:pPr>
            <w:r>
              <w:rPr>
                <w:rFonts w:ascii="Courier New" w:cs="Courier New" w:eastAsia="Courier New" w:hAnsi="Courier New"/>
                <w:sz w:val="16"/>
                <w:szCs w:val="16"/>
                <w:color w:val="auto"/>
              </w:rPr>
              <w:t>the year</w:t>
            </w:r>
          </w:p>
        </w:tc>
        <w:tc>
          <w:tcPr>
            <w:tcW w:w="5020" w:type="dxa"/>
            <w:vAlign w:val="bottom"/>
          </w:tcPr>
          <w:p>
            <w:pPr>
              <w:ind w:left="60"/>
              <w:spacing w:after="0"/>
              <w:rPr>
                <w:sz w:val="20"/>
                <w:szCs w:val="20"/>
                <w:color w:val="auto"/>
              </w:rPr>
            </w:pPr>
            <w:r>
              <w:rPr>
                <w:rFonts w:ascii="Courier New" w:cs="Courier New" w:eastAsia="Courier New" w:hAnsi="Courier New"/>
                <w:sz w:val="16"/>
                <w:szCs w:val="16"/>
                <w:color w:val="auto"/>
              </w:rPr>
              <w:t>ended December 31, 1994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64"/>
        </w:trPr>
        <w:tc>
          <w:tcPr>
            <w:tcW w:w="1080" w:type="dxa"/>
            <w:vAlign w:val="bottom"/>
          </w:tcPr>
          <w:p>
            <w:pPr>
              <w:ind w:left="280"/>
              <w:spacing w:after="0"/>
              <w:rPr>
                <w:sz w:val="20"/>
                <w:szCs w:val="20"/>
                <w:color w:val="auto"/>
              </w:rPr>
            </w:pPr>
            <w:r>
              <w:rPr>
                <w:rFonts w:ascii="Courier New" w:cs="Courier New" w:eastAsia="Courier New" w:hAnsi="Courier New"/>
                <w:sz w:val="16"/>
                <w:szCs w:val="16"/>
                <w:color w:val="auto"/>
              </w:rPr>
              <w:t>Notes to</w:t>
            </w:r>
          </w:p>
        </w:tc>
        <w:tc>
          <w:tcPr>
            <w:tcW w:w="5020" w:type="dxa"/>
            <w:vAlign w:val="bottom"/>
          </w:tcPr>
          <w:p>
            <w:pPr>
              <w:ind w:left="60"/>
              <w:spacing w:after="0"/>
              <w:rPr>
                <w:sz w:val="20"/>
                <w:szCs w:val="20"/>
                <w:color w:val="auto"/>
              </w:rPr>
            </w:pPr>
            <w:r>
              <w:rPr>
                <w:rFonts w:ascii="Courier New" w:cs="Courier New" w:eastAsia="Courier New" w:hAnsi="Courier New"/>
                <w:sz w:val="16"/>
                <w:szCs w:val="16"/>
                <w:color w:val="auto"/>
              </w:rPr>
              <w:t>Statement of Revenue and Direct Operating Expenses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bl>
    <w:p>
      <w:pPr>
        <w:spacing w:after="0" w:line="186" w:lineRule="exact"/>
        <w:rPr>
          <w:sz w:val="20"/>
          <w:szCs w:val="20"/>
          <w:color w:val="auto"/>
        </w:rPr>
      </w:pPr>
    </w:p>
    <w:p>
      <w:pPr>
        <w:ind w:left="88" w:right="3799" w:hanging="88"/>
        <w:spacing w:after="0" w:line="237" w:lineRule="auto"/>
        <w:tabs>
          <w:tab w:leader="none" w:pos="37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 required pursuant to Article 11 of Regulation S-X:</w:t>
      </w:r>
    </w:p>
    <w:p>
      <w:pPr>
        <w:spacing w:after="0" w:line="184" w:lineRule="exact"/>
        <w:rPr>
          <w:sz w:val="20"/>
          <w:szCs w:val="20"/>
          <w:color w:val="auto"/>
        </w:rPr>
      </w:pPr>
    </w:p>
    <w:tbl>
      <w:tblPr>
        <w:tblLayout w:type="fixed"/>
        <w:tblInd w:w="188" w:type="dxa"/>
        <w:tblCellMar>
          <w:top w:w="0" w:type="dxa"/>
          <w:left w:w="0" w:type="dxa"/>
          <w:bottom w:w="0" w:type="dxa"/>
          <w:right w:w="0" w:type="dxa"/>
        </w:tblCellMar>
      </w:tblPr>
      <w:tr>
        <w:trPr>
          <w:trHeight w:val="181"/>
        </w:trPr>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(1) Pro Forma</w:t>
            </w:r>
          </w:p>
        </w:tc>
        <w:tc>
          <w:tcPr>
            <w:tcW w:w="336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8"/>
              </w:rPr>
              <w:t>Condensed Balance Sheet - September</w:t>
            </w:r>
          </w:p>
        </w:tc>
        <w:tc>
          <w:tcPr>
            <w:tcW w:w="1360" w:type="dxa"/>
            <w:vAlign w:val="bottom"/>
          </w:tcPr>
          <w:p>
            <w:pPr>
              <w:ind w:left="80"/>
              <w:spacing w:after="0"/>
              <w:rPr>
                <w:sz w:val="20"/>
                <w:szCs w:val="20"/>
                <w:color w:val="auto"/>
              </w:rPr>
            </w:pPr>
            <w:r>
              <w:rPr>
                <w:rFonts w:ascii="Courier New" w:cs="Courier New" w:eastAsia="Courier New" w:hAnsi="Courier New"/>
                <w:sz w:val="16"/>
                <w:szCs w:val="16"/>
                <w:color w:val="auto"/>
              </w:rPr>
              <w:t>30, 1995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60" w:type="dxa"/>
            <w:vAlign w:val="bottom"/>
          </w:tcPr>
          <w:p>
            <w:pPr>
              <w:ind w:left="380"/>
              <w:spacing w:after="0"/>
              <w:rPr>
                <w:sz w:val="20"/>
                <w:szCs w:val="20"/>
                <w:color w:val="auto"/>
              </w:rPr>
            </w:pPr>
            <w:r>
              <w:rPr>
                <w:rFonts w:ascii="Courier New" w:cs="Courier New" w:eastAsia="Courier New" w:hAnsi="Courier New"/>
                <w:sz w:val="16"/>
                <w:szCs w:val="16"/>
                <w:color w:val="auto"/>
                <w:w w:val="90"/>
              </w:rPr>
              <w:t>Pro</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Forma</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Condensed</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w w:val="99"/>
              </w:rPr>
              <w:t>Statement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w w:val="97"/>
              </w:rPr>
              <w:t>Operations -</w:t>
            </w:r>
          </w:p>
        </w:tc>
        <w:tc>
          <w:tcPr>
            <w:tcW w:w="1360" w:type="dxa"/>
            <w:vAlign w:val="bottom"/>
          </w:tcPr>
          <w:p>
            <w:pPr>
              <w:ind w:left="80"/>
              <w:spacing w:after="0"/>
              <w:rPr>
                <w:sz w:val="20"/>
                <w:szCs w:val="20"/>
                <w:color w:val="auto"/>
              </w:rPr>
            </w:pPr>
            <w:r>
              <w:rPr>
                <w:rFonts w:ascii="Courier New" w:cs="Courier New" w:eastAsia="Courier New" w:hAnsi="Courier New"/>
                <w:sz w:val="16"/>
                <w:szCs w:val="16"/>
                <w:color w:val="auto"/>
              </w:rPr>
              <w:t>Year</w:t>
            </w:r>
          </w:p>
        </w:tc>
        <w:tc>
          <w:tcPr>
            <w:tcW w:w="720" w:type="dxa"/>
            <w:vAlign w:val="bottom"/>
          </w:tcPr>
          <w:p>
            <w:pPr>
              <w:spacing w:after="0"/>
              <w:rPr>
                <w:sz w:val="24"/>
                <w:szCs w:val="24"/>
                <w:color w:val="auto"/>
              </w:rPr>
            </w:pPr>
          </w:p>
        </w:tc>
      </w:tr>
      <w:tr>
        <w:trPr>
          <w:trHeight w:val="182"/>
        </w:trPr>
        <w:tc>
          <w:tcPr>
            <w:tcW w:w="660" w:type="dxa"/>
            <w:vAlign w:val="bottom"/>
          </w:tcPr>
          <w:p>
            <w:pPr>
              <w:spacing w:after="0"/>
              <w:rPr>
                <w:sz w:val="15"/>
                <w:szCs w:val="15"/>
                <w:color w:val="auto"/>
              </w:rPr>
            </w:pPr>
          </w:p>
        </w:tc>
        <w:tc>
          <w:tcPr>
            <w:tcW w:w="2500" w:type="dxa"/>
            <w:vAlign w:val="bottom"/>
            <w:gridSpan w:val="3"/>
          </w:tcPr>
          <w:p>
            <w:pPr>
              <w:spacing w:after="0"/>
              <w:rPr>
                <w:sz w:val="20"/>
                <w:szCs w:val="20"/>
                <w:color w:val="auto"/>
              </w:rPr>
            </w:pPr>
            <w:r>
              <w:rPr>
                <w:rFonts w:ascii="Courier New" w:cs="Courier New" w:eastAsia="Courier New" w:hAnsi="Courier New"/>
                <w:sz w:val="16"/>
                <w:szCs w:val="16"/>
                <w:color w:val="auto"/>
              </w:rPr>
              <w:t>ended December 31, 1994</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64"/>
        </w:trPr>
        <w:tc>
          <w:tcPr>
            <w:tcW w:w="660" w:type="dxa"/>
            <w:vAlign w:val="bottom"/>
          </w:tcPr>
          <w:p>
            <w:pPr>
              <w:ind w:left="380"/>
              <w:spacing w:after="0"/>
              <w:rPr>
                <w:sz w:val="20"/>
                <w:szCs w:val="20"/>
                <w:color w:val="auto"/>
              </w:rPr>
            </w:pPr>
            <w:r>
              <w:rPr>
                <w:rFonts w:ascii="Courier New" w:cs="Courier New" w:eastAsia="Courier New" w:hAnsi="Courier New"/>
                <w:sz w:val="16"/>
                <w:szCs w:val="16"/>
                <w:color w:val="auto"/>
                <w:w w:val="90"/>
              </w:rPr>
              <w:t>Pro</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Forma</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Condensed</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w w:val="99"/>
              </w:rPr>
              <w:t>Statement</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Operations</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 Nine</w:t>
            </w:r>
          </w:p>
        </w:tc>
        <w:tc>
          <w:tcPr>
            <w:tcW w:w="720" w:type="dxa"/>
            <w:vAlign w:val="bottom"/>
          </w:tcPr>
          <w:p>
            <w:pPr>
              <w:spacing w:after="0"/>
              <w:rPr>
                <w:sz w:val="24"/>
                <w:szCs w:val="24"/>
                <w:color w:val="auto"/>
              </w:rPr>
            </w:pPr>
          </w:p>
        </w:tc>
      </w:tr>
      <w:tr>
        <w:trPr>
          <w:trHeight w:val="182"/>
        </w:trPr>
        <w:tc>
          <w:tcPr>
            <w:tcW w:w="6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months</w:t>
            </w:r>
          </w:p>
        </w:tc>
        <w:tc>
          <w:tcPr>
            <w:tcW w:w="18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ended September 30,</w:t>
            </w:r>
          </w:p>
        </w:tc>
        <w:tc>
          <w:tcPr>
            <w:tcW w:w="1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1995</w:t>
            </w:r>
          </w:p>
        </w:tc>
        <w:tc>
          <w:tcPr>
            <w:tcW w:w="1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bl>
    <w:p>
      <w:pPr>
        <w:spacing w:after="0" w:line="368" w:lineRule="exact"/>
        <w:rPr>
          <w:sz w:val="20"/>
          <w:szCs w:val="20"/>
          <w:color w:val="auto"/>
        </w:rPr>
      </w:pPr>
    </w:p>
    <w:p>
      <w:pPr>
        <w:ind w:left="8" w:right="2839" w:firstLine="464"/>
        <w:spacing w:after="0" w:line="238" w:lineRule="auto"/>
        <w:tabs>
          <w:tab w:leader="none" w:pos="67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 forma condensed balance sheet as of September 30, 1995 is filed since the acquisition of Bristol Shopping Center is reflected in the actual balance sheet of Federal Realty as of September 30, 1995.</w:t>
      </w:r>
    </w:p>
    <w:p>
      <w:pPr>
        <w:spacing w:after="0" w:line="188" w:lineRule="exact"/>
        <w:rPr>
          <w:sz w:val="20"/>
          <w:szCs w:val="20"/>
          <w:color w:val="auto"/>
        </w:rPr>
      </w:pPr>
    </w:p>
    <w:p>
      <w:pPr>
        <w:ind w:left="8" w:right="2659" w:firstLine="473"/>
        <w:spacing w:after="0" w:line="239" w:lineRule="auto"/>
        <w:rPr>
          <w:sz w:val="20"/>
          <w:szCs w:val="20"/>
          <w:color w:val="auto"/>
        </w:rPr>
      </w:pPr>
      <w:r>
        <w:rPr>
          <w:rFonts w:ascii="Courier New" w:cs="Courier New" w:eastAsia="Courier New" w:hAnsi="Courier New"/>
          <w:sz w:val="16"/>
          <w:szCs w:val="16"/>
          <w:color w:val="auto"/>
        </w:rPr>
        <w:t>The pro forma condensed statement of operations for the year ended December 31, 1994 is based on audited historical financial statements of Bristol Shopping Center and the Trust after giving effect to the acquisition of Bristol Shopping Center and the adjustments as described in the accompanying notes to the pro forma financial statement.</w:t>
      </w:r>
    </w:p>
    <w:p>
      <w:pPr>
        <w:spacing w:after="0" w:line="189" w:lineRule="exact"/>
        <w:rPr>
          <w:sz w:val="20"/>
          <w:szCs w:val="20"/>
          <w:color w:val="auto"/>
        </w:rPr>
      </w:pPr>
    </w:p>
    <w:p>
      <w:pPr>
        <w:ind w:left="8" w:right="2759" w:firstLine="473"/>
        <w:spacing w:after="0" w:line="239" w:lineRule="auto"/>
        <w:rPr>
          <w:sz w:val="20"/>
          <w:szCs w:val="20"/>
          <w:color w:val="auto"/>
        </w:rPr>
      </w:pPr>
      <w:r>
        <w:rPr>
          <w:rFonts w:ascii="Courier New" w:cs="Courier New" w:eastAsia="Courier New" w:hAnsi="Courier New"/>
          <w:sz w:val="16"/>
          <w:szCs w:val="16"/>
          <w:color w:val="auto"/>
        </w:rPr>
        <w:t>The pro forma condensed statement of operations for the nine months ended September 30, 1995 is based on unaudited historical financial statements of Bristol Plaza and the Trust after giving effect to the acquisition of Bristol Plaza and the adjustments as described in the accompanying notes to the pro forma financial statement.</w:t>
      </w:r>
    </w:p>
    <w:p>
      <w:pPr>
        <w:spacing w:after="0" w:line="189" w:lineRule="exact"/>
        <w:rPr>
          <w:sz w:val="20"/>
          <w:szCs w:val="20"/>
          <w:color w:val="auto"/>
        </w:rPr>
      </w:pPr>
    </w:p>
    <w:p>
      <w:pPr>
        <w:ind w:left="8" w:right="2659" w:firstLine="473"/>
        <w:spacing w:after="0"/>
        <w:rPr>
          <w:sz w:val="20"/>
          <w:szCs w:val="20"/>
          <w:color w:val="auto"/>
        </w:rPr>
      </w:pPr>
      <w:r>
        <w:rPr>
          <w:rFonts w:ascii="Courier New" w:cs="Courier New" w:eastAsia="Courier New" w:hAnsi="Courier New"/>
          <w:sz w:val="16"/>
          <w:szCs w:val="16"/>
          <w:color w:val="auto"/>
        </w:rPr>
        <w:t>The pro forma financial statements of operations have been prepared by the Trust based upon the financial statements of Bristol Shopping Plaza (filed with this report under Item 7(a)). These pro forma financial statements may not be indicative of the results that actually would have occurred if the acquisition had been in effect on the dates indicated or which may be obtained in the future. The pro forma financial statements should be read in conjunction with the audited financial statements and notes of Bristol Shopping Plaza, the audited consolidated financial</w:t>
      </w:r>
    </w:p>
    <w:p>
      <w:pPr>
        <w:spacing w:after="0" w:line="183" w:lineRule="exact"/>
        <w:rPr>
          <w:sz w:val="20"/>
          <w:szCs w:val="20"/>
          <w:color w:val="auto"/>
        </w:rPr>
      </w:pPr>
    </w:p>
    <w:p>
      <w:pPr>
        <w:ind w:left="3588"/>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128"/>
          </w:cols>
          <w:pgMar w:left="332" w:top="659" w:right="1440" w:bottom="1440" w:gutter="0" w:footer="0" w:header="0"/>
        </w:sectPr>
      </w:pPr>
    </w:p>
    <w:bookmarkStart w:id="3" w:name="page4"/>
    <w:bookmarkEnd w:id="3"/>
    <w:p>
      <w:pPr>
        <w:ind w:right="2839"/>
        <w:spacing w:after="0" w:line="238" w:lineRule="auto"/>
        <w:rPr>
          <w:sz w:val="20"/>
          <w:szCs w:val="20"/>
          <w:color w:val="auto"/>
        </w:rPr>
      </w:pPr>
      <w:r>
        <w:rPr>
          <w:rFonts w:ascii="Courier New" w:cs="Courier New" w:eastAsia="Courier New" w:hAnsi="Courier New"/>
          <w:sz w:val="16"/>
          <w:szCs w:val="16"/>
          <w:color w:val="auto"/>
        </w:rPr>
        <w:t>statements of the Trust in its Annual Report on Form 10-K for the year ended December 31, 1994 and the unaudited financial statements of the Trust on Form 10-Q for the nine months ended September 30, 1995.</w:t>
      </w:r>
    </w:p>
    <w:p>
      <w:pPr>
        <w:spacing w:after="0" w:line="188" w:lineRule="exact"/>
        <w:rPr>
          <w:sz w:val="20"/>
          <w:szCs w:val="20"/>
          <w:color w:val="auto"/>
        </w:rPr>
      </w:pPr>
    </w:p>
    <w:p>
      <w:pPr>
        <w:ind w:right="4179" w:firstLine="464"/>
        <w:spacing w:after="0" w:line="237" w:lineRule="auto"/>
        <w:tabs>
          <w:tab w:leader="none" w:pos="85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in accordance with the provisions of Item 601 of Regulation S-K:</w:t>
      </w:r>
    </w:p>
    <w:p>
      <w:pPr>
        <w:spacing w:after="0" w:line="18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Item 23. Independent Auditor's Consent</w:t>
      </w:r>
    </w:p>
    <w:p>
      <w:pPr>
        <w:spacing w:after="0" w:line="200" w:lineRule="exact"/>
        <w:rPr>
          <w:sz w:val="20"/>
          <w:szCs w:val="20"/>
          <w:color w:val="auto"/>
        </w:rPr>
      </w:pP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hereto duly authorized.</w:t>
      </w:r>
    </w:p>
    <w:p>
      <w:pPr>
        <w:spacing w:after="0" w:line="18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Federal Realty Investment Trust</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119"/>
          </w:cols>
          <w:pgMar w:left="340" w:top="663"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December 20, 1995</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/s/Cecily A. Ward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Cecily A. Ward</w:t>
      </w:r>
    </w:p>
    <w:p>
      <w:pPr>
        <w:spacing w:after="0" w:line="5" w:lineRule="exact"/>
        <w:rPr>
          <w:sz w:val="20"/>
          <w:szCs w:val="20"/>
          <w:color w:val="auto"/>
        </w:rPr>
      </w:pPr>
    </w:p>
    <w:p>
      <w:pPr>
        <w:sectPr>
          <w:pgSz w:w="11900" w:h="16838" w:orient="portrait"/>
          <w:cols w:equalWidth="0" w:num="2">
            <w:col w:w="2300" w:space="720"/>
            <w:col w:w="7099"/>
          </w:cols>
          <w:pgMar w:left="340" w:top="663" w:right="1440" w:bottom="1440" w:gutter="0" w:footer="0" w:header="0"/>
          <w:type w:val="continuous"/>
        </w:sectPr>
      </w:pPr>
    </w:p>
    <w:p>
      <w:pPr>
        <w:ind w:left="3120"/>
        <w:spacing w:after="0"/>
        <w:rPr>
          <w:sz w:val="20"/>
          <w:szCs w:val="20"/>
          <w:color w:val="auto"/>
        </w:rPr>
      </w:pPr>
      <w:r>
        <w:rPr>
          <w:rFonts w:ascii="Courier New" w:cs="Courier New" w:eastAsia="Courier New" w:hAnsi="Courier New"/>
          <w:sz w:val="15"/>
          <w:szCs w:val="15"/>
          <w:color w:val="auto"/>
        </w:rPr>
        <w:t>Controller (Principal Accounting</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Officer)</w:t>
      </w:r>
    </w:p>
    <w:p>
      <w:pPr>
        <w:spacing w:after="0" w:line="183"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119"/>
          </w:cols>
          <w:pgMar w:left="340" w:top="663" w:right="1440" w:bottom="1440" w:gutter="0" w:footer="0" w:header="0"/>
          <w:type w:val="continuous"/>
        </w:sectPr>
      </w:pPr>
    </w:p>
    <w:bookmarkStart w:id="4" w:name="page5"/>
    <w:bookmarkEnd w:id="4"/>
    <w:p>
      <w:pPr>
        <w:ind w:left="302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119"/>
          </w:cols>
          <w:pgMar w:left="340" w:top="663"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NO.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PAGE NO.</w:t>
      </w:r>
    </w:p>
    <w:p>
      <w:pPr>
        <w:spacing w:after="0" w:line="190" w:lineRule="exact"/>
        <w:rPr>
          <w:sz w:val="20"/>
          <w:szCs w:val="20"/>
          <w:color w:val="auto"/>
        </w:rPr>
      </w:pPr>
    </w:p>
    <w:p>
      <w:pPr>
        <w:sectPr>
          <w:pgSz w:w="11900" w:h="16838" w:orient="portrait"/>
          <w:cols w:equalWidth="0" w:num="2">
            <w:col w:w="4280" w:space="720"/>
            <w:col w:w="5119"/>
          </w:cols>
          <w:pgMar w:left="340" w:top="663" w:right="1440" w:bottom="1440" w:gutter="0" w:footer="0" w:header="0"/>
          <w:type w:val="continuous"/>
        </w:sectPr>
      </w:pPr>
    </w:p>
    <w:p>
      <w:pPr>
        <w:spacing w:after="0" w:line="4" w:lineRule="exact"/>
        <w:rPr>
          <w:sz w:val="20"/>
          <w:szCs w:val="20"/>
          <w:color w:val="auto"/>
        </w:rPr>
      </w:pPr>
    </w:p>
    <w:p>
      <w:pPr>
        <w:ind w:left="280"/>
        <w:spacing w:after="0"/>
        <w:tabs>
          <w:tab w:leader="none" w:pos="92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Independent Auditor's Consent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ectPr>
          <w:pgSz w:w="11900" w:h="16838" w:orient="portrait"/>
          <w:cols w:equalWidth="0" w:num="2">
            <w:col w:w="4560" w:space="720"/>
            <w:col w:w="4839"/>
          </w:cols>
          <w:pgMar w:left="340" w:top="663" w:right="1440" w:bottom="1440" w:gutter="0" w:footer="0" w:header="0"/>
          <w:type w:val="continuous"/>
        </w:sectPr>
      </w:pP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119"/>
          </w:cols>
          <w:pgMar w:left="340" w:top="663" w:right="1440" w:bottom="1440" w:gutter="0" w:footer="0" w:header="0"/>
          <w:type w:val="continuous"/>
        </w:sectPr>
      </w:pPr>
    </w:p>
    <w:bookmarkStart w:id="5" w:name="page6"/>
    <w:bookmarkEnd w:id="5"/>
    <w:p>
      <w:pPr>
        <w:jc w:val="center"/>
        <w:ind w:right="2939"/>
        <w:spacing w:after="0"/>
        <w:rPr>
          <w:sz w:val="20"/>
          <w:szCs w:val="20"/>
          <w:color w:val="auto"/>
        </w:rPr>
      </w:pPr>
      <w:r>
        <w:rPr>
          <w:rFonts w:ascii="Courier New" w:cs="Courier New" w:eastAsia="Courier New" w:hAnsi="Courier New"/>
          <w:sz w:val="16"/>
          <w:szCs w:val="16"/>
          <w:color w:val="auto"/>
        </w:rPr>
        <w:t>(Letterhead of Arthur Andersen LLP Appears Here)</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REPORT OF INDEPENDENT PUBLIC ACCOUNTANTS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Owners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Bristol Shopping Plaza:</w:t>
      </w:r>
    </w:p>
    <w:p>
      <w:pPr>
        <w:spacing w:after="0" w:line="186"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We have audited the statement of revenue and direct operating expenses of the Bristol Shopping Plaza (the "Plaza") for the year ended December 31, 1994. This financial statement is the responsibility of the Plaza's management. Our responsibility is to express an opinion on this financial statement based on our audit.</w:t>
      </w:r>
    </w:p>
    <w:p>
      <w:pPr>
        <w:spacing w:after="0" w:line="189"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We conducted our audit in accordance with generally accepted auditing standards. Those standards require that we plan and perform the audit to obtain reasonable assurance about whether the financial statement is free of material misstatement. An audit includes examining, on a test basis, evidence supporting the amounts and disclosures in the statement of revenue and direct operating expenses.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The accompanying statement of revenue and direct operating expenses was prepared for the purpose of complying with the rules and regulations of the Securities and Exchange Commission as described Note 1, and is not intended to be a complete presentation of the Plaza's revenue and expenses.</w:t>
      </w:r>
    </w:p>
    <w:p>
      <w:pPr>
        <w:spacing w:after="0" w:line="187"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In our opinion, the statement of revenue and direct operating expenses referred to above presents fairly, in all material respects, the results of operations of the Bristol Shopping Plaza for the year ended December 31, 1994, in conformity with generally accepted accounting principles.</w:t>
      </w:r>
    </w:p>
    <w:p>
      <w:pPr>
        <w:spacing w:after="0" w:line="183"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Arthur Andersen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Hartford, Connecticut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31, 1995</w:t>
      </w:r>
    </w:p>
    <w:p>
      <w:pPr>
        <w:spacing w:after="0" w:line="183"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119"/>
          </w:cols>
          <w:pgMar w:left="340" w:top="659" w:right="1440" w:bottom="1440" w:gutter="0" w:footer="0" w:header="0"/>
        </w:sectPr>
      </w:pPr>
    </w:p>
    <w:bookmarkStart w:id="6" w:name="page7"/>
    <w:bookmarkEnd w:id="6"/>
    <w:p>
      <w:pPr>
        <w:ind w:left="2640"/>
        <w:spacing w:after="0"/>
        <w:rPr>
          <w:sz w:val="20"/>
          <w:szCs w:val="20"/>
          <w:color w:val="auto"/>
        </w:rPr>
      </w:pPr>
      <w:r>
        <w:rPr>
          <w:rFonts w:ascii="Courier New" w:cs="Courier New" w:eastAsia="Courier New" w:hAnsi="Courier New"/>
          <w:sz w:val="16"/>
          <w:szCs w:val="16"/>
          <w:color w:val="auto"/>
        </w:rPr>
        <w:t>BRISTOL SHOPPING PLAZA</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STATEMENT OF REVENUE AND DIRECT OPERATING EXPENSES</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THE YEAR ENDED DECEMBER 31, 1994</w:t>
            </w:r>
          </w:p>
        </w:tc>
      </w:tr>
      <w:tr>
        <w:trPr>
          <w:trHeight w:val="182"/>
        </w:trPr>
        <w:tc>
          <w:tcPr>
            <w:tcW w:w="5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909"/>
        </w:trPr>
        <w:tc>
          <w:tcPr>
            <w:tcW w:w="34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940" w:type="dxa"/>
            <w:vAlign w:val="bottom"/>
          </w:tcPr>
          <w:p>
            <w:pPr>
              <w:spacing w:after="0"/>
              <w:rPr>
                <w:sz w:val="24"/>
                <w:szCs w:val="24"/>
                <w:color w:val="auto"/>
              </w:rPr>
            </w:pPr>
          </w:p>
        </w:tc>
      </w:tr>
      <w:tr>
        <w:trPr>
          <w:trHeight w:val="182"/>
        </w:trPr>
        <w:tc>
          <w:tcPr>
            <w:tcW w:w="3440" w:type="dxa"/>
            <w:vAlign w:val="bottom"/>
          </w:tcPr>
          <w:p>
            <w:pPr>
              <w:ind w:left="280"/>
              <w:spacing w:after="0"/>
              <w:rPr>
                <w:sz w:val="20"/>
                <w:szCs w:val="20"/>
                <w:color w:val="auto"/>
              </w:rPr>
            </w:pPr>
            <w:r>
              <w:rPr>
                <w:rFonts w:ascii="Courier New" w:cs="Courier New" w:eastAsia="Courier New" w:hAnsi="Courier New"/>
                <w:sz w:val="16"/>
                <w:szCs w:val="16"/>
                <w:color w:val="auto"/>
              </w:rPr>
              <w:t>Rental revenues</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  2,296,192</w:t>
            </w:r>
          </w:p>
        </w:tc>
      </w:tr>
      <w:tr>
        <w:trPr>
          <w:trHeight w:val="182"/>
        </w:trPr>
        <w:tc>
          <w:tcPr>
            <w:tcW w:w="3440" w:type="dxa"/>
            <w:vAlign w:val="bottom"/>
          </w:tcPr>
          <w:p>
            <w:pPr>
              <w:ind w:left="280"/>
              <w:spacing w:after="0"/>
              <w:rPr>
                <w:sz w:val="20"/>
                <w:szCs w:val="20"/>
                <w:color w:val="auto"/>
              </w:rPr>
            </w:pPr>
            <w:r>
              <w:rPr>
                <w:rFonts w:ascii="Courier New" w:cs="Courier New" w:eastAsia="Courier New" w:hAnsi="Courier New"/>
                <w:sz w:val="16"/>
                <w:szCs w:val="16"/>
                <w:color w:val="auto"/>
              </w:rPr>
              <w:t>Recoveries</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509,504</w:t>
            </w:r>
          </w:p>
        </w:tc>
      </w:tr>
      <w:tr>
        <w:trPr>
          <w:trHeight w:val="182"/>
        </w:trPr>
        <w:tc>
          <w:tcPr>
            <w:tcW w:w="3440" w:type="dxa"/>
            <w:vAlign w:val="bottom"/>
          </w:tcPr>
          <w:p>
            <w:pPr>
              <w:ind w:left="280"/>
              <w:spacing w:after="0"/>
              <w:rPr>
                <w:sz w:val="20"/>
                <w:szCs w:val="20"/>
                <w:color w:val="auto"/>
              </w:rPr>
            </w:pPr>
            <w:r>
              <w:rPr>
                <w:rFonts w:ascii="Courier New" w:cs="Courier New" w:eastAsia="Courier New" w:hAnsi="Courier New"/>
                <w:sz w:val="16"/>
                <w:szCs w:val="16"/>
                <w:color w:val="auto"/>
              </w:rPr>
              <w:t>Maintenance fees</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120,187</w:t>
            </w:r>
          </w:p>
        </w:tc>
      </w:tr>
      <w:tr>
        <w:trPr>
          <w:trHeight w:val="182"/>
        </w:trPr>
        <w:tc>
          <w:tcPr>
            <w:tcW w:w="3440" w:type="dxa"/>
            <w:vAlign w:val="bottom"/>
          </w:tcPr>
          <w:p>
            <w:pPr>
              <w:spacing w:after="0"/>
              <w:rPr>
                <w:sz w:val="15"/>
                <w:szCs w:val="15"/>
                <w:color w:val="auto"/>
              </w:rPr>
            </w:pP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2"/>
        </w:trPr>
        <w:tc>
          <w:tcPr>
            <w:tcW w:w="3440" w:type="dxa"/>
            <w:vAlign w:val="bottom"/>
          </w:tcPr>
          <w:p>
            <w:pPr>
              <w:ind w:left="560"/>
              <w:spacing w:after="0"/>
              <w:rPr>
                <w:sz w:val="20"/>
                <w:szCs w:val="20"/>
                <w:color w:val="auto"/>
              </w:rPr>
            </w:pPr>
            <w:r>
              <w:rPr>
                <w:rFonts w:ascii="Courier New" w:cs="Courier New" w:eastAsia="Courier New" w:hAnsi="Courier New"/>
                <w:sz w:val="16"/>
                <w:szCs w:val="16"/>
                <w:color w:val="auto"/>
              </w:rPr>
              <w:t>Total revenues</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2,925,883</w:t>
            </w:r>
          </w:p>
        </w:tc>
      </w:tr>
      <w:tr>
        <w:trPr>
          <w:trHeight w:val="182"/>
        </w:trPr>
        <w:tc>
          <w:tcPr>
            <w:tcW w:w="3440" w:type="dxa"/>
            <w:vAlign w:val="bottom"/>
          </w:tcPr>
          <w:p>
            <w:pPr>
              <w:spacing w:after="0"/>
              <w:rPr>
                <w:sz w:val="15"/>
                <w:szCs w:val="15"/>
                <w:color w:val="auto"/>
              </w:rPr>
            </w:pP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364"/>
        </w:trPr>
        <w:tc>
          <w:tcPr>
            <w:tcW w:w="3440" w:type="dxa"/>
            <w:vAlign w:val="bottom"/>
          </w:tcPr>
          <w:p>
            <w:pPr>
              <w:ind w:left="100"/>
              <w:spacing w:after="0"/>
              <w:rPr>
                <w:sz w:val="20"/>
                <w:szCs w:val="20"/>
                <w:color w:val="auto"/>
              </w:rPr>
            </w:pPr>
            <w:r>
              <w:rPr>
                <w:rFonts w:ascii="Courier New" w:cs="Courier New" w:eastAsia="Courier New" w:hAnsi="Courier New"/>
                <w:sz w:val="16"/>
                <w:szCs w:val="16"/>
                <w:color w:val="auto"/>
              </w:rPr>
              <w:t>DIRECT OPERATING EXPENSES:</w:t>
            </w:r>
          </w:p>
        </w:tc>
        <w:tc>
          <w:tcPr>
            <w:tcW w:w="1940" w:type="dxa"/>
            <w:vAlign w:val="bottom"/>
          </w:tcPr>
          <w:p>
            <w:pPr>
              <w:spacing w:after="0"/>
              <w:rPr>
                <w:sz w:val="24"/>
                <w:szCs w:val="24"/>
                <w:color w:val="auto"/>
              </w:rPr>
            </w:pPr>
          </w:p>
        </w:tc>
      </w:tr>
      <w:tr>
        <w:trPr>
          <w:trHeight w:val="182"/>
        </w:trPr>
        <w:tc>
          <w:tcPr>
            <w:tcW w:w="3440" w:type="dxa"/>
            <w:vAlign w:val="bottom"/>
          </w:tcPr>
          <w:p>
            <w:pPr>
              <w:ind w:left="280"/>
              <w:spacing w:after="0"/>
              <w:rPr>
                <w:sz w:val="20"/>
                <w:szCs w:val="20"/>
                <w:color w:val="auto"/>
              </w:rPr>
            </w:pPr>
            <w:r>
              <w:rPr>
                <w:rFonts w:ascii="Courier New" w:cs="Courier New" w:eastAsia="Courier New" w:hAnsi="Courier New"/>
                <w:sz w:val="16"/>
                <w:szCs w:val="16"/>
                <w:color w:val="auto"/>
              </w:rPr>
              <w:t>Real estate taxes</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324,529</w:t>
            </w:r>
          </w:p>
        </w:tc>
      </w:tr>
      <w:tr>
        <w:trPr>
          <w:trHeight w:val="182"/>
        </w:trPr>
        <w:tc>
          <w:tcPr>
            <w:tcW w:w="3440" w:type="dxa"/>
            <w:vAlign w:val="bottom"/>
          </w:tcPr>
          <w:p>
            <w:pPr>
              <w:ind w:left="280"/>
              <w:spacing w:after="0"/>
              <w:rPr>
                <w:sz w:val="20"/>
                <w:szCs w:val="20"/>
                <w:color w:val="auto"/>
              </w:rPr>
            </w:pPr>
            <w:r>
              <w:rPr>
                <w:rFonts w:ascii="Courier New" w:cs="Courier New" w:eastAsia="Courier New" w:hAnsi="Courier New"/>
                <w:sz w:val="16"/>
                <w:szCs w:val="16"/>
                <w:color w:val="auto"/>
              </w:rPr>
              <w:t>Repairs and maintenance</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182,832</w:t>
            </w:r>
          </w:p>
        </w:tc>
      </w:tr>
      <w:tr>
        <w:trPr>
          <w:trHeight w:val="182"/>
        </w:trPr>
        <w:tc>
          <w:tcPr>
            <w:tcW w:w="3440" w:type="dxa"/>
            <w:vAlign w:val="bottom"/>
          </w:tcPr>
          <w:p>
            <w:pPr>
              <w:ind w:left="280"/>
              <w:spacing w:after="0"/>
              <w:rPr>
                <w:sz w:val="20"/>
                <w:szCs w:val="20"/>
                <w:color w:val="auto"/>
              </w:rPr>
            </w:pPr>
            <w:r>
              <w:rPr>
                <w:rFonts w:ascii="Courier New" w:cs="Courier New" w:eastAsia="Courier New" w:hAnsi="Courier New"/>
                <w:sz w:val="16"/>
                <w:szCs w:val="16"/>
                <w:color w:val="auto"/>
              </w:rPr>
              <w:t>Property operations</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152,095</w:t>
            </w:r>
          </w:p>
        </w:tc>
      </w:tr>
      <w:tr>
        <w:trPr>
          <w:trHeight w:val="182"/>
        </w:trPr>
        <w:tc>
          <w:tcPr>
            <w:tcW w:w="3440" w:type="dxa"/>
            <w:vAlign w:val="bottom"/>
          </w:tcPr>
          <w:p>
            <w:pPr>
              <w:ind w:left="280"/>
              <w:spacing w:after="0"/>
              <w:rPr>
                <w:sz w:val="20"/>
                <w:szCs w:val="20"/>
                <w:color w:val="auto"/>
              </w:rPr>
            </w:pPr>
            <w:r>
              <w:rPr>
                <w:rFonts w:ascii="Courier New" w:cs="Courier New" w:eastAsia="Courier New" w:hAnsi="Courier New"/>
                <w:sz w:val="16"/>
                <w:szCs w:val="16"/>
                <w:color w:val="auto"/>
              </w:rPr>
              <w:t>Insurance</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124,285</w:t>
            </w:r>
          </w:p>
        </w:tc>
      </w:tr>
      <w:tr>
        <w:trPr>
          <w:trHeight w:val="182"/>
        </w:trPr>
        <w:tc>
          <w:tcPr>
            <w:tcW w:w="3440" w:type="dxa"/>
            <w:vAlign w:val="bottom"/>
          </w:tcPr>
          <w:p>
            <w:pPr>
              <w:ind w:left="280"/>
              <w:spacing w:after="0"/>
              <w:rPr>
                <w:sz w:val="20"/>
                <w:szCs w:val="20"/>
                <w:color w:val="auto"/>
              </w:rPr>
            </w:pPr>
            <w:r>
              <w:rPr>
                <w:rFonts w:ascii="Courier New" w:cs="Courier New" w:eastAsia="Courier New" w:hAnsi="Courier New"/>
                <w:sz w:val="16"/>
                <w:szCs w:val="16"/>
                <w:color w:val="auto"/>
              </w:rPr>
              <w:t>Utilities</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102,418</w:t>
            </w:r>
          </w:p>
        </w:tc>
      </w:tr>
      <w:tr>
        <w:trPr>
          <w:trHeight w:val="182"/>
        </w:trPr>
        <w:tc>
          <w:tcPr>
            <w:tcW w:w="3440" w:type="dxa"/>
            <w:vAlign w:val="bottom"/>
          </w:tcPr>
          <w:p>
            <w:pPr>
              <w:ind w:left="280"/>
              <w:spacing w:after="0"/>
              <w:rPr>
                <w:sz w:val="20"/>
                <w:szCs w:val="20"/>
                <w:color w:val="auto"/>
              </w:rPr>
            </w:pPr>
            <w:r>
              <w:rPr>
                <w:rFonts w:ascii="Courier New" w:cs="Courier New" w:eastAsia="Courier New" w:hAnsi="Courier New"/>
                <w:sz w:val="16"/>
                <w:szCs w:val="16"/>
                <w:color w:val="auto"/>
              </w:rPr>
              <w:t>Snow plowing</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60,900</w:t>
            </w:r>
          </w:p>
        </w:tc>
      </w:tr>
      <w:tr>
        <w:trPr>
          <w:trHeight w:val="182"/>
        </w:trPr>
        <w:tc>
          <w:tcPr>
            <w:tcW w:w="3440" w:type="dxa"/>
            <w:vAlign w:val="bottom"/>
          </w:tcPr>
          <w:p>
            <w:pPr>
              <w:ind w:left="280"/>
              <w:spacing w:after="0"/>
              <w:rPr>
                <w:sz w:val="20"/>
                <w:szCs w:val="20"/>
                <w:color w:val="auto"/>
              </w:rPr>
            </w:pPr>
            <w:r>
              <w:rPr>
                <w:rFonts w:ascii="Courier New" w:cs="Courier New" w:eastAsia="Courier New" w:hAnsi="Courier New"/>
                <w:sz w:val="16"/>
                <w:szCs w:val="16"/>
                <w:color w:val="auto"/>
              </w:rPr>
              <w:t>Provision for doubtful accounts</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15,050</w:t>
            </w:r>
          </w:p>
        </w:tc>
      </w:tr>
      <w:tr>
        <w:trPr>
          <w:trHeight w:val="182"/>
        </w:trPr>
        <w:tc>
          <w:tcPr>
            <w:tcW w:w="3440" w:type="dxa"/>
            <w:vAlign w:val="bottom"/>
          </w:tcPr>
          <w:p>
            <w:pPr>
              <w:spacing w:after="0"/>
              <w:rPr>
                <w:sz w:val="15"/>
                <w:szCs w:val="15"/>
                <w:color w:val="auto"/>
              </w:rPr>
            </w:pP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364"/>
        </w:trPr>
        <w:tc>
          <w:tcPr>
            <w:tcW w:w="3440" w:type="dxa"/>
            <w:vAlign w:val="bottom"/>
          </w:tcPr>
          <w:p>
            <w:pPr>
              <w:ind w:left="560"/>
              <w:spacing w:after="0"/>
              <w:rPr>
                <w:sz w:val="20"/>
                <w:szCs w:val="20"/>
                <w:color w:val="auto"/>
              </w:rPr>
            </w:pPr>
            <w:r>
              <w:rPr>
                <w:rFonts w:ascii="Courier New" w:cs="Courier New" w:eastAsia="Courier New" w:hAnsi="Courier New"/>
                <w:sz w:val="16"/>
                <w:szCs w:val="16"/>
                <w:color w:val="auto"/>
              </w:rPr>
              <w:t>Total operating expenses</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962,109</w:t>
            </w:r>
          </w:p>
        </w:tc>
      </w:tr>
      <w:tr>
        <w:trPr>
          <w:trHeight w:val="182"/>
        </w:trPr>
        <w:tc>
          <w:tcPr>
            <w:tcW w:w="3440" w:type="dxa"/>
            <w:vAlign w:val="bottom"/>
          </w:tcPr>
          <w:p>
            <w:pPr>
              <w:spacing w:after="0"/>
              <w:rPr>
                <w:sz w:val="15"/>
                <w:szCs w:val="15"/>
                <w:color w:val="auto"/>
              </w:rPr>
            </w:pP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364"/>
        </w:trPr>
        <w:tc>
          <w:tcPr>
            <w:tcW w:w="3440" w:type="dxa"/>
            <w:vAlign w:val="bottom"/>
          </w:tcPr>
          <w:p>
            <w:pPr>
              <w:ind w:left="560"/>
              <w:spacing w:after="0"/>
              <w:rPr>
                <w:sz w:val="20"/>
                <w:szCs w:val="20"/>
                <w:color w:val="auto"/>
              </w:rPr>
            </w:pPr>
            <w:r>
              <w:rPr>
                <w:rFonts w:ascii="Courier New" w:cs="Courier New" w:eastAsia="Courier New" w:hAnsi="Courier New"/>
                <w:sz w:val="16"/>
                <w:szCs w:val="16"/>
                <w:color w:val="auto"/>
              </w:rPr>
              <w:t>Net operating income</w:t>
            </w: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1,963,774</w:t>
            </w:r>
          </w:p>
        </w:tc>
      </w:tr>
      <w:tr>
        <w:trPr>
          <w:trHeight w:val="182"/>
        </w:trPr>
        <w:tc>
          <w:tcPr>
            <w:tcW w:w="3440" w:type="dxa"/>
            <w:vAlign w:val="bottom"/>
          </w:tcPr>
          <w:p>
            <w:pPr>
              <w:spacing w:after="0"/>
              <w:rPr>
                <w:sz w:val="15"/>
                <w:szCs w:val="15"/>
                <w:color w:val="auto"/>
              </w:rPr>
            </w:pPr>
          </w:p>
        </w:tc>
        <w:tc>
          <w:tcPr>
            <w:tcW w:w="19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The accompanying notes are an integral part of this financial statement.</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7" w:name="page8"/>
    <w:bookmarkEnd w:id="7"/>
    <w:p>
      <w:pPr>
        <w:ind w:left="2548"/>
        <w:spacing w:after="0"/>
        <w:rPr>
          <w:sz w:val="20"/>
          <w:szCs w:val="20"/>
          <w:color w:val="auto"/>
        </w:rPr>
      </w:pPr>
      <w:r>
        <w:rPr>
          <w:rFonts w:ascii="Courier New" w:cs="Courier New" w:eastAsia="Courier New" w:hAnsi="Courier New"/>
          <w:sz w:val="16"/>
          <w:szCs w:val="16"/>
          <w:color w:val="auto"/>
        </w:rPr>
        <w:t>BRISTOL SHOPPING PLAZA</w:t>
      </w:r>
    </w:p>
    <w:p>
      <w:pPr>
        <w:spacing w:after="0" w:line="1" w:lineRule="exact"/>
        <w:rPr>
          <w:sz w:val="20"/>
          <w:szCs w:val="20"/>
          <w:color w:val="auto"/>
        </w:rPr>
      </w:pPr>
    </w:p>
    <w:p>
      <w:pPr>
        <w:ind w:left="2548"/>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848"/>
        <w:spacing w:after="0"/>
        <w:rPr>
          <w:sz w:val="20"/>
          <w:szCs w:val="20"/>
          <w:color w:val="auto"/>
        </w:rPr>
      </w:pPr>
      <w:r>
        <w:rPr>
          <w:rFonts w:ascii="Courier New" w:cs="Courier New" w:eastAsia="Courier New" w:hAnsi="Courier New"/>
          <w:sz w:val="16"/>
          <w:szCs w:val="16"/>
          <w:color w:val="auto"/>
        </w:rPr>
        <w:t>NOTES TO STATEMENT OF REVENUE AND DIRECT OPERATING EXPENSES</w:t>
      </w:r>
    </w:p>
    <w:p>
      <w:pPr>
        <w:spacing w:after="0" w:line="1" w:lineRule="exact"/>
        <w:rPr>
          <w:sz w:val="20"/>
          <w:szCs w:val="20"/>
          <w:color w:val="auto"/>
        </w:rPr>
      </w:pPr>
    </w:p>
    <w:p>
      <w:pPr>
        <w:ind w:left="848"/>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828"/>
        <w:spacing w:after="0"/>
        <w:rPr>
          <w:sz w:val="20"/>
          <w:szCs w:val="20"/>
          <w:color w:val="auto"/>
        </w:rPr>
      </w:pPr>
      <w:r>
        <w:rPr>
          <w:rFonts w:ascii="Courier New" w:cs="Courier New" w:eastAsia="Courier New" w:hAnsi="Courier New"/>
          <w:sz w:val="16"/>
          <w:szCs w:val="16"/>
          <w:color w:val="auto"/>
        </w:rPr>
        <w:t>DECEMBER 31, 1994</w:t>
      </w:r>
    </w:p>
    <w:p>
      <w:pPr>
        <w:spacing w:after="0" w:line="1" w:lineRule="exact"/>
        <w:rPr>
          <w:sz w:val="20"/>
          <w:szCs w:val="20"/>
          <w:color w:val="auto"/>
        </w:rPr>
      </w:pPr>
    </w:p>
    <w:p>
      <w:pPr>
        <w:ind w:left="2828"/>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8" w:hanging="468"/>
        <w:spacing w:after="0"/>
        <w:tabs>
          <w:tab w:leader="none" w:pos="46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Accounting Policies:</w:t>
      </w:r>
    </w:p>
    <w:p>
      <w:pPr>
        <w:ind w:left="468"/>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468"/>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Nature of business -</w:t>
      </w:r>
    </w:p>
    <w:p>
      <w:pPr>
        <w:ind w:left="468"/>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jc w:val="both"/>
        <w:ind w:left="468" w:right="283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accompanying financial statement includes the operations of a retail shopping center referred to as the Bristol Shopping Plaza (the "Plaza").</w:t>
      </w:r>
    </w:p>
    <w:p>
      <w:pPr>
        <w:spacing w:after="0" w:line="167" w:lineRule="exact"/>
        <w:rPr>
          <w:rFonts w:ascii="Courier New" w:cs="Courier New" w:eastAsia="Courier New" w:hAnsi="Courier New"/>
          <w:sz w:val="16"/>
          <w:szCs w:val="16"/>
          <w:color w:val="auto"/>
        </w:rPr>
      </w:pPr>
    </w:p>
    <w:p>
      <w:pPr>
        <w:ind w:left="468" w:right="283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Federal Realty Investment Trust (the "Company") acquired the real estate and assumed the outstanding lease obligations of each of the tenants in 1995.</w:t>
      </w:r>
    </w:p>
    <w:p>
      <w:pPr>
        <w:spacing w:after="0" w:line="184" w:lineRule="exact"/>
        <w:rPr>
          <w:rFonts w:ascii="Courier New" w:cs="Courier New" w:eastAsia="Courier New" w:hAnsi="Courier New"/>
          <w:sz w:val="16"/>
          <w:szCs w:val="16"/>
          <w:color w:val="auto"/>
        </w:rPr>
      </w:pPr>
    </w:p>
    <w:p>
      <w:pPr>
        <w:ind w:left="468"/>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 -</w:t>
      </w:r>
    </w:p>
    <w:p>
      <w:pPr>
        <w:ind w:left="468"/>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468"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statement of revenue and direct operating expenses has been prepared for the purpose of complying with Regulation S-X, Rule 3-14 of the Security and Exchange Commission ("SEC"), which requires certain information with respect to real estate operations acquired to be included with certain filings with the SEC.</w:t>
      </w:r>
    </w:p>
    <w:p>
      <w:pPr>
        <w:spacing w:after="0" w:line="188" w:lineRule="exact"/>
        <w:rPr>
          <w:rFonts w:ascii="Courier New" w:cs="Courier New" w:eastAsia="Courier New" w:hAnsi="Courier New"/>
          <w:sz w:val="16"/>
          <w:szCs w:val="16"/>
          <w:color w:val="auto"/>
        </w:rPr>
      </w:pPr>
    </w:p>
    <w:p>
      <w:pPr>
        <w:ind w:left="468" w:right="27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 of revenue and direct operating expenses is not representative of the actual operations of the Plaza for the period presented as certain expenses, principally depreciation and interest expense, which may not be comparable to the revenue and expenses expected to be incurred by the Company in the proposed future operations of the Plaza, have been excluded.</w:t>
      </w:r>
    </w:p>
    <w:p>
      <w:pPr>
        <w:spacing w:after="0" w:line="186" w:lineRule="exact"/>
        <w:rPr>
          <w:rFonts w:ascii="Courier New" w:cs="Courier New" w:eastAsia="Courier New" w:hAnsi="Courier New"/>
          <w:sz w:val="16"/>
          <w:szCs w:val="16"/>
          <w:color w:val="auto"/>
        </w:rPr>
      </w:pPr>
    </w:p>
    <w:p>
      <w:pPr>
        <w:ind w:left="468"/>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 -</w:t>
      </w:r>
    </w:p>
    <w:p>
      <w:pPr>
        <w:ind w:left="468"/>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468" w:right="31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Rental income is recognized on an accrual basis over the terms of the related leases which approximates a straight-line basis.</w:t>
      </w:r>
    </w:p>
    <w:p>
      <w:pPr>
        <w:spacing w:after="0" w:line="184" w:lineRule="exact"/>
        <w:rPr>
          <w:sz w:val="20"/>
          <w:szCs w:val="20"/>
          <w:color w:val="auto"/>
        </w:rPr>
      </w:pPr>
    </w:p>
    <w:p>
      <w:pPr>
        <w:ind w:left="3588"/>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128"/>
          </w:cols>
          <w:pgMar w:left="332" w:top="659" w:right="1440" w:bottom="1440" w:gutter="0" w:footer="0" w:header="0"/>
        </w:sectPr>
      </w:pPr>
    </w:p>
    <w:bookmarkStart w:id="8" w:name="page9"/>
    <w:bookmarkEnd w:id="8"/>
    <w:p>
      <w:pPr>
        <w:jc w:val="center"/>
        <w:ind w:right="4057"/>
        <w:spacing w:after="0"/>
        <w:rPr>
          <w:sz w:val="20"/>
          <w:szCs w:val="20"/>
          <w:color w:val="auto"/>
        </w:rPr>
      </w:pPr>
      <w:r>
        <w:rPr>
          <w:rFonts w:ascii="Courier New" w:cs="Courier New" w:eastAsia="Courier New" w:hAnsi="Courier New"/>
          <w:sz w:val="16"/>
          <w:szCs w:val="16"/>
          <w:color w:val="auto"/>
        </w:rPr>
        <w:t>Federal Realty Investment Trust</w:t>
      </w:r>
    </w:p>
    <w:p>
      <w:pPr>
        <w:spacing w:after="0" w:line="183" w:lineRule="exact"/>
        <w:rPr>
          <w:sz w:val="20"/>
          <w:szCs w:val="20"/>
          <w:color w:val="auto"/>
        </w:rPr>
      </w:pPr>
    </w:p>
    <w:p>
      <w:pPr>
        <w:jc w:val="center"/>
        <w:ind w:right="4057"/>
        <w:spacing w:after="0"/>
        <w:rPr>
          <w:sz w:val="20"/>
          <w:szCs w:val="20"/>
          <w:color w:val="auto"/>
        </w:rPr>
      </w:pPr>
      <w:r>
        <w:rPr>
          <w:rFonts w:ascii="Courier New" w:cs="Courier New" w:eastAsia="Courier New" w:hAnsi="Courier New"/>
          <w:sz w:val="16"/>
          <w:szCs w:val="16"/>
          <w:color w:val="auto"/>
        </w:rPr>
        <w:t>Pro Forma Condensed Statement of Operations</w:t>
      </w:r>
    </w:p>
    <w:p>
      <w:pPr>
        <w:spacing w:after="0" w:line="1" w:lineRule="exact"/>
        <w:rPr>
          <w:sz w:val="20"/>
          <w:szCs w:val="20"/>
          <w:color w:val="auto"/>
        </w:rPr>
      </w:pPr>
    </w:p>
    <w:p>
      <w:pPr>
        <w:jc w:val="center"/>
        <w:ind w:right="4057"/>
        <w:spacing w:after="0"/>
        <w:rPr>
          <w:sz w:val="20"/>
          <w:szCs w:val="20"/>
          <w:color w:val="auto"/>
        </w:rPr>
      </w:pPr>
      <w:r>
        <w:rPr>
          <w:rFonts w:ascii="Courier New" w:cs="Courier New" w:eastAsia="Courier New" w:hAnsi="Courier New"/>
          <w:sz w:val="16"/>
          <w:szCs w:val="16"/>
          <w:color w:val="auto"/>
        </w:rPr>
        <w:t>(unaudited)</w:t>
      </w:r>
    </w:p>
    <w:p>
      <w:pPr>
        <w:spacing w:after="0" w:line="1"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Year ended December 31, 1994</w:t>
      </w:r>
    </w:p>
    <w:p>
      <w:pPr>
        <w:spacing w:after="0" w:line="1" w:lineRule="exact"/>
        <w:rPr>
          <w:sz w:val="20"/>
          <w:szCs w:val="20"/>
          <w:color w:val="auto"/>
        </w:rPr>
      </w:pPr>
    </w:p>
    <w:p>
      <w:pPr>
        <w:ind w:left="1983"/>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760" w:type="dxa"/>
            <w:vAlign w:val="bottom"/>
            <w:gridSpan w:val="2"/>
          </w:tcPr>
          <w:p>
            <w:pPr>
              <w:jc w:val="right"/>
              <w:ind w:right="2461"/>
              <w:spacing w:after="0"/>
              <w:rPr>
                <w:sz w:val="20"/>
                <w:szCs w:val="20"/>
                <w:color w:val="auto"/>
              </w:rPr>
            </w:pPr>
            <w:r>
              <w:rPr>
                <w:rFonts w:ascii="Courier New" w:cs="Courier New" w:eastAsia="Courier New" w:hAnsi="Courier New"/>
                <w:sz w:val="16"/>
                <w:szCs w:val="16"/>
                <w:color w:val="auto"/>
              </w:rPr>
              <w:t>Pro Forma Adjustments</w:t>
            </w:r>
          </w:p>
        </w:tc>
      </w:tr>
      <w:tr>
        <w:trPr>
          <w:trHeight w:val="364"/>
        </w:trPr>
        <w:tc>
          <w:tcPr>
            <w:tcW w:w="4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Debit</w:t>
            </w:r>
          </w:p>
        </w:tc>
        <w:tc>
          <w:tcPr>
            <w:tcW w:w="3160" w:type="dxa"/>
            <w:vAlign w:val="bottom"/>
          </w:tcPr>
          <w:p>
            <w:pPr>
              <w:jc w:val="right"/>
              <w:ind w:right="2181"/>
              <w:spacing w:after="0"/>
              <w:rPr>
                <w:sz w:val="20"/>
                <w:szCs w:val="20"/>
                <w:color w:val="auto"/>
              </w:rPr>
            </w:pPr>
            <w:r>
              <w:rPr>
                <w:rFonts w:ascii="Courier New" w:cs="Courier New" w:eastAsia="Courier New" w:hAnsi="Courier New"/>
                <w:sz w:val="16"/>
                <w:szCs w:val="16"/>
                <w:color w:val="auto"/>
              </w:rPr>
              <w:t>Credit</w:t>
            </w:r>
          </w:p>
        </w:tc>
      </w:tr>
      <w:tr>
        <w:trPr>
          <w:trHeight w:val="182"/>
        </w:trPr>
        <w:tc>
          <w:tcPr>
            <w:tcW w:w="4260" w:type="dxa"/>
            <w:vAlign w:val="bottom"/>
          </w:tcPr>
          <w:p>
            <w:pPr>
              <w:spacing w:after="0"/>
              <w:rPr>
                <w:sz w:val="15"/>
                <w:szCs w:val="15"/>
                <w:color w:val="auto"/>
              </w:rPr>
            </w:pP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Trust</w:t>
            </w: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rPr>
              <w:t>Bristol</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ind w:left="2220"/>
              <w:spacing w:after="0"/>
              <w:rPr>
                <w:sz w:val="20"/>
                <w:szCs w:val="20"/>
                <w:color w:val="auto"/>
              </w:rPr>
            </w:pPr>
            <w:r>
              <w:rPr>
                <w:rFonts w:ascii="Courier New" w:cs="Courier New" w:eastAsia="Courier New" w:hAnsi="Courier New"/>
                <w:sz w:val="16"/>
                <w:szCs w:val="16"/>
                <w:color w:val="auto"/>
              </w:rPr>
              <w:t>Pro Forma</w:t>
            </w:r>
          </w:p>
        </w:tc>
      </w:tr>
      <w:tr>
        <w:trPr>
          <w:trHeight w:val="182"/>
        </w:trPr>
        <w:tc>
          <w:tcPr>
            <w:tcW w:w="4260" w:type="dxa"/>
            <w:vAlign w:val="bottom"/>
          </w:tcPr>
          <w:p>
            <w:pPr>
              <w:spacing w:after="0"/>
              <w:rPr>
                <w:sz w:val="15"/>
                <w:szCs w:val="15"/>
                <w:color w:val="auto"/>
              </w:rPr>
            </w:pPr>
          </w:p>
        </w:tc>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Actual</w:t>
            </w: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rPr>
              <w:t>Plaza</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ind w:left="2220"/>
              <w:spacing w:after="0"/>
              <w:rPr>
                <w:sz w:val="20"/>
                <w:szCs w:val="20"/>
                <w:color w:val="auto"/>
              </w:rPr>
            </w:pPr>
            <w:r>
              <w:rPr>
                <w:rFonts w:ascii="Courier New" w:cs="Courier New" w:eastAsia="Courier New" w:hAnsi="Courier New"/>
                <w:sz w:val="16"/>
                <w:szCs w:val="16"/>
                <w:color w:val="auto"/>
              </w:rPr>
              <w:t>Combined</w:t>
            </w:r>
          </w:p>
        </w:tc>
      </w:tr>
      <w:tr>
        <w:trPr>
          <w:trHeight w:val="182"/>
        </w:trPr>
        <w:tc>
          <w:tcPr>
            <w:tcW w:w="4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Courier New" w:cs="Courier New" w:eastAsia="Courier New" w:hAnsi="Courier New"/>
                <w:sz w:val="16"/>
                <w:szCs w:val="16"/>
                <w:color w:val="auto"/>
              </w:rPr>
              <w:t>Actual</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spacing w:after="0"/>
              <w:rPr>
                <w:sz w:val="15"/>
                <w:szCs w:val="15"/>
                <w:color w:val="auto"/>
              </w:rPr>
            </w:pP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Rental and other income</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$133,831</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$2,926</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$136,757</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Interest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3,933</w:t>
            </w: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3,933</w:t>
            </w:r>
          </w:p>
        </w:tc>
      </w:tr>
      <w:tr>
        <w:trPr>
          <w:trHeight w:val="182"/>
        </w:trPr>
        <w:tc>
          <w:tcPr>
            <w:tcW w:w="426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137,764</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2,926</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140,690</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Interest</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31,462</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w:t>
            </w:r>
          </w:p>
        </w:tc>
        <w:tc>
          <w:tcPr>
            <w:tcW w:w="16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1,144</w:t>
            </w: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32,606</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 amortization</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29,801</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w:t>
            </w:r>
          </w:p>
        </w:tc>
        <w:tc>
          <w:tcPr>
            <w:tcW w:w="16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450</w:t>
            </w: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30,251</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Administrative &amp; other charges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6,661</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6,661</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Other charges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1,055</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1,055</w:t>
            </w: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Other operating expenses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49,927</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962</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48,889</w:t>
            </w:r>
          </w:p>
        </w:tc>
      </w:tr>
      <w:tr>
        <w:trPr>
          <w:trHeight w:val="182"/>
        </w:trPr>
        <w:tc>
          <w:tcPr>
            <w:tcW w:w="426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116,906</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962</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119,462</w:t>
            </w:r>
          </w:p>
        </w:tc>
      </w:tr>
      <w:tr>
        <w:trPr>
          <w:trHeight w:val="182"/>
        </w:trPr>
        <w:tc>
          <w:tcPr>
            <w:tcW w:w="426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w w:val="98"/>
              </w:rPr>
              <w:t>Income before investors' share of operations,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20,858</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1,964</w:t>
            </w: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21,228</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Investors' share of operations</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(392)</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(392)</w:t>
            </w:r>
          </w:p>
        </w:tc>
      </w:tr>
      <w:tr>
        <w:trPr>
          <w:trHeight w:val="182"/>
        </w:trPr>
        <w:tc>
          <w:tcPr>
            <w:tcW w:w="426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$20,466</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$1,964</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$20,836</w:t>
            </w:r>
          </w:p>
        </w:tc>
      </w:tr>
      <w:tr>
        <w:trPr>
          <w:trHeight w:val="182"/>
        </w:trPr>
        <w:tc>
          <w:tcPr>
            <w:tcW w:w="4260" w:type="dxa"/>
            <w:vAlign w:val="bottom"/>
          </w:tcPr>
          <w:p>
            <w:pPr>
              <w:spacing w:after="0"/>
              <w:rPr>
                <w:sz w:val="15"/>
                <w:szCs w:val="15"/>
                <w:color w:val="auto"/>
              </w:rPr>
            </w:pP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30,679</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338</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w:t>
            </w:r>
          </w:p>
        </w:tc>
        <w:tc>
          <w:tcPr>
            <w:tcW w:w="1600" w:type="dxa"/>
            <w:vAlign w:val="bottom"/>
          </w:tcPr>
          <w:p>
            <w:pPr>
              <w:spacing w:after="0"/>
              <w:rPr>
                <w:sz w:val="15"/>
                <w:szCs w:val="15"/>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31,017</w:t>
            </w: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10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$0.67</w:t>
            </w: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$0.67</w:t>
            </w:r>
          </w:p>
        </w:tc>
      </w:tr>
    </w:tbl>
    <w:p>
      <w:pPr>
        <w:spacing w:after="0" w:line="368" w:lineRule="exact"/>
        <w:rPr>
          <w:sz w:val="20"/>
          <w:szCs w:val="20"/>
          <w:color w:val="auto"/>
        </w:rPr>
      </w:pPr>
    </w:p>
    <w:p>
      <w:pPr>
        <w:ind w:left="3" w:right="4140" w:firstLine="189"/>
        <w:spacing w:after="0" w:line="238" w:lineRule="auto"/>
        <w:rPr>
          <w:sz w:val="20"/>
          <w:szCs w:val="20"/>
          <w:color w:val="auto"/>
        </w:rPr>
      </w:pPr>
      <w:r>
        <w:rPr>
          <w:rFonts w:ascii="Courier New" w:cs="Courier New" w:eastAsia="Courier New" w:hAnsi="Courier New"/>
          <w:sz w:val="16"/>
          <w:szCs w:val="16"/>
          <w:color w:val="auto"/>
        </w:rPr>
        <w:t>The pro forma condensed statement of operations of the Trust gives effect to the acquisition of Bristol Shopping Center as though it was acquired at the beginning of the period presented.</w:t>
      </w:r>
    </w:p>
    <w:p>
      <w:pPr>
        <w:spacing w:after="0" w:line="188" w:lineRule="exact"/>
        <w:rPr>
          <w:sz w:val="20"/>
          <w:szCs w:val="20"/>
          <w:color w:val="auto"/>
        </w:rPr>
      </w:pPr>
    </w:p>
    <w:p>
      <w:pPr>
        <w:ind w:left="563" w:right="4420" w:hanging="563"/>
        <w:spacing w:after="0" w:line="237" w:lineRule="auto"/>
        <w:tabs>
          <w:tab w:leader="none" w:pos="5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additional interest expense on mortgage and revolving credit facilities.</w:t>
      </w:r>
    </w:p>
    <w:p>
      <w:pPr>
        <w:spacing w:after="0" w:line="5" w:lineRule="exact"/>
        <w:rPr>
          <w:rFonts w:ascii="Courier New" w:cs="Courier New" w:eastAsia="Courier New" w:hAnsi="Courier New"/>
          <w:sz w:val="16"/>
          <w:szCs w:val="16"/>
          <w:color w:val="auto"/>
        </w:rPr>
      </w:pPr>
    </w:p>
    <w:p>
      <w:pPr>
        <w:ind w:left="563" w:right="4240" w:hanging="563"/>
        <w:spacing w:after="0" w:line="237" w:lineRule="auto"/>
        <w:tabs>
          <w:tab w:leader="none" w:pos="5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additional depreciation based on the book value of depreciable real estate purchased.</w:t>
      </w:r>
    </w:p>
    <w:p>
      <w:pPr>
        <w:spacing w:after="0" w:line="5" w:lineRule="exact"/>
        <w:rPr>
          <w:rFonts w:ascii="Courier New" w:cs="Courier New" w:eastAsia="Courier New" w:hAnsi="Courier New"/>
          <w:sz w:val="16"/>
          <w:szCs w:val="16"/>
          <w:color w:val="auto"/>
        </w:rPr>
      </w:pPr>
    </w:p>
    <w:p>
      <w:pPr>
        <w:ind w:left="563" w:right="3960" w:hanging="563"/>
        <w:spacing w:after="0" w:line="237" w:lineRule="auto"/>
        <w:tabs>
          <w:tab w:leader="none" w:pos="5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shares of beneficial interest issued as partial consideration for purchase of Bristol Plaza.</w:t>
      </w:r>
    </w:p>
    <w:p>
      <w:pPr>
        <w:sectPr>
          <w:pgSz w:w="11900" w:h="16838" w:orient="portrait"/>
          <w:cols w:equalWidth="0" w:num="1">
            <w:col w:w="11523"/>
          </w:cols>
          <w:pgMar w:left="237" w:top="841" w:right="139" w:bottom="1440" w:gutter="0" w:footer="0" w:header="0"/>
        </w:sectPr>
      </w:pPr>
    </w:p>
    <w:bookmarkStart w:id="9" w:name="page10"/>
    <w:bookmarkEnd w:id="9"/>
    <w:p>
      <w:pPr>
        <w:jc w:val="center"/>
        <w:ind w:right="2397"/>
        <w:spacing w:after="0"/>
        <w:rPr>
          <w:sz w:val="20"/>
          <w:szCs w:val="20"/>
          <w:color w:val="auto"/>
        </w:rPr>
      </w:pPr>
      <w:r>
        <w:rPr>
          <w:rFonts w:ascii="Courier New" w:cs="Courier New" w:eastAsia="Courier New" w:hAnsi="Courier New"/>
          <w:sz w:val="16"/>
          <w:szCs w:val="16"/>
          <w:color w:val="auto"/>
        </w:rPr>
        <w:t>Federal Realty Investment Trust</w:t>
      </w:r>
    </w:p>
    <w:p>
      <w:pPr>
        <w:spacing w:after="0" w:line="183" w:lineRule="exact"/>
        <w:rPr>
          <w:sz w:val="20"/>
          <w:szCs w:val="20"/>
          <w:color w:val="auto"/>
        </w:rPr>
      </w:pPr>
    </w:p>
    <w:p>
      <w:pPr>
        <w:jc w:val="center"/>
        <w:ind w:right="2397"/>
        <w:spacing w:after="0"/>
        <w:rPr>
          <w:sz w:val="20"/>
          <w:szCs w:val="20"/>
          <w:color w:val="auto"/>
        </w:rPr>
      </w:pPr>
      <w:r>
        <w:rPr>
          <w:rFonts w:ascii="Courier New" w:cs="Courier New" w:eastAsia="Courier New" w:hAnsi="Courier New"/>
          <w:sz w:val="16"/>
          <w:szCs w:val="16"/>
          <w:color w:val="auto"/>
        </w:rPr>
        <w:t>Pro Forma Condensed Statement of Operations</w:t>
      </w:r>
    </w:p>
    <w:p>
      <w:pPr>
        <w:spacing w:after="0" w:line="1" w:lineRule="exact"/>
        <w:rPr>
          <w:sz w:val="20"/>
          <w:szCs w:val="20"/>
          <w:color w:val="auto"/>
        </w:rPr>
      </w:pPr>
    </w:p>
    <w:p>
      <w:pPr>
        <w:jc w:val="center"/>
        <w:ind w:right="2397"/>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1983"/>
        <w:spacing w:after="0"/>
        <w:rPr>
          <w:sz w:val="20"/>
          <w:szCs w:val="20"/>
          <w:color w:val="auto"/>
        </w:rPr>
      </w:pPr>
      <w:r>
        <w:rPr>
          <w:rFonts w:ascii="Courier New" w:cs="Courier New" w:eastAsia="Courier New" w:hAnsi="Courier New"/>
          <w:sz w:val="16"/>
          <w:szCs w:val="16"/>
          <w:color w:val="auto"/>
        </w:rPr>
        <w:t>Nine months ended September 30, 1995</w:t>
      </w:r>
    </w:p>
    <w:p>
      <w:pPr>
        <w:spacing w:after="0" w:line="1" w:lineRule="exact"/>
        <w:rPr>
          <w:sz w:val="20"/>
          <w:szCs w:val="20"/>
          <w:color w:val="auto"/>
        </w:rPr>
      </w:pPr>
    </w:p>
    <w:p>
      <w:pPr>
        <w:ind w:left="1983"/>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880"/>
        <w:spacing w:after="0"/>
        <w:rPr>
          <w:sz w:val="20"/>
          <w:szCs w:val="20"/>
          <w:color w:val="auto"/>
        </w:rPr>
      </w:pPr>
      <w:r>
        <w:rPr>
          <w:rFonts w:ascii="Courier New" w:cs="Courier New" w:eastAsia="Courier New" w:hAnsi="Courier New"/>
          <w:sz w:val="16"/>
          <w:szCs w:val="16"/>
          <w:color w:val="auto"/>
        </w:rPr>
        <w:t>Pro Forma Adjustments</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jc w:val="center"/>
              <w:ind w:right="101"/>
              <w:spacing w:after="0"/>
              <w:rPr>
                <w:sz w:val="20"/>
                <w:szCs w:val="20"/>
                <w:color w:val="auto"/>
              </w:rPr>
            </w:pPr>
            <w:r>
              <w:rPr>
                <w:rFonts w:ascii="Courier New" w:cs="Courier New" w:eastAsia="Courier New" w:hAnsi="Courier New"/>
                <w:sz w:val="16"/>
                <w:szCs w:val="16"/>
                <w:color w:val="auto"/>
                <w:w w:val="95"/>
              </w:rPr>
              <w:t>Debit</w:t>
            </w:r>
          </w:p>
        </w:tc>
        <w:tc>
          <w:tcPr>
            <w:tcW w:w="1000" w:type="dxa"/>
            <w:vAlign w:val="bottom"/>
          </w:tcPr>
          <w:p>
            <w:pPr>
              <w:ind w:left="440"/>
              <w:spacing w:after="0"/>
              <w:rPr>
                <w:sz w:val="20"/>
                <w:szCs w:val="20"/>
                <w:color w:val="auto"/>
              </w:rPr>
            </w:pPr>
            <w:r>
              <w:rPr>
                <w:rFonts w:ascii="Courier New" w:cs="Courier New" w:eastAsia="Courier New" w:hAnsi="Courier New"/>
                <w:sz w:val="16"/>
                <w:szCs w:val="16"/>
                <w:color w:val="auto"/>
                <w:w w:val="93"/>
              </w:rPr>
              <w:t>Credit</w:t>
            </w:r>
          </w:p>
        </w:tc>
      </w:tr>
      <w:tr>
        <w:trPr>
          <w:trHeight w:val="182"/>
        </w:trPr>
        <w:tc>
          <w:tcPr>
            <w:tcW w:w="4260" w:type="dxa"/>
            <w:vAlign w:val="bottom"/>
          </w:tcPr>
          <w:p>
            <w:pPr>
              <w:spacing w:after="0"/>
              <w:rPr>
                <w:sz w:val="15"/>
                <w:szCs w:val="15"/>
                <w:color w:val="auto"/>
              </w:rPr>
            </w:pPr>
          </w:p>
        </w:tc>
        <w:tc>
          <w:tcPr>
            <w:tcW w:w="9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Trust</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Bristol</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98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3"/>
              </w:rPr>
              <w:t>Actual</w:t>
            </w: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Plaza</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6"/>
                <w:szCs w:val="16"/>
                <w:color w:val="auto"/>
              </w:rPr>
              <w:t>Actual</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546"/>
        </w:trPr>
        <w:tc>
          <w:tcPr>
            <w:tcW w:w="42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Rental and other income</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$109,840</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$2,361</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Interest</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3,049</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112,889</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2,361</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Interest</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28,814</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w:t>
            </w:r>
          </w:p>
        </w:tc>
        <w:tc>
          <w:tcPr>
            <w:tcW w:w="11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7"/>
              </w:rPr>
              <w:t>901</w:t>
            </w:r>
          </w:p>
        </w:tc>
        <w:tc>
          <w:tcPr>
            <w:tcW w:w="1000" w:type="dxa"/>
            <w:vAlign w:val="bottom"/>
          </w:tcPr>
          <w:p>
            <w:pPr>
              <w:spacing w:after="0"/>
              <w:rPr>
                <w:sz w:val="15"/>
                <w:szCs w:val="15"/>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 amortization</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28,815</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w:t>
            </w:r>
          </w:p>
        </w:tc>
        <w:tc>
          <w:tcPr>
            <w:tcW w:w="11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7"/>
              </w:rPr>
              <w:t>337</w:t>
            </w:r>
          </w:p>
        </w:tc>
        <w:tc>
          <w:tcPr>
            <w:tcW w:w="1000" w:type="dxa"/>
            <w:vAlign w:val="bottom"/>
          </w:tcPr>
          <w:p>
            <w:pPr>
              <w:spacing w:after="0"/>
              <w:rPr>
                <w:sz w:val="15"/>
                <w:szCs w:val="15"/>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Administrative &amp; other charges</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4,483</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Other operating expenses</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35,763</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825</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94,875</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825</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w w:val="98"/>
              </w:rPr>
              <w:t>Income before investors' share of operations,</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4260" w:type="dxa"/>
            <w:vAlign w:val="bottom"/>
          </w:tcPr>
          <w:p>
            <w:pPr>
              <w:ind w:left="100"/>
              <w:spacing w:after="0"/>
              <w:rPr>
                <w:sz w:val="20"/>
                <w:szCs w:val="20"/>
                <w:color w:val="auto"/>
              </w:rPr>
            </w:pPr>
            <w:r>
              <w:rPr>
                <w:rFonts w:ascii="Courier New" w:cs="Courier New" w:eastAsia="Courier New" w:hAnsi="Courier New"/>
                <w:sz w:val="16"/>
                <w:szCs w:val="16"/>
                <w:color w:val="auto"/>
              </w:rPr>
              <w:t>and loss on sale of real estate</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18,014</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1,536</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Investors' share of operations</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275</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Loss on sale of real estate</w:t>
            </w: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(545)</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$17,744</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$1,536</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2"/>
        </w:trPr>
        <w:tc>
          <w:tcPr>
            <w:tcW w:w="4260" w:type="dxa"/>
            <w:vAlign w:val="bottom"/>
          </w:tcPr>
          <w:p>
            <w:pPr>
              <w:spacing w:after="0"/>
              <w:rPr>
                <w:sz w:val="15"/>
                <w:szCs w:val="15"/>
                <w:color w:val="auto"/>
              </w:rPr>
            </w:pPr>
          </w:p>
        </w:tc>
        <w:tc>
          <w:tcPr>
            <w:tcW w:w="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546"/>
        </w:trPr>
        <w:tc>
          <w:tcPr>
            <w:tcW w:w="42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 shares</w:t>
            </w: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31,744</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338</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4"/>
        </w:trPr>
        <w:tc>
          <w:tcPr>
            <w:tcW w:w="42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9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$0.56</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368" w:lineRule="exact"/>
        <w:rPr>
          <w:sz w:val="20"/>
          <w:szCs w:val="20"/>
          <w:color w:val="auto"/>
        </w:rPr>
      </w:pPr>
    </w:p>
    <w:p>
      <w:pPr>
        <w:ind w:left="3" w:right="2400" w:firstLine="284"/>
        <w:spacing w:after="0" w:line="239" w:lineRule="auto"/>
        <w:rPr>
          <w:sz w:val="20"/>
          <w:szCs w:val="20"/>
          <w:color w:val="auto"/>
        </w:rPr>
      </w:pPr>
      <w:r>
        <w:rPr>
          <w:rFonts w:ascii="Courier New" w:cs="Courier New" w:eastAsia="Courier New" w:hAnsi="Courier New"/>
          <w:sz w:val="16"/>
          <w:szCs w:val="16"/>
          <w:color w:val="auto"/>
        </w:rPr>
        <w:t>The pro forma condensed statement of operations of the Trust gives effect to the acquisition of Bristol Plaza as though it was acquired at the beginning of the period presented. One week of the operations of Bristol Plaza are reflected in the Trust actual numbers at September 30, 1995, since Bristol Plaza was purchased on September 22, 1995. Operations for the period prior to acquisition are reflected in the actual numbers for Bristol Plaza.</w:t>
      </w:r>
    </w:p>
    <w:p>
      <w:pPr>
        <w:spacing w:after="0" w:line="372" w:lineRule="exact"/>
        <w:rPr>
          <w:sz w:val="20"/>
          <w:szCs w:val="20"/>
          <w:color w:val="auto"/>
        </w:rPr>
      </w:pPr>
    </w:p>
    <w:p>
      <w:pPr>
        <w:jc w:val="both"/>
        <w:ind w:left="463" w:right="2860" w:hanging="463"/>
        <w:spacing w:after="0" w:line="238" w:lineRule="auto"/>
        <w:tabs>
          <w:tab w:leader="none" w:pos="4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additional interest expense on mortgage and revolving credit facilities as if Bristol Plaza were purchased at the beginning of the period.</w:t>
      </w:r>
    </w:p>
    <w:p>
      <w:pPr>
        <w:spacing w:after="0" w:line="6" w:lineRule="exact"/>
        <w:rPr>
          <w:rFonts w:ascii="Courier New" w:cs="Courier New" w:eastAsia="Courier New" w:hAnsi="Courier New"/>
          <w:sz w:val="16"/>
          <w:szCs w:val="16"/>
          <w:color w:val="auto"/>
        </w:rPr>
      </w:pPr>
    </w:p>
    <w:p>
      <w:pPr>
        <w:ind w:left="463" w:right="2400" w:hanging="463"/>
        <w:spacing w:after="0" w:line="238" w:lineRule="auto"/>
        <w:tabs>
          <w:tab w:leader="none" w:pos="4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additional depreciation based on the book value of depreciable real estate purchased, as if Bristol Plaza were purchased at the beginning of the period.</w:t>
      </w:r>
    </w:p>
    <w:p>
      <w:pPr>
        <w:spacing w:after="0" w:line="6" w:lineRule="exact"/>
        <w:rPr>
          <w:rFonts w:ascii="Courier New" w:cs="Courier New" w:eastAsia="Courier New" w:hAnsi="Courier New"/>
          <w:sz w:val="16"/>
          <w:szCs w:val="16"/>
          <w:color w:val="auto"/>
        </w:rPr>
      </w:pPr>
    </w:p>
    <w:p>
      <w:pPr>
        <w:ind w:left="463" w:right="2400" w:hanging="463"/>
        <w:spacing w:after="0" w:line="237" w:lineRule="auto"/>
        <w:tabs>
          <w:tab w:leader="none" w:pos="4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shares of beneficial interest issued as partial consideration for the purchase of Bristol Plaza.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Combined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5"/>
          <w:szCs w:val="15"/>
          <w:color w:val="auto"/>
        </w:rPr>
        <w:t>$112,201</w:t>
      </w:r>
    </w:p>
    <w:p>
      <w:pPr>
        <w:spacing w:after="0" w:line="8"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3,049</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115,250</w:t>
      </w:r>
    </w:p>
    <w:p>
      <w:pPr>
        <w:spacing w:after="0" w:line="183"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29,715</w:t>
      </w:r>
    </w:p>
    <w:p>
      <w:pPr>
        <w:spacing w:after="0" w:line="1"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26,152</w:t>
      </w:r>
    </w:p>
    <w:p>
      <w:pPr>
        <w:spacing w:after="0" w:line="1"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4,483</w:t>
      </w:r>
    </w:p>
    <w:p>
      <w:pPr>
        <w:spacing w:after="0" w:line="1"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36,588</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96,938</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18,312</w:t>
      </w:r>
    </w:p>
    <w:p>
      <w:pPr>
        <w:spacing w:after="0" w:line="183" w:lineRule="exact"/>
        <w:rPr>
          <w:sz w:val="20"/>
          <w:szCs w:val="20"/>
          <w:color w:val="auto"/>
        </w:rPr>
      </w:pPr>
    </w:p>
    <w:p>
      <w:pPr>
        <w:jc w:val="center"/>
        <w:ind w:left="-159"/>
        <w:spacing w:after="0"/>
        <w:rPr>
          <w:sz w:val="20"/>
          <w:szCs w:val="20"/>
          <w:color w:val="auto"/>
        </w:rPr>
      </w:pPr>
      <w:r>
        <w:rPr>
          <w:rFonts w:ascii="Courier New" w:cs="Courier New" w:eastAsia="Courier New" w:hAnsi="Courier New"/>
          <w:sz w:val="16"/>
          <w:szCs w:val="16"/>
          <w:color w:val="auto"/>
        </w:rPr>
        <w:t>275</w:t>
      </w:r>
    </w:p>
    <w:p>
      <w:pPr>
        <w:spacing w:after="0" w:line="1" w:lineRule="exact"/>
        <w:rPr>
          <w:sz w:val="20"/>
          <w:szCs w:val="20"/>
          <w:color w:val="auto"/>
        </w:rPr>
      </w:pPr>
    </w:p>
    <w:p>
      <w:pPr>
        <w:jc w:val="center"/>
        <w:ind w:left="-159"/>
        <w:spacing w:after="0"/>
        <w:rPr>
          <w:sz w:val="20"/>
          <w:szCs w:val="20"/>
          <w:color w:val="auto"/>
        </w:rPr>
      </w:pPr>
      <w:r>
        <w:rPr>
          <w:rFonts w:ascii="Courier New" w:cs="Courier New" w:eastAsia="Courier New" w:hAnsi="Courier New"/>
          <w:sz w:val="16"/>
          <w:szCs w:val="16"/>
          <w:color w:val="auto"/>
        </w:rPr>
        <w:t>(545)</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$18,042</w:t>
      </w:r>
    </w:p>
    <w:p>
      <w:pPr>
        <w:spacing w:after="0" w:line="1"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32,082</w:t>
      </w:r>
    </w:p>
    <w:p>
      <w:pPr>
        <w:spacing w:after="0" w:line="183"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$0.56</w:t>
      </w:r>
    </w:p>
    <w:p>
      <w:pPr>
        <w:sectPr>
          <w:pgSz w:w="11900" w:h="16838" w:orient="portrait"/>
          <w:cols w:equalWidth="0" w:num="2">
            <w:col w:w="9863" w:space="720"/>
            <w:col w:w="860"/>
          </w:cols>
          <w:pgMar w:left="237" w:top="841" w:right="21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Exhibit 23</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(Letterhead of Arthur Andersen Appears Here)</w:t>
      </w:r>
    </w:p>
    <w:p>
      <w:pPr>
        <w:spacing w:after="0" w:line="36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ind w:right="2839"/>
        <w:spacing w:after="0"/>
        <w:rPr>
          <w:sz w:val="20"/>
          <w:szCs w:val="20"/>
          <w:color w:val="auto"/>
        </w:rPr>
      </w:pPr>
      <w:r>
        <w:rPr>
          <w:rFonts w:ascii="Courier New" w:cs="Courier New" w:eastAsia="Courier New" w:hAnsi="Courier New"/>
          <w:sz w:val="16"/>
          <w:szCs w:val="16"/>
          <w:color w:val="auto"/>
        </w:rPr>
        <w:t>As independent public accountants, we hereby consent to the incorporation by reference of our report dated October 31, 1995 on the Statement of Revenue and Direct Operating Expenses of the Bristol Shopping Plaza for the year ended December 31, 1994 included in Federal Realty Investment Trust's Form 8-K dated as of September 22, 1995 into the Registration Statements of Federal Realty Investment Trust previously filed Form S-3 (File No. 33-63687), Form S-3 (File No. 33-63955), Form S-3 (File No. 33-62389), Form S-8 (File No. 33-55111) and Form S-8 (File No. 33-60252).</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Hartford, Connecticut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19, 1995</w:t>
      </w:r>
    </w:p>
    <w:p>
      <w:pPr>
        <w:spacing w:after="0" w:line="183"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Arthur Andersen LLP</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11</w:t>
      </w:r>
    </w:p>
    <w:sectPr>
      <w:pgSz w:w="11900" w:h="16838" w:orient="portrait"/>
      <w:cols w:equalWidth="0" w:num="1">
        <w:col w:w="10219"/>
      </w:cols>
      <w:pgMar w:left="24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upperLetter"/>
      <w:start w:val="9"/>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2019-12-12T06:22:14Z</dcterms:created>
  <dcterms:modified xsi:type="dcterms:W3CDTF">2019-12-12T06:22:14Z</dcterms:modified>
</cp:coreProperties>
</file>