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3" w:lineRule="exact"/>
        <w:rPr>
          <w:sz w:val="24"/>
          <w:szCs w:val="24"/>
          <w:color w:val="auto"/>
        </w:rPr>
      </w:pPr>
    </w:p>
    <w:p>
      <w:pPr>
        <w:jc w:val="center"/>
        <w:ind w:right="-719"/>
        <w:spacing w:after="0"/>
        <w:rPr>
          <w:sz w:val="20"/>
          <w:szCs w:val="20"/>
          <w:color w:val="auto"/>
        </w:rPr>
      </w:pPr>
      <w:r>
        <w:rPr>
          <w:rFonts w:ascii="Arial" w:cs="Arial" w:eastAsia="Arial" w:hAnsi="Arial"/>
          <w:sz w:val="31"/>
          <w:szCs w:val="31"/>
          <w:b w:val="1"/>
          <w:bCs w:val="1"/>
          <w:color w:val="auto"/>
        </w:rPr>
        <w:t>SECURITIES AND EXCHANGE COMMISSION</w:t>
      </w:r>
    </w:p>
    <w:p>
      <w:pPr>
        <w:ind w:left="46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181610</wp:posOffset>
            </wp:positionV>
            <wp:extent cx="1523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396" w:lineRule="exact"/>
        <w:rPr>
          <w:sz w:val="24"/>
          <w:szCs w:val="24"/>
          <w:color w:val="auto"/>
        </w:rPr>
      </w:pPr>
    </w:p>
    <w:p>
      <w:pPr>
        <w:ind w:left="4940"/>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199390</wp:posOffset>
            </wp:positionV>
            <wp:extent cx="1523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719"/>
        <w:spacing w:after="0"/>
        <w:rPr>
          <w:sz w:val="20"/>
          <w:szCs w:val="20"/>
          <w:color w:val="auto"/>
        </w:rPr>
      </w:pPr>
      <w:r>
        <w:rPr>
          <w:rFonts w:ascii="Arial" w:cs="Arial" w:eastAsia="Arial" w:hAnsi="Arial"/>
          <w:sz w:val="21"/>
          <w:szCs w:val="21"/>
          <w:b w:val="1"/>
          <w:bCs w:val="1"/>
          <w:color w:val="auto"/>
        </w:rPr>
        <w:t>CURRENT REPORT</w:t>
      </w:r>
    </w:p>
    <w:p>
      <w:pPr>
        <w:spacing w:after="0" w:line="152" w:lineRule="exact"/>
        <w:rPr>
          <w:sz w:val="24"/>
          <w:szCs w:val="24"/>
          <w:color w:val="auto"/>
        </w:rPr>
      </w:pPr>
    </w:p>
    <w:p>
      <w:pPr>
        <w:jc w:val="center"/>
        <w:ind w:right="-7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78" w:lineRule="exact"/>
        <w:rPr>
          <w:sz w:val="24"/>
          <w:szCs w:val="24"/>
          <w:color w:val="auto"/>
        </w:rPr>
      </w:pPr>
    </w:p>
    <w:p>
      <w:pPr>
        <w:ind w:left="3480"/>
        <w:spacing w:after="0"/>
        <w:rPr>
          <w:sz w:val="20"/>
          <w:szCs w:val="20"/>
          <w:color w:val="auto"/>
        </w:rPr>
      </w:pPr>
      <w:r>
        <w:rPr>
          <w:rFonts w:ascii="Arial" w:cs="Arial" w:eastAsia="Arial" w:hAnsi="Arial"/>
          <w:sz w:val="17"/>
          <w:szCs w:val="17"/>
          <w:b w:val="1"/>
          <w:bCs w:val="1"/>
          <w:color w:val="auto"/>
        </w:rPr>
        <w:t>Date of Report (Date of earliest event reported) June 30,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191770</wp:posOffset>
            </wp:positionV>
            <wp:extent cx="1523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719"/>
        <w:spacing w:after="0"/>
        <w:rPr>
          <w:sz w:val="20"/>
          <w:szCs w:val="20"/>
          <w:color w:val="auto"/>
        </w:rPr>
      </w:pPr>
      <w:r>
        <w:rPr>
          <w:rFonts w:ascii="Arial" w:cs="Arial" w:eastAsia="Arial" w:hAnsi="Arial"/>
          <w:sz w:val="42"/>
          <w:szCs w:val="42"/>
          <w:b w:val="1"/>
          <w:bCs w:val="1"/>
          <w:color w:val="auto"/>
        </w:rPr>
        <w:t>Federal Realty Investment Trust</w:t>
      </w:r>
    </w:p>
    <w:p>
      <w:pPr>
        <w:spacing w:after="0" w:line="45"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179070</wp:posOffset>
            </wp:positionV>
            <wp:extent cx="1523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ectPr>
          <w:pgSz w:w="11900" w:h="16838" w:orient="portrait"/>
          <w:cols w:equalWidth="0" w:num="1">
            <w:col w:w="10700"/>
          </w:cols>
          <w:pgMar w:left="240" w:top="295" w:right="959" w:bottom="1440" w:gutter="0" w:footer="0" w:header="0"/>
        </w:sectPr>
      </w:pPr>
    </w:p>
    <w:p>
      <w:pPr>
        <w:spacing w:after="0" w:line="200" w:lineRule="exact"/>
        <w:rPr>
          <w:sz w:val="24"/>
          <w:szCs w:val="24"/>
          <w:color w:val="auto"/>
        </w:rPr>
      </w:pPr>
    </w:p>
    <w:p>
      <w:pPr>
        <w:spacing w:after="0" w:line="305"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jc w:val="center"/>
        <w:ind w:right="234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5" w:lineRule="exact"/>
        <w:rPr>
          <w:sz w:val="24"/>
          <w:szCs w:val="24"/>
          <w:color w:val="auto"/>
        </w:rPr>
      </w:pPr>
    </w:p>
    <w:p>
      <w:pPr>
        <w:sectPr>
          <w:pgSz w:w="11900" w:h="16838" w:orient="portrait"/>
          <w:cols w:equalWidth="0" w:num="3">
            <w:col w:w="4840" w:space="720"/>
            <w:col w:w="2900" w:space="720"/>
            <w:col w:w="1520"/>
          </w:cols>
          <w:pgMar w:left="240" w:top="295" w:right="959" w:bottom="1440" w:gutter="0" w:footer="0" w:header="0"/>
          <w:type w:val="continuous"/>
        </w:sectPr>
      </w:pPr>
    </w:p>
    <w:p>
      <w:pPr>
        <w:spacing w:after="0" w:line="2" w:lineRule="exact"/>
        <w:rPr>
          <w:sz w:val="24"/>
          <w:szCs w:val="24"/>
          <w:color w:val="auto"/>
        </w:rPr>
      </w:pPr>
    </w:p>
    <w:p>
      <w:pPr>
        <w:jc w:val="center"/>
        <w:ind w:right="460"/>
        <w:spacing w:after="0"/>
        <w:rPr>
          <w:sz w:val="20"/>
          <w:szCs w:val="20"/>
          <w:color w:val="auto"/>
        </w:rPr>
      </w:pPr>
      <w:r>
        <w:rPr>
          <w:rFonts w:ascii="Arial" w:cs="Arial" w:eastAsia="Arial" w:hAnsi="Arial"/>
          <w:sz w:val="11"/>
          <w:szCs w:val="11"/>
          <w:b w:val="1"/>
          <w:bCs w:val="1"/>
          <w:color w:val="auto"/>
        </w:rPr>
        <w:t>(State or other jurisdiction</w:t>
      </w:r>
    </w:p>
    <w:p>
      <w:pPr>
        <w:spacing w:after="0" w:line="21" w:lineRule="exact"/>
        <w:rPr>
          <w:sz w:val="24"/>
          <w:szCs w:val="24"/>
          <w:color w:val="auto"/>
        </w:rPr>
      </w:pPr>
    </w:p>
    <w:p>
      <w:pPr>
        <w:jc w:val="center"/>
        <w:ind w:right="46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3"/>
          <w:szCs w:val="13"/>
          <w:b w:val="1"/>
          <w:bCs w:val="1"/>
          <w:color w:val="auto"/>
        </w:rPr>
        <w:t>(IRS Employer</w:t>
      </w:r>
    </w:p>
    <w:p>
      <w:pPr>
        <w:jc w:val="center"/>
        <w:ind w:right="580"/>
        <w:spacing w:after="0"/>
        <w:rPr>
          <w:sz w:val="20"/>
          <w:szCs w:val="20"/>
          <w:color w:val="auto"/>
        </w:rPr>
      </w:pPr>
      <w:r>
        <w:rPr>
          <w:rFonts w:ascii="Arial" w:cs="Arial" w:eastAsia="Arial" w:hAnsi="Arial"/>
          <w:sz w:val="12"/>
          <w:szCs w:val="12"/>
          <w:b w:val="1"/>
          <w:bCs w:val="1"/>
          <w:color w:val="auto"/>
        </w:rPr>
        <w:t>Identification No.)</w:t>
      </w:r>
    </w:p>
    <w:p>
      <w:pPr>
        <w:spacing w:after="0" w:line="189" w:lineRule="exact"/>
        <w:rPr>
          <w:sz w:val="24"/>
          <w:szCs w:val="24"/>
          <w:color w:val="auto"/>
        </w:rPr>
      </w:pPr>
    </w:p>
    <w:p>
      <w:pPr>
        <w:sectPr>
          <w:pgSz w:w="11900" w:h="16838" w:orient="portrait"/>
          <w:cols w:equalWidth="0" w:num="3">
            <w:col w:w="4360" w:space="720"/>
            <w:col w:w="3280" w:space="720"/>
            <w:col w:w="1620"/>
          </w:cols>
          <w:pgMar w:left="240" w:top="295" w:right="959" w:bottom="1440" w:gutter="0" w:footer="0" w:header="0"/>
          <w:type w:val="continuous"/>
        </w:sectPr>
      </w:pPr>
    </w:p>
    <w:p>
      <w:pPr>
        <w:ind w:left="112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47" w:lineRule="exact"/>
        <w:rPr>
          <w:sz w:val="24"/>
          <w:szCs w:val="24"/>
          <w:color w:val="auto"/>
        </w:rPr>
      </w:pPr>
    </w:p>
    <w:p>
      <w:pPr>
        <w:sectPr>
          <w:pgSz w:w="11900" w:h="16838" w:orient="portrait"/>
          <w:cols w:equalWidth="0" w:num="2">
            <w:col w:w="7560" w:space="720"/>
            <w:col w:w="2420"/>
          </w:cols>
          <w:pgMar w:left="240" w:top="295" w:right="959" w:bottom="1440" w:gutter="0" w:footer="0" w:header="0"/>
          <w:type w:val="continuous"/>
        </w:sectPr>
      </w:pPr>
    </w:p>
    <w:p>
      <w:pPr>
        <w:ind w:left="17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53" w:lineRule="exact"/>
        <w:rPr>
          <w:sz w:val="24"/>
          <w:szCs w:val="24"/>
          <w:color w:val="auto"/>
        </w:rPr>
      </w:pPr>
    </w:p>
    <w:p>
      <w:pPr>
        <w:sectPr>
          <w:pgSz w:w="11900" w:h="16838" w:orient="portrait"/>
          <w:cols w:equalWidth="0" w:num="2">
            <w:col w:w="7660" w:space="720"/>
            <w:col w:w="2320"/>
          </w:cols>
          <w:pgMar w:left="240" w:top="295" w:right="959" w:bottom="1440" w:gutter="0" w:footer="0" w:header="0"/>
          <w:type w:val="continuous"/>
        </w:sectPr>
      </w:pPr>
    </w:p>
    <w:p>
      <w:pPr>
        <w:ind w:left="3340"/>
        <w:spacing w:after="0"/>
        <w:rPr>
          <w:sz w:val="20"/>
          <w:szCs w:val="20"/>
          <w:color w:val="auto"/>
        </w:rPr>
      </w:pPr>
      <w:r>
        <w:rPr>
          <w:rFonts w:ascii="Arial" w:cs="Arial" w:eastAsia="Arial" w:hAnsi="Arial"/>
          <w:sz w:val="17"/>
          <w:szCs w:val="17"/>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191770</wp:posOffset>
            </wp:positionV>
            <wp:extent cx="1523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line="282"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57"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10"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0"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10"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0700"/>
          </w:cols>
          <w:pgMar w:left="240" w:top="295" w:right="9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1385" cy="27305"/>
                    </a:xfrm>
                    <a:prstGeom prst="rect">
                      <a:avLst/>
                    </a:prstGeom>
                    <a:noFill/>
                  </pic:spPr>
                </pic:pic>
              </a:graphicData>
            </a:graphic>
          </wp:anchor>
        </w:drawing>
        <w:t>Item 2.02. Results of Operations and Financial Condition.</w:t>
      </w:r>
    </w:p>
    <w:p>
      <w:pPr>
        <w:spacing w:after="0" w:line="97" w:lineRule="exact"/>
        <w:rPr>
          <w:sz w:val="20"/>
          <w:szCs w:val="20"/>
          <w:color w:val="auto"/>
        </w:rPr>
      </w:pPr>
    </w:p>
    <w:p>
      <w:pPr>
        <w:ind w:right="120" w:firstLine="457"/>
        <w:spacing w:after="0" w:line="311" w:lineRule="auto"/>
        <w:rPr>
          <w:sz w:val="20"/>
          <w:szCs w:val="20"/>
          <w:color w:val="auto"/>
        </w:rPr>
      </w:pPr>
      <w:r>
        <w:rPr>
          <w:rFonts w:ascii="Arial" w:cs="Arial" w:eastAsia="Arial" w:hAnsi="Arial"/>
          <w:sz w:val="15"/>
          <w:szCs w:val="15"/>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02"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On July 30, 2008, Federal Realty Investment Trust issued supplemental data pertaining to its operations, as well as a press release, to report its financial results for the quarter ended June 30, 2008. The supplemental data and press release are furnished as Exhibit 99.1 hereto.</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97" w:lineRule="exact"/>
        <w:rPr>
          <w:sz w:val="20"/>
          <w:szCs w:val="20"/>
          <w:color w:val="auto"/>
        </w:rPr>
      </w:pPr>
    </w:p>
    <w:p>
      <w:pPr>
        <w:ind w:left="900" w:hanging="449"/>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21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June 30, 2008 (including press release dated July 30, 2008)</w:t>
      </w:r>
    </w:p>
    <w:p>
      <w:pPr>
        <w:sectPr>
          <w:pgSz w:w="11900" w:h="16838" w:orient="portrait"/>
          <w:cols w:equalWidth="0" w:num="1">
            <w:col w:w="11300"/>
          </w:cols>
          <w:pgMar w:left="240" w:top="271" w:right="35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SIGNATURES</w:t>
      </w:r>
    </w:p>
    <w:p>
      <w:pPr>
        <w:spacing w:after="0" w:line="176"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FEDERAL REALTY INVESTMENT TRUST</w:t>
      </w:r>
    </w:p>
    <w:p>
      <w:pPr>
        <w:spacing w:after="0" w:line="228"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July 30, 2008</w:t>
      </w:r>
      <w:r>
        <w:rPr>
          <w:sz w:val="20"/>
          <w:szCs w:val="20"/>
          <w:color w:val="auto"/>
        </w:rPr>
        <w:tab/>
      </w:r>
      <w:r>
        <w:rPr>
          <w:rFonts w:ascii="Arial" w:cs="Arial" w:eastAsia="Arial" w:hAnsi="Arial"/>
          <w:sz w:val="15"/>
          <w:szCs w:val="15"/>
          <w:color w:val="auto"/>
        </w:rPr>
        <w:t>/s/ Joseph M. Squeri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14605</wp:posOffset>
            </wp:positionV>
            <wp:extent cx="3546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Joseph M. Squeri</w:t>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Executive Vice President,</w:t>
      </w:r>
    </w:p>
    <w:p>
      <w:pPr>
        <w:spacing w:after="0" w:line="1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Chief Financial Officer and Treasurer</w:t>
      </w:r>
    </w:p>
    <w:p>
      <w:pPr>
        <w:sectPr>
          <w:pgSz w:w="11900" w:h="16838" w:orient="portrait"/>
          <w:cols w:equalWidth="0" w:num="1">
            <w:col w:w="11060"/>
          </w:cols>
          <w:pgMar w:left="240" w:top="271" w:right="599" w:bottom="1440" w:gutter="0" w:footer="0" w:header="0"/>
        </w:sectPr>
      </w:pPr>
    </w:p>
    <w:bookmarkStart w:id="3" w:name="page4"/>
    <w:bookmarkEnd w:id="3"/>
    <w:p>
      <w:pPr>
        <w:jc w:val="right"/>
        <w:ind w:right="38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1385" cy="27305"/>
                    </a:xfrm>
                    <a:prstGeom prst="rect">
                      <a:avLst/>
                    </a:prstGeom>
                    <a:noFill/>
                  </pic:spPr>
                </pic:pic>
              </a:graphicData>
            </a:graphic>
          </wp:anchor>
        </w:drawing>
        <w:t>EXHIBIT INDEX</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u w:val="single" w:color="auto"/>
          <w:color w:val="auto"/>
        </w:rPr>
        <w:t>Exh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13335</wp:posOffset>
            </wp:positionV>
            <wp:extent cx="6743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43065" cy="8255"/>
                    </a:xfrm>
                    <a:prstGeom prst="rect">
                      <a:avLst/>
                    </a:prstGeom>
                    <a:noFill/>
                  </pic:spPr>
                </pic:pic>
              </a:graphicData>
            </a:graphic>
          </wp:anchor>
        </w:drawing>
      </w:r>
    </w:p>
    <w:p>
      <w:pPr>
        <w:spacing w:after="0" w:line="12"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June 30, 2008</w:t>
      </w:r>
    </w:p>
    <w:p>
      <w:pPr>
        <w:sectPr>
          <w:pgSz w:w="11900" w:h="16838" w:orient="portrait"/>
          <w:cols w:equalWidth="0" w:num="1">
            <w:col w:w="10219"/>
          </w:cols>
          <w:pgMar w:left="240" w:top="27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89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Exhibit 99.1</w:t>
            </w:r>
          </w:p>
        </w:tc>
      </w:tr>
      <w:tr>
        <w:trPr>
          <w:trHeight w:val="361"/>
        </w:trPr>
        <w:tc>
          <w:tcPr>
            <w:tcW w:w="8960" w:type="dxa"/>
            <w:vAlign w:val="bottom"/>
          </w:tcPr>
          <w:p>
            <w:pPr>
              <w:jc w:val="center"/>
              <w:ind w:left="2375"/>
              <w:spacing w:after="0"/>
              <w:rPr>
                <w:sz w:val="20"/>
                <w:szCs w:val="20"/>
                <w:color w:val="auto"/>
              </w:rPr>
            </w:pPr>
            <w:r>
              <w:rPr>
                <w:rFonts w:ascii="Arial" w:cs="Arial" w:eastAsia="Arial" w:hAnsi="Arial"/>
                <w:sz w:val="17"/>
                <w:szCs w:val="17"/>
                <w:b w:val="1"/>
                <w:bCs w:val="1"/>
                <w:color w:val="auto"/>
              </w:rPr>
              <w:t>FEDERAL REALTY INVESTMENT TRUST</w:t>
            </w:r>
          </w:p>
        </w:tc>
        <w:tc>
          <w:tcPr>
            <w:tcW w:w="2460" w:type="dxa"/>
            <w:vAlign w:val="bottom"/>
          </w:tcPr>
          <w:p>
            <w:pPr>
              <w:spacing w:after="0"/>
              <w:rPr>
                <w:sz w:val="24"/>
                <w:szCs w:val="24"/>
                <w:color w:val="auto"/>
              </w:rPr>
            </w:pPr>
          </w:p>
        </w:tc>
      </w:tr>
      <w:tr>
        <w:trPr>
          <w:trHeight w:val="210"/>
        </w:trPr>
        <w:tc>
          <w:tcPr>
            <w:tcW w:w="8960" w:type="dxa"/>
            <w:vAlign w:val="bottom"/>
          </w:tcPr>
          <w:p>
            <w:pPr>
              <w:jc w:val="center"/>
              <w:ind w:left="2375"/>
              <w:spacing w:after="0"/>
              <w:rPr>
                <w:sz w:val="20"/>
                <w:szCs w:val="20"/>
                <w:color w:val="auto"/>
              </w:rPr>
            </w:pPr>
            <w:r>
              <w:rPr>
                <w:rFonts w:ascii="Arial" w:cs="Arial" w:eastAsia="Arial" w:hAnsi="Arial"/>
                <w:sz w:val="17"/>
                <w:szCs w:val="17"/>
                <w:color w:val="auto"/>
                <w:w w:val="97"/>
              </w:rPr>
              <w:t>SUPPLEMENTAL INFORMATION</w:t>
            </w:r>
          </w:p>
        </w:tc>
        <w:tc>
          <w:tcPr>
            <w:tcW w:w="2460" w:type="dxa"/>
            <w:vAlign w:val="bottom"/>
          </w:tcPr>
          <w:p>
            <w:pPr>
              <w:spacing w:after="0"/>
              <w:rPr>
                <w:sz w:val="18"/>
                <w:szCs w:val="18"/>
                <w:color w:val="auto"/>
              </w:rPr>
            </w:pPr>
          </w:p>
        </w:tc>
      </w:tr>
      <w:tr>
        <w:trPr>
          <w:trHeight w:val="216"/>
        </w:trPr>
        <w:tc>
          <w:tcPr>
            <w:tcW w:w="8960" w:type="dxa"/>
            <w:vAlign w:val="bottom"/>
          </w:tcPr>
          <w:p>
            <w:pPr>
              <w:jc w:val="center"/>
              <w:ind w:left="2375"/>
              <w:spacing w:after="0"/>
              <w:rPr>
                <w:sz w:val="20"/>
                <w:szCs w:val="20"/>
                <w:color w:val="auto"/>
              </w:rPr>
            </w:pPr>
            <w:r>
              <w:rPr>
                <w:rFonts w:ascii="Arial" w:cs="Arial" w:eastAsia="Arial" w:hAnsi="Arial"/>
                <w:sz w:val="17"/>
                <w:szCs w:val="17"/>
                <w:color w:val="auto"/>
                <w:w w:val="87"/>
              </w:rPr>
              <w:t>June 30, 2008</w:t>
            </w:r>
          </w:p>
        </w:tc>
        <w:tc>
          <w:tcPr>
            <w:tcW w:w="2460" w:type="dxa"/>
            <w:vAlign w:val="bottom"/>
          </w:tcPr>
          <w:p>
            <w:pPr>
              <w:spacing w:after="0"/>
              <w:rPr>
                <w:sz w:val="18"/>
                <w:szCs w:val="18"/>
                <w:color w:val="auto"/>
              </w:rPr>
            </w:pPr>
          </w:p>
        </w:tc>
      </w:tr>
      <w:tr>
        <w:trPr>
          <w:trHeight w:val="367"/>
        </w:trPr>
        <w:tc>
          <w:tcPr>
            <w:tcW w:w="8960" w:type="dxa"/>
            <w:vAlign w:val="bottom"/>
          </w:tcPr>
          <w:p>
            <w:pPr>
              <w:jc w:val="center"/>
              <w:ind w:left="2375"/>
              <w:spacing w:after="0"/>
              <w:rPr>
                <w:sz w:val="20"/>
                <w:szCs w:val="20"/>
                <w:color w:val="auto"/>
              </w:rPr>
            </w:pPr>
            <w:r>
              <w:rPr>
                <w:rFonts w:ascii="Arial" w:cs="Arial" w:eastAsia="Arial" w:hAnsi="Arial"/>
                <w:sz w:val="17"/>
                <w:szCs w:val="17"/>
                <w:b w:val="1"/>
                <w:bCs w:val="1"/>
                <w:color w:val="auto"/>
                <w:w w:val="99"/>
              </w:rPr>
              <w:t>TABLE OF CONTENTS</w:t>
            </w:r>
          </w:p>
        </w:tc>
        <w:tc>
          <w:tcPr>
            <w:tcW w:w="2460" w:type="dxa"/>
            <w:vAlign w:val="bottom"/>
          </w:tcPr>
          <w:p>
            <w:pPr>
              <w:spacing w:after="0"/>
              <w:rPr>
                <w:sz w:val="24"/>
                <w:szCs w:val="24"/>
                <w:color w:val="auto"/>
              </w:rPr>
            </w:pPr>
          </w:p>
        </w:tc>
      </w:tr>
      <w:tr>
        <w:trPr>
          <w:trHeight w:val="406"/>
        </w:trPr>
        <w:tc>
          <w:tcPr>
            <w:tcW w:w="8960" w:type="dxa"/>
            <w:vAlign w:val="bottom"/>
          </w:tcPr>
          <w:p>
            <w:pPr>
              <w:spacing w:after="0"/>
              <w:rPr>
                <w:sz w:val="20"/>
                <w:szCs w:val="20"/>
                <w:color w:val="auto"/>
              </w:rPr>
            </w:pPr>
            <w:r>
              <w:rPr>
                <w:rFonts w:ascii="Arial" w:cs="Arial" w:eastAsia="Arial" w:hAnsi="Arial"/>
                <w:sz w:val="17"/>
                <w:szCs w:val="17"/>
                <w:color w:val="auto"/>
              </w:rPr>
              <w:t>1.   Second Quarter 2008 Earnings Press Release</w:t>
            </w:r>
          </w:p>
        </w:tc>
        <w:tc>
          <w:tcPr>
            <w:tcW w:w="24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09"/>
        </w:trPr>
        <w:tc>
          <w:tcPr>
            <w:tcW w:w="8960" w:type="dxa"/>
            <w:vAlign w:val="bottom"/>
          </w:tcPr>
          <w:p>
            <w:pPr>
              <w:spacing w:after="0"/>
              <w:rPr>
                <w:sz w:val="20"/>
                <w:szCs w:val="20"/>
                <w:color w:val="auto"/>
              </w:rPr>
            </w:pPr>
            <w:r>
              <w:rPr>
                <w:rFonts w:ascii="Arial" w:cs="Arial" w:eastAsia="Arial" w:hAnsi="Arial"/>
                <w:sz w:val="17"/>
                <w:szCs w:val="17"/>
                <w:color w:val="auto"/>
              </w:rPr>
              <w:t>2.   Financial Highlights</w:t>
            </w:r>
          </w:p>
        </w:tc>
        <w:tc>
          <w:tcPr>
            <w:tcW w:w="2460" w:type="dxa"/>
            <w:vAlign w:val="bottom"/>
          </w:tcPr>
          <w:p>
            <w:pPr>
              <w:spacing w:after="0"/>
              <w:rPr>
                <w:sz w:val="24"/>
                <w:szCs w:val="24"/>
                <w:color w:val="auto"/>
              </w:rPr>
            </w:pPr>
          </w:p>
        </w:tc>
      </w:tr>
      <w:tr>
        <w:trPr>
          <w:trHeight w:val="210"/>
        </w:trPr>
        <w:tc>
          <w:tcPr>
            <w:tcW w:w="8960" w:type="dxa"/>
            <w:vAlign w:val="bottom"/>
          </w:tcPr>
          <w:p>
            <w:pPr>
              <w:ind w:left="1160"/>
              <w:spacing w:after="0"/>
              <w:rPr>
                <w:sz w:val="20"/>
                <w:szCs w:val="20"/>
                <w:color w:val="auto"/>
              </w:rPr>
            </w:pPr>
            <w:r>
              <w:rPr>
                <w:rFonts w:ascii="Arial" w:cs="Arial" w:eastAsia="Arial" w:hAnsi="Arial"/>
                <w:sz w:val="17"/>
                <w:szCs w:val="17"/>
                <w:color w:val="auto"/>
              </w:rPr>
              <w:t>Summarized Income Statements</w:t>
            </w:r>
          </w:p>
        </w:tc>
        <w:tc>
          <w:tcPr>
            <w:tcW w:w="24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8960" w:type="dxa"/>
            <w:vAlign w:val="bottom"/>
          </w:tcPr>
          <w:p>
            <w:pPr>
              <w:ind w:left="1160"/>
              <w:spacing w:after="0"/>
              <w:rPr>
                <w:sz w:val="20"/>
                <w:szCs w:val="20"/>
                <w:color w:val="auto"/>
              </w:rPr>
            </w:pPr>
            <w:r>
              <w:rPr>
                <w:rFonts w:ascii="Arial" w:cs="Arial" w:eastAsia="Arial" w:hAnsi="Arial"/>
                <w:sz w:val="17"/>
                <w:szCs w:val="17"/>
                <w:color w:val="auto"/>
              </w:rPr>
              <w:t>Summarized Balance Sheets</w:t>
            </w:r>
          </w:p>
        </w:tc>
        <w:tc>
          <w:tcPr>
            <w:tcW w:w="24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8960" w:type="dxa"/>
            <w:vAlign w:val="bottom"/>
          </w:tcPr>
          <w:p>
            <w:pPr>
              <w:ind w:left="1160"/>
              <w:spacing w:after="0"/>
              <w:rPr>
                <w:sz w:val="20"/>
                <w:szCs w:val="20"/>
                <w:color w:val="auto"/>
              </w:rPr>
            </w:pPr>
            <w:r>
              <w:rPr>
                <w:rFonts w:ascii="Arial" w:cs="Arial" w:eastAsia="Arial" w:hAnsi="Arial"/>
                <w:sz w:val="17"/>
                <w:szCs w:val="17"/>
                <w:color w:val="auto"/>
              </w:rPr>
              <w:t>Funds From Operations / Summary of Capital Expenditures</w:t>
            </w:r>
          </w:p>
        </w:tc>
        <w:tc>
          <w:tcPr>
            <w:tcW w:w="24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8960" w:type="dxa"/>
            <w:vAlign w:val="bottom"/>
          </w:tcPr>
          <w:p>
            <w:pPr>
              <w:ind w:left="1160"/>
              <w:spacing w:after="0"/>
              <w:rPr>
                <w:sz w:val="20"/>
                <w:szCs w:val="20"/>
                <w:color w:val="auto"/>
              </w:rPr>
            </w:pPr>
            <w:r>
              <w:rPr>
                <w:rFonts w:ascii="Arial" w:cs="Arial" w:eastAsia="Arial" w:hAnsi="Arial"/>
                <w:sz w:val="17"/>
                <w:szCs w:val="17"/>
                <w:color w:val="auto"/>
              </w:rPr>
              <w:t>Market Data</w:t>
            </w:r>
          </w:p>
        </w:tc>
        <w:tc>
          <w:tcPr>
            <w:tcW w:w="24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8960" w:type="dxa"/>
            <w:vAlign w:val="bottom"/>
          </w:tcPr>
          <w:p>
            <w:pPr>
              <w:ind w:left="1160"/>
              <w:spacing w:after="0"/>
              <w:rPr>
                <w:sz w:val="20"/>
                <w:szCs w:val="20"/>
                <w:color w:val="auto"/>
              </w:rPr>
            </w:pPr>
            <w:r>
              <w:rPr>
                <w:rFonts w:ascii="Arial" w:cs="Arial" w:eastAsia="Arial" w:hAnsi="Arial"/>
                <w:sz w:val="17"/>
                <w:szCs w:val="17"/>
                <w:color w:val="auto"/>
              </w:rPr>
              <w:t>Components of Rental Income</w:t>
            </w:r>
          </w:p>
        </w:tc>
        <w:tc>
          <w:tcPr>
            <w:tcW w:w="246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99"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8040" w:type="dxa"/>
            <w:vAlign w:val="bottom"/>
          </w:tcPr>
          <w:p>
            <w:pPr>
              <w:ind w:left="900"/>
              <w:spacing w:after="0"/>
              <w:rPr>
                <w:sz w:val="20"/>
                <w:szCs w:val="20"/>
                <w:color w:val="auto"/>
              </w:rPr>
            </w:pPr>
            <w:r>
              <w:rPr>
                <w:rFonts w:ascii="Arial" w:cs="Arial" w:eastAsia="Arial" w:hAnsi="Arial"/>
                <w:sz w:val="17"/>
                <w:szCs w:val="17"/>
                <w:color w:val="auto"/>
              </w:rPr>
              <w:t>Summary of Outstanding Debt and Capital Lease Obligations</w:t>
            </w:r>
          </w:p>
        </w:tc>
        <w:tc>
          <w:tcPr>
            <w:tcW w:w="31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260" w:type="dxa"/>
            <w:vAlign w:val="bottom"/>
          </w:tcPr>
          <w:p>
            <w:pPr>
              <w:spacing w:after="0"/>
              <w:rPr>
                <w:sz w:val="18"/>
                <w:szCs w:val="18"/>
                <w:color w:val="auto"/>
              </w:rPr>
            </w:pPr>
          </w:p>
        </w:tc>
        <w:tc>
          <w:tcPr>
            <w:tcW w:w="8040" w:type="dxa"/>
            <w:vAlign w:val="bottom"/>
          </w:tcPr>
          <w:p>
            <w:pPr>
              <w:ind w:left="900"/>
              <w:spacing w:after="0"/>
              <w:rPr>
                <w:sz w:val="20"/>
                <w:szCs w:val="20"/>
                <w:color w:val="auto"/>
              </w:rPr>
            </w:pPr>
            <w:r>
              <w:rPr>
                <w:rFonts w:ascii="Arial" w:cs="Arial" w:eastAsia="Arial" w:hAnsi="Arial"/>
                <w:sz w:val="17"/>
                <w:szCs w:val="17"/>
                <w:color w:val="auto"/>
              </w:rPr>
              <w:t>Summary of Debt Maturities</w:t>
            </w:r>
          </w:p>
        </w:tc>
        <w:tc>
          <w:tcPr>
            <w:tcW w:w="31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4.</w:t>
            </w:r>
          </w:p>
        </w:tc>
        <w:tc>
          <w:tcPr>
            <w:tcW w:w="8040" w:type="dxa"/>
            <w:vAlign w:val="bottom"/>
          </w:tcPr>
          <w:p>
            <w:pPr>
              <w:ind w:left="60"/>
              <w:spacing w:after="0"/>
              <w:rPr>
                <w:sz w:val="20"/>
                <w:szCs w:val="20"/>
                <w:color w:val="auto"/>
              </w:rPr>
            </w:pPr>
            <w:r>
              <w:rPr>
                <w:rFonts w:ascii="Arial" w:cs="Arial" w:eastAsia="Arial" w:hAnsi="Arial"/>
                <w:sz w:val="17"/>
                <w:szCs w:val="17"/>
                <w:color w:val="auto"/>
              </w:rPr>
              <w:t>Summary of Redevelopment Opportunities</w:t>
            </w:r>
          </w:p>
        </w:tc>
        <w:tc>
          <w:tcPr>
            <w:tcW w:w="31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5.</w:t>
            </w:r>
          </w:p>
        </w:tc>
        <w:tc>
          <w:tcPr>
            <w:tcW w:w="8040" w:type="dxa"/>
            <w:vAlign w:val="bottom"/>
          </w:tcPr>
          <w:p>
            <w:pPr>
              <w:ind w:left="60"/>
              <w:spacing w:after="0"/>
              <w:rPr>
                <w:sz w:val="20"/>
                <w:szCs w:val="20"/>
                <w:color w:val="auto"/>
              </w:rPr>
            </w:pPr>
            <w:r>
              <w:rPr>
                <w:rFonts w:ascii="Arial" w:cs="Arial" w:eastAsia="Arial" w:hAnsi="Arial"/>
                <w:sz w:val="17"/>
                <w:szCs w:val="17"/>
                <w:color w:val="auto"/>
              </w:rPr>
              <w:t>2008 Significant Acquisitions and Dispositions</w:t>
            </w:r>
          </w:p>
        </w:tc>
        <w:tc>
          <w:tcPr>
            <w:tcW w:w="31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6.</w:t>
            </w:r>
          </w:p>
        </w:tc>
        <w:tc>
          <w:tcPr>
            <w:tcW w:w="8040" w:type="dxa"/>
            <w:vAlign w:val="bottom"/>
          </w:tcPr>
          <w:p>
            <w:pPr>
              <w:ind w:left="60"/>
              <w:spacing w:after="0"/>
              <w:rPr>
                <w:sz w:val="20"/>
                <w:szCs w:val="20"/>
                <w:color w:val="auto"/>
              </w:rPr>
            </w:pPr>
            <w:r>
              <w:rPr>
                <w:rFonts w:ascii="Arial" w:cs="Arial" w:eastAsia="Arial" w:hAnsi="Arial"/>
                <w:sz w:val="17"/>
                <w:szCs w:val="17"/>
                <w:color w:val="auto"/>
              </w:rPr>
              <w:t>Real Estate Status Report</w:t>
            </w:r>
          </w:p>
        </w:tc>
        <w:tc>
          <w:tcPr>
            <w:tcW w:w="31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7.</w:t>
            </w:r>
          </w:p>
        </w:tc>
        <w:tc>
          <w:tcPr>
            <w:tcW w:w="8040" w:type="dxa"/>
            <w:vAlign w:val="bottom"/>
          </w:tcPr>
          <w:p>
            <w:pPr>
              <w:ind w:left="60"/>
              <w:spacing w:after="0"/>
              <w:rPr>
                <w:sz w:val="20"/>
                <w:szCs w:val="20"/>
                <w:color w:val="auto"/>
              </w:rPr>
            </w:pPr>
            <w:r>
              <w:rPr>
                <w:rFonts w:ascii="Arial" w:cs="Arial" w:eastAsia="Arial" w:hAnsi="Arial"/>
                <w:sz w:val="17"/>
                <w:szCs w:val="17"/>
                <w:color w:val="auto"/>
              </w:rPr>
              <w:t>Retail Leasing Summary</w:t>
            </w:r>
          </w:p>
        </w:tc>
        <w:tc>
          <w:tcPr>
            <w:tcW w:w="31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8.</w:t>
            </w:r>
          </w:p>
        </w:tc>
        <w:tc>
          <w:tcPr>
            <w:tcW w:w="8040" w:type="dxa"/>
            <w:vAlign w:val="bottom"/>
          </w:tcPr>
          <w:p>
            <w:pPr>
              <w:ind w:left="60"/>
              <w:spacing w:after="0"/>
              <w:rPr>
                <w:sz w:val="20"/>
                <w:szCs w:val="20"/>
                <w:color w:val="auto"/>
              </w:rPr>
            </w:pPr>
            <w:r>
              <w:rPr>
                <w:rFonts w:ascii="Arial" w:cs="Arial" w:eastAsia="Arial" w:hAnsi="Arial"/>
                <w:sz w:val="17"/>
                <w:szCs w:val="17"/>
                <w:color w:val="auto"/>
              </w:rPr>
              <w:t>Lease Expirations</w:t>
            </w:r>
          </w:p>
        </w:tc>
        <w:tc>
          <w:tcPr>
            <w:tcW w:w="31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9.</w:t>
            </w:r>
          </w:p>
        </w:tc>
        <w:tc>
          <w:tcPr>
            <w:tcW w:w="8040" w:type="dxa"/>
            <w:vAlign w:val="bottom"/>
          </w:tcPr>
          <w:p>
            <w:pPr>
              <w:ind w:left="60"/>
              <w:spacing w:after="0"/>
              <w:rPr>
                <w:sz w:val="20"/>
                <w:szCs w:val="20"/>
                <w:color w:val="auto"/>
              </w:rPr>
            </w:pPr>
            <w:r>
              <w:rPr>
                <w:rFonts w:ascii="Arial" w:cs="Arial" w:eastAsia="Arial" w:hAnsi="Arial"/>
                <w:sz w:val="17"/>
                <w:szCs w:val="17"/>
                <w:color w:val="auto"/>
              </w:rPr>
              <w:t>Portfolio Leased Statistics</w:t>
            </w:r>
          </w:p>
        </w:tc>
        <w:tc>
          <w:tcPr>
            <w:tcW w:w="31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10.</w:t>
            </w:r>
          </w:p>
        </w:tc>
        <w:tc>
          <w:tcPr>
            <w:tcW w:w="8040" w:type="dxa"/>
            <w:vAlign w:val="bottom"/>
          </w:tcPr>
          <w:p>
            <w:pPr>
              <w:ind w:left="60"/>
              <w:spacing w:after="0"/>
              <w:rPr>
                <w:sz w:val="20"/>
                <w:szCs w:val="20"/>
                <w:color w:val="auto"/>
              </w:rPr>
            </w:pPr>
            <w:r>
              <w:rPr>
                <w:rFonts w:ascii="Arial" w:cs="Arial" w:eastAsia="Arial" w:hAnsi="Arial"/>
                <w:sz w:val="17"/>
                <w:szCs w:val="17"/>
                <w:color w:val="auto"/>
              </w:rPr>
              <w:t>Summary of Top 25 Tenants</w:t>
            </w:r>
          </w:p>
        </w:tc>
        <w:tc>
          <w:tcPr>
            <w:tcW w:w="31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11.</w:t>
            </w:r>
          </w:p>
        </w:tc>
        <w:tc>
          <w:tcPr>
            <w:tcW w:w="8040" w:type="dxa"/>
            <w:vAlign w:val="bottom"/>
          </w:tcPr>
          <w:p>
            <w:pPr>
              <w:ind w:left="60"/>
              <w:spacing w:after="0"/>
              <w:rPr>
                <w:sz w:val="20"/>
                <w:szCs w:val="20"/>
                <w:color w:val="auto"/>
              </w:rPr>
            </w:pPr>
            <w:r>
              <w:rPr>
                <w:rFonts w:ascii="Arial" w:cs="Arial" w:eastAsia="Arial" w:hAnsi="Arial"/>
                <w:sz w:val="17"/>
                <w:szCs w:val="17"/>
                <w:color w:val="auto"/>
              </w:rPr>
              <w:t>Reconciliation of Net Income to FFO Guidance</w:t>
            </w:r>
          </w:p>
        </w:tc>
        <w:tc>
          <w:tcPr>
            <w:tcW w:w="3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09"/>
        </w:trPr>
        <w:tc>
          <w:tcPr>
            <w:tcW w:w="260" w:type="dxa"/>
            <w:vAlign w:val="bottom"/>
          </w:tcPr>
          <w:p>
            <w:pPr>
              <w:spacing w:after="0"/>
              <w:rPr>
                <w:sz w:val="20"/>
                <w:szCs w:val="20"/>
                <w:color w:val="auto"/>
              </w:rPr>
            </w:pPr>
            <w:r>
              <w:rPr>
                <w:rFonts w:ascii="Arial" w:cs="Arial" w:eastAsia="Arial" w:hAnsi="Arial"/>
                <w:sz w:val="17"/>
                <w:szCs w:val="17"/>
                <w:color w:val="auto"/>
              </w:rPr>
              <w:t>12.</w:t>
            </w:r>
          </w:p>
        </w:tc>
        <w:tc>
          <w:tcPr>
            <w:tcW w:w="8040" w:type="dxa"/>
            <w:vAlign w:val="bottom"/>
          </w:tcPr>
          <w:p>
            <w:pPr>
              <w:ind w:left="60"/>
              <w:spacing w:after="0"/>
              <w:rPr>
                <w:sz w:val="20"/>
                <w:szCs w:val="20"/>
                <w:color w:val="auto"/>
              </w:rPr>
            </w:pPr>
            <w:r>
              <w:rPr>
                <w:rFonts w:ascii="Arial" w:cs="Arial" w:eastAsia="Arial" w:hAnsi="Arial"/>
                <w:sz w:val="17"/>
                <w:szCs w:val="17"/>
                <w:color w:val="auto"/>
              </w:rPr>
              <w:t>Joint Venture Disclosure</w:t>
            </w:r>
          </w:p>
        </w:tc>
        <w:tc>
          <w:tcPr>
            <w:tcW w:w="3120" w:type="dxa"/>
            <w:vAlign w:val="bottom"/>
          </w:tcPr>
          <w:p>
            <w:pPr>
              <w:spacing w:after="0"/>
              <w:rPr>
                <w:sz w:val="24"/>
                <w:szCs w:val="24"/>
                <w:color w:val="auto"/>
              </w:rPr>
            </w:pPr>
          </w:p>
        </w:tc>
      </w:tr>
      <w:tr>
        <w:trPr>
          <w:trHeight w:val="210"/>
        </w:trPr>
        <w:tc>
          <w:tcPr>
            <w:tcW w:w="260" w:type="dxa"/>
            <w:vAlign w:val="bottom"/>
          </w:tcPr>
          <w:p>
            <w:pPr>
              <w:spacing w:after="0"/>
              <w:rPr>
                <w:sz w:val="18"/>
                <w:szCs w:val="18"/>
                <w:color w:val="auto"/>
              </w:rPr>
            </w:pPr>
          </w:p>
        </w:tc>
        <w:tc>
          <w:tcPr>
            <w:tcW w:w="8040" w:type="dxa"/>
            <w:vAlign w:val="bottom"/>
          </w:tcPr>
          <w:p>
            <w:pPr>
              <w:ind w:left="900"/>
              <w:spacing w:after="0"/>
              <w:rPr>
                <w:sz w:val="20"/>
                <w:szCs w:val="20"/>
                <w:color w:val="auto"/>
              </w:rPr>
            </w:pPr>
            <w:r>
              <w:rPr>
                <w:rFonts w:ascii="Arial" w:cs="Arial" w:eastAsia="Arial" w:hAnsi="Arial"/>
                <w:sz w:val="17"/>
                <w:szCs w:val="17"/>
                <w:color w:val="auto"/>
              </w:rPr>
              <w:t>Summarized Income Statements and Balance Sheets</w:t>
            </w:r>
          </w:p>
        </w:tc>
        <w:tc>
          <w:tcPr>
            <w:tcW w:w="31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260" w:type="dxa"/>
            <w:vAlign w:val="bottom"/>
          </w:tcPr>
          <w:p>
            <w:pPr>
              <w:spacing w:after="0"/>
              <w:rPr>
                <w:sz w:val="18"/>
                <w:szCs w:val="18"/>
                <w:color w:val="auto"/>
              </w:rPr>
            </w:pPr>
          </w:p>
        </w:tc>
        <w:tc>
          <w:tcPr>
            <w:tcW w:w="8040" w:type="dxa"/>
            <w:vAlign w:val="bottom"/>
          </w:tcPr>
          <w:p>
            <w:pPr>
              <w:ind w:left="900"/>
              <w:spacing w:after="0"/>
              <w:rPr>
                <w:sz w:val="20"/>
                <w:szCs w:val="20"/>
                <w:color w:val="auto"/>
              </w:rPr>
            </w:pPr>
            <w:r>
              <w:rPr>
                <w:rFonts w:ascii="Arial" w:cs="Arial" w:eastAsia="Arial" w:hAnsi="Arial"/>
                <w:sz w:val="17"/>
                <w:szCs w:val="17"/>
                <w:color w:val="auto"/>
              </w:rPr>
              <w:t>Summary of Outstanding Debt and Debt Maturities</w:t>
            </w:r>
          </w:p>
        </w:tc>
        <w:tc>
          <w:tcPr>
            <w:tcW w:w="31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6"/>
        </w:trPr>
        <w:tc>
          <w:tcPr>
            <w:tcW w:w="260" w:type="dxa"/>
            <w:vAlign w:val="bottom"/>
          </w:tcPr>
          <w:p>
            <w:pPr>
              <w:spacing w:after="0"/>
              <w:rPr>
                <w:sz w:val="18"/>
                <w:szCs w:val="18"/>
                <w:color w:val="auto"/>
              </w:rPr>
            </w:pPr>
          </w:p>
        </w:tc>
        <w:tc>
          <w:tcPr>
            <w:tcW w:w="8040" w:type="dxa"/>
            <w:vAlign w:val="bottom"/>
          </w:tcPr>
          <w:p>
            <w:pPr>
              <w:ind w:left="900"/>
              <w:spacing w:after="0"/>
              <w:rPr>
                <w:sz w:val="20"/>
                <w:szCs w:val="20"/>
                <w:color w:val="auto"/>
              </w:rPr>
            </w:pPr>
            <w:r>
              <w:rPr>
                <w:rFonts w:ascii="Arial" w:cs="Arial" w:eastAsia="Arial" w:hAnsi="Arial"/>
                <w:sz w:val="17"/>
                <w:szCs w:val="17"/>
                <w:color w:val="auto"/>
              </w:rPr>
              <w:t>Real Estate Status Report</w:t>
            </w:r>
          </w:p>
        </w:tc>
        <w:tc>
          <w:tcPr>
            <w:tcW w:w="31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13.</w:t>
            </w:r>
          </w:p>
        </w:tc>
        <w:tc>
          <w:tcPr>
            <w:tcW w:w="8040" w:type="dxa"/>
            <w:vAlign w:val="bottom"/>
          </w:tcPr>
          <w:p>
            <w:pPr>
              <w:ind w:left="60"/>
              <w:spacing w:after="0"/>
              <w:rPr>
                <w:sz w:val="20"/>
                <w:szCs w:val="20"/>
                <w:color w:val="auto"/>
              </w:rPr>
            </w:pPr>
            <w:r>
              <w:rPr>
                <w:rFonts w:ascii="Arial" w:cs="Arial" w:eastAsia="Arial" w:hAnsi="Arial"/>
                <w:sz w:val="17"/>
                <w:szCs w:val="17"/>
                <w:color w:val="auto"/>
              </w:rPr>
              <w:t>Glossary of Terms</w:t>
            </w:r>
          </w:p>
        </w:tc>
        <w:tc>
          <w:tcPr>
            <w:tcW w:w="3120" w:type="dxa"/>
            <w:vAlign w:val="bottom"/>
          </w:tcPr>
          <w:p>
            <w:pPr>
              <w:jc w:val="right"/>
              <w:spacing w:after="0"/>
              <w:rPr>
                <w:sz w:val="20"/>
                <w:szCs w:val="20"/>
                <w:color w:val="auto"/>
              </w:rPr>
            </w:pPr>
            <w:r>
              <w:rPr>
                <w:rFonts w:ascii="Arial" w:cs="Arial" w:eastAsia="Arial" w:hAnsi="Arial"/>
                <w:sz w:val="17"/>
                <w:szCs w:val="17"/>
                <w:color w:val="auto"/>
              </w:rPr>
              <w:t>26</w:t>
            </w: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ectPr>
          <w:pgSz w:w="11900" w:h="16838" w:orient="portrait"/>
          <w:cols w:equalWidth="0" w:num="1">
            <w:col w:w="11420"/>
          </w:cols>
          <w:pgMar w:left="240" w:top="127"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1385" cy="27305"/>
                    </a:xfrm>
                    <a:prstGeom prst="rect">
                      <a:avLst/>
                    </a:prstGeom>
                    <a:noFill/>
                  </pic:spPr>
                </pic:pic>
              </a:graphicData>
            </a:graphic>
          </wp:anchor>
        </w:drawing>
        <w:t>Safe Harbor Language</w:t>
      </w:r>
    </w:p>
    <w:p>
      <w:pPr>
        <w:spacing w:after="0" w:line="97"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27, 2008, and include the following:</w:t>
      </w:r>
    </w:p>
    <w:p>
      <w:pPr>
        <w:spacing w:after="0" w:line="54" w:lineRule="exact"/>
        <w:rPr>
          <w:sz w:val="20"/>
          <w:szCs w:val="20"/>
          <w:color w:val="auto"/>
        </w:rPr>
      </w:pPr>
    </w:p>
    <w:p>
      <w:pPr>
        <w:ind w:left="900" w:hanging="331"/>
        <w:spacing w:after="0"/>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92" w:lineRule="exact"/>
        <w:rPr>
          <w:rFonts w:ascii="Arial" w:cs="Arial" w:eastAsia="Arial" w:hAnsi="Arial"/>
          <w:sz w:val="17"/>
          <w:szCs w:val="17"/>
          <w:i w:val="1"/>
          <w:iCs w:val="1"/>
          <w:color w:val="auto"/>
        </w:rPr>
      </w:pPr>
    </w:p>
    <w:p>
      <w:pPr>
        <w:ind w:left="900" w:right="640" w:hanging="331"/>
        <w:spacing w:after="0" w:line="346" w:lineRule="auto"/>
        <w:tabs>
          <w:tab w:leader="none" w:pos="90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ind w:left="900" w:hanging="331"/>
        <w:spacing w:after="0" w:line="282"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38" w:lineRule="exact"/>
        <w:rPr>
          <w:rFonts w:ascii="Arial" w:cs="Arial" w:eastAsia="Arial" w:hAnsi="Arial"/>
          <w:sz w:val="17"/>
          <w:szCs w:val="17"/>
          <w:i w:val="1"/>
          <w:iCs w:val="1"/>
          <w:color w:val="auto"/>
        </w:rPr>
      </w:pPr>
    </w:p>
    <w:p>
      <w:pPr>
        <w:ind w:left="900" w:right="20" w:hanging="331"/>
        <w:spacing w:after="0" w:line="265"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4" w:lineRule="exact"/>
        <w:rPr>
          <w:rFonts w:ascii="Arial" w:cs="Arial" w:eastAsia="Arial" w:hAnsi="Arial"/>
          <w:sz w:val="17"/>
          <w:szCs w:val="17"/>
          <w:i w:val="1"/>
          <w:iCs w:val="1"/>
          <w:color w:val="auto"/>
        </w:rPr>
      </w:pPr>
    </w:p>
    <w:p>
      <w:pPr>
        <w:ind w:left="900" w:hanging="331"/>
        <w:spacing w:after="0"/>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92" w:lineRule="exact"/>
        <w:rPr>
          <w:rFonts w:ascii="Arial" w:cs="Arial" w:eastAsia="Arial" w:hAnsi="Arial"/>
          <w:sz w:val="17"/>
          <w:szCs w:val="17"/>
          <w:i w:val="1"/>
          <w:iCs w:val="1"/>
          <w:color w:val="auto"/>
        </w:rPr>
      </w:pPr>
    </w:p>
    <w:p>
      <w:pPr>
        <w:ind w:left="900" w:right="140" w:hanging="331"/>
        <w:spacing w:after="0" w:line="270"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8" w:lineRule="exact"/>
        <w:rPr>
          <w:rFonts w:ascii="Arial" w:cs="Arial" w:eastAsia="Arial" w:hAnsi="Arial"/>
          <w:sz w:val="17"/>
          <w:szCs w:val="17"/>
          <w:i w:val="1"/>
          <w:iCs w:val="1"/>
          <w:color w:val="auto"/>
        </w:rPr>
      </w:pPr>
    </w:p>
    <w:p>
      <w:pPr>
        <w:ind w:left="900" w:right="100" w:hanging="331"/>
        <w:spacing w:after="0" w:line="270"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260"/>
        <w:spacing w:after="0" w:line="322" w:lineRule="auto"/>
        <w:rPr>
          <w:sz w:val="20"/>
          <w:szCs w:val="20"/>
          <w:color w:val="auto"/>
        </w:rPr>
      </w:pPr>
      <w:r>
        <w:rPr>
          <w:rFonts w:ascii="Arial" w:cs="Arial" w:eastAsia="Arial" w:hAnsi="Arial"/>
          <w:sz w:val="15"/>
          <w:szCs w:val="15"/>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27, 2008.</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71"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1331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1385" cy="1331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6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3820" w:type="dxa"/>
            <w:vAlign w:val="bottom"/>
          </w:tcPr>
          <w:p>
            <w:pPr>
              <w:spacing w:after="0"/>
              <w:rPr>
                <w:sz w:val="19"/>
                <w:szCs w:val="19"/>
                <w:color w:val="auto"/>
              </w:rPr>
            </w:pPr>
          </w:p>
        </w:tc>
      </w:tr>
      <w:tr>
        <w:trPr>
          <w:trHeight w:val="369"/>
        </w:trPr>
        <w:tc>
          <w:tcPr>
            <w:tcW w:w="20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2"/>
              </w:rPr>
              <w:t>Investor and Media Inquiries</w:t>
            </w:r>
          </w:p>
        </w:tc>
        <w:tc>
          <w:tcPr>
            <w:tcW w:w="23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21"/>
        </w:trPr>
        <w:tc>
          <w:tcPr>
            <w:tcW w:w="4360" w:type="dxa"/>
            <w:vAlign w:val="bottom"/>
            <w:gridSpan w:val="2"/>
          </w:tcPr>
          <w:p>
            <w:pPr>
              <w:spacing w:after="0"/>
              <w:rPr>
                <w:sz w:val="20"/>
                <w:szCs w:val="20"/>
                <w:color w:val="auto"/>
              </w:rPr>
            </w:pPr>
            <w:r>
              <w:rPr>
                <w:rFonts w:ascii="Arial" w:cs="Arial" w:eastAsia="Arial" w:hAnsi="Arial"/>
                <w:sz w:val="17"/>
                <w:szCs w:val="17"/>
                <w:color w:val="auto"/>
              </w:rPr>
              <w:t>Andrew Blocher</w:t>
            </w:r>
          </w:p>
        </w:tc>
        <w:tc>
          <w:tcPr>
            <w:tcW w:w="3820" w:type="dxa"/>
            <w:vAlign w:val="bottom"/>
          </w:tcPr>
          <w:p>
            <w:pPr>
              <w:ind w:left="1700"/>
              <w:spacing w:after="0"/>
              <w:rPr>
                <w:sz w:val="20"/>
                <w:szCs w:val="20"/>
                <w:color w:val="auto"/>
              </w:rPr>
            </w:pPr>
            <w:r>
              <w:rPr>
                <w:rFonts w:ascii="Arial" w:cs="Arial" w:eastAsia="Arial" w:hAnsi="Arial"/>
                <w:sz w:val="17"/>
                <w:szCs w:val="17"/>
                <w:color w:val="auto"/>
              </w:rPr>
              <w:t>Gina Birdsall</w:t>
            </w:r>
          </w:p>
        </w:tc>
      </w:tr>
      <w:tr>
        <w:trPr>
          <w:trHeight w:val="210"/>
        </w:trPr>
        <w:tc>
          <w:tcPr>
            <w:tcW w:w="4360" w:type="dxa"/>
            <w:vAlign w:val="bottom"/>
            <w:gridSpan w:val="2"/>
          </w:tcPr>
          <w:p>
            <w:pPr>
              <w:spacing w:after="0"/>
              <w:rPr>
                <w:sz w:val="20"/>
                <w:szCs w:val="20"/>
                <w:color w:val="auto"/>
              </w:rPr>
            </w:pPr>
            <w:r>
              <w:rPr>
                <w:rFonts w:ascii="Arial" w:cs="Arial" w:eastAsia="Arial" w:hAnsi="Arial"/>
                <w:sz w:val="17"/>
                <w:szCs w:val="17"/>
                <w:color w:val="auto"/>
              </w:rPr>
              <w:t>Senior Vice President,</w:t>
            </w:r>
          </w:p>
        </w:tc>
        <w:tc>
          <w:tcPr>
            <w:tcW w:w="3820" w:type="dxa"/>
            <w:vAlign w:val="bottom"/>
          </w:tcPr>
          <w:p>
            <w:pPr>
              <w:ind w:left="1700"/>
              <w:spacing w:after="0"/>
              <w:rPr>
                <w:sz w:val="20"/>
                <w:szCs w:val="20"/>
                <w:color w:val="auto"/>
              </w:rPr>
            </w:pPr>
            <w:r>
              <w:rPr>
                <w:rFonts w:ascii="Arial" w:cs="Arial" w:eastAsia="Arial" w:hAnsi="Arial"/>
                <w:sz w:val="17"/>
                <w:szCs w:val="17"/>
                <w:color w:val="auto"/>
                <w:w w:val="91"/>
              </w:rPr>
              <w:t>Investor Relations Coordinator</w:t>
            </w:r>
          </w:p>
        </w:tc>
      </w:tr>
      <w:tr>
        <w:trPr>
          <w:trHeight w:val="210"/>
        </w:trPr>
        <w:tc>
          <w:tcPr>
            <w:tcW w:w="4360" w:type="dxa"/>
            <w:vAlign w:val="bottom"/>
            <w:gridSpan w:val="2"/>
          </w:tcPr>
          <w:p>
            <w:pPr>
              <w:spacing w:after="0"/>
              <w:rPr>
                <w:sz w:val="20"/>
                <w:szCs w:val="20"/>
                <w:color w:val="auto"/>
              </w:rPr>
            </w:pPr>
            <w:r>
              <w:rPr>
                <w:rFonts w:ascii="Arial" w:cs="Arial" w:eastAsia="Arial" w:hAnsi="Arial"/>
                <w:sz w:val="17"/>
                <w:szCs w:val="17"/>
                <w:color w:val="auto"/>
              </w:rPr>
              <w:t>Capital Markets and Investor Relations</w:t>
            </w:r>
          </w:p>
        </w:tc>
        <w:tc>
          <w:tcPr>
            <w:tcW w:w="3820" w:type="dxa"/>
            <w:vAlign w:val="bottom"/>
          </w:tcPr>
          <w:p>
            <w:pPr>
              <w:ind w:left="1700"/>
              <w:spacing w:after="0"/>
              <w:rPr>
                <w:sz w:val="20"/>
                <w:szCs w:val="20"/>
                <w:color w:val="auto"/>
              </w:rPr>
            </w:pPr>
            <w:r>
              <w:rPr>
                <w:rFonts w:ascii="Arial" w:cs="Arial" w:eastAsia="Arial" w:hAnsi="Arial"/>
                <w:sz w:val="17"/>
                <w:szCs w:val="17"/>
                <w:color w:val="auto"/>
              </w:rPr>
              <w:t>301/998-8265</w:t>
            </w:r>
          </w:p>
        </w:tc>
      </w:tr>
      <w:tr>
        <w:trPr>
          <w:trHeight w:val="210"/>
        </w:trPr>
        <w:tc>
          <w:tcPr>
            <w:tcW w:w="2000" w:type="dxa"/>
            <w:vAlign w:val="bottom"/>
          </w:tcPr>
          <w:p>
            <w:pPr>
              <w:spacing w:after="0"/>
              <w:rPr>
                <w:sz w:val="20"/>
                <w:szCs w:val="20"/>
                <w:color w:val="auto"/>
              </w:rPr>
            </w:pPr>
            <w:r>
              <w:rPr>
                <w:rFonts w:ascii="Arial" w:cs="Arial" w:eastAsia="Arial" w:hAnsi="Arial"/>
                <w:sz w:val="17"/>
                <w:szCs w:val="17"/>
                <w:color w:val="auto"/>
              </w:rPr>
              <w:t>301/998-8166</w:t>
            </w:r>
          </w:p>
        </w:tc>
        <w:tc>
          <w:tcPr>
            <w:tcW w:w="2360" w:type="dxa"/>
            <w:vAlign w:val="bottom"/>
          </w:tcPr>
          <w:p>
            <w:pPr>
              <w:spacing w:after="0"/>
              <w:rPr>
                <w:sz w:val="18"/>
                <w:szCs w:val="18"/>
                <w:color w:val="auto"/>
              </w:rPr>
            </w:pPr>
          </w:p>
        </w:tc>
        <w:tc>
          <w:tcPr>
            <w:tcW w:w="3820" w:type="dxa"/>
            <w:vAlign w:val="bottom"/>
          </w:tcPr>
          <w:p>
            <w:pPr>
              <w:ind w:left="1700"/>
              <w:spacing w:after="0"/>
              <w:rPr>
                <w:sz w:val="20"/>
                <w:szCs w:val="20"/>
                <w:color w:val="auto"/>
              </w:rPr>
            </w:pPr>
            <w:r>
              <w:rPr>
                <w:rFonts w:ascii="Arial" w:cs="Arial" w:eastAsia="Arial" w:hAnsi="Arial"/>
                <w:sz w:val="17"/>
                <w:szCs w:val="17"/>
                <w:i w:val="1"/>
                <w:iCs w:val="1"/>
                <w:color w:val="auto"/>
                <w:w w:val="99"/>
              </w:rPr>
              <w:t>gbirdsall@federalrealty.com</w:t>
            </w:r>
          </w:p>
        </w:tc>
      </w:tr>
      <w:tr>
        <w:trPr>
          <w:trHeight w:val="216"/>
        </w:trPr>
        <w:tc>
          <w:tcPr>
            <w:tcW w:w="4360" w:type="dxa"/>
            <w:vAlign w:val="bottom"/>
            <w:gridSpan w:val="2"/>
          </w:tcPr>
          <w:p>
            <w:pPr>
              <w:spacing w:after="0"/>
              <w:rPr>
                <w:sz w:val="20"/>
                <w:szCs w:val="20"/>
                <w:color w:val="auto"/>
              </w:rPr>
            </w:pPr>
            <w:r>
              <w:rPr>
                <w:rFonts w:ascii="Arial" w:cs="Arial" w:eastAsia="Arial" w:hAnsi="Arial"/>
                <w:sz w:val="17"/>
                <w:szCs w:val="17"/>
                <w:i w:val="1"/>
                <w:iCs w:val="1"/>
                <w:color w:val="auto"/>
              </w:rPr>
              <w:t>ablocher@federalrealty.com</w:t>
            </w:r>
          </w:p>
        </w:tc>
        <w:tc>
          <w:tcPr>
            <w:tcW w:w="3820" w:type="dxa"/>
            <w:vAlign w:val="bottom"/>
          </w:tcPr>
          <w:p>
            <w:pPr>
              <w:spacing w:after="0"/>
              <w:rPr>
                <w:sz w:val="18"/>
                <w:szCs w:val="18"/>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 ANNOUNCES SECOND QUARTER 2008 OPERATING RESULTS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ROCKVILLE, Md. (July 30, 2008) – Federal Realty Investment Trust (NYSE:FRT) today reported operating results for its second quarter ended June 30, 2008.</w:t>
      </w:r>
    </w:p>
    <w:p>
      <w:pPr>
        <w:spacing w:after="0" w:line="104" w:lineRule="exact"/>
        <w:rPr>
          <w:sz w:val="20"/>
          <w:szCs w:val="20"/>
          <w:color w:val="auto"/>
        </w:rPr>
      </w:pPr>
    </w:p>
    <w:p>
      <w:pPr>
        <w:ind w:left="900" w:right="60" w:hanging="331"/>
        <w:spacing w:after="0" w:line="282"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Funds from operations available for common shareholders (FFO) per diluted share was $0.96 and earnings per diluted share was $0.49 for second quarter 2008, compared to $0.91 and $0.47, respectively, for second quarter 2007.</w:t>
      </w:r>
    </w:p>
    <w:p>
      <w:pPr>
        <w:spacing w:after="0" w:line="38" w:lineRule="exact"/>
        <w:rPr>
          <w:rFonts w:ascii="Arial" w:cs="Arial" w:eastAsia="Arial" w:hAnsi="Arial"/>
          <w:sz w:val="17"/>
          <w:szCs w:val="17"/>
          <w:color w:val="auto"/>
        </w:rPr>
      </w:pPr>
    </w:p>
    <w:p>
      <w:pPr>
        <w:ind w:left="900" w:right="420" w:hanging="331"/>
        <w:spacing w:after="0" w:line="282"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FFO per diluted share was $1.89 and earnings per diluted common share was $1.00 for the six months ended June 30, 2008, versus $1.79 and $0.88, respectively, for the six months ended June 30, 2007.</w:t>
      </w:r>
    </w:p>
    <w:p>
      <w:pPr>
        <w:spacing w:after="0" w:line="38" w:lineRule="exact"/>
        <w:rPr>
          <w:rFonts w:ascii="Arial" w:cs="Arial" w:eastAsia="Arial" w:hAnsi="Arial"/>
          <w:sz w:val="17"/>
          <w:szCs w:val="17"/>
          <w:color w:val="auto"/>
        </w:rPr>
      </w:pPr>
    </w:p>
    <w:p>
      <w:pPr>
        <w:ind w:left="900" w:right="740" w:hanging="331"/>
        <w:spacing w:after="0" w:line="282"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Same-center property operating income for second quarter 2008 increased 4.1% including redevelopments and expansions, and 3.6% excluding redevelopments and expansions, over second quarter 2007.</w:t>
      </w:r>
    </w:p>
    <w:p>
      <w:pPr>
        <w:spacing w:after="0" w:line="38" w:lineRule="exact"/>
        <w:rPr>
          <w:rFonts w:ascii="Arial" w:cs="Arial" w:eastAsia="Arial" w:hAnsi="Arial"/>
          <w:sz w:val="17"/>
          <w:szCs w:val="17"/>
          <w:color w:val="auto"/>
        </w:rPr>
      </w:pPr>
    </w:p>
    <w:p>
      <w:pPr>
        <w:ind w:left="900" w:hanging="331"/>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Rent increases on lease rollovers of comparable retail space for second quarter 2008 were 25% on a cash-basis and 42% on a GAAP-basis.</w:t>
      </w:r>
    </w:p>
    <w:p>
      <w:pPr>
        <w:spacing w:after="0" w:line="104" w:lineRule="exact"/>
        <w:rPr>
          <w:rFonts w:ascii="Arial" w:cs="Arial" w:eastAsia="Arial" w:hAnsi="Arial"/>
          <w:sz w:val="16"/>
          <w:szCs w:val="16"/>
          <w:color w:val="auto"/>
        </w:rPr>
      </w:pPr>
    </w:p>
    <w:p>
      <w:pPr>
        <w:ind w:left="900" w:hanging="331"/>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Federal Realty increased its common dividend for the 41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consecutive year from an annualized rate of $2.44 per share to $2.60 per share, a 6.6% increase.</w:t>
      </w:r>
    </w:p>
    <w:p>
      <w:pPr>
        <w:spacing w:after="0" w:line="70" w:lineRule="exact"/>
        <w:rPr>
          <w:rFonts w:ascii="Arial" w:cs="Arial" w:eastAsia="Arial" w:hAnsi="Arial"/>
          <w:sz w:val="15"/>
          <w:szCs w:val="15"/>
          <w:color w:val="auto"/>
        </w:rPr>
      </w:pPr>
    </w:p>
    <w:p>
      <w:pPr>
        <w:ind w:left="900" w:hanging="331"/>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Guidance for 2008 FFO per diluted share was narrowed to $3.89 to $3.92.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second quarter 2008, Federal Realty generated FFO of $56.7 million, or $0.96 per diluted share. This compares to FFO of $51.9 million, or $0.91 per diluted share in second quarter 2007. For the six months ended June 30, 2008, Federal Realty reported FFO of $112.1 million, or $1.89 per diluted share compared to FFO of $101.5 million, or $1.79 per diluted share, for the same six-month period in 2007.</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 ANNOUNCES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SECOND QUARTER 2008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July 30, 2008</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52" w:lineRule="exact"/>
        <w:rPr>
          <w:sz w:val="20"/>
          <w:szCs w:val="20"/>
          <w:color w:val="auto"/>
        </w:rPr>
      </w:pPr>
    </w:p>
    <w:p>
      <w:pPr>
        <w:jc w:val="both"/>
        <w:ind w:right="140"/>
        <w:spacing w:after="0" w:line="322" w:lineRule="auto"/>
        <w:rPr>
          <w:sz w:val="20"/>
          <w:szCs w:val="20"/>
          <w:color w:val="auto"/>
        </w:rPr>
      </w:pPr>
      <w:r>
        <w:rPr>
          <w:rFonts w:ascii="Arial" w:cs="Arial" w:eastAsia="Arial" w:hAnsi="Arial"/>
          <w:sz w:val="15"/>
          <w:szCs w:val="15"/>
          <w:color w:val="auto"/>
        </w:rPr>
        <w:t>Net income available for common shareholders was $28.8 million and earnings per diluted share was $0.49 for the quarter ended June 30, 2008 versus $26.6 million and $0.47, respectively, for second quarter 2007. Year-to-date, Federal Realty reported net income available for common shareholders of $58.7 million, or $1.00 per diluted share. This compares to net income available for common shareholders of $49.7 million, or $0.88 per diluted share, for the six months ended June 30, 2007.</w:t>
      </w:r>
    </w:p>
    <w:p>
      <w:pPr>
        <w:spacing w:after="0" w:line="92"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and FFO per diluted share to net income is attached to this press release.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9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second quarter 2008, same-center property operating income, including redevelopment and expansion properties, increased 4.1% over second quarter 2007. When redevelopment and expansion properties are excluded from same-center results, property operating income for second quarter 2008 increased 3.6% compared to second quarter 2007.</w:t>
      </w:r>
    </w:p>
    <w:p>
      <w:pPr>
        <w:spacing w:after="0" w:line="127"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The Trust’s overall portfolio was 95.8% leased as of June 30, 2008, compared to 96.1% on June 30, 2007. Federal Realty’s same-center portfolio was 96.1% leased on June 30, 2008, compared to 96.3% on June 30, 2007.</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During second quarter 2008, the Trust signed 90 leases for 253,000 square feet of retail space. On a comparable space basis (</w:t>
      </w:r>
      <w:r>
        <w:rPr>
          <w:rFonts w:ascii="Arial" w:cs="Arial" w:eastAsia="Arial" w:hAnsi="Arial"/>
          <w:sz w:val="17"/>
          <w:szCs w:val="17"/>
          <w:i w:val="1"/>
          <w:iCs w:val="1"/>
          <w:color w:val="auto"/>
        </w:rPr>
        <w:t>i.e.</w:t>
      </w:r>
      <w:r>
        <w:rPr>
          <w:rFonts w:ascii="Arial" w:cs="Arial" w:eastAsia="Arial" w:hAnsi="Arial"/>
          <w:sz w:val="17"/>
          <w:szCs w:val="17"/>
          <w:color w:val="auto"/>
        </w:rPr>
        <w:t>, spaces for which there was a former tenant), the Trust leased 239,000 square feet at an average cash-basis contractual rent increase per square foot (</w:t>
      </w:r>
      <w:r>
        <w:rPr>
          <w:rFonts w:ascii="Arial" w:cs="Arial" w:eastAsia="Arial" w:hAnsi="Arial"/>
          <w:sz w:val="17"/>
          <w:szCs w:val="17"/>
          <w:i w:val="1"/>
          <w:iCs w:val="1"/>
          <w:color w:val="auto"/>
        </w:rPr>
        <w:t>i.e.</w:t>
      </w:r>
      <w:r>
        <w:rPr>
          <w:rFonts w:ascii="Arial" w:cs="Arial" w:eastAsia="Arial" w:hAnsi="Arial"/>
          <w:sz w:val="17"/>
          <w:szCs w:val="17"/>
          <w:color w:val="auto"/>
        </w:rPr>
        <w:t>, excluding the impact of straight-line rents) of 25%. The average contractual rent on this comparable space for the first year of the new lease is $36.39 per square foot compared to the average contractual rent of $29.21 per square foot for the last year of the prior lease. The previous average contractual rent is calculated by including both the minimum rent and the percentage rent actually paid during the last year of the lease term for the re-leased space. On a GAAP basis (</w:t>
      </w:r>
      <w:r>
        <w:rPr>
          <w:rFonts w:ascii="Arial" w:cs="Arial" w:eastAsia="Arial" w:hAnsi="Arial"/>
          <w:sz w:val="17"/>
          <w:szCs w:val="17"/>
          <w:i w:val="1"/>
          <w:iCs w:val="1"/>
          <w:color w:val="auto"/>
        </w:rPr>
        <w:t>i.e.</w:t>
      </w:r>
      <w:r>
        <w:rPr>
          <w:rFonts w:ascii="Arial" w:cs="Arial" w:eastAsia="Arial" w:hAnsi="Arial"/>
          <w:sz w:val="17"/>
          <w:szCs w:val="17"/>
          <w:color w:val="auto"/>
        </w:rPr>
        <w:t>, including the impact of straight-line rents), rent increases per square foot for comparable retail space averaged 42% for second quarter 2008. Federal Realty’s average contractual minimum rent for retail and commercial space in its portfolio is $21.06 per square foot.</w:t>
      </w:r>
    </w:p>
    <w:p>
      <w:pPr>
        <w:spacing w:after="0" w:line="138" w:lineRule="exact"/>
        <w:rPr>
          <w:sz w:val="20"/>
          <w:szCs w:val="20"/>
          <w:color w:val="auto"/>
        </w:rPr>
      </w:pPr>
    </w:p>
    <w:p>
      <w:pPr>
        <w:ind w:right="320"/>
        <w:spacing w:after="0" w:line="315" w:lineRule="auto"/>
        <w:rPr>
          <w:sz w:val="20"/>
          <w:szCs w:val="20"/>
          <w:color w:val="auto"/>
        </w:rPr>
      </w:pPr>
      <w:r>
        <w:rPr>
          <w:rFonts w:ascii="Arial" w:cs="Arial" w:eastAsia="Arial" w:hAnsi="Arial"/>
          <w:sz w:val="16"/>
          <w:szCs w:val="16"/>
          <w:color w:val="auto"/>
        </w:rPr>
        <w:t>“The performance of our portfolio reflects continued demand by tenants for high quality assets in our strong retail locations, despite the inevitable impact of these difficult economic conditions,” commented Donald C. Wood, president and chief executive officer of Federal Realty Investment Trust.</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275" w:right="29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 ANNOUNCES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SECOND QUARTER 2008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July 30, 2008</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Regular Quarterly Dividends</w:t>
      </w:r>
    </w:p>
    <w:p>
      <w:pPr>
        <w:spacing w:after="0" w:line="97" w:lineRule="exact"/>
        <w:rPr>
          <w:sz w:val="20"/>
          <w:szCs w:val="20"/>
          <w:color w:val="auto"/>
        </w:rPr>
      </w:pPr>
    </w:p>
    <w:p>
      <w:pPr>
        <w:ind w:right="300"/>
        <w:spacing w:after="0" w:line="291" w:lineRule="auto"/>
        <w:rPr>
          <w:sz w:val="20"/>
          <w:szCs w:val="20"/>
          <w:color w:val="auto"/>
        </w:rPr>
      </w:pPr>
      <w:r>
        <w:rPr>
          <w:rFonts w:ascii="Arial" w:cs="Arial" w:eastAsia="Arial" w:hAnsi="Arial"/>
          <w:sz w:val="15"/>
          <w:szCs w:val="15"/>
          <w:color w:val="auto"/>
        </w:rPr>
        <w:t>Federal Realty also announced today that its Board of Trustees increased the regular dividend on its common shares, declaring a regular quarterly cash dividend of $0.65 per share, resulting in an indicated annual rate of $2.60 per share, an increase of $0.16 annually or 6.6%. The regular common dividend will be payable on</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October 15, 2008, to common shareholders of record as of September 23, 2008. This increase represents the 41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consecutive year that Federal Realty has increased its common dividend, the longest record of consecutive annual dividend increases in the REIT sector.</w:t>
      </w:r>
    </w:p>
    <w:p>
      <w:pPr>
        <w:spacing w:after="0" w:line="205" w:lineRule="exact"/>
        <w:rPr>
          <w:sz w:val="20"/>
          <w:szCs w:val="20"/>
          <w:color w:val="auto"/>
        </w:rPr>
      </w:pPr>
    </w:p>
    <w:p>
      <w:pPr>
        <w:ind w:right="320"/>
        <w:spacing w:after="0" w:line="231" w:lineRule="auto"/>
        <w:rPr>
          <w:sz w:val="20"/>
          <w:szCs w:val="20"/>
          <w:color w:val="auto"/>
        </w:rPr>
      </w:pPr>
      <w:r>
        <w:rPr>
          <w:rFonts w:ascii="Arial" w:cs="Arial" w:eastAsia="Arial" w:hAnsi="Arial"/>
          <w:sz w:val="17"/>
          <w:szCs w:val="17"/>
          <w:color w:val="auto"/>
        </w:rPr>
        <w:t>“We are pleased to be able to increase our common dividend for the 41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consecutive year, particularly given the current economic environment,” stated Andrew Blocher, senior vice president, capital markets and investor relations. “Our strong dividend record demonstrates the Trust's ability to withstand changing operating conditions over the long term.”</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97" w:lineRule="exact"/>
        <w:rPr>
          <w:sz w:val="20"/>
          <w:szCs w:val="20"/>
          <w:color w:val="auto"/>
        </w:rPr>
      </w:pPr>
    </w:p>
    <w:p>
      <w:pPr>
        <w:jc w:val="both"/>
        <w:ind w:right="200"/>
        <w:spacing w:after="0" w:line="270" w:lineRule="auto"/>
        <w:rPr>
          <w:sz w:val="20"/>
          <w:szCs w:val="20"/>
          <w:color w:val="auto"/>
        </w:rPr>
      </w:pPr>
      <w:r>
        <w:rPr>
          <w:rFonts w:ascii="Arial" w:cs="Arial" w:eastAsia="Arial" w:hAnsi="Arial"/>
          <w:sz w:val="17"/>
          <w:szCs w:val="17"/>
          <w:color w:val="auto"/>
        </w:rPr>
        <w:t>Federal Realty narrowed its guidance range for 2008 FFO per diluted share to $3.89 to $3.92, and revised its 2008 earnings per diluted share guidance to a range of $2.08 to $2.11. The Trust’s 2008 guidance does not include any potential damages associated with two lawsuits that are described in detail in Note E (Commitments and Contingencies) of the Trust’s Form 10-Q.</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Other Quarterly Activities and Recent Developments</w:t>
      </w:r>
    </w:p>
    <w:p>
      <w:pPr>
        <w:spacing w:after="0" w:line="97" w:lineRule="exact"/>
        <w:rPr>
          <w:sz w:val="20"/>
          <w:szCs w:val="20"/>
          <w:color w:val="auto"/>
        </w:rPr>
      </w:pPr>
    </w:p>
    <w:p>
      <w:pPr>
        <w:ind w:left="900" w:right="280" w:hanging="331"/>
        <w:spacing w:after="0" w:line="287"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June 2, 2008 – Federal Realty acquired Del Mar Village, a 154,000 square foot grocery-anchored, neighborhood shopping center at the intersection of Palmetto Park Road and Powerline Road in Boca Raton, Florida. The acquisition of Del Mar Village reflects the Trust's strategy of acquiring assets in Palm Beach, Broward and Miami-Dade counties in South Florida – areas that possess dense populations, a high degree of affluence and significant barriers to entry. Federal Realty acquired the property from a private owner for $41.7 million in cash.</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9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second quarter earnings conference call, which is scheduled for July 31, 2008, at 11:00 a.m. Eastern Daylight Time. To participate, please call (866) 700-0161 five to ten minutes prior to the call’s start time and use the passcode FRT EARNINGS (required). The conference leader is Andrew Blocher. Federal Realty will also provide an online web simulcast on the company’s web site, www.federalrealty.com, which will remain available for 30 days following the call. A telephone recording of the call will also be available through August 29, 2008, by dialing (888) 286-8010 and using the passcode 95318246.</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75" w:right="25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 ANNOUNCES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SECOND QUARTER 2008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July 30, 2008</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Federal Realty</w:t>
      </w:r>
    </w:p>
    <w:p>
      <w:pPr>
        <w:spacing w:after="0" w:line="9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18.4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95.8% leased to national, regional, and local retailers as of June 30, 2008, with no single tenant accounting for more than approximately 2.7% of annualized base rent. Federal Realty has paid quarterly dividends to its shareholders continuously since its founding in 1962, and has increased its dividend rate for 41 consecutive years, the longest record in the REIT industry. Federal Realty is an S&amp;P MidCap 400 company and its shares are traded on the NYSE under the symbol FRT.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97"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27, 2008 and include the following:</w:t>
      </w:r>
    </w:p>
    <w:p>
      <w:pPr>
        <w:spacing w:after="0" w:line="54" w:lineRule="exact"/>
        <w:rPr>
          <w:sz w:val="20"/>
          <w:szCs w:val="20"/>
          <w:color w:val="auto"/>
        </w:rPr>
      </w:pPr>
    </w:p>
    <w:p>
      <w:pPr>
        <w:ind w:left="900" w:hanging="331"/>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that our tenants will not pay rent or that we may be unable to renew leases or re-let space at favorable rents as leases expire;</w:t>
      </w:r>
    </w:p>
    <w:p>
      <w:pPr>
        <w:spacing w:after="0" w:line="92" w:lineRule="exact"/>
        <w:rPr>
          <w:rFonts w:ascii="Arial" w:cs="Arial" w:eastAsia="Arial" w:hAnsi="Arial"/>
          <w:sz w:val="17"/>
          <w:szCs w:val="17"/>
          <w:color w:val="auto"/>
        </w:rPr>
      </w:pPr>
    </w:p>
    <w:p>
      <w:pPr>
        <w:ind w:left="900" w:right="660" w:hanging="331"/>
        <w:spacing w:after="0" w:line="346"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ind w:left="900" w:right="20" w:hanging="331"/>
        <w:spacing w:after="0" w:line="282"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that the number of properties we acquire for our own account, and therefore the amount of capital we invest in acquisitions, may be impacted by our real estate partnership;</w:t>
      </w:r>
    </w:p>
    <w:p>
      <w:pPr>
        <w:spacing w:after="0" w:line="38" w:lineRule="exact"/>
        <w:rPr>
          <w:rFonts w:ascii="Arial" w:cs="Arial" w:eastAsia="Arial" w:hAnsi="Arial"/>
          <w:sz w:val="17"/>
          <w:szCs w:val="17"/>
          <w:color w:val="auto"/>
        </w:rPr>
      </w:pPr>
    </w:p>
    <w:p>
      <w:pPr>
        <w:ind w:left="900" w:right="60" w:hanging="331"/>
        <w:spacing w:after="0" w:line="265"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4" w:lineRule="exact"/>
        <w:rPr>
          <w:rFonts w:ascii="Arial" w:cs="Arial" w:eastAsia="Arial" w:hAnsi="Arial"/>
          <w:sz w:val="17"/>
          <w:szCs w:val="17"/>
          <w:color w:val="auto"/>
        </w:rPr>
      </w:pPr>
    </w:p>
    <w:p>
      <w:pPr>
        <w:ind w:left="900" w:hanging="331"/>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that our growth will be limited if we cannot obtain additional capital;</w:t>
      </w:r>
    </w:p>
    <w:p>
      <w:pPr>
        <w:spacing w:after="0" w:line="92" w:lineRule="exact"/>
        <w:rPr>
          <w:rFonts w:ascii="Arial" w:cs="Arial" w:eastAsia="Arial" w:hAnsi="Arial"/>
          <w:sz w:val="17"/>
          <w:szCs w:val="17"/>
          <w:color w:val="auto"/>
        </w:rPr>
      </w:pPr>
    </w:p>
    <w:p>
      <w:pPr>
        <w:ind w:left="900" w:right="160" w:hanging="331"/>
        <w:spacing w:after="0" w:line="270"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8" w:lineRule="exact"/>
        <w:rPr>
          <w:rFonts w:ascii="Arial" w:cs="Arial" w:eastAsia="Arial" w:hAnsi="Arial"/>
          <w:sz w:val="17"/>
          <w:szCs w:val="17"/>
          <w:color w:val="auto"/>
        </w:rPr>
      </w:pPr>
    </w:p>
    <w:p>
      <w:pPr>
        <w:ind w:left="900" w:right="100" w:hanging="331"/>
        <w:spacing w:after="0" w:line="270"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27, 2008.</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5" w:right="25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w w:val="89"/>
              </w:rPr>
              <w:t>Three months ended June 30,</w:t>
            </w:r>
          </w:p>
        </w:tc>
        <w:tc>
          <w:tcPr>
            <w:tcW w:w="80" w:type="dxa"/>
            <w:vAlign w:val="bottom"/>
          </w:tcPr>
          <w:p>
            <w:pPr>
              <w:spacing w:after="0"/>
              <w:rPr>
                <w:sz w:val="13"/>
                <w:szCs w:val="13"/>
                <w:color w:val="auto"/>
              </w:rPr>
            </w:pPr>
          </w:p>
        </w:tc>
        <w:tc>
          <w:tcPr>
            <w:tcW w:w="1660" w:type="dxa"/>
            <w:vAlign w:val="bottom"/>
            <w:gridSpan w:val="6"/>
          </w:tcPr>
          <w:p>
            <w:pPr>
              <w:jc w:val="right"/>
              <w:ind w:right="160"/>
              <w:spacing w:after="0"/>
              <w:rPr>
                <w:sz w:val="20"/>
                <w:szCs w:val="20"/>
                <w:color w:val="auto"/>
              </w:rPr>
            </w:pPr>
            <w:r>
              <w:rPr>
                <w:rFonts w:ascii="Arial" w:cs="Arial" w:eastAsia="Arial" w:hAnsi="Arial"/>
                <w:sz w:val="13"/>
                <w:szCs w:val="13"/>
                <w:b w:val="1"/>
                <w:bCs w:val="1"/>
                <w:color w:val="auto"/>
                <w:w w:val="88"/>
              </w:rPr>
              <w:t>Six months ended June 30,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2008</w:t>
            </w: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(in</w:t>
            </w: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6"/>
              <w:spacing w:after="0" w:line="138" w:lineRule="exact"/>
              <w:rPr>
                <w:sz w:val="20"/>
                <w:szCs w:val="20"/>
                <w:color w:val="auto"/>
              </w:rPr>
            </w:pPr>
            <w:r>
              <w:rPr>
                <w:rFonts w:ascii="Arial" w:cs="Arial" w:eastAsia="Arial" w:hAnsi="Arial"/>
                <w:sz w:val="13"/>
                <w:szCs w:val="13"/>
                <w:b w:val="1"/>
                <w:bCs w:val="1"/>
                <w:color w:val="auto"/>
              </w:rPr>
              <w:t>2007</w:t>
            </w:r>
          </w:p>
        </w:tc>
        <w:tc>
          <w:tcPr>
            <w:tcW w:w="2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2008</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960" w:type="dxa"/>
            <w:vAlign w:val="bottom"/>
            <w:gridSpan w:val="6"/>
          </w:tcPr>
          <w:p>
            <w:pPr>
              <w:ind w:left="20"/>
              <w:spacing w:after="0" w:line="124" w:lineRule="exact"/>
              <w:rPr>
                <w:sz w:val="20"/>
                <w:szCs w:val="20"/>
                <w:color w:val="auto"/>
              </w:rPr>
            </w:pPr>
            <w:r>
              <w:rPr>
                <w:rFonts w:ascii="Arial" w:cs="Arial" w:eastAsia="Arial" w:hAnsi="Arial"/>
                <w:sz w:val="13"/>
                <w:szCs w:val="13"/>
                <w:b w:val="1"/>
                <w:bCs w:val="1"/>
                <w:color w:val="auto"/>
                <w:w w:val="90"/>
              </w:rPr>
              <w:t>thousands, except per share data)</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(unaudited)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Rental income</w:t>
            </w:r>
          </w:p>
        </w:tc>
        <w:tc>
          <w:tcPr>
            <w:tcW w:w="2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123,952</w:t>
            </w:r>
          </w:p>
        </w:tc>
        <w:tc>
          <w:tcPr>
            <w:tcW w:w="8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115,281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246,673</w:t>
            </w:r>
          </w:p>
        </w:tc>
        <w:tc>
          <w:tcPr>
            <w:tcW w:w="2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227,045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Other property income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2,546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Mortgage interest income</w:t>
            </w:r>
          </w:p>
        </w:tc>
        <w:tc>
          <w:tcPr>
            <w:tcW w:w="2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1,127</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Total revenue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118,954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256,917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234,218</w:t>
            </w:r>
          </w:p>
        </w:tc>
        <w:tc>
          <w:tcPr>
            <w:tcW w:w="0" w:type="dxa"/>
            <w:vAlign w:val="bottom"/>
          </w:tcPr>
          <w:p>
            <w:pPr>
              <w:spacing w:after="0"/>
              <w:rPr>
                <w:sz w:val="1"/>
                <w:szCs w:val="1"/>
                <w:color w:val="auto"/>
              </w:rPr>
            </w:pPr>
          </w:p>
        </w:tc>
      </w:tr>
      <w:tr>
        <w:trPr>
          <w:trHeight w:val="215"/>
        </w:trPr>
        <w:tc>
          <w:tcPr>
            <w:tcW w:w="496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2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Rental expenses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23,501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47,799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Real estate taxes</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14,346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11,215</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26,909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21,783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General and administrative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6,114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Depreciation and amortization</w:t>
            </w:r>
          </w:p>
        </w:tc>
        <w:tc>
          <w:tcPr>
            <w:tcW w:w="2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25,493</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Total operating expenses</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66,323</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147,710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131,709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60" w:type="dxa"/>
            <w:vAlign w:val="bottom"/>
            <w:gridSpan w:val="2"/>
          </w:tcPr>
          <w:p>
            <w:pPr>
              <w:spacing w:after="0"/>
              <w:rPr>
                <w:sz w:val="20"/>
                <w:szCs w:val="20"/>
                <w:color w:val="auto"/>
              </w:rPr>
            </w:pPr>
            <w:r>
              <w:rPr>
                <w:rFonts w:ascii="Arial" w:cs="Arial" w:eastAsia="Arial" w:hAnsi="Arial"/>
                <w:sz w:val="17"/>
                <w:szCs w:val="17"/>
                <w:color w:val="auto"/>
              </w:rPr>
              <w:t>Operating income</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54,208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52,631</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109,207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102,509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Other interest income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207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Interest expense</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(24,476)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(28,178)</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(48,829)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(55,515)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Income from real estate partnership</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60" w:type="dxa"/>
            <w:vAlign w:val="bottom"/>
            <w:gridSpan w:val="2"/>
          </w:tcPr>
          <w:p>
            <w:pPr>
              <w:spacing w:after="0"/>
              <w:rPr>
                <w:sz w:val="20"/>
                <w:szCs w:val="20"/>
                <w:color w:val="auto"/>
              </w:rPr>
            </w:pPr>
            <w:r>
              <w:rPr>
                <w:rFonts w:ascii="Arial" w:cs="Arial" w:eastAsia="Arial" w:hAnsi="Arial"/>
                <w:sz w:val="17"/>
                <w:szCs w:val="17"/>
                <w:color w:val="auto"/>
              </w:rPr>
              <w:t>Income from continuing operations before minority interests</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30,383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25,023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61,701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48,073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Minority interests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(1,384)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(2,681)</w:t>
            </w:r>
          </w:p>
        </w:tc>
        <w:tc>
          <w:tcPr>
            <w:tcW w:w="0" w:type="dxa"/>
            <w:vAlign w:val="bottom"/>
          </w:tcPr>
          <w:p>
            <w:pPr>
              <w:spacing w:after="0"/>
              <w:rPr>
                <w:sz w:val="1"/>
                <w:szCs w:val="1"/>
                <w:color w:val="auto"/>
              </w:rPr>
            </w:pPr>
          </w:p>
        </w:tc>
      </w:tr>
      <w:tr>
        <w:trPr>
          <w:trHeight w:val="214"/>
        </w:trPr>
        <w:tc>
          <w:tcPr>
            <w:tcW w:w="4960" w:type="dxa"/>
            <w:vAlign w:val="bottom"/>
            <w:gridSpan w:val="2"/>
          </w:tcPr>
          <w:p>
            <w:pPr>
              <w:spacing w:after="0"/>
              <w:rPr>
                <w:sz w:val="20"/>
                <w:szCs w:val="20"/>
                <w:color w:val="auto"/>
              </w:rPr>
            </w:pPr>
            <w:r>
              <w:rPr>
                <w:rFonts w:ascii="Arial" w:cs="Arial" w:eastAsia="Arial" w:hAnsi="Arial"/>
                <w:sz w:val="17"/>
                <w:szCs w:val="17"/>
                <w:color w:val="auto"/>
              </w:rPr>
              <w:t>Income from continuing operations</w:t>
            </w:r>
          </w:p>
        </w:tc>
        <w:tc>
          <w:tcPr>
            <w:tcW w:w="2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28,974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23,639</w:t>
            </w: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58,960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Income from discontinued operations</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1,230</w:t>
            </w: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2,613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Gain on sale of real estate from discontinued operations</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1,849</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820"/>
              <w:spacing w:after="0"/>
              <w:rPr>
                <w:sz w:val="20"/>
                <w:szCs w:val="20"/>
                <w:color w:val="auto"/>
              </w:rPr>
            </w:pPr>
            <w:r>
              <w:rPr>
                <w:rFonts w:ascii="Arial" w:cs="Arial" w:eastAsia="Arial" w:hAnsi="Arial"/>
                <w:sz w:val="17"/>
                <w:szCs w:val="17"/>
                <w:color w:val="auto"/>
              </w:rPr>
              <w:t>Results from discontinued operations</w:t>
            </w:r>
          </w:p>
        </w:tc>
        <w:tc>
          <w:tcPr>
            <w:tcW w:w="2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3,079</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26,718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49,854</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Dividends on preferred stock</w:t>
            </w: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(135)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(271)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28,839</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26,583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58,689</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49,683</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7"/>
                <w:szCs w:val="17"/>
                <w:color w:val="auto"/>
              </w:rPr>
              <w:t>EARNINGS PER COMMON SHARE, BASIC</w:t>
            </w:r>
          </w:p>
        </w:tc>
        <w:tc>
          <w:tcPr>
            <w:tcW w:w="2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960" w:type="dxa"/>
            <w:vAlign w:val="bottom"/>
            <w:gridSpan w:val="2"/>
            <w:vMerge w:val="continue"/>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Continuing operations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Discontinued operations</w:t>
            </w:r>
          </w:p>
        </w:tc>
        <w:tc>
          <w:tcPr>
            <w:tcW w:w="2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0.05</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400"/>
              <w:spacing w:after="0"/>
              <w:rPr>
                <w:sz w:val="20"/>
                <w:szCs w:val="20"/>
                <w:color w:val="auto"/>
              </w:rPr>
            </w:pPr>
            <w:r>
              <w:rPr>
                <w:rFonts w:ascii="Arial" w:cs="Arial" w:eastAsia="Arial" w:hAnsi="Arial"/>
                <w:sz w:val="17"/>
                <w:szCs w:val="17"/>
                <w:color w:val="auto"/>
              </w:rPr>
              <w:t>Weighted average number of common shares, basic</w:t>
            </w:r>
          </w:p>
        </w:tc>
        <w:tc>
          <w:tcPr>
            <w:tcW w:w="2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94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58,636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56,168</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58,570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55,797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DILUTED</w:t>
            </w:r>
          </w:p>
        </w:tc>
        <w:tc>
          <w:tcPr>
            <w:tcW w:w="2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Continuing operations</w:t>
            </w:r>
          </w:p>
        </w:tc>
        <w:tc>
          <w:tcPr>
            <w:tcW w:w="2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0.49</w:t>
            </w:r>
          </w:p>
        </w:tc>
        <w:tc>
          <w:tcPr>
            <w:tcW w:w="8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0.42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Discontinued operations</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0.49</w:t>
            </w:r>
          </w:p>
        </w:tc>
        <w:tc>
          <w:tcPr>
            <w:tcW w:w="8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0.47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Weighted average number of common shares, diluted</w:t>
            </w:r>
          </w:p>
        </w:tc>
        <w:tc>
          <w:tcPr>
            <w:tcW w:w="2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56,591</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58,872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0" w:type="dxa"/>
            <w:vAlign w:val="bottom"/>
            <w:vMerge w:val="restart"/>
          </w:tcPr>
          <w:p>
            <w:pPr>
              <w:jc w:val="right"/>
              <w:ind w:right="1715"/>
              <w:spacing w:after="0"/>
              <w:rPr>
                <w:sz w:val="20"/>
                <w:szCs w:val="20"/>
                <w:color w:val="auto"/>
              </w:rPr>
            </w:pPr>
            <w:r>
              <w:rPr>
                <w:rFonts w:ascii="Arial" w:cs="Arial" w:eastAsia="Arial" w:hAnsi="Arial"/>
                <w:sz w:val="17"/>
                <w:szCs w:val="17"/>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314"/>
              <w:spacing w:after="0"/>
              <w:rPr>
                <w:sz w:val="20"/>
                <w:szCs w:val="20"/>
                <w:color w:val="auto"/>
              </w:rPr>
            </w:pPr>
            <w:r>
              <w:rPr>
                <w:rFonts w:ascii="Arial" w:cs="Arial" w:eastAsia="Arial" w:hAnsi="Arial"/>
                <w:sz w:val="13"/>
                <w:szCs w:val="13"/>
                <w:b w:val="1"/>
                <w:bCs w:val="1"/>
                <w:color w:val="auto"/>
                <w:w w:val="88"/>
              </w:rPr>
              <w:t>June 30,</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2008</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17"/>
              <w:spacing w:after="0" w:line="124"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3"/>
          </w:tcPr>
          <w:p>
            <w:pPr>
              <w:jc w:val="right"/>
              <w:ind w:right="436"/>
              <w:spacing w:after="0" w:line="124" w:lineRule="exact"/>
              <w:rPr>
                <w:sz w:val="20"/>
                <w:szCs w:val="20"/>
                <w:color w:val="auto"/>
              </w:rPr>
            </w:pPr>
            <w:r>
              <w:rPr>
                <w:rFonts w:ascii="Arial" w:cs="Arial" w:eastAsia="Arial" w:hAnsi="Arial"/>
                <w:sz w:val="13"/>
                <w:szCs w:val="13"/>
                <w:b w:val="1"/>
                <w:bCs w:val="1"/>
                <w:color w:val="auto"/>
                <w:w w:val="74"/>
              </w:rPr>
              <w:t>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60" w:type="dxa"/>
            <w:vAlign w:val="bottom"/>
            <w:gridSpan w:val="3"/>
          </w:tcPr>
          <w:p>
            <w:pPr>
              <w:jc w:val="center"/>
              <w:ind w:right="214"/>
              <w:spacing w:after="0"/>
              <w:rPr>
                <w:sz w:val="20"/>
                <w:szCs w:val="20"/>
                <w:color w:val="auto"/>
              </w:rPr>
            </w:pPr>
            <w:r>
              <w:rPr>
                <w:rFonts w:ascii="Arial" w:cs="Arial" w:eastAsia="Arial" w:hAnsi="Arial"/>
                <w:sz w:val="13"/>
                <w:szCs w:val="13"/>
                <w:b w:val="1"/>
                <w:bCs w:val="1"/>
                <w:color w:val="auto"/>
                <w:w w:val="93"/>
              </w:rPr>
              <w:t>(unaudited)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4880" w:type="dxa"/>
            <w:vAlign w:val="bottom"/>
            <w:gridSpan w:val="2"/>
          </w:tcPr>
          <w:p>
            <w:pPr>
              <w:spacing w:after="0"/>
              <w:rPr>
                <w:sz w:val="20"/>
                <w:szCs w:val="20"/>
                <w:color w:val="auto"/>
              </w:rPr>
            </w:pPr>
            <w:r>
              <w:rPr>
                <w:rFonts w:ascii="Arial" w:cs="Arial" w:eastAsia="Arial" w:hAnsi="Arial"/>
                <w:sz w:val="17"/>
                <w:szCs w:val="17"/>
                <w:color w:val="auto"/>
              </w:rPr>
              <w:t>Real estate, at cost</w:t>
            </w: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Operating</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w w:val="87"/>
              </w:rPr>
              <w:t>3,458,460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3,304,922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00"/>
              <w:spacing w:after="0"/>
              <w:rPr>
                <w:sz w:val="20"/>
                <w:szCs w:val="20"/>
                <w:color w:val="auto"/>
              </w:rPr>
            </w:pPr>
            <w:r>
              <w:rPr>
                <w:rFonts w:ascii="Arial" w:cs="Arial" w:eastAsia="Arial" w:hAnsi="Arial"/>
                <w:sz w:val="17"/>
                <w:szCs w:val="17"/>
                <w:color w:val="auto"/>
              </w:rPr>
              <w:t>Construction-in-progress</w:t>
            </w:r>
          </w:p>
        </w:tc>
        <w:tc>
          <w:tcPr>
            <w:tcW w:w="4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110,929</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w w:val="87"/>
              </w:rPr>
              <w:t>3,569,389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3,452,847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54"/>
              <w:spacing w:after="0"/>
              <w:rPr>
                <w:sz w:val="20"/>
                <w:szCs w:val="20"/>
                <w:color w:val="auto"/>
              </w:rPr>
            </w:pPr>
            <w:r>
              <w:rPr>
                <w:rFonts w:ascii="Arial" w:cs="Arial" w:eastAsia="Arial" w:hAnsi="Arial"/>
                <w:sz w:val="17"/>
                <w:szCs w:val="17"/>
                <w:color w:val="auto"/>
                <w:w w:val="98"/>
              </w:rPr>
              <w:t>(801,752)</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8"/>
              </w:rPr>
              <w:t>(756,703)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Net real estate</w:t>
            </w:r>
          </w:p>
        </w:tc>
        <w:tc>
          <w:tcPr>
            <w:tcW w:w="4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2,767,637</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2,696,144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488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14"/>
              <w:spacing w:after="0"/>
              <w:rPr>
                <w:sz w:val="20"/>
                <w:szCs w:val="20"/>
                <w:color w:val="auto"/>
              </w:rPr>
            </w:pPr>
            <w:r>
              <w:rPr>
                <w:rFonts w:ascii="Arial" w:cs="Arial" w:eastAsia="Arial" w:hAnsi="Arial"/>
                <w:sz w:val="17"/>
                <w:szCs w:val="17"/>
                <w:color w:val="auto"/>
              </w:rPr>
              <w:t>20,281</w:t>
            </w:r>
          </w:p>
        </w:tc>
        <w:tc>
          <w:tcPr>
            <w:tcW w:w="1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50,691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Accounts and notes receivable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66,431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61,108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Mortgage notes receivable</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14"/>
              <w:spacing w:after="0"/>
              <w:rPr>
                <w:sz w:val="20"/>
                <w:szCs w:val="20"/>
                <w:color w:val="auto"/>
              </w:rPr>
            </w:pPr>
            <w:r>
              <w:rPr>
                <w:rFonts w:ascii="Arial" w:cs="Arial" w:eastAsia="Arial" w:hAnsi="Arial"/>
                <w:sz w:val="17"/>
                <w:szCs w:val="17"/>
                <w:color w:val="auto"/>
              </w:rPr>
              <w:t>40,488</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40,638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Investment in real estate partnership</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29,400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Prepaid expenses and other assets</w:t>
            </w:r>
          </w:p>
        </w:tc>
        <w:tc>
          <w:tcPr>
            <w:tcW w:w="4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102,310</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6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w w:val="87"/>
              </w:rPr>
              <w:t>3,026,547</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2,989,297</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7"/>
                <w:szCs w:val="17"/>
                <w:color w:val="auto"/>
              </w:rPr>
              <w:t>LIABILITIES AND SHAREHOLDERS’ EQUITY</w:t>
            </w: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80" w:type="dxa"/>
            <w:vAlign w:val="bottom"/>
            <w:gridSpan w:val="2"/>
            <w:vMerge w:val="continue"/>
          </w:tcPr>
          <w:p>
            <w:pPr>
              <w:spacing w:after="0"/>
              <w:rPr>
                <w:sz w:val="17"/>
                <w:szCs w:val="17"/>
                <w:color w:val="auto"/>
              </w:rPr>
            </w:pPr>
          </w:p>
        </w:tc>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ind w:left="400"/>
              <w:spacing w:after="0"/>
              <w:rPr>
                <w:sz w:val="20"/>
                <w:szCs w:val="20"/>
                <w:color w:val="auto"/>
              </w:rPr>
            </w:pPr>
            <w:r>
              <w:rPr>
                <w:rFonts w:ascii="Arial" w:cs="Arial" w:eastAsia="Arial" w:hAnsi="Arial"/>
                <w:sz w:val="17"/>
                <w:szCs w:val="17"/>
                <w:color w:val="auto"/>
              </w:rPr>
              <w:t>Mortgages payable and capital lease obligations</w:t>
            </w:r>
          </w:p>
        </w:tc>
        <w:tc>
          <w:tcPr>
            <w:tcW w:w="4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14"/>
              <w:spacing w:after="0"/>
              <w:rPr>
                <w:sz w:val="20"/>
                <w:szCs w:val="20"/>
                <w:color w:val="auto"/>
              </w:rPr>
            </w:pPr>
            <w:r>
              <w:rPr>
                <w:rFonts w:ascii="Arial" w:cs="Arial" w:eastAsia="Arial" w:hAnsi="Arial"/>
                <w:sz w:val="17"/>
                <w:szCs w:val="17"/>
                <w:color w:val="auto"/>
              </w:rPr>
              <w:t>446,531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450,084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Notes payable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241,933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210,820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ind w:left="400"/>
              <w:spacing w:after="0"/>
              <w:rPr>
                <w:sz w:val="20"/>
                <w:szCs w:val="20"/>
                <w:color w:val="auto"/>
              </w:rPr>
            </w:pPr>
            <w:r>
              <w:rPr>
                <w:rFonts w:ascii="Arial" w:cs="Arial" w:eastAsia="Arial" w:hAnsi="Arial"/>
                <w:sz w:val="17"/>
                <w:szCs w:val="17"/>
                <w:color w:val="auto"/>
              </w:rPr>
              <w:t>Senior notes and debentures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14"/>
              <w:spacing w:after="0"/>
              <w:rPr>
                <w:sz w:val="20"/>
                <w:szCs w:val="20"/>
                <w:color w:val="auto"/>
              </w:rPr>
            </w:pPr>
            <w:r>
              <w:rPr>
                <w:rFonts w:ascii="Arial" w:cs="Arial" w:eastAsia="Arial" w:hAnsi="Arial"/>
                <w:sz w:val="17"/>
                <w:szCs w:val="17"/>
                <w:color w:val="auto"/>
              </w:rPr>
              <w:t>977,470</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977,556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Accounts payable and other liabilities</w:t>
            </w:r>
          </w:p>
        </w:tc>
        <w:tc>
          <w:tcPr>
            <w:tcW w:w="4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217,332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14"/>
              <w:spacing w:after="0"/>
              <w:rPr>
                <w:sz w:val="20"/>
                <w:szCs w:val="20"/>
                <w:color w:val="auto"/>
              </w:rPr>
            </w:pPr>
            <w:r>
              <w:rPr>
                <w:rFonts w:ascii="Arial" w:cs="Arial" w:eastAsia="Arial" w:hAnsi="Arial"/>
                <w:sz w:val="17"/>
                <w:szCs w:val="17"/>
                <w:color w:val="auto"/>
                <w:w w:val="87"/>
              </w:rPr>
              <w:t>1,883,266</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1,842,847</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32,037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31,818</w:t>
            </w:r>
          </w:p>
        </w:tc>
        <w:tc>
          <w:tcPr>
            <w:tcW w:w="0" w:type="dxa"/>
            <w:vAlign w:val="bottom"/>
          </w:tcPr>
          <w:p>
            <w:pPr>
              <w:spacing w:after="0"/>
              <w:rPr>
                <w:sz w:val="1"/>
                <w:szCs w:val="1"/>
                <w:color w:val="auto"/>
              </w:rPr>
            </w:pPr>
          </w:p>
        </w:tc>
      </w:tr>
      <w:tr>
        <w:trPr>
          <w:trHeight w:val="313"/>
        </w:trPr>
        <w:tc>
          <w:tcPr>
            <w:tcW w:w="4880" w:type="dxa"/>
            <w:vAlign w:val="bottom"/>
            <w:gridSpan w:val="2"/>
          </w:tcPr>
          <w:p>
            <w:pPr>
              <w:spacing w:after="0"/>
              <w:rPr>
                <w:sz w:val="20"/>
                <w:szCs w:val="20"/>
                <w:color w:val="auto"/>
              </w:rPr>
            </w:pPr>
            <w:r>
              <w:rPr>
                <w:rFonts w:ascii="Arial" w:cs="Arial" w:eastAsia="Arial" w:hAnsi="Arial"/>
                <w:sz w:val="17"/>
                <w:szCs w:val="17"/>
                <w:color w:val="auto"/>
              </w:rPr>
              <w:t>Shareholders’ equity</w:t>
            </w: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Preferred stock</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9,997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00"/>
              <w:spacing w:after="0"/>
              <w:rPr>
                <w:sz w:val="20"/>
                <w:szCs w:val="20"/>
                <w:color w:val="auto"/>
              </w:rPr>
            </w:pPr>
            <w:r>
              <w:rPr>
                <w:rFonts w:ascii="Arial" w:cs="Arial" w:eastAsia="Arial" w:hAnsi="Arial"/>
                <w:sz w:val="17"/>
                <w:szCs w:val="17"/>
                <w:color w:val="auto"/>
              </w:rPr>
              <w:t>Common shares and other shareholders’ equity</w:t>
            </w:r>
          </w:p>
        </w:tc>
        <w:tc>
          <w:tcPr>
            <w:tcW w:w="4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1,101,247</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1,104,635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4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1,111,244</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1,114,632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gridSpan w:val="2"/>
          </w:tcPr>
          <w:p>
            <w:pPr>
              <w:spacing w:after="0"/>
              <w:rPr>
                <w:sz w:val="20"/>
                <w:szCs w:val="20"/>
                <w:color w:val="auto"/>
              </w:rPr>
            </w:pPr>
            <w:r>
              <w:rPr>
                <w:rFonts w:ascii="Arial" w:cs="Arial" w:eastAsia="Arial" w:hAnsi="Arial"/>
                <w:sz w:val="17"/>
                <w:szCs w:val="17"/>
                <w:color w:val="auto"/>
              </w:rPr>
              <w:t>TOTAL LIABILITIES AND SHAREHOLDERS’ EQUITY</w:t>
            </w:r>
          </w:p>
        </w:tc>
        <w:tc>
          <w:tcPr>
            <w:tcW w:w="47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60" w:type="dxa"/>
            <w:vAlign w:val="bottom"/>
            <w:gridSpan w:val="2"/>
          </w:tcPr>
          <w:p>
            <w:pPr>
              <w:jc w:val="right"/>
              <w:ind w:right="214"/>
              <w:spacing w:after="0"/>
              <w:rPr>
                <w:sz w:val="20"/>
                <w:szCs w:val="20"/>
                <w:color w:val="auto"/>
              </w:rPr>
            </w:pPr>
            <w:r>
              <w:rPr>
                <w:rFonts w:ascii="Arial" w:cs="Arial" w:eastAsia="Arial" w:hAnsi="Arial"/>
                <w:sz w:val="17"/>
                <w:szCs w:val="17"/>
                <w:color w:val="auto"/>
                <w:w w:val="87"/>
              </w:rPr>
              <w:t>3,026,547</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2,989,297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40" w:type="dxa"/>
            <w:vAlign w:val="bottom"/>
            <w:vMerge w:val="restart"/>
          </w:tcPr>
          <w:p>
            <w:pPr>
              <w:jc w:val="right"/>
              <w:ind w:right="3675"/>
              <w:spacing w:after="0"/>
              <w:rPr>
                <w:sz w:val="20"/>
                <w:szCs w:val="20"/>
                <w:color w:val="auto"/>
              </w:rPr>
            </w:pPr>
            <w:r>
              <w:rPr>
                <w:rFonts w:ascii="Arial" w:cs="Arial" w:eastAsia="Arial" w:hAnsi="Arial"/>
                <w:sz w:val="17"/>
                <w:szCs w:val="17"/>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6"/>
          </w:tcPr>
          <w:p>
            <w:pPr>
              <w:jc w:val="right"/>
              <w:ind w:right="494"/>
              <w:spacing w:after="0"/>
              <w:rPr>
                <w:sz w:val="20"/>
                <w:szCs w:val="20"/>
                <w:color w:val="auto"/>
              </w:rPr>
            </w:pPr>
            <w:r>
              <w:rPr>
                <w:rFonts w:ascii="Arial" w:cs="Arial" w:eastAsia="Arial" w:hAnsi="Arial"/>
                <w:sz w:val="13"/>
                <w:szCs w:val="13"/>
                <w:b w:val="1"/>
                <w:bCs w:val="1"/>
                <w:color w:val="auto"/>
                <w:w w:val="90"/>
              </w:rPr>
              <w:t>Three months ended June 30,</w:t>
            </w:r>
          </w:p>
        </w:tc>
        <w:tc>
          <w:tcPr>
            <w:tcW w:w="80" w:type="dxa"/>
            <w:vAlign w:val="bottom"/>
          </w:tcPr>
          <w:p>
            <w:pPr>
              <w:spacing w:after="0"/>
              <w:rPr>
                <w:sz w:val="13"/>
                <w:szCs w:val="13"/>
                <w:color w:val="auto"/>
              </w:rPr>
            </w:pPr>
          </w:p>
        </w:tc>
        <w:tc>
          <w:tcPr>
            <w:tcW w:w="180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w w:val="90"/>
              </w:rPr>
              <w:t>Six months ended June 30,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7"/>
              <w:spacing w:after="0" w:line="138" w:lineRule="exact"/>
              <w:rPr>
                <w:sz w:val="20"/>
                <w:szCs w:val="20"/>
                <w:color w:val="auto"/>
              </w:rPr>
            </w:pPr>
            <w:r>
              <w:rPr>
                <w:rFonts w:ascii="Arial" w:cs="Arial" w:eastAsia="Arial" w:hAnsi="Arial"/>
                <w:sz w:val="13"/>
                <w:szCs w:val="13"/>
                <w:b w:val="1"/>
                <w:bCs w:val="1"/>
                <w:color w:val="auto"/>
              </w:rPr>
              <w:t>2008</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w w:val="75"/>
              </w:rPr>
              <w:t>(in</w:t>
            </w: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2007</w:t>
            </w:r>
          </w:p>
        </w:tc>
        <w:tc>
          <w:tcPr>
            <w:tcW w:w="4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2008</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740" w:type="dxa"/>
            <w:vAlign w:val="bottom"/>
            <w:gridSpan w:val="2"/>
          </w:tcPr>
          <w:p>
            <w:pPr>
              <w:jc w:val="right"/>
              <w:ind w:right="16"/>
              <w:spacing w:after="0" w:line="138" w:lineRule="exact"/>
              <w:rPr>
                <w:sz w:val="20"/>
                <w:szCs w:val="20"/>
                <w:color w:val="auto"/>
              </w:rPr>
            </w:pPr>
            <w:r>
              <w:rPr>
                <w:rFonts w:ascii="Arial" w:cs="Arial" w:eastAsia="Arial" w:hAnsi="Arial"/>
                <w:sz w:val="13"/>
                <w:szCs w:val="13"/>
                <w:b w:val="1"/>
                <w:bCs w:val="1"/>
                <w:color w:val="auto"/>
                <w:w w:val="89"/>
              </w:rPr>
              <w:t>thousands,</w:t>
            </w:r>
          </w:p>
        </w:tc>
        <w:tc>
          <w:tcPr>
            <w:tcW w:w="1520" w:type="dxa"/>
            <w:vAlign w:val="bottom"/>
            <w:gridSpan w:val="4"/>
          </w:tcPr>
          <w:p>
            <w:pPr>
              <w:jc w:val="right"/>
              <w:ind w:right="360"/>
              <w:spacing w:after="0" w:line="138" w:lineRule="exact"/>
              <w:rPr>
                <w:sz w:val="20"/>
                <w:szCs w:val="20"/>
                <w:color w:val="auto"/>
              </w:rPr>
            </w:pPr>
            <w:r>
              <w:rPr>
                <w:rFonts w:ascii="Arial" w:cs="Arial" w:eastAsia="Arial" w:hAnsi="Arial"/>
                <w:sz w:val="13"/>
                <w:szCs w:val="13"/>
                <w:b w:val="1"/>
                <w:bCs w:val="1"/>
                <w:color w:val="auto"/>
                <w:w w:val="82"/>
              </w:rPr>
              <w:t>except per share data)</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tcBorders>
              <w:bottom w:val="single" w:sz="8" w:color="auto"/>
            </w:tcBorders>
            <w:gridSpan w:val="3"/>
            <w:shd w:val="clear" w:color="auto" w:fill="CCEEFF"/>
          </w:tcPr>
          <w:p>
            <w:pPr>
              <w:spacing w:after="0" w:line="171" w:lineRule="exact"/>
              <w:rPr>
                <w:sz w:val="20"/>
                <w:szCs w:val="20"/>
                <w:color w:val="auto"/>
              </w:rPr>
            </w:pPr>
            <w:r>
              <w:rPr>
                <w:rFonts w:ascii="Arial" w:cs="Arial" w:eastAsia="Arial" w:hAnsi="Arial"/>
                <w:sz w:val="17"/>
                <w:szCs w:val="17"/>
                <w:color w:val="auto"/>
                <w:w w:val="90"/>
              </w:rPr>
              <w:t>Funds from Operations available for common shareholders (FFO) (1)</w:t>
            </w:r>
          </w:p>
        </w:tc>
        <w:tc>
          <w:tcPr>
            <w:tcW w:w="2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4"/>
          </w:tcPr>
          <w:p>
            <w:pPr>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28,974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26,718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58,960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49,854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(1,849)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4"/>
          </w:tcPr>
          <w:p>
            <w:pPr>
              <w:spacing w:after="0"/>
              <w:rPr>
                <w:sz w:val="20"/>
                <w:szCs w:val="20"/>
                <w:color w:val="auto"/>
              </w:rPr>
            </w:pPr>
            <w:r>
              <w:rPr>
                <w:rFonts w:ascii="Arial" w:cs="Arial" w:eastAsia="Arial" w:hAnsi="Arial"/>
                <w:sz w:val="17"/>
                <w:szCs w:val="17"/>
                <w:color w:val="auto"/>
              </w:rPr>
              <w:t>Depreciation and amortization of real estate assets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25,050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24,317</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48,000</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48,259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Amortization of initial direct costs of leases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2,107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4,305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4"/>
          </w:tcPr>
          <w:p>
            <w:pPr>
              <w:spacing w:after="0"/>
              <w:rPr>
                <w:sz w:val="20"/>
                <w:szCs w:val="20"/>
                <w:color w:val="auto"/>
              </w:rPr>
            </w:pPr>
            <w:r>
              <w:rPr>
                <w:rFonts w:ascii="Arial" w:cs="Arial" w:eastAsia="Arial" w:hAnsi="Arial"/>
                <w:sz w:val="17"/>
                <w:szCs w:val="17"/>
                <w:color w:val="auto"/>
              </w:rPr>
              <w:t>Depreciation of joint venture real estate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323</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661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4"/>
            <w:shd w:val="clear" w:color="auto" w:fill="CCEEFF"/>
          </w:tcPr>
          <w:p>
            <w:pPr>
              <w:ind w:left="400"/>
              <w:spacing w:after="0"/>
              <w:rPr>
                <w:sz w:val="20"/>
                <w:szCs w:val="20"/>
                <w:color w:val="auto"/>
              </w:rPr>
            </w:pPr>
            <w:r>
              <w:rPr>
                <w:rFonts w:ascii="Arial" w:cs="Arial" w:eastAsia="Arial" w:hAnsi="Arial"/>
                <w:sz w:val="17"/>
                <w:szCs w:val="17"/>
                <w:color w:val="auto"/>
              </w:rPr>
              <w:t>Funds from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51,616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7"/>
              </w:rPr>
              <w:t>111,926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101,032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4"/>
          </w:tcPr>
          <w:p>
            <w:pPr>
              <w:spacing w:after="0"/>
              <w:rPr>
                <w:sz w:val="20"/>
                <w:szCs w:val="20"/>
                <w:color w:val="auto"/>
              </w:rPr>
            </w:pPr>
            <w:r>
              <w:rPr>
                <w:rFonts w:ascii="Arial" w:cs="Arial" w:eastAsia="Arial" w:hAnsi="Arial"/>
                <w:sz w:val="17"/>
                <w:szCs w:val="17"/>
                <w:color w:val="auto"/>
              </w:rPr>
              <w:t>Dividends on preferred stock</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(135)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14"/>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399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gridSpan w:val="4"/>
            <w:vMerge w:val="restart"/>
          </w:tcPr>
          <w:p>
            <w:pPr>
              <w:ind w:left="400"/>
              <w:spacing w:after="0"/>
              <w:rPr>
                <w:sz w:val="20"/>
                <w:szCs w:val="20"/>
                <w:color w:val="auto"/>
              </w:rPr>
            </w:pPr>
            <w:r>
              <w:rPr>
                <w:rFonts w:ascii="Arial" w:cs="Arial" w:eastAsia="Arial" w:hAnsi="Arial"/>
                <w:sz w:val="17"/>
                <w:szCs w:val="17"/>
                <w:color w:val="auto"/>
              </w:rPr>
              <w:t>FFO</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gridSpan w:val="4"/>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56,734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51,880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87"/>
              </w:rPr>
              <w:t>112,118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101,505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FFO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0.91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gridSpan w:val="4"/>
            <w:vMerge w:val="restart"/>
          </w:tcPr>
          <w:p>
            <w:pPr>
              <w:ind w:left="820"/>
              <w:spacing w:after="0"/>
              <w:rPr>
                <w:sz w:val="20"/>
                <w:szCs w:val="20"/>
                <w:color w:val="auto"/>
              </w:rPr>
            </w:pPr>
            <w:r>
              <w:rPr>
                <w:rFonts w:ascii="Arial" w:cs="Arial" w:eastAsia="Arial" w:hAnsi="Arial"/>
                <w:sz w:val="17"/>
                <w:szCs w:val="17"/>
                <w:color w:val="auto"/>
              </w:rPr>
              <w:t>Weighted average number of common shares,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1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59,311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57,149</w:t>
            </w:r>
          </w:p>
        </w:tc>
        <w:tc>
          <w:tcPr>
            <w:tcW w:w="80" w:type="dxa"/>
            <w:vAlign w:val="bottom"/>
          </w:tcPr>
          <w:p>
            <w:pPr>
              <w:spacing w:after="0"/>
              <w:rPr>
                <w:sz w:val="17"/>
                <w:szCs w:val="17"/>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59,251</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56,750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180" w:type="dxa"/>
            <w:vAlign w:val="bottom"/>
            <w:gridSpan w:val="4"/>
            <w:shd w:val="clear" w:color="auto" w:fill="CCEEFF"/>
          </w:tcPr>
          <w:p>
            <w:pPr>
              <w:spacing w:after="0" w:line="164" w:lineRule="exact"/>
              <w:rPr>
                <w:sz w:val="20"/>
                <w:szCs w:val="20"/>
                <w:color w:val="auto"/>
              </w:rPr>
            </w:pPr>
            <w:r>
              <w:rPr>
                <w:rFonts w:ascii="Arial" w:cs="Arial" w:eastAsia="Arial" w:hAnsi="Arial"/>
                <w:sz w:val="17"/>
                <w:szCs w:val="17"/>
                <w:color w:val="auto"/>
              </w:rPr>
              <w:t>Summary of Capital Expenditures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9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4"/>
          </w:tcPr>
          <w:p>
            <w:pPr>
              <w:spacing w:after="0"/>
              <w:rPr>
                <w:sz w:val="20"/>
                <w:szCs w:val="20"/>
                <w:color w:val="auto"/>
              </w:rPr>
            </w:pPr>
            <w:r>
              <w:rPr>
                <w:rFonts w:ascii="Arial" w:cs="Arial" w:eastAsia="Arial" w:hAnsi="Arial"/>
                <w:sz w:val="17"/>
                <w:szCs w:val="17"/>
                <w:color w:val="auto"/>
              </w:rPr>
              <w:t>Non-maintenance capital expenditures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4"/>
            <w:shd w:val="clear" w:color="auto" w:fill="CCEEFF"/>
          </w:tcPr>
          <w:p>
            <w:pPr>
              <w:ind w:left="820"/>
              <w:spacing w:after="0"/>
              <w:rPr>
                <w:sz w:val="20"/>
                <w:szCs w:val="20"/>
                <w:color w:val="auto"/>
              </w:rPr>
            </w:pPr>
            <w:r>
              <w:rPr>
                <w:rFonts w:ascii="Arial" w:cs="Arial" w:eastAsia="Arial" w:hAnsi="Arial"/>
                <w:sz w:val="17"/>
                <w:szCs w:val="17"/>
                <w:color w:val="auto"/>
              </w:rPr>
              <w:t>Development, redevelopment and expansions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21,488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31,727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50,410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4"/>
          </w:tcPr>
          <w:p>
            <w:pPr>
              <w:ind w:left="820"/>
              <w:spacing w:after="0"/>
              <w:rPr>
                <w:sz w:val="20"/>
                <w:szCs w:val="20"/>
                <w:color w:val="auto"/>
              </w:rPr>
            </w:pPr>
            <w:r>
              <w:rPr>
                <w:rFonts w:ascii="Arial" w:cs="Arial" w:eastAsia="Arial" w:hAnsi="Arial"/>
                <w:sz w:val="17"/>
                <w:szCs w:val="17"/>
                <w:color w:val="auto"/>
              </w:rPr>
              <w:t>Tenant improvements and incentives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3,974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5,901</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9,383</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9,708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non-maintenance capital expenditures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37,628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59,793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4"/>
          </w:tcPr>
          <w:p>
            <w:pPr>
              <w:ind w:left="400"/>
              <w:spacing w:after="0"/>
              <w:rPr>
                <w:sz w:val="20"/>
                <w:szCs w:val="20"/>
                <w:color w:val="auto"/>
              </w:rPr>
            </w:pPr>
            <w:r>
              <w:rPr>
                <w:rFonts w:ascii="Arial" w:cs="Arial" w:eastAsia="Arial" w:hAnsi="Arial"/>
                <w:sz w:val="17"/>
                <w:szCs w:val="17"/>
                <w:color w:val="auto"/>
              </w:rPr>
              <w:t>Maintenance capital expenditures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2,010</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5,355</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3,755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39,638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65,148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65,175</w:t>
            </w:r>
          </w:p>
        </w:tc>
        <w:tc>
          <w:tcPr>
            <w:tcW w:w="0" w:type="dxa"/>
            <w:vAlign w:val="bottom"/>
          </w:tcPr>
          <w:p>
            <w:pPr>
              <w:spacing w:after="0"/>
              <w:rPr>
                <w:sz w:val="1"/>
                <w:szCs w:val="1"/>
                <w:color w:val="auto"/>
              </w:rPr>
            </w:pPr>
          </w:p>
        </w:tc>
      </w:tr>
      <w:tr>
        <w:trPr>
          <w:trHeight w:val="20"/>
        </w:trPr>
        <w:tc>
          <w:tcPr>
            <w:tcW w:w="7200" w:type="dxa"/>
            <w:vAlign w:val="bottom"/>
            <w:gridSpan w:val="5"/>
            <w:vMerge w:val="restart"/>
          </w:tcPr>
          <w:p>
            <w:pPr>
              <w:spacing w:after="0"/>
              <w:rPr>
                <w:sz w:val="20"/>
                <w:szCs w:val="20"/>
                <w:color w:val="auto"/>
              </w:rPr>
            </w:pPr>
            <w:r>
              <w:rPr>
                <w:rFonts w:ascii="Arial" w:cs="Arial" w:eastAsia="Arial" w:hAnsi="Arial"/>
                <w:sz w:val="17"/>
                <w:szCs w:val="17"/>
                <w:color w:val="auto"/>
              </w:rPr>
              <w:t>Dividends and Payout Ratios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Regular common dividends declared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35,931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32,422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71,782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64,805</w:t>
            </w:r>
          </w:p>
        </w:tc>
        <w:tc>
          <w:tcPr>
            <w:tcW w:w="0" w:type="dxa"/>
            <w:vAlign w:val="bottom"/>
          </w:tcPr>
          <w:p>
            <w:pPr>
              <w:spacing w:after="0"/>
              <w:rPr>
                <w:sz w:val="1"/>
                <w:szCs w:val="1"/>
                <w:color w:val="auto"/>
              </w:rPr>
            </w:pPr>
          </w:p>
        </w:tc>
      </w:tr>
      <w:tr>
        <w:trPr>
          <w:trHeight w:val="312"/>
        </w:trPr>
        <w:tc>
          <w:tcPr>
            <w:tcW w:w="7200" w:type="dxa"/>
            <w:vAlign w:val="bottom"/>
            <w:gridSpan w:val="5"/>
          </w:tcPr>
          <w:p>
            <w:pPr>
              <w:spacing w:after="0"/>
              <w:rPr>
                <w:sz w:val="20"/>
                <w:szCs w:val="20"/>
                <w:color w:val="auto"/>
              </w:rPr>
            </w:pPr>
            <w:r>
              <w:rPr>
                <w:rFonts w:ascii="Arial" w:cs="Arial" w:eastAsia="Arial" w:hAnsi="Arial"/>
                <w:sz w:val="17"/>
                <w:szCs w:val="17"/>
                <w:color w:val="auto"/>
              </w:rPr>
              <w:t>Dividend payout ratio as a percentage of FFO</w:t>
            </w:r>
          </w:p>
        </w:tc>
        <w:tc>
          <w:tcPr>
            <w:tcW w:w="1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63%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34"/>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4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1"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June 30,</w:t>
            </w:r>
          </w:p>
        </w:tc>
        <w:tc>
          <w:tcPr>
            <w:tcW w:w="7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57"/>
              <w:spacing w:after="0" w:line="138" w:lineRule="exact"/>
              <w:rPr>
                <w:sz w:val="20"/>
                <w:szCs w:val="20"/>
                <w:color w:val="auto"/>
              </w:rPr>
            </w:pPr>
            <w:r>
              <w:rPr>
                <w:rFonts w:ascii="Arial" w:cs="Arial" w:eastAsia="Arial" w:hAnsi="Arial"/>
                <w:sz w:val="13"/>
                <w:szCs w:val="13"/>
                <w:b w:val="1"/>
                <w:bCs w:val="1"/>
                <w:color w:val="auto"/>
              </w:rPr>
              <w:t>2008</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6"/>
              <w:spacing w:after="0" w:line="138" w:lineRule="exact"/>
              <w:rPr>
                <w:sz w:val="20"/>
                <w:szCs w:val="20"/>
                <w:color w:val="auto"/>
              </w:rPr>
            </w:pPr>
            <w:r>
              <w:rPr>
                <w:rFonts w:ascii="Arial" w:cs="Arial" w:eastAsia="Arial" w:hAnsi="Arial"/>
                <w:sz w:val="13"/>
                <w:szCs w:val="13"/>
                <w:b w:val="1"/>
                <w:bCs w:val="1"/>
                <w:color w:val="auto"/>
              </w:rPr>
              <w:t>2007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480" w:type="dxa"/>
            <w:vAlign w:val="bottom"/>
            <w:gridSpan w:val="2"/>
          </w:tcPr>
          <w:p>
            <w:pPr>
              <w:ind w:left="40"/>
              <w:spacing w:after="0" w:line="138" w:lineRule="exact"/>
              <w:rPr>
                <w:sz w:val="20"/>
                <w:szCs w:val="20"/>
                <w:color w:val="auto"/>
              </w:rPr>
            </w:pPr>
            <w:r>
              <w:rPr>
                <w:rFonts w:ascii="Arial" w:cs="Arial" w:eastAsia="Arial" w:hAnsi="Arial"/>
                <w:sz w:val="13"/>
                <w:szCs w:val="13"/>
                <w:b w:val="1"/>
                <w:bCs w:val="1"/>
                <w:color w:val="auto"/>
              </w:rPr>
              <w:t>except</w:t>
            </w:r>
          </w:p>
        </w:tc>
        <w:tc>
          <w:tcPr>
            <w:tcW w:w="9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98"/>
              </w:rPr>
              <w:t>per share data)</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Market data</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gridSpan w:val="2"/>
          </w:tcPr>
          <w:p>
            <w:pPr>
              <w:ind w:left="420"/>
              <w:spacing w:after="0"/>
              <w:rPr>
                <w:sz w:val="20"/>
                <w:szCs w:val="20"/>
                <w:color w:val="auto"/>
              </w:rPr>
            </w:pPr>
            <w:r>
              <w:rPr>
                <w:rFonts w:ascii="Arial" w:cs="Arial" w:eastAsia="Arial" w:hAnsi="Arial"/>
                <w:sz w:val="17"/>
                <w:szCs w:val="17"/>
                <w:color w:val="auto"/>
              </w:rPr>
              <w:t>Common shares outstanding (1)</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58,904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56,387</w:t>
            </w:r>
          </w:p>
        </w:tc>
        <w:tc>
          <w:tcPr>
            <w:tcW w:w="0" w:type="dxa"/>
            <w:vAlign w:val="bottom"/>
          </w:tcPr>
          <w:p>
            <w:pPr>
              <w:spacing w:after="0"/>
              <w:rPr>
                <w:sz w:val="1"/>
                <w:szCs w:val="1"/>
                <w:color w:val="auto"/>
              </w:rPr>
            </w:pPr>
          </w:p>
        </w:tc>
      </w:tr>
      <w:tr>
        <w:trPr>
          <w:trHeight w:val="210"/>
        </w:trPr>
        <w:tc>
          <w:tcPr>
            <w:tcW w:w="7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Market price per common share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77.26</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ind w:left="840"/>
              <w:spacing w:after="0"/>
              <w:rPr>
                <w:sz w:val="20"/>
                <w:szCs w:val="20"/>
                <w:color w:val="auto"/>
              </w:rPr>
            </w:pPr>
            <w:r>
              <w:rPr>
                <w:rFonts w:ascii="Arial" w:cs="Arial" w:eastAsia="Arial" w:hAnsi="Arial"/>
                <w:sz w:val="17"/>
                <w:szCs w:val="17"/>
                <w:color w:val="auto"/>
              </w:rPr>
              <w:t>Common equity market capitalization</w:t>
            </w: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2"/>
            <w:vMerge w:val="continue"/>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4,064,376</w:t>
            </w:r>
          </w:p>
        </w:tc>
        <w:tc>
          <w:tcPr>
            <w:tcW w:w="30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4,356,460</w:t>
            </w:r>
          </w:p>
        </w:tc>
        <w:tc>
          <w:tcPr>
            <w:tcW w:w="0" w:type="dxa"/>
            <w:vAlign w:val="bottom"/>
          </w:tcPr>
          <w:p>
            <w:pPr>
              <w:spacing w:after="0"/>
              <w:rPr>
                <w:sz w:val="1"/>
                <w:szCs w:val="1"/>
                <w:color w:val="auto"/>
              </w:rPr>
            </w:pPr>
          </w:p>
        </w:tc>
      </w:tr>
      <w:tr>
        <w:trPr>
          <w:trHeight w:val="210"/>
        </w:trPr>
        <w:tc>
          <w:tcPr>
            <w:tcW w:w="7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Series 1 preferred shares outstanding (2)</w:t>
            </w:r>
          </w:p>
        </w:tc>
        <w:tc>
          <w:tcPr>
            <w:tcW w:w="1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gridSpan w:val="2"/>
          </w:tcPr>
          <w:p>
            <w:pPr>
              <w:ind w:left="420"/>
              <w:spacing w:after="0"/>
              <w:rPr>
                <w:sz w:val="20"/>
                <w:szCs w:val="20"/>
                <w:color w:val="auto"/>
              </w:rPr>
            </w:pPr>
            <w:r>
              <w:rPr>
                <w:rFonts w:ascii="Arial" w:cs="Arial" w:eastAsia="Arial" w:hAnsi="Arial"/>
                <w:sz w:val="17"/>
                <w:szCs w:val="17"/>
                <w:color w:val="auto"/>
              </w:rPr>
              <w:t>Liquidation price per Series 1 preferred share</w:t>
            </w:r>
          </w:p>
        </w:tc>
        <w:tc>
          <w:tcPr>
            <w:tcW w:w="1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25.00</w:t>
            </w:r>
          </w:p>
        </w:tc>
        <w:tc>
          <w:tcPr>
            <w:tcW w:w="30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Series 1 preferred equity market capitalization</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ind w:left="420"/>
              <w:spacing w:after="0"/>
              <w:rPr>
                <w:sz w:val="20"/>
                <w:szCs w:val="20"/>
                <w:color w:val="auto"/>
              </w:rPr>
            </w:pPr>
            <w:r>
              <w:rPr>
                <w:rFonts w:ascii="Arial" w:cs="Arial" w:eastAsia="Arial" w:hAnsi="Arial"/>
                <w:sz w:val="17"/>
                <w:szCs w:val="17"/>
                <w:color w:val="auto"/>
              </w:rPr>
              <w:t>Equity market capitalization</w:t>
            </w: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0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4,074,376</w:t>
            </w:r>
          </w:p>
        </w:tc>
        <w:tc>
          <w:tcPr>
            <w:tcW w:w="30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4,366,460</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debt (3)</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1,665,934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1,813,475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00" w:type="dxa"/>
            <w:vAlign w:val="bottom"/>
            <w:gridSpan w:val="2"/>
          </w:tcPr>
          <w:p>
            <w:pPr>
              <w:ind w:left="420"/>
              <w:spacing w:after="0"/>
              <w:rPr>
                <w:sz w:val="20"/>
                <w:szCs w:val="20"/>
                <w:color w:val="auto"/>
              </w:rPr>
            </w:pPr>
            <w:r>
              <w:rPr>
                <w:rFonts w:ascii="Arial" w:cs="Arial" w:eastAsia="Arial" w:hAnsi="Arial"/>
                <w:sz w:val="17"/>
                <w:szCs w:val="17"/>
                <w:color w:val="auto"/>
              </w:rPr>
              <w:t>Total market capitalization</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5,740,310</w:t>
            </w:r>
          </w:p>
        </w:tc>
        <w:tc>
          <w:tcPr>
            <w:tcW w:w="30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6,179,935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debt to market capitalization at then current market price</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12"/>
        </w:trPr>
        <w:tc>
          <w:tcPr>
            <w:tcW w:w="7300" w:type="dxa"/>
            <w:vAlign w:val="bottom"/>
            <w:gridSpan w:val="2"/>
          </w:tcPr>
          <w:p>
            <w:pPr>
              <w:ind w:left="420"/>
              <w:spacing w:after="0"/>
              <w:rPr>
                <w:sz w:val="20"/>
                <w:szCs w:val="20"/>
                <w:color w:val="auto"/>
              </w:rPr>
            </w:pPr>
            <w:r>
              <w:rPr>
                <w:rFonts w:ascii="Arial" w:cs="Arial" w:eastAsia="Arial" w:hAnsi="Arial"/>
                <w:sz w:val="17"/>
                <w:szCs w:val="17"/>
                <w:color w:val="auto"/>
              </w:rPr>
              <w:t>Total debt to market capitalization at constant common share price of $77.26</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27%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Fixed rate debt ratio:</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gridSpan w:val="2"/>
          </w:tcPr>
          <w:p>
            <w:pPr>
              <w:ind w:left="840"/>
              <w:spacing w:after="0"/>
              <w:rPr>
                <w:sz w:val="20"/>
                <w:szCs w:val="20"/>
                <w:color w:val="auto"/>
              </w:rPr>
            </w:pPr>
            <w:r>
              <w:rPr>
                <w:rFonts w:ascii="Arial" w:cs="Arial" w:eastAsia="Arial" w:hAnsi="Arial"/>
                <w:sz w:val="17"/>
                <w:szCs w:val="17"/>
                <w:color w:val="auto"/>
              </w:rPr>
              <w:t>Fixed rate debt and capital lease obligations (4)</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0"/>
        </w:trPr>
        <w:tc>
          <w:tcPr>
            <w:tcW w:w="73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Variable rate debt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1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14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right="60" w:hanging="455"/>
        <w:spacing w:after="0" w:line="257"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Consists of 60,392,445 shares issued net of 1,488,310 shares held in Treasury as of June 30, 2008. As of June 30, 2007, consists of 57,873,340 shares issued net of 1,486,803 shares held in Treasury. Amounts do not include 376,260 and 557,694 Operating Partnership Units outstanding at June 30, 2008 and 2007, respectively.</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These shares, issued March 8, 2007, are unregistered.</w:t>
      </w:r>
    </w:p>
    <w:p>
      <w:pPr>
        <w:spacing w:after="0" w:line="14" w:lineRule="exact"/>
        <w:rPr>
          <w:rFonts w:ascii="Arial" w:cs="Arial" w:eastAsia="Arial" w:hAnsi="Arial"/>
          <w:sz w:val="17"/>
          <w:szCs w:val="17"/>
          <w:color w:val="auto"/>
        </w:rPr>
      </w:pPr>
    </w:p>
    <w:p>
      <w:pPr>
        <w:ind w:left="460" w:right="80" w:hanging="455"/>
        <w:spacing w:after="0" w:line="291"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Total debt includes capital leases, mortgages payable, notes payable, senior notes and debentures, net of premiums and discounts from our consolidated balance sheet. It does not include the $24.4 million which is the Trust’s 30% share of the total $81.5 million debt of the partnership with Clarion Lion Properties Fund.</w:t>
      </w:r>
    </w:p>
    <w:p>
      <w:pPr>
        <w:spacing w:after="0" w:line="1" w:lineRule="exact"/>
        <w:rPr>
          <w:rFonts w:ascii="Arial" w:cs="Arial" w:eastAsia="Arial" w:hAnsi="Arial"/>
          <w:sz w:val="15"/>
          <w:szCs w:val="15"/>
          <w:color w:val="auto"/>
        </w:rPr>
      </w:pPr>
    </w:p>
    <w:p>
      <w:pPr>
        <w:ind w:left="460" w:right="200" w:hanging="455"/>
        <w:spacing w:after="0" w:line="263"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February 21, 2008, we entered into two interest rate swap agreements to fix the variable portion of our $200 million term note through November 6, 2008. The first swap fixed the variable rate at 2.725% on a notional amount of $100 million and the second swap fixed the variable rate at 2.852% on a notional amount of $100 million for a combined fixed rate of 2.789%. As the interest rate on the term loan was effectively fixed by the two swap agreements, the $200 million term loan is included in fixed rate debt.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Rental Income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Three months ended</w:t>
            </w:r>
          </w:p>
        </w:tc>
        <w:tc>
          <w:tcPr>
            <w:tcW w:w="1620" w:type="dxa"/>
            <w:vAlign w:val="bottom"/>
            <w:gridSpan w:val="3"/>
          </w:tcPr>
          <w:p>
            <w:pPr>
              <w:jc w:val="right"/>
              <w:ind w:right="254"/>
              <w:spacing w:after="0"/>
              <w:rPr>
                <w:sz w:val="20"/>
                <w:szCs w:val="20"/>
                <w:color w:val="auto"/>
              </w:rPr>
            </w:pPr>
            <w:r>
              <w:rPr>
                <w:rFonts w:ascii="Arial" w:cs="Arial" w:eastAsia="Arial" w:hAnsi="Arial"/>
                <w:sz w:val="13"/>
                <w:szCs w:val="13"/>
                <w:b w:val="1"/>
                <w:bCs w:val="1"/>
                <w:color w:val="auto"/>
              </w:rPr>
              <w:t>Six months ended</w:t>
            </w:r>
          </w:p>
        </w:tc>
      </w:tr>
      <w:tr>
        <w:trPr>
          <w:trHeight w:val="157"/>
        </w:trPr>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3"/>
                <w:szCs w:val="13"/>
                <w:b w:val="1"/>
                <w:bCs w:val="1"/>
                <w:color w:val="auto"/>
              </w:rPr>
              <w:t>June 30,</w:t>
            </w:r>
          </w:p>
        </w:tc>
      </w:tr>
      <w:tr>
        <w:trPr>
          <w:trHeight w:val="137"/>
        </w:trPr>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03"/>
              <w:spacing w:after="0" w:line="138" w:lineRule="exact"/>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8"/>
              <w:spacing w:after="0" w:line="138" w:lineRule="exact"/>
              <w:rPr>
                <w:sz w:val="20"/>
                <w:szCs w:val="20"/>
                <w:color w:val="auto"/>
              </w:rPr>
            </w:pPr>
            <w:r>
              <w:rPr>
                <w:rFonts w:ascii="Arial" w:cs="Arial" w:eastAsia="Arial" w:hAnsi="Arial"/>
                <w:sz w:val="13"/>
                <w:szCs w:val="13"/>
                <w:b w:val="1"/>
                <w:bCs w:val="1"/>
                <w:color w:val="auto"/>
              </w:rPr>
              <w:t>2007</w:t>
            </w:r>
          </w:p>
        </w:tc>
        <w:tc>
          <w:tcPr>
            <w:tcW w:w="320" w:type="dxa"/>
            <w:vAlign w:val="bottom"/>
          </w:tcPr>
          <w:p>
            <w:pPr>
              <w:spacing w:after="0"/>
              <w:rPr>
                <w:sz w:val="11"/>
                <w:szCs w:val="11"/>
                <w:color w:val="auto"/>
              </w:rPr>
            </w:pPr>
          </w:p>
        </w:tc>
        <w:tc>
          <w:tcPr>
            <w:tcW w:w="660" w:type="dxa"/>
            <w:vAlign w:val="bottom"/>
            <w:tcBorders>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2008</w:t>
            </w:r>
          </w:p>
        </w:tc>
        <w:tc>
          <w:tcPr>
            <w:tcW w:w="300" w:type="dxa"/>
            <w:vAlign w:val="bottom"/>
          </w:tcPr>
          <w:p>
            <w:pPr>
              <w:spacing w:after="0"/>
              <w:rPr>
                <w:sz w:val="11"/>
                <w:szCs w:val="11"/>
                <w:color w:val="auto"/>
              </w:rPr>
            </w:pPr>
          </w:p>
        </w:tc>
        <w:tc>
          <w:tcPr>
            <w:tcW w:w="660" w:type="dxa"/>
            <w:vAlign w:val="bottom"/>
            <w:tcBorders>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2007</w:t>
            </w:r>
          </w:p>
        </w:tc>
      </w:tr>
      <w:tr>
        <w:trPr>
          <w:trHeight w:val="137"/>
        </w:trPr>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3"/>
              <w:spacing w:after="0" w:line="138" w:lineRule="exact"/>
              <w:rPr>
                <w:sz w:val="20"/>
                <w:szCs w:val="20"/>
                <w:color w:val="auto"/>
              </w:rPr>
            </w:pPr>
            <w:r>
              <w:rPr>
                <w:rFonts w:ascii="Arial" w:cs="Arial" w:eastAsia="Arial" w:hAnsi="Arial"/>
                <w:sz w:val="13"/>
                <w:szCs w:val="13"/>
                <w:b w:val="1"/>
                <w:bCs w:val="1"/>
                <w:color w:val="auto"/>
              </w:rPr>
              <w:t>(in</w:t>
            </w:r>
          </w:p>
        </w:tc>
        <w:tc>
          <w:tcPr>
            <w:tcW w:w="960" w:type="dxa"/>
            <w:vAlign w:val="bottom"/>
            <w:gridSpan w:val="3"/>
          </w:tcPr>
          <w:p>
            <w:pPr>
              <w:jc w:val="right"/>
              <w:ind w:right="318"/>
              <w:spacing w:after="0" w:line="138" w:lineRule="exact"/>
              <w:rPr>
                <w:sz w:val="20"/>
                <w:szCs w:val="20"/>
                <w:color w:val="auto"/>
              </w:rPr>
            </w:pPr>
            <w:r>
              <w:rPr>
                <w:rFonts w:ascii="Arial" w:cs="Arial" w:eastAsia="Arial" w:hAnsi="Arial"/>
                <w:sz w:val="13"/>
                <w:szCs w:val="13"/>
                <w:b w:val="1"/>
                <w:bCs w:val="1"/>
                <w:color w:val="auto"/>
                <w:w w:val="77"/>
              </w:rPr>
              <w:t>thousands)</w:t>
            </w:r>
          </w:p>
        </w:tc>
        <w:tc>
          <w:tcPr>
            <w:tcW w:w="320" w:type="dxa"/>
            <w:vAlign w:val="bottom"/>
          </w:tcPr>
          <w:p>
            <w:pPr>
              <w:spacing w:after="0"/>
              <w:rPr>
                <w:sz w:val="11"/>
                <w:szCs w:val="11"/>
                <w:color w:val="auto"/>
              </w:rPr>
            </w:pPr>
          </w:p>
        </w:tc>
        <w:tc>
          <w:tcPr>
            <w:tcW w:w="660" w:type="dxa"/>
            <w:vAlign w:val="bottom"/>
          </w:tcPr>
          <w:p>
            <w:pPr>
              <w:jc w:val="right"/>
              <w:ind w:right="23"/>
              <w:spacing w:after="0" w:line="138" w:lineRule="exact"/>
              <w:rPr>
                <w:sz w:val="20"/>
                <w:szCs w:val="20"/>
                <w:color w:val="auto"/>
              </w:rPr>
            </w:pPr>
            <w:r>
              <w:rPr>
                <w:rFonts w:ascii="Arial" w:cs="Arial" w:eastAsia="Arial" w:hAnsi="Arial"/>
                <w:sz w:val="13"/>
                <w:szCs w:val="13"/>
                <w:b w:val="1"/>
                <w:bCs w:val="1"/>
                <w:color w:val="auto"/>
              </w:rPr>
              <w:t>(in</w:t>
            </w:r>
          </w:p>
        </w:tc>
        <w:tc>
          <w:tcPr>
            <w:tcW w:w="960" w:type="dxa"/>
            <w:vAlign w:val="bottom"/>
            <w:gridSpan w:val="2"/>
          </w:tcPr>
          <w:p>
            <w:pPr>
              <w:jc w:val="right"/>
              <w:ind w:right="334"/>
              <w:spacing w:after="0" w:line="138" w:lineRule="exact"/>
              <w:rPr>
                <w:sz w:val="20"/>
                <w:szCs w:val="20"/>
                <w:color w:val="auto"/>
              </w:rPr>
            </w:pPr>
            <w:r>
              <w:rPr>
                <w:rFonts w:ascii="Arial" w:cs="Arial" w:eastAsia="Arial" w:hAnsi="Arial"/>
                <w:sz w:val="13"/>
                <w:szCs w:val="13"/>
                <w:b w:val="1"/>
                <w:bCs w:val="1"/>
                <w:color w:val="auto"/>
                <w:w w:val="77"/>
              </w:rPr>
              <w:t>thousands)</w:t>
            </w:r>
          </w:p>
        </w:tc>
      </w:tr>
      <w:tr>
        <w:trPr>
          <w:trHeight w:val="210"/>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Minimum rents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580" w:type="dxa"/>
            <w:vAlign w:val="bottom"/>
            <w:gridSpan w:val="2"/>
          </w:tcPr>
          <w:p>
            <w:pPr>
              <w:ind w:left="420"/>
              <w:spacing w:after="0"/>
              <w:rPr>
                <w:sz w:val="20"/>
                <w:szCs w:val="20"/>
                <w:color w:val="auto"/>
              </w:rPr>
            </w:pPr>
            <w:r>
              <w:rPr>
                <w:rFonts w:ascii="Arial" w:cs="Arial" w:eastAsia="Arial" w:hAnsi="Arial"/>
                <w:sz w:val="17"/>
                <w:szCs w:val="17"/>
                <w:color w:val="auto"/>
              </w:rPr>
              <w:t>Retail and commercial (1)</w:t>
            </w:r>
          </w:p>
        </w:tc>
        <w:tc>
          <w:tcPr>
            <w:tcW w:w="2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54"/>
              <w:spacing w:after="0"/>
              <w:rPr>
                <w:sz w:val="20"/>
                <w:szCs w:val="20"/>
                <w:color w:val="auto"/>
              </w:rPr>
            </w:pPr>
            <w:r>
              <w:rPr>
                <w:rFonts w:ascii="Arial" w:cs="Arial" w:eastAsia="Arial" w:hAnsi="Arial"/>
                <w:sz w:val="17"/>
                <w:szCs w:val="17"/>
                <w:color w:val="auto"/>
              </w:rPr>
              <w:t>91,759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87,378</w:t>
            </w:r>
          </w:p>
        </w:tc>
        <w:tc>
          <w:tcPr>
            <w:tcW w:w="660" w:type="dxa"/>
            <w:vAlign w:val="bottom"/>
          </w:tcPr>
          <w:p>
            <w:pPr>
              <w:jc w:val="right"/>
              <w:spacing w:after="0"/>
              <w:rPr>
                <w:sz w:val="20"/>
                <w:szCs w:val="20"/>
                <w:color w:val="auto"/>
              </w:rPr>
            </w:pPr>
            <w:r>
              <w:rPr>
                <w:rFonts w:ascii="Arial" w:cs="Arial" w:eastAsia="Arial" w:hAnsi="Arial"/>
                <w:sz w:val="17"/>
                <w:szCs w:val="17"/>
                <w:color w:val="auto"/>
                <w:w w:val="90"/>
              </w:rPr>
              <w:t>$182,046</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$170,295</w:t>
            </w:r>
          </w:p>
        </w:tc>
      </w:tr>
      <w:tr>
        <w:trPr>
          <w:trHeight w:val="210"/>
        </w:trPr>
        <w:tc>
          <w:tcPr>
            <w:tcW w:w="460" w:type="dxa"/>
            <w:vAlign w:val="bottom"/>
          </w:tcPr>
          <w:p>
            <w:pPr>
              <w:spacing w:after="0"/>
              <w:rPr>
                <w:sz w:val="18"/>
                <w:szCs w:val="18"/>
                <w:color w:val="auto"/>
              </w:rPr>
            </w:pPr>
          </w:p>
        </w:tc>
        <w:tc>
          <w:tcPr>
            <w:tcW w:w="45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Residential (2)</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4,112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3,733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7,342</w:t>
            </w:r>
          </w:p>
        </w:tc>
      </w:tr>
      <w:tr>
        <w:trPr>
          <w:trHeight w:val="210"/>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Cost reimbursements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54"/>
              <w:spacing w:after="0"/>
              <w:rPr>
                <w:sz w:val="20"/>
                <w:szCs w:val="20"/>
                <w:color w:val="auto"/>
              </w:rPr>
            </w:pPr>
            <w:r>
              <w:rPr>
                <w:rFonts w:ascii="Arial" w:cs="Arial" w:eastAsia="Arial" w:hAnsi="Arial"/>
                <w:sz w:val="17"/>
                <w:szCs w:val="17"/>
                <w:color w:val="auto"/>
              </w:rPr>
              <w:t>24,980</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21,077</w:t>
            </w:r>
          </w:p>
        </w:tc>
        <w:tc>
          <w:tcPr>
            <w:tcW w:w="660" w:type="dxa"/>
            <w:vAlign w:val="bottom"/>
          </w:tcPr>
          <w:p>
            <w:pPr>
              <w:jc w:val="right"/>
              <w:spacing w:after="0"/>
              <w:rPr>
                <w:sz w:val="20"/>
                <w:szCs w:val="20"/>
                <w:color w:val="auto"/>
              </w:rPr>
            </w:pPr>
            <w:r>
              <w:rPr>
                <w:rFonts w:ascii="Arial" w:cs="Arial" w:eastAsia="Arial" w:hAnsi="Arial"/>
                <w:sz w:val="17"/>
                <w:szCs w:val="17"/>
                <w:color w:val="auto"/>
              </w:rPr>
              <w:t>49,724</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43,102</w:t>
            </w:r>
          </w:p>
        </w:tc>
      </w:tr>
      <w:tr>
        <w:trPr>
          <w:trHeight w:val="210"/>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Percentage rents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1,761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1,644</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3,567</w:t>
            </w:r>
          </w:p>
        </w:tc>
      </w:tr>
      <w:tr>
        <w:trPr>
          <w:trHeight w:val="210"/>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Other rental income</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54"/>
              <w:spacing w:after="0"/>
              <w:rPr>
                <w:sz w:val="20"/>
                <w:szCs w:val="20"/>
                <w:color w:val="auto"/>
              </w:rPr>
            </w:pPr>
            <w:r>
              <w:rPr>
                <w:rFonts w:ascii="Arial" w:cs="Arial" w:eastAsia="Arial" w:hAnsi="Arial"/>
                <w:sz w:val="17"/>
                <w:szCs w:val="17"/>
                <w:color w:val="auto"/>
              </w:rPr>
              <w:t>1,340</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1,449</w:t>
            </w:r>
          </w:p>
        </w:tc>
        <w:tc>
          <w:tcPr>
            <w:tcW w:w="660" w:type="dxa"/>
            <w:vAlign w:val="bottom"/>
          </w:tcPr>
          <w:p>
            <w:pPr>
              <w:jc w:val="right"/>
              <w:spacing w:after="0"/>
              <w:rPr>
                <w:sz w:val="20"/>
                <w:szCs w:val="20"/>
                <w:color w:val="auto"/>
              </w:rPr>
            </w:pPr>
            <w:r>
              <w:rPr>
                <w:rFonts w:ascii="Arial" w:cs="Arial" w:eastAsia="Arial" w:hAnsi="Arial"/>
                <w:sz w:val="17"/>
                <w:szCs w:val="17"/>
                <w:color w:val="auto"/>
              </w:rPr>
              <w:t>2,639</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2,739</w:t>
            </w:r>
          </w:p>
        </w:tc>
      </w:tr>
      <w:tr>
        <w:trPr>
          <w:trHeight w:val="26"/>
        </w:trPr>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r>
      <w:tr>
        <w:trPr>
          <w:trHeight w:val="210"/>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rental income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8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w w:val="87"/>
              </w:rPr>
              <w:t>123,952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4"/>
              </w:rPr>
              <w:t>115,281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246,673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227,045</w:t>
            </w:r>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97"/>
        </w:trPr>
        <w:tc>
          <w:tcPr>
            <w:tcW w:w="4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line="257"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Minimum rents include $1.4 million and $2.7 million for the three months ended June 30, 2008 and 2007, respectively, and $3.0 million and $4.4 million for the six months ended June 30, 2008 and 2007, respectively, to recognize minimum rents on a straight-line basis. In addition, minimum rents include $0.7 million and $0.4 million for the three months ended June 30, 2008 and 2007, respectively, and $1.3 million for each of the six months ended June 30, 2008 and 2007, to recognize income from the amortization of in-place leases in accordance with SFAS No. 141.</w:t>
      </w:r>
    </w:p>
    <w:p>
      <w:pPr>
        <w:spacing w:after="0" w:line="1" w:lineRule="exact"/>
        <w:rPr>
          <w:rFonts w:ascii="Arial" w:cs="Arial" w:eastAsia="Arial" w:hAnsi="Arial"/>
          <w:sz w:val="17"/>
          <w:szCs w:val="17"/>
          <w:color w:val="auto"/>
        </w:rPr>
      </w:pPr>
    </w:p>
    <w:p>
      <w:pPr>
        <w:ind w:left="460" w:right="20" w:hanging="455"/>
        <w:spacing w:after="0" w:line="266"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Residential minimum rents consist of the rental amounts for residential units at Rollingwood Apartments, the Crest at Congressional Plaza Apartments, Santana Row, and for 2008, Arlington East (Bethesda Row). The first rental units at Arlington East were delivered and became rent paying in late May 2008. Lease-up of these rental units will continue through 2008.</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80"/>
          </w:cols>
          <w:pgMar w:left="240" w:top="271" w:right="279" w:bottom="1440" w:gutter="0" w:footer="0" w:header="0"/>
        </w:sectPr>
      </w:pPr>
    </w:p>
    <w:bookmarkStart w:id="15" w:name="page16"/>
    <w:bookmarkEnd w:id="15"/>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Capital Lease Obligations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Stated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9"/>
              </w:rPr>
              <w:t>Weighted average</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0"/>
              </w:rPr>
              <w:t>interest rate as 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6"/>
          </w:tcPr>
          <w:p>
            <w:pPr>
              <w:ind w:left="20"/>
              <w:spacing w:after="0" w:line="144" w:lineRule="exact"/>
              <w:rPr>
                <w:sz w:val="20"/>
                <w:szCs w:val="20"/>
                <w:color w:val="auto"/>
              </w:rPr>
            </w:pPr>
            <w:r>
              <w:rPr>
                <w:rFonts w:ascii="Arial" w:cs="Arial" w:eastAsia="Arial" w:hAnsi="Arial"/>
                <w:sz w:val="13"/>
                <w:szCs w:val="13"/>
                <w:b w:val="1"/>
                <w:bCs w:val="1"/>
                <w:color w:val="auto"/>
              </w:rPr>
              <w:t>Balance as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5"/>
          </w:tcPr>
          <w:p>
            <w:pPr>
              <w:jc w:val="center"/>
              <w:ind w:right="200"/>
              <w:spacing w:after="0" w:line="144" w:lineRule="exact"/>
              <w:rPr>
                <w:sz w:val="20"/>
                <w:szCs w:val="20"/>
                <w:color w:val="auto"/>
              </w:rPr>
            </w:pPr>
            <w:r>
              <w:rPr>
                <w:rFonts w:ascii="Arial" w:cs="Arial" w:eastAsia="Arial" w:hAnsi="Arial"/>
                <w:sz w:val="13"/>
                <w:szCs w:val="13"/>
                <w:b w:val="1"/>
                <w:bCs w:val="1"/>
                <w:color w:val="auto"/>
                <w:w w:val="90"/>
              </w:rPr>
              <w:t>effective rate at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620" w:type="dxa"/>
            <w:vAlign w:val="bottom"/>
            <w:gridSpan w:val="2"/>
          </w:tcPr>
          <w:p>
            <w:pPr>
              <w:ind w:left="340"/>
              <w:spacing w:after="0"/>
              <w:rPr>
                <w:sz w:val="20"/>
                <w:szCs w:val="20"/>
                <w:color w:val="auto"/>
              </w:rPr>
            </w:pPr>
            <w:r>
              <w:rPr>
                <w:rFonts w:ascii="Arial" w:cs="Arial" w:eastAsia="Arial" w:hAnsi="Arial"/>
                <w:sz w:val="13"/>
                <w:szCs w:val="13"/>
                <w:b w:val="1"/>
                <w:bCs w:val="1"/>
                <w:color w:val="auto"/>
              </w:rPr>
              <w:t>Maturity date</w:t>
            </w: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June 30, 2008</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6"/>
          </w:tcPr>
          <w:p>
            <w:pPr>
              <w:ind w:left="20"/>
              <w:spacing w:after="0"/>
              <w:rPr>
                <w:sz w:val="20"/>
                <w:szCs w:val="20"/>
                <w:color w:val="auto"/>
              </w:rPr>
            </w:pPr>
            <w:r>
              <w:rPr>
                <w:rFonts w:ascii="Arial" w:cs="Arial" w:eastAsia="Arial" w:hAnsi="Arial"/>
                <w:sz w:val="13"/>
                <w:szCs w:val="13"/>
                <w:b w:val="1"/>
                <w:bCs w:val="1"/>
                <w:color w:val="auto"/>
                <w:w w:val="99"/>
              </w:rPr>
              <w:t>June 30, 2008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1"/>
              </w:rPr>
              <w:t>June 30, 2008 (j)</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gridSpan w:val="4"/>
          </w:tcPr>
          <w:p>
            <w:pPr>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60" w:type="dxa"/>
            <w:vAlign w:val="bottom"/>
            <w:gridSpan w:val="6"/>
            <w:shd w:val="clear" w:color="auto" w:fill="CCEEFF"/>
          </w:tcPr>
          <w:p>
            <w:pPr>
              <w:spacing w:after="0" w:line="171" w:lineRule="exact"/>
              <w:rPr>
                <w:sz w:val="20"/>
                <w:szCs w:val="20"/>
                <w:color w:val="auto"/>
              </w:rPr>
            </w:pPr>
            <w:r>
              <w:rPr>
                <w:rFonts w:ascii="Arial" w:cs="Arial" w:eastAsia="Arial" w:hAnsi="Arial"/>
                <w:sz w:val="17"/>
                <w:szCs w:val="17"/>
                <w:color w:val="auto"/>
              </w:rPr>
              <w:t>Mortgage loans (a)</w:t>
            </w: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1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i w:val="1"/>
                <w:iCs w:val="1"/>
                <w:color w:val="auto"/>
              </w:rPr>
              <w:t>Secured fixed rate</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Leesburg Plaza</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10/01/08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6.510%</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(b)</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9,564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164 E. Houston Street</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10/06/08</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7.500%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White Marsh Other</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12/31/08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6.060%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1,131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Mercer Mall</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04/01/09</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8.375%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4,409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Federal Plaza</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06/01/11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33,400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Tysons Station</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09/01/11</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7.400%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6,138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White Marsh Plaza</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04/01/13</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6.040%</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10,248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Crow Canyon</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08/11/13</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5.400%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21,404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Melville Mall</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09/01/14</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5.250%</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24,780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THE AVENUE at White Marsh</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01/01/15</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5.460%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60,533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Barracks Road</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11/01/15</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41,712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Hauppauge</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11/01/15</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7.950%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15,724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Lawrence Park</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11/01/15</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29,565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Wildwood</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11/01/15</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7.950%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25,987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Wynnewood</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11/01/15</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30,130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Brick Plaza</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11/01/15</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7.415%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30,907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Shoppers’ World</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01/31/21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5,918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Mount Vernon</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04/15/28</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5.660%</w:t>
            </w:r>
          </w:p>
        </w:tc>
        <w:tc>
          <w:tcPr>
            <w:tcW w:w="340" w:type="dxa"/>
            <w:vAlign w:val="bottom"/>
          </w:tcPr>
          <w:p>
            <w:pPr>
              <w:jc w:val="right"/>
              <w:spacing w:after="0"/>
              <w:rPr>
                <w:sz w:val="20"/>
                <w:szCs w:val="20"/>
                <w:color w:val="auto"/>
              </w:rPr>
            </w:pPr>
            <w:r>
              <w:rPr>
                <w:rFonts w:ascii="Arial" w:cs="Arial" w:eastAsia="Arial" w:hAnsi="Arial"/>
                <w:sz w:val="17"/>
                <w:szCs w:val="17"/>
                <w:color w:val="auto"/>
              </w:rPr>
              <w: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11,803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Chelsea</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01/15/31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5.360%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8,182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20" w:type="dxa"/>
            <w:vAlign w:val="bottom"/>
            <w:gridSpan w:val="5"/>
          </w:tcPr>
          <w:p>
            <w:pPr>
              <w:ind w:left="380"/>
              <w:spacing w:after="0"/>
              <w:rPr>
                <w:sz w:val="20"/>
                <w:szCs w:val="20"/>
                <w:color w:val="auto"/>
              </w:rPr>
            </w:pPr>
            <w:r>
              <w:rPr>
                <w:rFonts w:ascii="Arial" w:cs="Arial" w:eastAsia="Arial" w:hAnsi="Arial"/>
                <w:sz w:val="17"/>
                <w:szCs w:val="17"/>
                <w:color w:val="auto"/>
              </w:rPr>
              <w:t>Subtotal</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371,554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Net unamortized discount</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(612)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20" w:type="dxa"/>
            <w:vAlign w:val="bottom"/>
            <w:gridSpan w:val="5"/>
          </w:tcPr>
          <w:p>
            <w:pPr>
              <w:ind w:left="380"/>
              <w:spacing w:after="0"/>
              <w:rPr>
                <w:sz w:val="20"/>
                <w:szCs w:val="20"/>
                <w:color w:val="auto"/>
              </w:rPr>
            </w:pPr>
            <w:r>
              <w:rPr>
                <w:rFonts w:ascii="Arial" w:cs="Arial" w:eastAsia="Arial" w:hAnsi="Arial"/>
                <w:sz w:val="17"/>
                <w:szCs w:val="17"/>
                <w:color w:val="auto"/>
              </w:rPr>
              <w:t>Total mortgage loans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370,942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ind w:left="300"/>
              <w:spacing w:after="0"/>
              <w:rPr>
                <w:sz w:val="20"/>
                <w:szCs w:val="20"/>
                <w:color w:val="auto"/>
              </w:rPr>
            </w:pPr>
            <w:r>
              <w:rPr>
                <w:rFonts w:ascii="Arial" w:cs="Arial" w:eastAsia="Arial" w:hAnsi="Arial"/>
                <w:sz w:val="17"/>
                <w:szCs w:val="17"/>
                <w:color w:val="auto"/>
                <w:w w:val="99"/>
              </w:rPr>
              <w:t>6.90%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60" w:type="dxa"/>
            <w:vAlign w:val="bottom"/>
            <w:tcBorders>
              <w:bottom w:val="single" w:sz="8" w:color="auto"/>
            </w:tcBorders>
            <w:gridSpan w:val="2"/>
            <w:shd w:val="clear" w:color="auto" w:fill="CCEEFF"/>
          </w:tcPr>
          <w:p>
            <w:pPr>
              <w:spacing w:after="0" w:line="171" w:lineRule="exact"/>
              <w:rPr>
                <w:sz w:val="20"/>
                <w:szCs w:val="20"/>
                <w:color w:val="auto"/>
              </w:rPr>
            </w:pPr>
            <w:r>
              <w:rPr>
                <w:rFonts w:ascii="Arial" w:cs="Arial" w:eastAsia="Arial" w:hAnsi="Arial"/>
                <w:sz w:val="17"/>
                <w:szCs w:val="17"/>
                <w:color w:val="auto"/>
                <w:w w:val="86"/>
              </w:rPr>
              <w:t>Notes payable</w:t>
            </w:r>
          </w:p>
        </w:tc>
        <w:tc>
          <w:tcPr>
            <w:tcW w:w="4100" w:type="dxa"/>
            <w:vAlign w:val="bottom"/>
            <w:tcBorders>
              <w:bottom w:val="single" w:sz="8" w:color="CCEEFF"/>
            </w:tcBorders>
            <w:gridSpan w:val="4"/>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left w:val="single" w:sz="8" w:color="CCEEFF"/>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i w:val="1"/>
                <w:iCs w:val="1"/>
                <w:color w:val="auto"/>
              </w:rPr>
              <w:t>Unsecured fixed rate</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Term note</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11/06/09</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LIBOR + 0.575%</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200,000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Other</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04/01/12</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6.500%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2,223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Perring Plaza renovation</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01/31/13</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1,310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i w:val="1"/>
                <w:iCs w:val="1"/>
                <w:color w:val="auto"/>
              </w:rPr>
              <w:t>Unsecured variable rate</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Revolving credit facility</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07/27/10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LIBOR + 0.425%</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29,000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Escondido (Municipal bonds)</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10/01/16</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2.125%</w:t>
            </w:r>
          </w:p>
        </w:tc>
        <w:tc>
          <w:tcPr>
            <w:tcW w:w="340" w:type="dxa"/>
            <w:vAlign w:val="bottom"/>
          </w:tcPr>
          <w:p>
            <w:pPr>
              <w:jc w:val="right"/>
              <w:spacing w:after="0"/>
              <w:rPr>
                <w:sz w:val="20"/>
                <w:szCs w:val="20"/>
                <w:color w:val="auto"/>
              </w:rPr>
            </w:pPr>
            <w:r>
              <w:rPr>
                <w:rFonts w:ascii="Arial" w:cs="Arial" w:eastAsia="Arial" w:hAnsi="Arial"/>
                <w:sz w:val="17"/>
                <w:szCs w:val="17"/>
                <w:color w:val="auto"/>
              </w:rPr>
              <w:t>(h)</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9,400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20" w:type="dxa"/>
            <w:vAlign w:val="bottom"/>
            <w:gridSpan w:val="5"/>
            <w:shd w:val="clear" w:color="auto" w:fill="CCEEFF"/>
          </w:tcPr>
          <w:p>
            <w:pPr>
              <w:ind w:left="380"/>
              <w:spacing w:after="0"/>
              <w:rPr>
                <w:sz w:val="20"/>
                <w:szCs w:val="20"/>
                <w:color w:val="auto"/>
              </w:rPr>
            </w:pPr>
            <w:r>
              <w:rPr>
                <w:rFonts w:ascii="Arial" w:cs="Arial" w:eastAsia="Arial" w:hAnsi="Arial"/>
                <w:sz w:val="17"/>
                <w:szCs w:val="17"/>
                <w:color w:val="auto"/>
              </w:rPr>
              <w:t>Total notes payable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241,933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w w:val="99"/>
              </w:rPr>
              <w:t>3.73%</w:t>
            </w:r>
          </w:p>
        </w:tc>
        <w:tc>
          <w:tcPr>
            <w:tcW w:w="280" w:type="dxa"/>
            <w:vAlign w:val="bottom"/>
            <w:shd w:val="clear" w:color="auto" w:fill="CCEEFF"/>
          </w:tcPr>
          <w:p>
            <w:pPr>
              <w:ind w:left="80"/>
              <w:spacing w:after="0"/>
              <w:rPr>
                <w:sz w:val="20"/>
                <w:szCs w:val="20"/>
                <w:color w:val="auto"/>
              </w:rPr>
            </w:pPr>
            <w:r>
              <w:rPr>
                <w:rFonts w:ascii="Arial" w:cs="Arial" w:eastAsia="Arial" w:hAnsi="Arial"/>
                <w:sz w:val="17"/>
                <w:szCs w:val="17"/>
                <w:color w:val="auto"/>
                <w:w w:val="90"/>
              </w:rPr>
              <w:t>(k)</w:t>
            </w:r>
          </w:p>
        </w:tc>
        <w:tc>
          <w:tcPr>
            <w:tcW w:w="0" w:type="dxa"/>
            <w:vAlign w:val="bottom"/>
          </w:tcPr>
          <w:p>
            <w:pPr>
              <w:spacing w:after="0"/>
              <w:rPr>
                <w:sz w:val="1"/>
                <w:szCs w:val="1"/>
                <w:color w:val="auto"/>
              </w:rPr>
            </w:pPr>
          </w:p>
        </w:tc>
      </w:tr>
      <w:tr>
        <w:trPr>
          <w:trHeight w:val="186"/>
        </w:trPr>
        <w:tc>
          <w:tcPr>
            <w:tcW w:w="5080" w:type="dxa"/>
            <w:vAlign w:val="bottom"/>
            <w:gridSpan w:val="7"/>
          </w:tcPr>
          <w:p>
            <w:pPr>
              <w:spacing w:after="0" w:line="176" w:lineRule="exact"/>
              <w:rPr>
                <w:sz w:val="20"/>
                <w:szCs w:val="20"/>
                <w:color w:val="auto"/>
              </w:rPr>
            </w:pPr>
            <w:r>
              <w:rPr>
                <w:rFonts w:ascii="Arial" w:cs="Arial" w:eastAsia="Arial" w:hAnsi="Arial"/>
                <w:sz w:val="17"/>
                <w:szCs w:val="17"/>
                <w:color w:val="auto"/>
              </w:rPr>
              <w:t>Senior notes and debentures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00" w:type="dxa"/>
            <w:vAlign w:val="bottom"/>
            <w:tcBorders>
              <w:top w:val="single" w:sz="8" w:color="auto"/>
            </w:tcBorders>
            <w:gridSpan w:val="5"/>
            <w:shd w:val="clear" w:color="auto" w:fill="CCEEFF"/>
          </w:tcPr>
          <w:p>
            <w:pPr>
              <w:ind w:left="400"/>
              <w:spacing w:after="0"/>
              <w:rPr>
                <w:sz w:val="20"/>
                <w:szCs w:val="20"/>
                <w:color w:val="auto"/>
              </w:rPr>
            </w:pPr>
            <w:r>
              <w:rPr>
                <w:rFonts w:ascii="Arial" w:cs="Arial" w:eastAsia="Arial" w:hAnsi="Arial"/>
                <w:sz w:val="17"/>
                <w:szCs w:val="17"/>
                <w:i w:val="1"/>
                <w:iCs w:val="1"/>
                <w:color w:val="auto"/>
                <w:w w:val="94"/>
              </w:rPr>
              <w:t>Unsecured fixed rate</w:t>
            </w:r>
          </w:p>
        </w:tc>
        <w:tc>
          <w:tcPr>
            <w:tcW w:w="3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tcBorders>
              <w:lef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8.75% notes</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12/01/09</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8.750%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175,000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4.50% notes</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02/15/11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75,000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6.00% notes</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07/15/12</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6.000%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175,000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5.40% notes</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12/01/13</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135,000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5.65% notes</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06/01/16</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5.650%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125,000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6.20% notes</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01/15/17</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200,000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tcPr>
          <w:p>
            <w:pPr>
              <w:ind w:left="400"/>
              <w:spacing w:after="0"/>
              <w:rPr>
                <w:sz w:val="20"/>
                <w:szCs w:val="20"/>
                <w:color w:val="auto"/>
              </w:rPr>
            </w:pPr>
            <w:r>
              <w:rPr>
                <w:rFonts w:ascii="Arial" w:cs="Arial" w:eastAsia="Arial" w:hAnsi="Arial"/>
                <w:sz w:val="17"/>
                <w:szCs w:val="17"/>
                <w:color w:val="auto"/>
              </w:rPr>
              <w:t>7.48% debentures</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08/15/26</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7.480%</w:t>
            </w:r>
          </w:p>
        </w:tc>
        <w:tc>
          <w:tcPr>
            <w:tcW w:w="340" w:type="dxa"/>
            <w:vAlign w:val="bottom"/>
          </w:tcPr>
          <w:p>
            <w:pPr>
              <w:jc w:val="right"/>
              <w:spacing w:after="0"/>
              <w:rPr>
                <w:sz w:val="20"/>
                <w:szCs w:val="20"/>
                <w:color w:val="auto"/>
              </w:rPr>
            </w:pPr>
            <w:r>
              <w:rPr>
                <w:rFonts w:ascii="Arial" w:cs="Arial" w:eastAsia="Arial" w:hAnsi="Arial"/>
                <w:sz w:val="17"/>
                <w:szCs w:val="17"/>
                <w:color w:val="auto"/>
              </w:rPr>
              <w:t>(i)</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50,000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6.82% medium term notes</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08/01/27</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20" w:type="dxa"/>
            <w:vAlign w:val="bottom"/>
            <w:gridSpan w:val="5"/>
          </w:tcPr>
          <w:p>
            <w:pPr>
              <w:ind w:left="380"/>
              <w:spacing w:after="0"/>
              <w:rPr>
                <w:sz w:val="20"/>
                <w:szCs w:val="20"/>
                <w:color w:val="auto"/>
              </w:rPr>
            </w:pPr>
            <w:r>
              <w:rPr>
                <w:rFonts w:ascii="Arial" w:cs="Arial" w:eastAsia="Arial" w:hAnsi="Arial"/>
                <w:sz w:val="17"/>
                <w:szCs w:val="17"/>
                <w:color w:val="auto"/>
              </w:rPr>
              <w:t>Subtotal</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975,000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Net unamortized premium</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2,470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20" w:type="dxa"/>
            <w:vAlign w:val="bottom"/>
            <w:gridSpan w:val="5"/>
          </w:tcPr>
          <w:p>
            <w:pPr>
              <w:ind w:left="380"/>
              <w:spacing w:after="0"/>
              <w:rPr>
                <w:sz w:val="20"/>
                <w:szCs w:val="20"/>
                <w:color w:val="auto"/>
              </w:rPr>
            </w:pPr>
            <w:r>
              <w:rPr>
                <w:rFonts w:ascii="Arial" w:cs="Arial" w:eastAsia="Arial" w:hAnsi="Arial"/>
                <w:sz w:val="17"/>
                <w:szCs w:val="17"/>
                <w:color w:val="auto"/>
              </w:rPr>
              <w:t>Total senior notes and debentures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977,470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ind w:left="300"/>
              <w:spacing w:after="0"/>
              <w:rPr>
                <w:sz w:val="20"/>
                <w:szCs w:val="20"/>
                <w:color w:val="auto"/>
              </w:rPr>
            </w:pPr>
            <w:r>
              <w:rPr>
                <w:rFonts w:ascii="Arial" w:cs="Arial" w:eastAsia="Arial" w:hAnsi="Arial"/>
                <w:sz w:val="17"/>
                <w:szCs w:val="17"/>
                <w:color w:val="auto"/>
                <w:w w:val="99"/>
              </w:rPr>
              <w:t>6.44%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gridSpan w:val="6"/>
            <w:shd w:val="clear" w:color="auto" w:fill="CCEEFF"/>
          </w:tcPr>
          <w:p>
            <w:pPr>
              <w:spacing w:after="0" w:line="171" w:lineRule="exact"/>
              <w:rPr>
                <w:sz w:val="20"/>
                <w:szCs w:val="20"/>
                <w:color w:val="auto"/>
              </w:rPr>
            </w:pPr>
            <w:r>
              <w:rPr>
                <w:rFonts w:ascii="Arial" w:cs="Arial" w:eastAsia="Arial" w:hAnsi="Arial"/>
                <w:sz w:val="17"/>
                <w:szCs w:val="17"/>
                <w:color w:val="auto"/>
              </w:rPr>
              <w:t>Capital lease obligations</w:t>
            </w:r>
          </w:p>
        </w:tc>
        <w:tc>
          <w:tcPr>
            <w:tcW w:w="1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Borders>
              <w:top w:val="single" w:sz="8" w:color="auto"/>
            </w:tcBorders>
            <w:gridSpan w:val="4"/>
          </w:tcPr>
          <w:p>
            <w:pPr>
              <w:ind w:left="400"/>
              <w:spacing w:after="0"/>
              <w:rPr>
                <w:sz w:val="20"/>
                <w:szCs w:val="20"/>
                <w:color w:val="auto"/>
              </w:rPr>
            </w:pPr>
            <w:r>
              <w:rPr>
                <w:rFonts w:ascii="Arial" w:cs="Arial" w:eastAsia="Arial" w:hAnsi="Arial"/>
                <w:sz w:val="17"/>
                <w:szCs w:val="17"/>
                <w:color w:val="auto"/>
              </w:rPr>
              <w:t>Various</w:t>
            </w:r>
          </w:p>
        </w:tc>
        <w:tc>
          <w:tcPr>
            <w:tcW w:w="3400" w:type="dxa"/>
            <w:vAlign w:val="bottom"/>
            <w:tcBorders>
              <w:top w:val="single" w:sz="8" w:color="CCEEFF"/>
            </w:tcBorders>
            <w:gridSpan w:val="2"/>
          </w:tcPr>
          <w:p>
            <w:pPr>
              <w:spacing w:after="0"/>
              <w:rPr>
                <w:sz w:val="18"/>
                <w:szCs w:val="18"/>
                <w:color w:val="auto"/>
              </w:rPr>
            </w:pPr>
          </w:p>
        </w:tc>
        <w:tc>
          <w:tcPr>
            <w:tcW w:w="16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7"/>
                <w:szCs w:val="17"/>
                <w:color w:val="auto"/>
                <w:w w:val="89"/>
              </w:rPr>
              <w:t>Various through 2106</w:t>
            </w:r>
          </w:p>
        </w:tc>
        <w:tc>
          <w:tcPr>
            <w:tcW w:w="12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7"/>
                <w:szCs w:val="17"/>
                <w:color w:val="auto"/>
              </w:rPr>
              <w:t>Various</w:t>
            </w: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700" w:type="dxa"/>
            <w:vAlign w:val="bottom"/>
            <w:tcBorders>
              <w:top w:val="single" w:sz="8" w:color="CCEEFF"/>
              <w:bottom w:val="single" w:sz="8" w:color="auto"/>
            </w:tcBorders>
            <w:gridSpan w:val="3"/>
          </w:tcPr>
          <w:p>
            <w:pPr>
              <w:jc w:val="right"/>
              <w:spacing w:after="0"/>
              <w:rPr>
                <w:sz w:val="20"/>
                <w:szCs w:val="20"/>
                <w:color w:val="auto"/>
              </w:rPr>
            </w:pPr>
            <w:r>
              <w:rPr>
                <w:rFonts w:ascii="Arial" w:cs="Arial" w:eastAsia="Arial" w:hAnsi="Arial"/>
                <w:sz w:val="17"/>
                <w:szCs w:val="17"/>
                <w:color w:val="auto"/>
              </w:rPr>
              <w:t>75,589</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gridSpan w:val="3"/>
          </w:tcPr>
          <w:p>
            <w:pPr>
              <w:ind w:left="300"/>
              <w:spacing w:after="0"/>
              <w:rPr>
                <w:sz w:val="20"/>
                <w:szCs w:val="20"/>
                <w:color w:val="auto"/>
              </w:rPr>
            </w:pPr>
            <w:r>
              <w:rPr>
                <w:rFonts w:ascii="Arial" w:cs="Arial" w:eastAsia="Arial" w:hAnsi="Arial"/>
                <w:sz w:val="17"/>
                <w:szCs w:val="17"/>
                <w:color w:val="auto"/>
                <w:w w:val="99"/>
              </w:rPr>
              <w:t>7.44%</w:t>
            </w: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Total debt and capital lease obligations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w w:val="89"/>
              </w:rPr>
              <w:t>1,665,934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7"/>
            <w:vMerge w:val="restart"/>
          </w:tcPr>
          <w:p>
            <w:pPr>
              <w:spacing w:after="0"/>
              <w:rPr>
                <w:sz w:val="20"/>
                <w:szCs w:val="20"/>
                <w:color w:val="auto"/>
              </w:rPr>
            </w:pPr>
            <w:r>
              <w:rPr>
                <w:rFonts w:ascii="Arial" w:cs="Arial" w:eastAsia="Arial" w:hAnsi="Arial"/>
                <w:sz w:val="17"/>
                <w:szCs w:val="17"/>
                <w:color w:val="auto"/>
              </w:rPr>
              <w:t>Total fixed rate debt and capital lease obligations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vMerge w:val="restart"/>
          </w:tcPr>
          <w:p>
            <w:pPr>
              <w:jc w:val="right"/>
              <w:ind w:right="100"/>
              <w:spacing w:after="0"/>
              <w:rPr>
                <w:sz w:val="20"/>
                <w:szCs w:val="20"/>
                <w:color w:val="auto"/>
              </w:rPr>
            </w:pPr>
            <w:r>
              <w:rPr>
                <w:rFonts w:ascii="Arial" w:cs="Arial" w:eastAsia="Arial" w:hAnsi="Arial"/>
                <w:sz w:val="17"/>
                <w:szCs w:val="17"/>
                <w:color w:val="auto"/>
              </w:rPr>
              <w:t>98%</w:t>
            </w: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vMerge w:val="restart"/>
          </w:tcPr>
          <w:p>
            <w:pPr>
              <w:ind w:left="300"/>
              <w:spacing w:after="0"/>
              <w:rPr>
                <w:sz w:val="20"/>
                <w:szCs w:val="20"/>
                <w:color w:val="auto"/>
              </w:rPr>
            </w:pPr>
            <w:r>
              <w:rPr>
                <w:rFonts w:ascii="Arial" w:cs="Arial" w:eastAsia="Arial" w:hAnsi="Arial"/>
                <w:sz w:val="17"/>
                <w:szCs w:val="17"/>
                <w:color w:val="auto"/>
                <w:w w:val="99"/>
              </w:rPr>
              <w:t>6.25%</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80" w:type="dxa"/>
            <w:vAlign w:val="bottom"/>
            <w:gridSpan w:val="7"/>
            <w:vMerge w:val="continue"/>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w w:val="89"/>
              </w:rPr>
              <w:t>1,627,534</w:t>
            </w:r>
          </w:p>
        </w:tc>
        <w:tc>
          <w:tcPr>
            <w:tcW w:w="60" w:type="dxa"/>
            <w:vAlign w:val="bottom"/>
          </w:tcPr>
          <w:p>
            <w:pPr>
              <w:spacing w:after="0"/>
              <w:rPr>
                <w:sz w:val="17"/>
                <w:szCs w:val="17"/>
                <w:color w:val="auto"/>
              </w:rPr>
            </w:pPr>
          </w:p>
        </w:tc>
        <w:tc>
          <w:tcPr>
            <w:tcW w:w="62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Total variable rate debt</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38,400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w w:val="99"/>
              </w:rPr>
              <w:t>3.78%</w:t>
            </w:r>
          </w:p>
        </w:tc>
        <w:tc>
          <w:tcPr>
            <w:tcW w:w="280" w:type="dxa"/>
            <w:vAlign w:val="bottom"/>
            <w:shd w:val="clear" w:color="auto" w:fill="CCEEFF"/>
          </w:tcPr>
          <w:p>
            <w:pPr>
              <w:ind w:left="80"/>
              <w:spacing w:after="0"/>
              <w:rPr>
                <w:sz w:val="20"/>
                <w:szCs w:val="20"/>
                <w:color w:val="auto"/>
              </w:rPr>
            </w:pPr>
            <w:r>
              <w:rPr>
                <w:rFonts w:ascii="Arial" w:cs="Arial" w:eastAsia="Arial" w:hAnsi="Arial"/>
                <w:sz w:val="17"/>
                <w:szCs w:val="17"/>
                <w:color w:val="auto"/>
                <w:w w:val="90"/>
              </w:rPr>
              <w:t>(k)</w:t>
            </w:r>
          </w:p>
        </w:tc>
        <w:tc>
          <w:tcPr>
            <w:tcW w:w="0" w:type="dxa"/>
            <w:vAlign w:val="bottom"/>
          </w:tcPr>
          <w:p>
            <w:pPr>
              <w:spacing w:after="0"/>
              <w:rPr>
                <w:sz w:val="1"/>
                <w:szCs w:val="1"/>
                <w:color w:val="auto"/>
              </w:rPr>
            </w:pPr>
          </w:p>
        </w:tc>
      </w:tr>
      <w:tr>
        <w:trPr>
          <w:trHeight w:val="20"/>
        </w:trPr>
        <w:tc>
          <w:tcPr>
            <w:tcW w:w="5080" w:type="dxa"/>
            <w:vAlign w:val="bottom"/>
            <w:gridSpan w:val="7"/>
            <w:vMerge w:val="restart"/>
          </w:tcPr>
          <w:p>
            <w:pPr>
              <w:spacing w:after="0"/>
              <w:rPr>
                <w:sz w:val="20"/>
                <w:szCs w:val="20"/>
                <w:color w:val="auto"/>
              </w:rPr>
            </w:pPr>
            <w:r>
              <w:rPr>
                <w:rFonts w:ascii="Arial" w:cs="Arial" w:eastAsia="Arial" w:hAnsi="Arial"/>
                <w:sz w:val="17"/>
                <w:szCs w:val="17"/>
                <w:color w:val="auto"/>
              </w:rPr>
              <w:t>TOTAL DEBT AND CAPITAL LEASES OBLIGATIONS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80" w:type="dxa"/>
            <w:vAlign w:val="bottom"/>
            <w:gridSpan w:val="7"/>
            <w:vMerge w:val="continue"/>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w w:val="89"/>
              </w:rPr>
              <w:t>1,665,934</w:t>
            </w:r>
          </w:p>
        </w:tc>
        <w:tc>
          <w:tcPr>
            <w:tcW w:w="6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ind w:left="300"/>
              <w:spacing w:after="0"/>
              <w:rPr>
                <w:sz w:val="20"/>
                <w:szCs w:val="20"/>
                <w:color w:val="auto"/>
              </w:rPr>
            </w:pPr>
            <w:r>
              <w:rPr>
                <w:rFonts w:ascii="Arial" w:cs="Arial" w:eastAsia="Arial" w:hAnsi="Arial"/>
                <w:sz w:val="17"/>
                <w:szCs w:val="17"/>
                <w:color w:val="auto"/>
                <w:w w:val="99"/>
              </w:rPr>
              <w:t>6.20%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9"/>
          </w:tcPr>
          <w:p>
            <w:pPr>
              <w:jc w:val="center"/>
              <w:ind w:right="220"/>
              <w:spacing w:after="0"/>
              <w:rPr>
                <w:sz w:val="20"/>
                <w:szCs w:val="20"/>
                <w:color w:val="auto"/>
              </w:rPr>
            </w:pPr>
            <w:r>
              <w:rPr>
                <w:rFonts w:ascii="Arial" w:cs="Arial" w:eastAsia="Arial" w:hAnsi="Arial"/>
                <w:sz w:val="13"/>
                <w:szCs w:val="13"/>
                <w:b w:val="1"/>
                <w:bCs w:val="1"/>
                <w:color w:val="auto"/>
                <w:w w:val="95"/>
              </w:rPr>
              <w:t>Three</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1"/>
              </w:rPr>
              <w:t>Six</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9"/>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months ended</w:t>
            </w:r>
          </w:p>
        </w:tc>
        <w:tc>
          <w:tcPr>
            <w:tcW w:w="1220" w:type="dxa"/>
            <w:vAlign w:val="bottom"/>
            <w:gridSpan w:val="5"/>
          </w:tcPr>
          <w:p>
            <w:pPr>
              <w:jc w:val="center"/>
              <w:ind w:right="200"/>
              <w:spacing w:after="0" w:line="144" w:lineRule="exact"/>
              <w:rPr>
                <w:sz w:val="20"/>
                <w:szCs w:val="20"/>
                <w:color w:val="auto"/>
              </w:rPr>
            </w:pPr>
            <w:r>
              <w:rPr>
                <w:rFonts w:ascii="Arial" w:cs="Arial" w:eastAsia="Arial" w:hAnsi="Arial"/>
                <w:sz w:val="13"/>
                <w:szCs w:val="13"/>
                <w:b w:val="1"/>
                <w:bCs w:val="1"/>
                <w:color w:val="auto"/>
                <w:w w:val="87"/>
              </w:rPr>
              <w:t>months ended</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9"/>
          </w:tcPr>
          <w:p>
            <w:pPr>
              <w:jc w:val="center"/>
              <w:ind w:right="220"/>
              <w:spacing w:after="0"/>
              <w:rPr>
                <w:sz w:val="20"/>
                <w:szCs w:val="20"/>
                <w:color w:val="auto"/>
              </w:rPr>
            </w:pPr>
            <w:r>
              <w:rPr>
                <w:rFonts w:ascii="Arial" w:cs="Arial" w:eastAsia="Arial" w:hAnsi="Arial"/>
                <w:sz w:val="13"/>
                <w:szCs w:val="13"/>
                <w:b w:val="1"/>
                <w:bCs w:val="1"/>
                <w:color w:val="auto"/>
                <w:w w:val="88"/>
              </w:rPr>
              <w:t>June 30,</w:t>
            </w:r>
          </w:p>
        </w:tc>
        <w:tc>
          <w:tcPr>
            <w:tcW w:w="122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8"/>
              </w:rPr>
              <w:t>June 30,</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Borders>
              <w:top w:val="single" w:sz="8" w:color="auto"/>
            </w:tcBorders>
          </w:tcPr>
          <w:p>
            <w:pPr>
              <w:jc w:val="right"/>
              <w:ind w:right="8"/>
              <w:spacing w:after="0" w:line="138" w:lineRule="exact"/>
              <w:rPr>
                <w:sz w:val="20"/>
                <w:szCs w:val="20"/>
                <w:color w:val="auto"/>
              </w:rPr>
            </w:pPr>
            <w:r>
              <w:rPr>
                <w:rFonts w:ascii="Arial" w:cs="Arial" w:eastAsia="Arial" w:hAnsi="Arial"/>
                <w:sz w:val="13"/>
                <w:szCs w:val="13"/>
                <w:b w:val="1"/>
                <w:bCs w:val="1"/>
                <w:color w:val="auto"/>
              </w:rPr>
              <w:t>2008</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2007</w:t>
            </w:r>
          </w:p>
        </w:tc>
        <w:tc>
          <w:tcPr>
            <w:tcW w:w="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2008</w:t>
            </w: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ind w:left="280"/>
              <w:spacing w:after="0" w:line="138" w:lineRule="exact"/>
              <w:rPr>
                <w:sz w:val="20"/>
                <w:szCs w:val="20"/>
                <w:color w:val="auto"/>
              </w:rPr>
            </w:pPr>
            <w:r>
              <w:rPr>
                <w:rFonts w:ascii="Arial" w:cs="Arial" w:eastAsia="Arial" w:hAnsi="Arial"/>
                <w:sz w:val="13"/>
                <w:szCs w:val="13"/>
                <w:b w:val="1"/>
                <w:bCs w:val="1"/>
                <w:color w:val="auto"/>
                <w:w w:val="96"/>
              </w:rPr>
              <w:t>2007</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20" w:type="dxa"/>
            <w:vAlign w:val="bottom"/>
            <w:gridSpan w:val="5"/>
            <w:shd w:val="clear" w:color="auto" w:fill="CCEEFF"/>
          </w:tcPr>
          <w:p>
            <w:pPr>
              <w:spacing w:after="0" w:line="163" w:lineRule="exact"/>
              <w:rPr>
                <w:sz w:val="20"/>
                <w:szCs w:val="20"/>
                <w:color w:val="auto"/>
              </w:rPr>
            </w:pPr>
            <w:r>
              <w:rPr>
                <w:rFonts w:ascii="Arial" w:cs="Arial" w:eastAsia="Arial" w:hAnsi="Arial"/>
                <w:sz w:val="17"/>
                <w:szCs w:val="17"/>
                <w:color w:val="auto"/>
              </w:rPr>
              <w:t>Operational Statistics</w:t>
            </w: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31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left w:val="single" w:sz="8" w:color="CCEEFF"/>
            </w:tcBorders>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40" w:type="dxa"/>
            <w:vAlign w:val="bottom"/>
            <w:gridSpan w:val="7"/>
          </w:tcPr>
          <w:p>
            <w:pPr>
              <w:ind w:left="420"/>
              <w:spacing w:after="0"/>
              <w:rPr>
                <w:sz w:val="20"/>
                <w:szCs w:val="20"/>
                <w:color w:val="auto"/>
              </w:rPr>
            </w:pPr>
            <w:r>
              <w:rPr>
                <w:rFonts w:ascii="Arial" w:cs="Arial" w:eastAsia="Arial" w:hAnsi="Arial"/>
                <w:sz w:val="17"/>
                <w:szCs w:val="17"/>
                <w:color w:val="auto"/>
              </w:rPr>
              <w:t>Ratio of EBITDA to combined fixed charges and preferred share dividends (l)</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7"/>
                <w:szCs w:val="17"/>
                <w:color w:val="auto"/>
                <w:w w:val="96"/>
              </w:rPr>
              <w:t>3.04x</w:t>
            </w:r>
          </w:p>
        </w:tc>
        <w:tc>
          <w:tcPr>
            <w:tcW w:w="640" w:type="dxa"/>
            <w:vAlign w:val="bottom"/>
            <w:gridSpan w:val="5"/>
          </w:tcPr>
          <w:p>
            <w:pPr>
              <w:jc w:val="center"/>
              <w:ind w:right="200"/>
              <w:spacing w:after="0"/>
              <w:rPr>
                <w:sz w:val="20"/>
                <w:szCs w:val="20"/>
                <w:color w:val="auto"/>
              </w:rPr>
            </w:pPr>
            <w:r>
              <w:rPr>
                <w:rFonts w:ascii="Arial" w:cs="Arial" w:eastAsia="Arial" w:hAnsi="Arial"/>
                <w:sz w:val="17"/>
                <w:szCs w:val="17"/>
                <w:color w:val="auto"/>
                <w:w w:val="96"/>
              </w:rPr>
              <w:t>2.55x</w:t>
            </w:r>
          </w:p>
        </w:tc>
        <w:tc>
          <w:tcPr>
            <w:tcW w:w="420" w:type="dxa"/>
            <w:vAlign w:val="bottom"/>
            <w:gridSpan w:val="2"/>
          </w:tcPr>
          <w:p>
            <w:pPr>
              <w:jc w:val="center"/>
              <w:spacing w:after="0"/>
              <w:rPr>
                <w:sz w:val="20"/>
                <w:szCs w:val="20"/>
                <w:color w:val="auto"/>
              </w:rPr>
            </w:pPr>
            <w:r>
              <w:rPr>
                <w:rFonts w:ascii="Arial" w:cs="Arial" w:eastAsia="Arial" w:hAnsi="Arial"/>
                <w:sz w:val="17"/>
                <w:szCs w:val="17"/>
                <w:color w:val="auto"/>
                <w:w w:val="91"/>
              </w:rPr>
              <w:t>3.00x</w:t>
            </w:r>
          </w:p>
        </w:tc>
        <w:tc>
          <w:tcPr>
            <w:tcW w:w="20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7"/>
                <w:szCs w:val="17"/>
                <w:color w:val="auto"/>
                <w:w w:val="76"/>
              </w:rPr>
              <w:t>2.50x</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520" w:type="dxa"/>
            <w:vAlign w:val="bottom"/>
            <w:gridSpan w:val="9"/>
            <w:shd w:val="clear" w:color="auto" w:fill="CCEEFF"/>
          </w:tcPr>
          <w:p>
            <w:pPr>
              <w:ind w:left="420"/>
              <w:spacing w:after="0"/>
              <w:rPr>
                <w:sz w:val="20"/>
                <w:szCs w:val="20"/>
                <w:color w:val="auto"/>
              </w:rPr>
            </w:pPr>
            <w:r>
              <w:rPr>
                <w:rFonts w:ascii="Arial" w:cs="Arial" w:eastAsia="Arial" w:hAnsi="Arial"/>
                <w:sz w:val="17"/>
                <w:szCs w:val="17"/>
                <w:color w:val="auto"/>
              </w:rPr>
              <w:t>Ratio of adjusted EBITDA to combined fixed charges and preferred share dividends (l)</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w w:val="96"/>
              </w:rPr>
              <w:t>3.04x</w:t>
            </w:r>
          </w:p>
        </w:tc>
        <w:tc>
          <w:tcPr>
            <w:tcW w:w="640" w:type="dxa"/>
            <w:vAlign w:val="bottom"/>
            <w:gridSpan w:val="5"/>
            <w:shd w:val="clear" w:color="auto" w:fill="CCEEFF"/>
          </w:tcPr>
          <w:p>
            <w:pPr>
              <w:jc w:val="center"/>
              <w:ind w:right="200"/>
              <w:spacing w:after="0"/>
              <w:rPr>
                <w:sz w:val="20"/>
                <w:szCs w:val="20"/>
                <w:color w:val="auto"/>
              </w:rPr>
            </w:pPr>
            <w:r>
              <w:rPr>
                <w:rFonts w:ascii="Arial" w:cs="Arial" w:eastAsia="Arial" w:hAnsi="Arial"/>
                <w:sz w:val="17"/>
                <w:szCs w:val="17"/>
                <w:color w:val="auto"/>
                <w:w w:val="96"/>
              </w:rPr>
              <w:t>2.49x</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3.00x</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7"/>
                <w:szCs w:val="17"/>
                <w:color w:val="auto"/>
                <w:w w:val="76"/>
              </w:rPr>
              <w:t>2.48x</w:t>
            </w:r>
          </w:p>
        </w:tc>
        <w:tc>
          <w:tcPr>
            <w:tcW w:w="200" w:type="dxa"/>
            <w:vAlign w:val="bottom"/>
            <w:tcBorders>
              <w:left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5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Mortgage loans do not include our 30% share ($24.4 million) of the $81.5 million debt of the partnership with Clarion Lion Properties Fund.</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mortgage loan and accrued interest were paid off on July 1, 2008.</w:t>
      </w:r>
    </w:p>
    <w:p>
      <w:pPr>
        <w:spacing w:after="0" w:line="14" w:lineRule="exact"/>
        <w:rPr>
          <w:rFonts w:ascii="Arial" w:cs="Arial" w:eastAsia="Arial" w:hAnsi="Arial"/>
          <w:sz w:val="17"/>
          <w:szCs w:val="17"/>
          <w:color w:val="auto"/>
        </w:rPr>
      </w:pPr>
    </w:p>
    <w:p>
      <w:pPr>
        <w:ind w:left="460" w:right="40" w:hanging="455"/>
        <w:spacing w:after="0" w:line="257"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interest rate of 6.04% represents the weighted average interest rate for two mortgage loans secured by this property. The loan balance represents an interest-only loan of $4.35 million at a stated rate of 6.18% and the remaining balance at a stated rate of 5.96%.</w:t>
      </w:r>
    </w:p>
    <w:p>
      <w:pPr>
        <w:jc w:val="both"/>
        <w:ind w:left="460" w:right="220" w:hanging="455"/>
        <w:spacing w:after="0" w:line="257"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interest rate is fixed at 5.66% for the first ten years and then will be reset to a market rate in 2013. The lender has the option to call the loan on April 15,</w:t>
      </w:r>
    </w:p>
    <w:p>
      <w:pPr>
        <w:sectPr>
          <w:pgSz w:w="11900" w:h="16844" w:orient="portrait"/>
          <w:cols w:equalWidth="0" w:num="1">
            <w:col w:w="11420"/>
          </w:cols>
          <w:pgMar w:left="240" w:top="271" w:right="239" w:bottom="0" w:gutter="0" w:footer="0" w:header="0"/>
        </w:sectPr>
      </w:pPr>
    </w:p>
    <w:bookmarkStart w:id="16" w:name="page17"/>
    <w:bookmarkEnd w:id="16"/>
    <w:p>
      <w:pPr>
        <w:ind w:left="455"/>
        <w:spacing w:after="0"/>
        <w:rPr>
          <w:sz w:val="20"/>
          <w:szCs w:val="20"/>
          <w:color w:val="auto"/>
        </w:rPr>
      </w:pPr>
      <w:r>
        <w:rPr>
          <w:rFonts w:ascii="Arial" w:cs="Arial" w:eastAsia="Arial" w:hAnsi="Arial"/>
          <w:sz w:val="17"/>
          <w:szCs w:val="17"/>
          <w:color w:val="auto"/>
        </w:rPr>
        <w:t>2013 or anytime thereafter.</w:t>
      </w:r>
    </w:p>
    <w:p>
      <w:pPr>
        <w:spacing w:after="0" w:line="20" w:lineRule="exact"/>
        <w:rPr>
          <w:sz w:val="20"/>
          <w:szCs w:val="20"/>
          <w:color w:val="auto"/>
        </w:rPr>
      </w:pPr>
    </w:p>
    <w:p>
      <w:pPr>
        <w:ind w:left="455" w:right="20" w:hanging="455"/>
        <w:spacing w:after="0" w:line="291" w:lineRule="auto"/>
        <w:tabs>
          <w:tab w:leader="none" w:pos="455"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July 2008, we exercised our option and extended the maturity date from November 6, 2008 to November 6, 2009. On February 21, 2008, we entered into two interest rate swap agreements to fix the variable portion of this debt through November 6, 2008. The first swap fixed the variable rate at 2.725% on a notional amount of $100 million and the second swap fixed the variable rate at 2.852% on a notional amount of $100 million for a combined fixed rate of 2.789%. The weighted average effective rate, before amortization of debt fees, was 3.41% and 3.81% for the three and six months ended June 30, 2008, respectively.</w:t>
      </w:r>
    </w:p>
    <w:p>
      <w:pPr>
        <w:spacing w:after="0" w:line="2" w:lineRule="exact"/>
        <w:rPr>
          <w:rFonts w:ascii="Arial" w:cs="Arial" w:eastAsia="Arial" w:hAnsi="Arial"/>
          <w:sz w:val="15"/>
          <w:szCs w:val="15"/>
          <w:color w:val="auto"/>
        </w:rPr>
      </w:pPr>
    </w:p>
    <w:p>
      <w:pPr>
        <w:ind w:left="455" w:right="660" w:hanging="455"/>
        <w:spacing w:after="0" w:line="257" w:lineRule="auto"/>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weighted average effective interest rate, before amortization of debt fees, was 2.98% and 3.04% for the three and six months ended June 30, 2008, respectively. This credit facility is subject to a one-year extension at our option.</w:t>
      </w:r>
    </w:p>
    <w:p>
      <w:pPr>
        <w:ind w:left="455" w:hanging="455"/>
        <w:spacing w:after="0"/>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bonds bear interest at a variable rate determined weekly which would enable the bonds to be remarketed at 100% of their principal amount.</w:t>
      </w:r>
    </w:p>
    <w:p>
      <w:pPr>
        <w:spacing w:after="0" w:line="14" w:lineRule="exact"/>
        <w:rPr>
          <w:rFonts w:ascii="Arial" w:cs="Arial" w:eastAsia="Arial" w:hAnsi="Arial"/>
          <w:sz w:val="17"/>
          <w:szCs w:val="17"/>
          <w:color w:val="auto"/>
        </w:rPr>
      </w:pPr>
    </w:p>
    <w:p>
      <w:pPr>
        <w:ind w:left="455" w:hanging="455"/>
        <w:spacing w:after="0" w:line="273" w:lineRule="auto"/>
        <w:tabs>
          <w:tab w:leader="none" w:pos="4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August 15, 2008, the debentures are redeemable by the holders thereof at the original purchase price of $1,000 per debenture. On June 16, 2008, we received notice that one of the holders will redeem $20.8 million on August 15, 2008. The notice period for additional redemptions has expired.</w:t>
      </w:r>
    </w:p>
    <w:p>
      <w:pPr>
        <w:ind w:left="455" w:hanging="455"/>
        <w:spacing w:after="0"/>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weighted average effective interest rate includes the amortization of any deferred financing fees, discounts and premiums, if applicable.</w:t>
      </w:r>
    </w:p>
    <w:p>
      <w:pPr>
        <w:spacing w:after="0" w:line="14" w:lineRule="exact"/>
        <w:rPr>
          <w:rFonts w:ascii="Arial" w:cs="Arial" w:eastAsia="Arial" w:hAnsi="Arial"/>
          <w:sz w:val="17"/>
          <w:szCs w:val="17"/>
          <w:color w:val="auto"/>
        </w:rPr>
      </w:pPr>
    </w:p>
    <w:p>
      <w:pPr>
        <w:ind w:left="455" w:right="40" w:hanging="455"/>
        <w:spacing w:after="0" w:line="257" w:lineRule="auto"/>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weighted average effective interest rate excludes $0.5 million in quarterly amortization of deferred financing fees on our revolving credit facility which had a $29.0 million balance on June 30, 2008.</w:t>
      </w:r>
    </w:p>
    <w:p>
      <w:pPr>
        <w:ind w:left="455" w:right="240" w:hanging="455"/>
        <w:spacing w:after="0" w:line="275" w:lineRule="auto"/>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or premium and expense and the portion of rent expense representing an interest factor. Adjusted EBITDA is reconciled to net income in the Glossary of Terms.</w:t>
      </w:r>
    </w:p>
    <w:p>
      <w:pPr>
        <w:spacing w:after="0" w:line="110"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95"/>
          </w:cols>
          <w:pgMar w:left="245" w:top="131" w:right="2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DEBT MATURITIES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Scheduled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gridSpan w:val="2"/>
          </w:tcPr>
          <w:p>
            <w:pPr>
              <w:jc w:val="right"/>
              <w:ind w:right="600"/>
              <w:spacing w:after="0" w:line="144" w:lineRule="exact"/>
              <w:rPr>
                <w:sz w:val="20"/>
                <w:szCs w:val="20"/>
                <w:color w:val="auto"/>
              </w:rPr>
            </w:pPr>
            <w:r>
              <w:rPr>
                <w:rFonts w:ascii="Arial" w:cs="Arial" w:eastAsia="Arial" w:hAnsi="Arial"/>
                <w:sz w:val="13"/>
                <w:szCs w:val="13"/>
                <w:b w:val="1"/>
                <w:bCs w:val="1"/>
                <w:color w:val="auto"/>
              </w:rPr>
              <w:t>Percent of</w:t>
            </w: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57"/>
        </w:trPr>
        <w:tc>
          <w:tcPr>
            <w:tcW w:w="534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94"/>
              </w:rPr>
              <w:t>Maturities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840" w:type="dxa"/>
            <w:vAlign w:val="bottom"/>
          </w:tcPr>
          <w:p>
            <w:pPr>
              <w:spacing w:after="0"/>
              <w:rPr>
                <w:sz w:val="13"/>
                <w:szCs w:val="13"/>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3"/>
              </w:rPr>
              <w:t>Debt Maturing</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Debt Maturing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2008</w:t>
            </w:r>
          </w:p>
        </w:tc>
        <w:tc>
          <w:tcPr>
            <w:tcW w:w="4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31,451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35,218</w:t>
            </w:r>
          </w:p>
        </w:tc>
        <w:tc>
          <w:tcPr>
            <w:tcW w:w="8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2009</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9,240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379,349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388,589</w:t>
            </w:r>
          </w:p>
        </w:tc>
        <w:tc>
          <w:tcPr>
            <w:tcW w:w="840" w:type="dxa"/>
            <w:vAlign w:val="bottom"/>
          </w:tcPr>
          <w:p>
            <w:pPr>
              <w:jc w:val="right"/>
              <w:ind w:right="235"/>
              <w:spacing w:after="0"/>
              <w:rPr>
                <w:sz w:val="20"/>
                <w:szCs w:val="20"/>
                <w:color w:val="auto"/>
              </w:rPr>
            </w:pPr>
            <w:r>
              <w:rPr>
                <w:rFonts w:ascii="Arial" w:cs="Arial" w:eastAsia="Arial" w:hAnsi="Arial"/>
                <w:sz w:val="17"/>
                <w:szCs w:val="17"/>
                <w:color w:val="auto"/>
              </w:rPr>
              <w:t>(2)</w:t>
            </w: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23.3%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2010</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38,510</w:t>
            </w:r>
          </w:p>
        </w:tc>
        <w:tc>
          <w:tcPr>
            <w:tcW w:w="8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(3)</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2011</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9,513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112,252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121,765</w:t>
            </w:r>
          </w:p>
        </w:tc>
        <w:tc>
          <w:tcPr>
            <w:tcW w:w="8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7.3%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2012</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184,688</w:t>
            </w:r>
          </w:p>
        </w:tc>
        <w:tc>
          <w:tcPr>
            <w:tcW w:w="8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2013</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9,202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163,045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172,247</w:t>
            </w:r>
          </w:p>
        </w:tc>
        <w:tc>
          <w:tcPr>
            <w:tcW w:w="8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10.4%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2014</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29,291</w:t>
            </w:r>
          </w:p>
        </w:tc>
        <w:tc>
          <w:tcPr>
            <w:tcW w:w="8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2015</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6,924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198,391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205,315</w:t>
            </w:r>
          </w:p>
        </w:tc>
        <w:tc>
          <w:tcPr>
            <w:tcW w:w="8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12.3%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137,376</w:t>
            </w:r>
          </w:p>
        </w:tc>
        <w:tc>
          <w:tcPr>
            <w:tcW w:w="8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2017</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3,184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203,184</w:t>
            </w:r>
          </w:p>
        </w:tc>
        <w:tc>
          <w:tcPr>
            <w:tcW w:w="8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12.2%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Thereafter</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75,017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147,893</w:t>
            </w:r>
          </w:p>
        </w:tc>
        <w:tc>
          <w:tcPr>
            <w:tcW w:w="8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60" w:type="dxa"/>
            <w:vAlign w:val="bottom"/>
            <w:gridSpan w:val="2"/>
            <w:vMerge w:val="restart"/>
          </w:tcPr>
          <w:p>
            <w:pPr>
              <w:ind w:left="560"/>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vMerge w:val="restart"/>
          </w:tcPr>
          <w:p>
            <w:pPr>
              <w:jc w:val="right"/>
              <w:ind w:right="235"/>
              <w:spacing w:after="0"/>
              <w:rPr>
                <w:sz w:val="20"/>
                <w:szCs w:val="20"/>
                <w:color w:val="auto"/>
              </w:rPr>
            </w:pPr>
            <w:r>
              <w:rPr>
                <w:rFonts w:ascii="Arial" w:cs="Arial" w:eastAsia="Arial" w:hAnsi="Arial"/>
                <w:sz w:val="17"/>
                <w:szCs w:val="17"/>
                <w:color w:val="auto"/>
              </w:rPr>
              <w:t>(4)</w:t>
            </w: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6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148,185</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1,515,891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1,664,076</w:t>
            </w:r>
          </w:p>
        </w:tc>
        <w:tc>
          <w:tcPr>
            <w:tcW w:w="840" w:type="dxa"/>
            <w:vAlign w:val="bottom"/>
            <w:vMerge w:val="continue"/>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100.0%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$20.8 million of unsecured debt that was put to us by one of the holders and is due on August 15, 2008.</w:t>
      </w:r>
    </w:p>
    <w:p>
      <w:pPr>
        <w:spacing w:after="0" w:line="14" w:lineRule="exact"/>
        <w:rPr>
          <w:rFonts w:ascii="Arial" w:cs="Arial" w:eastAsia="Arial" w:hAnsi="Arial"/>
          <w:sz w:val="17"/>
          <w:szCs w:val="17"/>
          <w:color w:val="auto"/>
        </w:rPr>
      </w:pPr>
    </w:p>
    <w:p>
      <w:pPr>
        <w:ind w:left="460" w:right="640" w:hanging="455"/>
        <w:spacing w:after="0" w:line="257"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$200 million outstanding on our term note. In July 2008, we exercised the extension option on the term note such that the maturity date is now November 6, 2009.</w:t>
      </w:r>
    </w:p>
    <w:p>
      <w:pPr>
        <w:ind w:left="460" w:right="200" w:hanging="455"/>
        <w:spacing w:after="0" w:line="257"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$300 million four-year revolving credit facility is subject to a one-year extension at our option. As of June 30, 2008, there was $29.0 million drawn under this credit facility.</w:t>
      </w:r>
    </w:p>
    <w:p>
      <w:pPr>
        <w:ind w:left="460" w:right="180" w:hanging="455"/>
        <w:spacing w:after="0" w:line="275"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net discount or premium on certain mortgage loans, senior notes and debentures as of June 30, 2008.</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71"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Current Redevelopment Opportunities (1) ($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-115570</wp:posOffset>
            </wp:positionV>
            <wp:extent cx="6668135" cy="133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8135" cy="13335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b w:val="1"/>
                <w:bCs w:val="1"/>
                <w:color w:val="auto"/>
                <w:w w:val="82"/>
              </w:rPr>
              <w:t>Cost</w:t>
            </w: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Projected</w:t>
            </w:r>
          </w:p>
        </w:tc>
        <w:tc>
          <w:tcPr>
            <w:tcW w:w="100" w:type="dxa"/>
            <w:vAlign w:val="bottom"/>
          </w:tcPr>
          <w:p>
            <w:pPr>
              <w:spacing w:after="0"/>
              <w:rPr>
                <w:sz w:val="12"/>
                <w:szCs w:val="12"/>
                <w:color w:val="auto"/>
              </w:rPr>
            </w:pPr>
          </w:p>
        </w:tc>
        <w:tc>
          <w:tcPr>
            <w:tcW w:w="6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7"/>
              </w:rPr>
              <w:t>Projected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4" w:lineRule="exact"/>
              <w:rPr>
                <w:sz w:val="20"/>
                <w:szCs w:val="20"/>
                <w:color w:val="auto"/>
              </w:rPr>
            </w:pPr>
            <w:r>
              <w:rPr>
                <w:rFonts w:ascii="Arial" w:cs="Arial" w:eastAsia="Arial" w:hAnsi="Arial"/>
                <w:sz w:val="13"/>
                <w:szCs w:val="13"/>
                <w:b w:val="1"/>
                <w:bCs w:val="1"/>
                <w:color w:val="auto"/>
                <w:w w:val="81"/>
              </w:rPr>
              <w:t>to</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Property</w:t>
            </w: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Location</w:t>
            </w:r>
          </w:p>
        </w:tc>
        <w:tc>
          <w:tcPr>
            <w:tcW w:w="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Opportunity</w:t>
            </w:r>
          </w:p>
        </w:tc>
        <w:tc>
          <w:tcPr>
            <w:tcW w:w="2000" w:type="dxa"/>
            <w:vAlign w:val="bottom"/>
          </w:tcPr>
          <w:p>
            <w:pPr>
              <w:spacing w:after="0"/>
              <w:rPr>
                <w:sz w:val="13"/>
                <w:szCs w:val="13"/>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ROI (2)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0"/>
              </w:rPr>
              <w:t>Cost (1)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03"/>
        </w:trPr>
        <w:tc>
          <w:tcPr>
            <w:tcW w:w="4080" w:type="dxa"/>
            <w:vAlign w:val="bottom"/>
            <w:gridSpan w:val="6"/>
            <w:shd w:val="clear" w:color="auto" w:fill="CCEEFF"/>
          </w:tcPr>
          <w:p>
            <w:pPr>
              <w:spacing w:after="0"/>
              <w:rPr>
                <w:sz w:val="20"/>
                <w:szCs w:val="20"/>
                <w:color w:val="auto"/>
              </w:rPr>
            </w:pPr>
            <w:r>
              <w:rPr>
                <w:rFonts w:ascii="Arial" w:cs="Arial" w:eastAsia="Arial" w:hAnsi="Arial"/>
                <w:sz w:val="17"/>
                <w:szCs w:val="17"/>
                <w:b w:val="1"/>
                <w:bCs w:val="1"/>
                <w:color w:val="auto"/>
              </w:rPr>
              <w:t>Projects Anticipated to Stabilize in 2008 (3)</w:t>
            </w:r>
          </w:p>
        </w:tc>
        <w:tc>
          <w:tcPr>
            <w:tcW w:w="1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60" w:type="dxa"/>
            <w:vAlign w:val="bottom"/>
            <w:gridSpan w:val="3"/>
          </w:tcPr>
          <w:p>
            <w:pPr>
              <w:spacing w:after="0"/>
              <w:rPr>
                <w:sz w:val="20"/>
                <w:szCs w:val="20"/>
                <w:color w:val="auto"/>
              </w:rPr>
            </w:pPr>
            <w:r>
              <w:rPr>
                <w:rFonts w:ascii="Arial" w:cs="Arial" w:eastAsia="Arial" w:hAnsi="Arial"/>
                <w:sz w:val="17"/>
                <w:szCs w:val="17"/>
                <w:color w:val="auto"/>
              </w:rPr>
              <w:t>Arlington East</w:t>
            </w:r>
          </w:p>
        </w:tc>
        <w:tc>
          <w:tcPr>
            <w:tcW w:w="1520" w:type="dxa"/>
            <w:vAlign w:val="bottom"/>
            <w:gridSpan w:val="3"/>
          </w:tcPr>
          <w:p>
            <w:pPr>
              <w:ind w:left="120"/>
              <w:spacing w:after="0"/>
              <w:rPr>
                <w:sz w:val="20"/>
                <w:szCs w:val="20"/>
                <w:color w:val="auto"/>
              </w:rPr>
            </w:pPr>
            <w:r>
              <w:rPr>
                <w:rFonts w:ascii="Arial" w:cs="Arial" w:eastAsia="Arial" w:hAnsi="Arial"/>
                <w:sz w:val="17"/>
                <w:szCs w:val="17"/>
                <w:color w:val="auto"/>
              </w:rPr>
              <w:t>Bethesda, MD</w:t>
            </w: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w w:val="98"/>
              </w:rPr>
              <w:t>Ground floor retail, four levels of residential units above retail,</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two levels of below grade parking</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73</w:t>
            </w:r>
          </w:p>
        </w:tc>
        <w:tc>
          <w:tcPr>
            <w:tcW w:w="0" w:type="dxa"/>
            <w:vAlign w:val="bottom"/>
          </w:tcPr>
          <w:p>
            <w:pPr>
              <w:spacing w:after="0"/>
              <w:rPr>
                <w:sz w:val="1"/>
                <w:szCs w:val="1"/>
                <w:color w:val="auto"/>
              </w:rPr>
            </w:pPr>
          </w:p>
        </w:tc>
      </w:tr>
      <w:tr>
        <w:trPr>
          <w:trHeight w:val="202"/>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Eastgate</w:t>
            </w: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Chapel Hill, NC</w:t>
            </w: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99"/>
              </w:rPr>
              <w:t>Center redevelopment including new grocery anchor, façade</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renovation and site improvements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8740" w:type="dxa"/>
            <w:vAlign w:val="bottom"/>
            <w:gridSpan w:val="9"/>
            <w:vMerge w:val="restart"/>
          </w:tcPr>
          <w:p>
            <w:pPr>
              <w:ind w:left="420"/>
              <w:spacing w:after="0"/>
              <w:rPr>
                <w:sz w:val="20"/>
                <w:szCs w:val="20"/>
                <w:color w:val="auto"/>
              </w:rPr>
            </w:pPr>
            <w:r>
              <w:rPr>
                <w:rFonts w:ascii="Arial" w:cs="Arial" w:eastAsia="Arial" w:hAnsi="Arial"/>
                <w:sz w:val="17"/>
                <w:szCs w:val="17"/>
                <w:b w:val="1"/>
                <w:bCs w:val="1"/>
                <w:color w:val="auto"/>
              </w:rPr>
              <w:t>Subtotal: Projects Anticipated to Stabilize in 2008 (3) (4)</w:t>
            </w: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740" w:type="dxa"/>
            <w:vAlign w:val="bottom"/>
            <w:gridSpan w:val="9"/>
            <w:vMerge w:val="continue"/>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9%</w:t>
            </w:r>
          </w:p>
        </w:tc>
        <w:tc>
          <w:tcPr>
            <w:tcW w:w="24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93</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b w:val="1"/>
                <w:bCs w:val="1"/>
                <w:color w:val="auto"/>
                <w:w w:val="71"/>
              </w:rPr>
              <w:t>$</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w w:val="94"/>
              </w:rPr>
              <w:t>80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6"/>
            <w:shd w:val="clear" w:color="auto" w:fill="CCEEFF"/>
          </w:tcPr>
          <w:p>
            <w:pPr>
              <w:spacing w:after="0"/>
              <w:rPr>
                <w:sz w:val="20"/>
                <w:szCs w:val="20"/>
                <w:color w:val="auto"/>
              </w:rPr>
            </w:pPr>
            <w:r>
              <w:rPr>
                <w:rFonts w:ascii="Arial" w:cs="Arial" w:eastAsia="Arial" w:hAnsi="Arial"/>
                <w:sz w:val="17"/>
                <w:szCs w:val="17"/>
                <w:b w:val="1"/>
                <w:bCs w:val="1"/>
                <w:color w:val="auto"/>
              </w:rPr>
              <w:t>Projects Anticipated to Stabilize in 2009 (3) (5)</w:t>
            </w:r>
          </w:p>
        </w:tc>
        <w:tc>
          <w:tcPr>
            <w:tcW w:w="1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60" w:type="dxa"/>
            <w:vAlign w:val="bottom"/>
            <w:gridSpan w:val="3"/>
          </w:tcPr>
          <w:p>
            <w:pPr>
              <w:spacing w:after="0"/>
              <w:rPr>
                <w:sz w:val="20"/>
                <w:szCs w:val="20"/>
                <w:color w:val="auto"/>
              </w:rPr>
            </w:pPr>
            <w:r>
              <w:rPr>
                <w:rFonts w:ascii="Arial" w:cs="Arial" w:eastAsia="Arial" w:hAnsi="Arial"/>
                <w:sz w:val="17"/>
                <w:szCs w:val="17"/>
                <w:color w:val="auto"/>
              </w:rPr>
              <w:t>Santana Row</w:t>
            </w:r>
          </w:p>
        </w:tc>
        <w:tc>
          <w:tcPr>
            <w:tcW w:w="1520" w:type="dxa"/>
            <w:vAlign w:val="bottom"/>
            <w:gridSpan w:val="3"/>
          </w:tcPr>
          <w:p>
            <w:pPr>
              <w:ind w:left="120"/>
              <w:spacing w:after="0"/>
              <w:rPr>
                <w:sz w:val="20"/>
                <w:szCs w:val="20"/>
                <w:color w:val="auto"/>
              </w:rPr>
            </w:pPr>
            <w:r>
              <w:rPr>
                <w:rFonts w:ascii="Arial" w:cs="Arial" w:eastAsia="Arial" w:hAnsi="Arial"/>
                <w:sz w:val="17"/>
                <w:szCs w:val="17"/>
                <w:color w:val="auto"/>
              </w:rPr>
              <w:t>San Jose, CA</w:t>
            </w: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w w:val="99"/>
              </w:rPr>
              <w:t>5-story building with 15,000 square feet of ground level retail</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and 65,000 square feet of office space</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2"/>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Hollywood Galaxy Building</w:t>
            </w: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Hollywood, CA</w:t>
            </w: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99"/>
              </w:rPr>
              <w:t>Re-tenanting three level entertainment center and converting</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project into urban neighborhood community center</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13</w:t>
            </w:r>
          </w:p>
        </w:tc>
        <w:tc>
          <w:tcPr>
            <w:tcW w:w="0" w:type="dxa"/>
            <w:vAlign w:val="bottom"/>
          </w:tcPr>
          <w:p>
            <w:pPr>
              <w:spacing w:after="0"/>
              <w:rPr>
                <w:sz w:val="1"/>
                <w:szCs w:val="1"/>
                <w:color w:val="auto"/>
              </w:rPr>
            </w:pPr>
          </w:p>
        </w:tc>
      </w:tr>
      <w:tr>
        <w:trPr>
          <w:trHeight w:val="201"/>
        </w:trPr>
        <w:tc>
          <w:tcPr>
            <w:tcW w:w="2560" w:type="dxa"/>
            <w:vAlign w:val="bottom"/>
            <w:gridSpan w:val="3"/>
          </w:tcPr>
          <w:p>
            <w:pPr>
              <w:spacing w:after="0"/>
              <w:rPr>
                <w:sz w:val="20"/>
                <w:szCs w:val="20"/>
                <w:color w:val="auto"/>
              </w:rPr>
            </w:pPr>
            <w:r>
              <w:rPr>
                <w:rFonts w:ascii="Arial" w:cs="Arial" w:eastAsia="Arial" w:hAnsi="Arial"/>
                <w:sz w:val="17"/>
                <w:szCs w:val="17"/>
                <w:color w:val="auto"/>
              </w:rPr>
              <w:t>Houston Street</w:t>
            </w:r>
          </w:p>
        </w:tc>
        <w:tc>
          <w:tcPr>
            <w:tcW w:w="1520" w:type="dxa"/>
            <w:vAlign w:val="bottom"/>
            <w:gridSpan w:val="3"/>
          </w:tcPr>
          <w:p>
            <w:pPr>
              <w:ind w:left="120"/>
              <w:spacing w:after="0"/>
              <w:rPr>
                <w:sz w:val="20"/>
                <w:szCs w:val="20"/>
                <w:color w:val="auto"/>
              </w:rPr>
            </w:pPr>
            <w:r>
              <w:rPr>
                <w:rFonts w:ascii="Arial" w:cs="Arial" w:eastAsia="Arial" w:hAnsi="Arial"/>
                <w:sz w:val="17"/>
                <w:szCs w:val="17"/>
                <w:color w:val="auto"/>
              </w:rPr>
              <w:t>San Antonio, TX</w:t>
            </w: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Construction of a new building with ground level leased to</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Walgreen’s pharmacy and office above</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2"/>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9"/>
              </w:rPr>
              <w:t>Village of Shirlington—Phase III &amp;</w:t>
            </w: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Arlington, VA</w:t>
            </w: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95"/>
              </w:rPr>
              <w:t>Ground lease to hotel operator and ground floor retail as part of</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IV</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office building development (by others)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&lt;1</w:t>
            </w:r>
          </w:p>
        </w:tc>
        <w:tc>
          <w:tcPr>
            <w:tcW w:w="0" w:type="dxa"/>
            <w:vAlign w:val="bottom"/>
          </w:tcPr>
          <w:p>
            <w:pPr>
              <w:spacing w:after="0"/>
              <w:rPr>
                <w:sz w:val="1"/>
                <w:szCs w:val="1"/>
                <w:color w:val="auto"/>
              </w:rPr>
            </w:pPr>
          </w:p>
        </w:tc>
      </w:tr>
      <w:tr>
        <w:trPr>
          <w:trHeight w:val="20"/>
        </w:trPr>
        <w:tc>
          <w:tcPr>
            <w:tcW w:w="8740" w:type="dxa"/>
            <w:vAlign w:val="bottom"/>
            <w:gridSpan w:val="9"/>
            <w:vMerge w:val="restart"/>
          </w:tcPr>
          <w:p>
            <w:pPr>
              <w:ind w:left="420"/>
              <w:spacing w:after="0"/>
              <w:rPr>
                <w:sz w:val="20"/>
                <w:szCs w:val="20"/>
                <w:color w:val="auto"/>
              </w:rPr>
            </w:pPr>
            <w:r>
              <w:rPr>
                <w:rFonts w:ascii="Arial" w:cs="Arial" w:eastAsia="Arial" w:hAnsi="Arial"/>
                <w:sz w:val="17"/>
                <w:szCs w:val="17"/>
                <w:b w:val="1"/>
                <w:bCs w:val="1"/>
                <w:color w:val="auto"/>
              </w:rPr>
              <w:t>Subtotal: Projects Anticipated to Stabilize in 2009 (3) (4) (5)</w:t>
            </w: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740" w:type="dxa"/>
            <w:vAlign w:val="bottom"/>
            <w:gridSpan w:val="9"/>
            <w:vMerge w:val="continue"/>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10%</w:t>
            </w:r>
          </w:p>
        </w:tc>
        <w:tc>
          <w:tcPr>
            <w:tcW w:w="24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73</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b w:val="1"/>
                <w:bCs w:val="1"/>
                <w:color w:val="auto"/>
                <w:w w:val="71"/>
              </w:rPr>
              <w:t>$</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w w:val="94"/>
              </w:rPr>
              <w:t>18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40" w:type="dxa"/>
            <w:vAlign w:val="bottom"/>
            <w:gridSpan w:val="9"/>
            <w:shd w:val="clear" w:color="auto" w:fill="CCEEFF"/>
          </w:tcPr>
          <w:p>
            <w:pPr>
              <w:spacing w:after="0"/>
              <w:rPr>
                <w:sz w:val="20"/>
                <w:szCs w:val="20"/>
                <w:color w:val="auto"/>
              </w:rPr>
            </w:pPr>
            <w:r>
              <w:rPr>
                <w:rFonts w:ascii="Arial" w:cs="Arial" w:eastAsia="Arial" w:hAnsi="Arial"/>
                <w:sz w:val="17"/>
                <w:szCs w:val="17"/>
                <w:b w:val="1"/>
                <w:bCs w:val="1"/>
                <w:color w:val="auto"/>
              </w:rPr>
              <w:t>Total: Projects Anticipated to Stabilize in 2008 and 2009 (3) (4)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166</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b w:val="1"/>
                <w:bCs w:val="1"/>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98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80" w:type="dxa"/>
            <w:vAlign w:val="bottom"/>
            <w:gridSpan w:val="6"/>
          </w:tcPr>
          <w:p>
            <w:pPr>
              <w:spacing w:after="0"/>
              <w:rPr>
                <w:sz w:val="20"/>
                <w:szCs w:val="20"/>
                <w:color w:val="auto"/>
              </w:rPr>
            </w:pPr>
            <w:r>
              <w:rPr>
                <w:rFonts w:ascii="Arial" w:cs="Arial" w:eastAsia="Arial" w:hAnsi="Arial"/>
                <w:sz w:val="17"/>
                <w:szCs w:val="17"/>
                <w:b w:val="1"/>
                <w:bCs w:val="1"/>
                <w:color w:val="auto"/>
                <w:w w:val="95"/>
              </w:rPr>
              <w:t>Potential future redevelopment pipeline includes (6):</w:t>
            </w:r>
          </w:p>
        </w:tc>
        <w:tc>
          <w:tcPr>
            <w:tcW w:w="1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540" w:type="dxa"/>
            <w:vAlign w:val="bottom"/>
            <w:tcBorders>
              <w:bottom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w w:val="93"/>
              </w:rPr>
              <w:t>Property</w:t>
            </w: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w w:val="92"/>
              </w:rPr>
              <w:t>Location</w:t>
            </w: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40" w:type="dxa"/>
            <w:vAlign w:val="bottom"/>
            <w:tcBorders>
              <w:bottom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w w:val="94"/>
              </w:rPr>
              <w:t>Opportunity</w:t>
            </w:r>
          </w:p>
        </w:tc>
        <w:tc>
          <w:tcPr>
            <w:tcW w:w="2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Assembly Square</w:t>
            </w: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Sommerville, MA</w:t>
            </w: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99"/>
              </w:rPr>
              <w:t>Potential substantial transit oriented mixed-use development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60" w:type="dxa"/>
            <w:vAlign w:val="bottom"/>
            <w:gridSpan w:val="3"/>
          </w:tcPr>
          <w:p>
            <w:pPr>
              <w:spacing w:after="0"/>
              <w:rPr>
                <w:sz w:val="20"/>
                <w:szCs w:val="20"/>
                <w:color w:val="auto"/>
              </w:rPr>
            </w:pPr>
            <w:r>
              <w:rPr>
                <w:rFonts w:ascii="Arial" w:cs="Arial" w:eastAsia="Arial" w:hAnsi="Arial"/>
                <w:sz w:val="17"/>
                <w:szCs w:val="17"/>
                <w:color w:val="auto"/>
              </w:rPr>
              <w:t>Bala Cynwyd</w:t>
            </w:r>
          </w:p>
        </w:tc>
        <w:tc>
          <w:tcPr>
            <w:tcW w:w="1520" w:type="dxa"/>
            <w:vAlign w:val="bottom"/>
            <w:gridSpan w:val="3"/>
          </w:tcPr>
          <w:p>
            <w:pPr>
              <w:ind w:left="120"/>
              <w:spacing w:after="0"/>
              <w:rPr>
                <w:sz w:val="20"/>
                <w:szCs w:val="20"/>
                <w:color w:val="auto"/>
              </w:rPr>
            </w:pPr>
            <w:r>
              <w:rPr>
                <w:rFonts w:ascii="Arial" w:cs="Arial" w:eastAsia="Arial" w:hAnsi="Arial"/>
                <w:sz w:val="17"/>
                <w:szCs w:val="17"/>
                <w:color w:val="auto"/>
              </w:rPr>
              <w:t>Bala Cynwyd, PA</w:t>
            </w: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Redevelopment of nine acres of land for a transit oriented</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mixed-use project or retail center</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Barracks Road</w:t>
            </w: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w w:val="99"/>
              </w:rPr>
              <w:t>Charlottesville, VA</w:t>
            </w: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98"/>
              </w:rPr>
              <w:t>Anchor re-tenanting, pad re-tenanting, and site improvements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gridSpan w:val="3"/>
          </w:tcPr>
          <w:p>
            <w:pPr>
              <w:spacing w:after="0"/>
              <w:rPr>
                <w:sz w:val="20"/>
                <w:szCs w:val="20"/>
                <w:color w:val="auto"/>
              </w:rPr>
            </w:pPr>
            <w:r>
              <w:rPr>
                <w:rFonts w:ascii="Arial" w:cs="Arial" w:eastAsia="Arial" w:hAnsi="Arial"/>
                <w:sz w:val="17"/>
                <w:szCs w:val="17"/>
                <w:color w:val="auto"/>
              </w:rPr>
              <w:t>Brick Plaza</w:t>
            </w:r>
          </w:p>
        </w:tc>
        <w:tc>
          <w:tcPr>
            <w:tcW w:w="1520" w:type="dxa"/>
            <w:vAlign w:val="bottom"/>
            <w:gridSpan w:val="3"/>
          </w:tcPr>
          <w:p>
            <w:pPr>
              <w:ind w:left="120"/>
              <w:spacing w:after="0"/>
              <w:rPr>
                <w:sz w:val="20"/>
                <w:szCs w:val="20"/>
                <w:color w:val="auto"/>
              </w:rPr>
            </w:pPr>
            <w:r>
              <w:rPr>
                <w:rFonts w:ascii="Arial" w:cs="Arial" w:eastAsia="Arial" w:hAnsi="Arial"/>
                <w:sz w:val="17"/>
                <w:szCs w:val="17"/>
                <w:color w:val="auto"/>
              </w:rPr>
              <w:t>Brick, NJ</w:t>
            </w: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Redevelopment and expansion of existing pad site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Bethesda Row</w:t>
            </w: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Bethesda, MD</w:t>
            </w: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96"/>
              </w:rPr>
              <w:t>Anchor re-tenanting and modifications of building on Hampden</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Lane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gridSpan w:val="3"/>
          </w:tcPr>
          <w:p>
            <w:pPr>
              <w:spacing w:after="0"/>
              <w:rPr>
                <w:sz w:val="20"/>
                <w:szCs w:val="20"/>
                <w:color w:val="auto"/>
              </w:rPr>
            </w:pPr>
            <w:r>
              <w:rPr>
                <w:rFonts w:ascii="Arial" w:cs="Arial" w:eastAsia="Arial" w:hAnsi="Arial"/>
                <w:sz w:val="17"/>
                <w:szCs w:val="17"/>
                <w:color w:val="auto"/>
              </w:rPr>
              <w:t>Courthouse Center</w:t>
            </w:r>
          </w:p>
        </w:tc>
        <w:tc>
          <w:tcPr>
            <w:tcW w:w="1520" w:type="dxa"/>
            <w:vAlign w:val="bottom"/>
            <w:gridSpan w:val="3"/>
          </w:tcPr>
          <w:p>
            <w:pPr>
              <w:ind w:left="120"/>
              <w:spacing w:after="0"/>
              <w:rPr>
                <w:sz w:val="20"/>
                <w:szCs w:val="20"/>
                <w:color w:val="auto"/>
              </w:rPr>
            </w:pPr>
            <w:r>
              <w:rPr>
                <w:rFonts w:ascii="Arial" w:cs="Arial" w:eastAsia="Arial" w:hAnsi="Arial"/>
                <w:sz w:val="17"/>
                <w:szCs w:val="17"/>
                <w:color w:val="auto"/>
              </w:rPr>
              <w:t>Rockville, MD</w:t>
            </w: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Center redevelopment adjacent to Rockville Town Square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Flourtown</w:t>
            </w: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Flourtown, PA</w:t>
            </w: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Anchor re-tenanting, small shop demolition, new retail</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building, façade renovation, and site improvements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60" w:type="dxa"/>
            <w:vAlign w:val="bottom"/>
            <w:gridSpan w:val="3"/>
          </w:tcPr>
          <w:p>
            <w:pPr>
              <w:spacing w:after="0"/>
              <w:rPr>
                <w:sz w:val="20"/>
                <w:szCs w:val="20"/>
                <w:color w:val="auto"/>
              </w:rPr>
            </w:pPr>
            <w:r>
              <w:rPr>
                <w:rFonts w:ascii="Arial" w:cs="Arial" w:eastAsia="Arial" w:hAnsi="Arial"/>
                <w:sz w:val="17"/>
                <w:szCs w:val="17"/>
                <w:color w:val="auto"/>
              </w:rPr>
              <w:t>Hollywood Peterson Building</w:t>
            </w:r>
          </w:p>
        </w:tc>
        <w:tc>
          <w:tcPr>
            <w:tcW w:w="1520" w:type="dxa"/>
            <w:vAlign w:val="bottom"/>
            <w:gridSpan w:val="3"/>
          </w:tcPr>
          <w:p>
            <w:pPr>
              <w:ind w:left="120"/>
              <w:spacing w:after="0"/>
              <w:rPr>
                <w:sz w:val="20"/>
                <w:szCs w:val="20"/>
                <w:color w:val="auto"/>
              </w:rPr>
            </w:pPr>
            <w:r>
              <w:rPr>
                <w:rFonts w:ascii="Arial" w:cs="Arial" w:eastAsia="Arial" w:hAnsi="Arial"/>
                <w:sz w:val="17"/>
                <w:szCs w:val="17"/>
                <w:color w:val="auto"/>
              </w:rPr>
              <w:t>Hollywood, CA</w:t>
            </w: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w w:val="95"/>
              </w:rPr>
              <w:t>Co-terminus leases create potential for property redevelopment</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and expansion</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Lancaster</w:t>
            </w: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Lancaster, PA</w:t>
            </w: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99"/>
              </w:rPr>
              <w:t>Renovation and expansion of existing grocer, new bank pad,</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and façade renovation</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gridSpan w:val="3"/>
          </w:tcPr>
          <w:p>
            <w:pPr>
              <w:spacing w:after="0"/>
              <w:rPr>
                <w:sz w:val="20"/>
                <w:szCs w:val="20"/>
                <w:color w:val="auto"/>
              </w:rPr>
            </w:pPr>
            <w:r>
              <w:rPr>
                <w:rFonts w:ascii="Arial" w:cs="Arial" w:eastAsia="Arial" w:hAnsi="Arial"/>
                <w:sz w:val="17"/>
                <w:szCs w:val="17"/>
                <w:color w:val="auto"/>
              </w:rPr>
              <w:t>Linden Square</w:t>
            </w:r>
          </w:p>
        </w:tc>
        <w:tc>
          <w:tcPr>
            <w:tcW w:w="1520" w:type="dxa"/>
            <w:vAlign w:val="bottom"/>
            <w:gridSpan w:val="3"/>
          </w:tcPr>
          <w:p>
            <w:pPr>
              <w:ind w:left="120"/>
              <w:spacing w:after="0"/>
              <w:rPr>
                <w:sz w:val="20"/>
                <w:szCs w:val="20"/>
                <w:color w:val="auto"/>
              </w:rPr>
            </w:pPr>
            <w:r>
              <w:rPr>
                <w:rFonts w:ascii="Arial" w:cs="Arial" w:eastAsia="Arial" w:hAnsi="Arial"/>
                <w:sz w:val="17"/>
                <w:szCs w:val="17"/>
                <w:color w:val="auto"/>
              </w:rPr>
              <w:t>Wellesley, MA</w:t>
            </w: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Additional phases of infill redevelopment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Mercer Mall</w:t>
            </w: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Lawrenceville, NJ</w:t>
            </w: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Construction of new outparcel</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60" w:type="dxa"/>
            <w:vAlign w:val="bottom"/>
            <w:gridSpan w:val="3"/>
          </w:tcPr>
          <w:p>
            <w:pPr>
              <w:spacing w:after="0"/>
              <w:rPr>
                <w:sz w:val="20"/>
                <w:szCs w:val="20"/>
                <w:color w:val="auto"/>
              </w:rPr>
            </w:pPr>
            <w:r>
              <w:rPr>
                <w:rFonts w:ascii="Arial" w:cs="Arial" w:eastAsia="Arial" w:hAnsi="Arial"/>
                <w:sz w:val="17"/>
                <w:szCs w:val="17"/>
                <w:color w:val="auto"/>
              </w:rPr>
              <w:t>Mid-Pike Plaza</w:t>
            </w:r>
          </w:p>
        </w:tc>
        <w:tc>
          <w:tcPr>
            <w:tcW w:w="1520" w:type="dxa"/>
            <w:vAlign w:val="bottom"/>
            <w:gridSpan w:val="3"/>
          </w:tcPr>
          <w:p>
            <w:pPr>
              <w:ind w:left="120"/>
              <w:spacing w:after="0"/>
              <w:rPr>
                <w:sz w:val="20"/>
                <w:szCs w:val="20"/>
                <w:color w:val="auto"/>
              </w:rPr>
            </w:pPr>
            <w:r>
              <w:rPr>
                <w:rFonts w:ascii="Arial" w:cs="Arial" w:eastAsia="Arial" w:hAnsi="Arial"/>
                <w:sz w:val="17"/>
                <w:szCs w:val="17"/>
                <w:color w:val="auto"/>
              </w:rPr>
              <w:t>Rockville, MD</w:t>
            </w: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w w:val="96"/>
              </w:rPr>
              <w:t>Co-terminus leases create potential for retail redevelopment or</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transit oriented mixed-use development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Pike 7</w:t>
            </w: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Vienna, VA</w:t>
            </w: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96"/>
              </w:rPr>
              <w:t>Co-terminus leases create potential for retail redevelopment or</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mixed-use development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gridSpan w:val="3"/>
          </w:tcPr>
          <w:p>
            <w:pPr>
              <w:spacing w:after="0"/>
              <w:rPr>
                <w:sz w:val="20"/>
                <w:szCs w:val="20"/>
                <w:color w:val="auto"/>
              </w:rPr>
            </w:pPr>
            <w:r>
              <w:rPr>
                <w:rFonts w:ascii="Arial" w:cs="Arial" w:eastAsia="Arial" w:hAnsi="Arial"/>
                <w:sz w:val="17"/>
                <w:szCs w:val="17"/>
                <w:color w:val="auto"/>
              </w:rPr>
              <w:t>Santana Row</w:t>
            </w:r>
          </w:p>
        </w:tc>
        <w:tc>
          <w:tcPr>
            <w:tcW w:w="1520" w:type="dxa"/>
            <w:vAlign w:val="bottom"/>
            <w:gridSpan w:val="3"/>
          </w:tcPr>
          <w:p>
            <w:pPr>
              <w:ind w:left="120"/>
              <w:spacing w:after="0"/>
              <w:rPr>
                <w:sz w:val="20"/>
                <w:szCs w:val="20"/>
                <w:color w:val="auto"/>
              </w:rPr>
            </w:pPr>
            <w:r>
              <w:rPr>
                <w:rFonts w:ascii="Arial" w:cs="Arial" w:eastAsia="Arial" w:hAnsi="Arial"/>
                <w:sz w:val="17"/>
                <w:szCs w:val="17"/>
                <w:color w:val="auto"/>
              </w:rPr>
              <w:t>San Jose, CA</w:t>
            </w: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Future phases of mixed-use development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Town Center of New Britain</w:t>
            </w:r>
          </w:p>
        </w:tc>
        <w:tc>
          <w:tcPr>
            <w:tcW w:w="15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New Britain, PA</w:t>
            </w:r>
          </w:p>
        </w:tc>
        <w:tc>
          <w:tcPr>
            <w:tcW w:w="46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Renovation and expansion of existing grocer</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3"/>
          </w:tcPr>
          <w:p>
            <w:pPr>
              <w:spacing w:after="0"/>
              <w:rPr>
                <w:sz w:val="20"/>
                <w:szCs w:val="20"/>
                <w:color w:val="auto"/>
              </w:rPr>
            </w:pPr>
            <w:r>
              <w:rPr>
                <w:rFonts w:ascii="Arial" w:cs="Arial" w:eastAsia="Arial" w:hAnsi="Arial"/>
                <w:sz w:val="17"/>
                <w:szCs w:val="17"/>
                <w:color w:val="auto"/>
              </w:rPr>
              <w:t>Westgate</w:t>
            </w:r>
          </w:p>
        </w:tc>
        <w:tc>
          <w:tcPr>
            <w:tcW w:w="1520" w:type="dxa"/>
            <w:vAlign w:val="bottom"/>
            <w:gridSpan w:val="3"/>
          </w:tcPr>
          <w:p>
            <w:pPr>
              <w:ind w:left="120"/>
              <w:spacing w:after="0"/>
              <w:rPr>
                <w:sz w:val="20"/>
                <w:szCs w:val="20"/>
                <w:color w:val="auto"/>
              </w:rPr>
            </w:pPr>
            <w:r>
              <w:rPr>
                <w:rFonts w:ascii="Arial" w:cs="Arial" w:eastAsia="Arial" w:hAnsi="Arial"/>
                <w:sz w:val="17"/>
                <w:szCs w:val="17"/>
                <w:color w:val="auto"/>
              </w:rPr>
              <w:t>San Jose, CA</w:t>
            </w: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Center redevelopment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93" w:lineRule="exact"/>
        <w:rPr>
          <w:sz w:val="20"/>
          <w:szCs w:val="20"/>
          <w:color w:val="auto"/>
        </w:rPr>
      </w:pPr>
    </w:p>
    <w:p>
      <w:pPr>
        <w:ind w:left="460" w:right="240" w:hanging="455"/>
        <w:spacing w:after="0" w:line="27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460" w:hanging="455"/>
        <w:spacing w:after="0" w:line="257"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Stabilization is the year in which 95% occupancy of the redeveloped space is achieved.</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subtotals and totals reflect cost weighted-average ROIs.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Excludes $55 million of development capital at Linden Square, anticipated at acquisition of this in-process development.</w:t>
      </w:r>
    </w:p>
    <w:p>
      <w:pPr>
        <w:spacing w:after="0" w:line="14" w:lineRule="exact"/>
        <w:rPr>
          <w:rFonts w:ascii="Arial" w:cs="Arial" w:eastAsia="Arial" w:hAnsi="Arial"/>
          <w:sz w:val="17"/>
          <w:szCs w:val="17"/>
          <w:color w:val="auto"/>
        </w:rPr>
      </w:pPr>
    </w:p>
    <w:p>
      <w:pPr>
        <w:ind w:left="460" w:right="240" w:hanging="455"/>
        <w:spacing w:after="0" w:line="275"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420"/>
          </w:cols>
          <w:pgMar w:left="240" w:top="271"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71"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2008 Significant Acquisitions and Dispositions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Federal Realty Investment Trust Acquisitions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8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2"/>
          </w:tcPr>
          <w:p>
            <w:pPr>
              <w:ind w:left="460"/>
              <w:spacing w:after="0"/>
              <w:rPr>
                <w:sz w:val="20"/>
                <w:szCs w:val="20"/>
                <w:color w:val="auto"/>
              </w:rPr>
            </w:pPr>
            <w:r>
              <w:rPr>
                <w:rFonts w:ascii="Arial" w:cs="Arial" w:eastAsia="Arial" w:hAnsi="Arial"/>
                <w:sz w:val="13"/>
                <w:szCs w:val="13"/>
                <w:b w:val="1"/>
                <w:bCs w:val="1"/>
                <w:color w:val="auto"/>
              </w:rPr>
              <w:t>Property</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3"/>
                <w:szCs w:val="13"/>
                <w:b w:val="1"/>
                <w:bCs w:val="1"/>
                <w:color w:val="auto"/>
              </w:rPr>
              <w:t>City / State</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rPr>
              <w:t>GLA</w:t>
            </w: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rPr>
              <w:t>Purchase price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2"/>
          </w:tcPr>
          <w:p>
            <w:pPr>
              <w:jc w:val="right"/>
              <w:ind w:right="774"/>
              <w:spacing w:after="0"/>
              <w:rPr>
                <w:sz w:val="20"/>
                <w:szCs w:val="20"/>
                <w:color w:val="auto"/>
              </w:rPr>
            </w:pPr>
            <w:r>
              <w:rPr>
                <w:rFonts w:ascii="Arial" w:cs="Arial" w:eastAsia="Arial" w:hAnsi="Arial"/>
                <w:sz w:val="13"/>
                <w:szCs w:val="13"/>
                <w:b w:val="1"/>
                <w:bCs w:val="1"/>
                <w:color w:val="auto"/>
              </w:rPr>
              <w:t>Anchor tenants</w:t>
            </w:r>
          </w:p>
        </w:tc>
      </w:tr>
      <w:tr>
        <w:trPr>
          <w:trHeight w:val="137"/>
        </w:trPr>
        <w:tc>
          <w:tcPr>
            <w:tcW w:w="20" w:type="dxa"/>
            <w:vAlign w:val="bottom"/>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Borders>
              <w:top w:val="single" w:sz="8" w:color="auto"/>
            </w:tcBorders>
            <w:gridSpan w:val="3"/>
          </w:tcPr>
          <w:p>
            <w:pPr>
              <w:jc w:val="center"/>
              <w:ind w:right="20"/>
              <w:spacing w:after="0" w:line="138" w:lineRule="exact"/>
              <w:rPr>
                <w:sz w:val="20"/>
                <w:szCs w:val="20"/>
                <w:color w:val="auto"/>
              </w:rPr>
            </w:pPr>
            <w:r>
              <w:rPr>
                <w:rFonts w:ascii="Arial" w:cs="Arial" w:eastAsia="Arial" w:hAnsi="Arial"/>
                <w:sz w:val="13"/>
                <w:szCs w:val="13"/>
                <w:b w:val="1"/>
                <w:bCs w:val="1"/>
                <w:color w:val="auto"/>
                <w:w w:val="90"/>
              </w:rPr>
              <w:t>(in square feet)</w:t>
            </w:r>
          </w:p>
        </w:tc>
        <w:tc>
          <w:tcPr>
            <w:tcW w:w="440" w:type="dxa"/>
            <w:vAlign w:val="bottom"/>
          </w:tcPr>
          <w:p>
            <w:pPr>
              <w:spacing w:after="0"/>
              <w:rPr>
                <w:sz w:val="11"/>
                <w:szCs w:val="11"/>
                <w:color w:val="auto"/>
              </w:rPr>
            </w:pPr>
          </w:p>
        </w:tc>
        <w:tc>
          <w:tcPr>
            <w:tcW w:w="840" w:type="dxa"/>
            <w:vAlign w:val="bottom"/>
            <w:tcBorders>
              <w:top w:val="single" w:sz="8" w:color="auto"/>
            </w:tcBorders>
            <w:gridSpan w:val="2"/>
          </w:tcPr>
          <w:p>
            <w:pPr>
              <w:ind w:left="100"/>
              <w:spacing w:after="0" w:line="138" w:lineRule="exact"/>
              <w:rPr>
                <w:sz w:val="20"/>
                <w:szCs w:val="20"/>
                <w:color w:val="auto"/>
              </w:rPr>
            </w:pPr>
            <w:r>
              <w:rPr>
                <w:rFonts w:ascii="Arial" w:cs="Arial" w:eastAsia="Arial" w:hAnsi="Arial"/>
                <w:sz w:val="13"/>
                <w:szCs w:val="13"/>
                <w:b w:val="1"/>
                <w:bCs w:val="1"/>
                <w:color w:val="auto"/>
                <w:w w:val="98"/>
              </w:rPr>
              <w:t>(in millions)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May 30, 2008</w:t>
            </w:r>
          </w:p>
        </w:tc>
        <w:tc>
          <w:tcPr>
            <w:tcW w:w="4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Del Mar Village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Boca Raton, FL</w:t>
            </w:r>
          </w:p>
        </w:tc>
        <w:tc>
          <w:tcPr>
            <w:tcW w:w="2080" w:type="dxa"/>
            <w:vAlign w:val="bottom"/>
            <w:gridSpan w:val="6"/>
            <w:shd w:val="clear" w:color="auto" w:fill="CCEEFF"/>
          </w:tcPr>
          <w:p>
            <w:pPr>
              <w:jc w:val="right"/>
              <w:ind w:right="440"/>
              <w:spacing w:after="0"/>
              <w:rPr>
                <w:sz w:val="20"/>
                <w:szCs w:val="20"/>
                <w:color w:val="auto"/>
              </w:rPr>
            </w:pPr>
            <w:r>
              <w:rPr>
                <w:rFonts w:ascii="Arial" w:cs="Arial" w:eastAsia="Arial" w:hAnsi="Arial"/>
                <w:sz w:val="17"/>
                <w:szCs w:val="17"/>
                <w:color w:val="auto"/>
              </w:rPr>
              <w:t>154,000</w:t>
            </w: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41.7</w:t>
            </w:r>
          </w:p>
        </w:tc>
        <w:tc>
          <w:tcPr>
            <w:tcW w:w="12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2"/>
              </w:rPr>
              <w:t>Winn Dixie, CVS &amp; Sweet Tomatoes</w:t>
            </w:r>
          </w:p>
        </w:tc>
      </w:tr>
      <w:tr>
        <w:trPr>
          <w:trHeight w:val="406"/>
        </w:trPr>
        <w:tc>
          <w:tcPr>
            <w:tcW w:w="3780" w:type="dxa"/>
            <w:vAlign w:val="bottom"/>
            <w:gridSpan w:val="6"/>
          </w:tcPr>
          <w:p>
            <w:pPr>
              <w:spacing w:after="0"/>
              <w:rPr>
                <w:sz w:val="20"/>
                <w:szCs w:val="20"/>
                <w:color w:val="auto"/>
              </w:rPr>
            </w:pPr>
            <w:r>
              <w:rPr>
                <w:rFonts w:ascii="Arial" w:cs="Arial" w:eastAsia="Arial" w:hAnsi="Arial"/>
                <w:sz w:val="17"/>
                <w:szCs w:val="17"/>
                <w:color w:val="auto"/>
              </w:rPr>
              <w:t>Federal Realty Investment Trust Dispositions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73"/>
        </w:trPr>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Date</w:t>
            </w: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3"/>
                <w:szCs w:val="13"/>
                <w:b w:val="1"/>
                <w:bCs w:val="1"/>
                <w:color w:val="auto"/>
              </w:rPr>
              <w:t>Property</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92"/>
              </w:rPr>
              <w:t>City / State</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GLA</w:t>
            </w:r>
          </w:p>
        </w:tc>
        <w:tc>
          <w:tcPr>
            <w:tcW w:w="17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84"/>
              </w:rPr>
              <w:t>Sales price</w:t>
            </w:r>
          </w:p>
        </w:tc>
      </w:tr>
      <w:tr>
        <w:trPr>
          <w:trHeight w:val="203"/>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None</w:t>
            </w: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r>
      <w:tr>
        <w:trPr>
          <w:trHeight w:val="35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15</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271"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4"/>
              <w:spacing w:after="0"/>
              <w:rPr>
                <w:sz w:val="20"/>
                <w:szCs w:val="20"/>
                <w:color w:val="auto"/>
              </w:rPr>
            </w:pPr>
            <w:r>
              <w:rPr>
                <w:rFonts w:ascii="Arial" w:cs="Arial" w:eastAsia="Arial" w:hAnsi="Arial"/>
                <w:sz w:val="13"/>
                <w:szCs w:val="13"/>
                <w:b w:val="1"/>
                <w:bCs w:val="1"/>
                <w:color w:val="auto"/>
                <w:w w:val="95"/>
              </w:rPr>
              <w:t>Mortgage</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1"/>
              </w:rPr>
              <w:t>or</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74"/>
              <w:spacing w:after="0" w:line="144" w:lineRule="exact"/>
              <w:rPr>
                <w:sz w:val="20"/>
                <w:szCs w:val="20"/>
                <w:color w:val="auto"/>
              </w:rPr>
            </w:pPr>
            <w:r>
              <w:rPr>
                <w:rFonts w:ascii="Arial" w:cs="Arial" w:eastAsia="Arial" w:hAnsi="Arial"/>
                <w:sz w:val="13"/>
                <w:szCs w:val="13"/>
                <w:b w:val="1"/>
                <w:bCs w:val="1"/>
                <w:color w:val="auto"/>
                <w:w w:val="87"/>
              </w:rPr>
              <w:t>Real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w w:val="88"/>
              </w:rPr>
              <w:t>Grocery</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2"/>
            <w:vMerge w:val="restart"/>
          </w:tcPr>
          <w:p>
            <w:pPr>
              <w:ind w:left="540"/>
              <w:spacing w:after="0"/>
              <w:rPr>
                <w:sz w:val="20"/>
                <w:szCs w:val="20"/>
                <w:color w:val="auto"/>
              </w:rPr>
            </w:pPr>
            <w:r>
              <w:rPr>
                <w:rFonts w:ascii="Arial" w:cs="Arial" w:eastAsia="Arial" w:hAnsi="Arial"/>
                <w:sz w:val="13"/>
                <w:szCs w:val="13"/>
                <w:b w:val="1"/>
                <w:bCs w:val="1"/>
                <w:color w:val="auto"/>
              </w:rPr>
              <w:t>MSA Description</w:t>
            </w:r>
          </w:p>
        </w:tc>
        <w:tc>
          <w:tcPr>
            <w:tcW w:w="5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Year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74"/>
              <w:spacing w:after="0" w:line="144" w:lineRule="exact"/>
              <w:rPr>
                <w:sz w:val="20"/>
                <w:szCs w:val="20"/>
                <w:color w:val="auto"/>
              </w:rPr>
            </w:pPr>
            <w:r>
              <w:rPr>
                <w:rFonts w:ascii="Arial" w:cs="Arial" w:eastAsia="Arial" w:hAnsi="Arial"/>
                <w:sz w:val="13"/>
                <w:szCs w:val="13"/>
                <w:b w:val="1"/>
                <w:bCs w:val="1"/>
                <w:color w:val="auto"/>
                <w:w w:val="92"/>
              </w:rPr>
              <w:t>Estate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6"/>
              </w:rPr>
              <w:t>Lease</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jc w:val="right"/>
              <w:ind w:right="74"/>
              <w:spacing w:after="0" w:line="144"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w w:val="92"/>
              </w:rPr>
              <w:t>Anchor</w:t>
            </w:r>
          </w:p>
        </w:tc>
        <w:tc>
          <w:tcPr>
            <w:tcW w:w="60" w:type="dxa"/>
            <w:vAlign w:val="bottom"/>
          </w:tcPr>
          <w:p>
            <w:pPr>
              <w:spacing w:after="0"/>
              <w:rPr>
                <w:sz w:val="12"/>
                <w:szCs w:val="12"/>
                <w:color w:val="auto"/>
              </w:rPr>
            </w:pPr>
          </w:p>
        </w:tc>
        <w:tc>
          <w:tcPr>
            <w:tcW w:w="860" w:type="dxa"/>
            <w:vAlign w:val="bottom"/>
          </w:tcPr>
          <w:p>
            <w:pPr>
              <w:ind w:left="200"/>
              <w:spacing w:after="0" w:line="144" w:lineRule="exact"/>
              <w:rPr>
                <w:sz w:val="20"/>
                <w:szCs w:val="20"/>
                <w:color w:val="auto"/>
              </w:rPr>
            </w:pPr>
            <w:r>
              <w:rPr>
                <w:rFonts w:ascii="Arial" w:cs="Arial" w:eastAsia="Arial" w:hAnsi="Arial"/>
                <w:sz w:val="13"/>
                <w:szCs w:val="13"/>
                <w:b w:val="1"/>
                <w:bCs w:val="1"/>
                <w:color w:val="auto"/>
              </w:rPr>
              <w:t>Grocery</w:t>
            </w:r>
          </w:p>
        </w:tc>
        <w:tc>
          <w:tcPr>
            <w:tcW w:w="40" w:type="dxa"/>
            <w:vAlign w:val="bottom"/>
          </w:tcPr>
          <w:p>
            <w:pPr>
              <w:spacing w:after="0"/>
              <w:rPr>
                <w:sz w:val="12"/>
                <w:szCs w:val="12"/>
                <w:color w:val="auto"/>
              </w:rPr>
            </w:pPr>
          </w:p>
        </w:tc>
        <w:tc>
          <w:tcPr>
            <w:tcW w:w="222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Other Principal Tenants</w:t>
            </w:r>
          </w:p>
        </w:tc>
        <w:tc>
          <w:tcPr>
            <w:tcW w:w="0" w:type="dxa"/>
            <w:vAlign w:val="bottom"/>
          </w:tcPr>
          <w:p>
            <w:pPr>
              <w:spacing w:after="0"/>
              <w:rPr>
                <w:sz w:val="1"/>
                <w:szCs w:val="1"/>
                <w:color w:val="auto"/>
              </w:rPr>
            </w:pPr>
          </w:p>
        </w:tc>
      </w:tr>
      <w:tr>
        <w:trPr>
          <w:trHeight w:val="157"/>
        </w:trPr>
        <w:tc>
          <w:tcPr>
            <w:tcW w:w="2020" w:type="dxa"/>
            <w:vAlign w:val="bottom"/>
            <w:gridSpan w:val="12"/>
          </w:tcPr>
          <w:p>
            <w:pPr>
              <w:spacing w:after="0"/>
              <w:rPr>
                <w:sz w:val="20"/>
                <w:szCs w:val="20"/>
                <w:color w:val="auto"/>
              </w:rPr>
            </w:pPr>
            <w:r>
              <w:rPr>
                <w:rFonts w:ascii="Arial" w:cs="Arial" w:eastAsia="Arial" w:hAnsi="Arial"/>
                <w:sz w:val="13"/>
                <w:szCs w:val="13"/>
                <w:b w:val="1"/>
                <w:bCs w:val="1"/>
                <w:color w:val="auto"/>
              </w:rPr>
              <w:t>Property Name</w:t>
            </w:r>
          </w:p>
        </w:tc>
        <w:tc>
          <w:tcPr>
            <w:tcW w:w="26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5"/>
              </w:rPr>
              <w:t>Acquired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74"/>
              <w:spacing w:after="0"/>
              <w:rPr>
                <w:sz w:val="20"/>
                <w:szCs w:val="20"/>
                <w:color w:val="auto"/>
              </w:rPr>
            </w:pPr>
            <w:r>
              <w:rPr>
                <w:rFonts w:ascii="Arial" w:cs="Arial" w:eastAsia="Arial" w:hAnsi="Arial"/>
                <w:sz w:val="13"/>
                <w:szCs w:val="13"/>
                <w:b w:val="1"/>
                <w:bCs w:val="1"/>
                <w:color w:val="auto"/>
                <w:w w:val="90"/>
              </w:rPr>
              <w:t>at Cost</w:t>
            </w:r>
          </w:p>
        </w:tc>
        <w:tc>
          <w:tcPr>
            <w:tcW w:w="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Obligation (1)</w:t>
            </w:r>
          </w:p>
        </w:tc>
        <w:tc>
          <w:tcPr>
            <w:tcW w:w="4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GLA (2)</w:t>
            </w:r>
          </w:p>
        </w:tc>
        <w:tc>
          <w:tcPr>
            <w:tcW w:w="5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Leased</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93"/>
              </w:rPr>
              <w:t>GLA (3)</w:t>
            </w:r>
          </w:p>
        </w:tc>
        <w:tc>
          <w:tcPr>
            <w:tcW w:w="60" w:type="dxa"/>
            <w:vAlign w:val="bottom"/>
          </w:tcPr>
          <w:p>
            <w:pPr>
              <w:spacing w:after="0"/>
              <w:rPr>
                <w:sz w:val="13"/>
                <w:szCs w:val="13"/>
                <w:color w:val="auto"/>
              </w:rPr>
            </w:pPr>
          </w:p>
        </w:tc>
        <w:tc>
          <w:tcPr>
            <w:tcW w:w="860" w:type="dxa"/>
            <w:vAlign w:val="bottom"/>
          </w:tcPr>
          <w:p>
            <w:pPr>
              <w:ind w:left="140"/>
              <w:spacing w:after="0"/>
              <w:rPr>
                <w:sz w:val="20"/>
                <w:szCs w:val="20"/>
                <w:color w:val="auto"/>
              </w:rPr>
            </w:pPr>
            <w:r>
              <w:rPr>
                <w:rFonts w:ascii="Arial" w:cs="Arial" w:eastAsia="Arial" w:hAnsi="Arial"/>
                <w:sz w:val="13"/>
                <w:szCs w:val="13"/>
                <w:b w:val="1"/>
                <w:bCs w:val="1"/>
                <w:color w:val="auto"/>
              </w:rPr>
              <w:t>Anchor (3)</w:t>
            </w:r>
          </w:p>
        </w:tc>
        <w:tc>
          <w:tcPr>
            <w:tcW w:w="40" w:type="dxa"/>
            <w:vAlign w:val="bottom"/>
          </w:tcPr>
          <w:p>
            <w:pPr>
              <w:spacing w:after="0"/>
              <w:rPr>
                <w:sz w:val="13"/>
                <w:szCs w:val="13"/>
                <w:color w:val="auto"/>
              </w:rPr>
            </w:pPr>
          </w:p>
        </w:tc>
        <w:tc>
          <w:tcPr>
            <w:tcW w:w="2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4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Borders>
              <w:bottom w:val="single" w:sz="8" w:color="auto"/>
            </w:tcBorders>
            <w:gridSpan w:val="3"/>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85"/>
              </w:rPr>
              <w:t>East Region</w:t>
            </w:r>
          </w:p>
        </w:tc>
        <w:tc>
          <w:tcPr>
            <w:tcW w:w="1340" w:type="dxa"/>
            <w:vAlign w:val="bottom"/>
            <w:tcBorders>
              <w:bottom w:val="single" w:sz="8" w:color="CCEEFF"/>
            </w:tcBorders>
            <w:gridSpan w:val="8"/>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20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00" w:type="dxa"/>
            <w:vAlign w:val="bottom"/>
            <w:gridSpan w:val="11"/>
          </w:tcPr>
          <w:p>
            <w:pPr>
              <w:ind w:left="200"/>
              <w:spacing w:after="0"/>
              <w:rPr>
                <w:sz w:val="20"/>
                <w:szCs w:val="20"/>
                <w:color w:val="auto"/>
              </w:rPr>
            </w:pPr>
            <w:r>
              <w:rPr>
                <w:rFonts w:ascii="Arial" w:cs="Arial" w:eastAsia="Arial" w:hAnsi="Arial"/>
                <w:sz w:val="13"/>
                <w:szCs w:val="13"/>
                <w:b w:val="1"/>
                <w:bCs w:val="1"/>
                <w:color w:val="auto"/>
                <w:w w:val="94"/>
              </w:rPr>
              <w:t>Washington Metropolitan Area</w:t>
            </w: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000" w:type="dxa"/>
            <w:vAlign w:val="bottom"/>
            <w:gridSpan w:val="11"/>
            <w:shd w:val="clear" w:color="auto" w:fill="CCEEFF"/>
          </w:tcPr>
          <w:p>
            <w:pPr>
              <w:spacing w:after="0" w:line="138" w:lineRule="exact"/>
              <w:rPr>
                <w:sz w:val="20"/>
                <w:szCs w:val="20"/>
                <w:color w:val="auto"/>
              </w:rPr>
            </w:pPr>
            <w:r>
              <w:rPr>
                <w:rFonts w:ascii="Arial" w:cs="Arial" w:eastAsia="Arial" w:hAnsi="Arial"/>
                <w:sz w:val="13"/>
                <w:szCs w:val="13"/>
                <w:color w:val="auto"/>
              </w:rPr>
              <w:t>Bethesda Row</w:t>
            </w:r>
          </w:p>
        </w:tc>
        <w:tc>
          <w:tcPr>
            <w:tcW w:w="2360" w:type="dxa"/>
            <w:vAlign w:val="bottom"/>
            <w:gridSpan w:val="3"/>
            <w:shd w:val="clear" w:color="auto" w:fill="CCEEFF"/>
          </w:tcPr>
          <w:p>
            <w:pPr>
              <w:ind w:left="60"/>
              <w:spacing w:after="0" w:line="138" w:lineRule="exact"/>
              <w:rPr>
                <w:sz w:val="20"/>
                <w:szCs w:val="20"/>
                <w:color w:val="auto"/>
              </w:rPr>
            </w:pPr>
            <w:r>
              <w:rPr>
                <w:rFonts w:ascii="Arial" w:cs="Arial" w:eastAsia="Arial" w:hAnsi="Arial"/>
                <w:sz w:val="13"/>
                <w:szCs w:val="13"/>
                <w:color w:val="auto"/>
              </w:rPr>
              <w:t>(4) Washington, DC-MD-VA</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0"/>
              </w:rPr>
              <w:t>1993-2006</w:t>
            </w:r>
          </w:p>
        </w:tc>
        <w:tc>
          <w:tcPr>
            <w:tcW w:w="180" w:type="dxa"/>
            <w:vAlign w:val="bottom"/>
            <w:gridSpan w:val="2"/>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168,859</w:t>
            </w:r>
          </w:p>
        </w:tc>
        <w:tc>
          <w:tcPr>
            <w:tcW w:w="1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12,576</w:t>
            </w:r>
          </w:p>
        </w:tc>
        <w:tc>
          <w:tcPr>
            <w:tcW w:w="6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521,000</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92%</w:t>
            </w: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40,000</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Giant Food</w:t>
            </w:r>
          </w:p>
        </w:tc>
        <w:tc>
          <w:tcPr>
            <w:tcW w:w="226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3"/>
                <w:szCs w:val="13"/>
                <w:color w:val="auto"/>
              </w:rPr>
              <w:t>Barnes &amp; Noble /Landmark Theater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Congressional Plaza</w:t>
            </w:r>
          </w:p>
        </w:tc>
        <w:tc>
          <w:tcPr>
            <w:tcW w:w="2360" w:type="dxa"/>
            <w:vAlign w:val="bottom"/>
            <w:gridSpan w:val="3"/>
          </w:tcPr>
          <w:p>
            <w:pPr>
              <w:ind w:left="60"/>
              <w:spacing w:after="0" w:line="144" w:lineRule="exact"/>
              <w:rPr>
                <w:sz w:val="20"/>
                <w:szCs w:val="20"/>
                <w:color w:val="auto"/>
              </w:rPr>
            </w:pPr>
            <w:r>
              <w:rPr>
                <w:rFonts w:ascii="Arial" w:cs="Arial" w:eastAsia="Arial" w:hAnsi="Arial"/>
                <w:sz w:val="13"/>
                <w:szCs w:val="13"/>
                <w:color w:val="auto"/>
              </w:rPr>
              <w:t>(5) Washington, DC-MD-VA</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1965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69,326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335,000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96%</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28,000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Whole Foods</w:t>
            </w: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Buy Buy Baby / Container Store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Courthouse Center</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4,347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37,000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81%</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Falls Plaza/Falls Plaza-East</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w w:val="90"/>
              </w:rPr>
              <w:t>1967-1972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11,921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144,000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98%</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51,000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Giant Food</w:t>
            </w: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Federal Plaza</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1989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62,127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33,400</w:t>
            </w:r>
          </w:p>
        </w:tc>
        <w:tc>
          <w:tcPr>
            <w:tcW w:w="6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248,000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99%</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TJ Maxx / Micro Center / Ross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Friendship Center</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2001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33,341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119,000</w:t>
            </w: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w w:val="96"/>
              </w:rPr>
              <w:t>Borders / Linens ‘n Things / Maggiano’s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Gaithersburg Square</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1993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23,830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209,000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94%</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Bed, Bath &amp; Beyond / Borders / Ross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Idylwood Plaza</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1994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15,547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73,000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30,000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Whole Foods</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Laurel</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1986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47,604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386,000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99%</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61,000</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Giant Food</w:t>
            </w:r>
          </w:p>
        </w:tc>
        <w:tc>
          <w:tcPr>
            <w:tcW w:w="226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Leesburg Plaza</w:t>
            </w:r>
          </w:p>
        </w:tc>
        <w:tc>
          <w:tcPr>
            <w:tcW w:w="2360" w:type="dxa"/>
            <w:vAlign w:val="bottom"/>
            <w:gridSpan w:val="3"/>
          </w:tcPr>
          <w:p>
            <w:pPr>
              <w:ind w:left="60"/>
              <w:spacing w:after="0" w:line="144" w:lineRule="exact"/>
              <w:rPr>
                <w:sz w:val="20"/>
                <w:szCs w:val="20"/>
                <w:color w:val="auto"/>
              </w:rPr>
            </w:pPr>
            <w:r>
              <w:rPr>
                <w:rFonts w:ascii="Arial" w:cs="Arial" w:eastAsia="Arial" w:hAnsi="Arial"/>
                <w:sz w:val="13"/>
                <w:szCs w:val="13"/>
                <w:color w:val="auto"/>
              </w:rPr>
              <w:t>(6) Washington, DC-MD-VA</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1998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33,944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9,564</w:t>
            </w: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236,000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99%</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55,000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Giant Food</w:t>
            </w: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Petsmart / Pier One / Office Depot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Loehmann’s Plaza</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1983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31,036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269,000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94%</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58,000</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Giant Food</w:t>
            </w:r>
          </w:p>
        </w:tc>
        <w:tc>
          <w:tcPr>
            <w:tcW w:w="226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Bally Total Fitness / Loehmann’s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11"/>
          </w:tcPr>
          <w:p>
            <w:pPr>
              <w:spacing w:after="0" w:line="136" w:lineRule="exact"/>
              <w:rPr>
                <w:sz w:val="20"/>
                <w:szCs w:val="20"/>
                <w:color w:val="auto"/>
              </w:rPr>
            </w:pPr>
            <w:r>
              <w:rPr>
                <w:rFonts w:ascii="Arial" w:cs="Arial" w:eastAsia="Arial" w:hAnsi="Arial"/>
                <w:sz w:val="13"/>
                <w:szCs w:val="13"/>
                <w:color w:val="auto"/>
              </w:rPr>
              <w:t>Mid-Pike Plaza</w:t>
            </w:r>
          </w:p>
        </w:tc>
        <w:tc>
          <w:tcPr>
            <w:tcW w:w="260" w:type="dxa"/>
            <w:vAlign w:val="bottom"/>
          </w:tcPr>
          <w:p>
            <w:pPr>
              <w:spacing w:after="0"/>
              <w:rPr>
                <w:sz w:val="11"/>
                <w:szCs w:val="11"/>
                <w:color w:val="auto"/>
              </w:rPr>
            </w:pPr>
          </w:p>
        </w:tc>
        <w:tc>
          <w:tcPr>
            <w:tcW w:w="2100" w:type="dxa"/>
            <w:vAlign w:val="bottom"/>
            <w:gridSpan w:val="2"/>
          </w:tcPr>
          <w:p>
            <w:pPr>
              <w:spacing w:after="0" w:line="136" w:lineRule="exact"/>
              <w:rPr>
                <w:sz w:val="20"/>
                <w:szCs w:val="20"/>
                <w:color w:val="auto"/>
              </w:rPr>
            </w:pPr>
            <w:r>
              <w:rPr>
                <w:rFonts w:ascii="Arial" w:cs="Arial" w:eastAsia="Arial" w:hAnsi="Arial"/>
                <w:sz w:val="13"/>
                <w:szCs w:val="13"/>
                <w:color w:val="auto"/>
              </w:rPr>
              <w:t>Washington, DC-MD-VA</w:t>
            </w: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1982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44,012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309,000</w:t>
            </w:r>
          </w:p>
        </w:tc>
        <w:tc>
          <w:tcPr>
            <w:tcW w:w="4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60" w:type="dxa"/>
            <w:vAlign w:val="bottom"/>
            <w:gridSpan w:val="2"/>
          </w:tcPr>
          <w:p>
            <w:pPr>
              <w:ind w:left="40"/>
              <w:spacing w:after="0" w:line="136" w:lineRule="exact"/>
              <w:rPr>
                <w:sz w:val="20"/>
                <w:szCs w:val="20"/>
                <w:color w:val="auto"/>
              </w:rPr>
            </w:pPr>
            <w:r>
              <w:rPr>
                <w:rFonts w:ascii="Arial" w:cs="Arial" w:eastAsia="Arial" w:hAnsi="Arial"/>
                <w:sz w:val="13"/>
                <w:szCs w:val="13"/>
                <w:color w:val="auto"/>
                <w:w w:val="92"/>
              </w:rPr>
              <w:t>Linens ‘n Things / Toys R Us / Bally 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Arial" w:cs="Arial" w:eastAsia="Arial" w:hAnsi="Arial"/>
                <w:sz w:val="13"/>
                <w:szCs w:val="13"/>
                <w:color w:val="auto"/>
                <w:w w:val="96"/>
              </w:rPr>
              <w:t>Fitness / AC Moore / Filene’s Basement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00" w:type="dxa"/>
            <w:vAlign w:val="bottom"/>
            <w:gridSpan w:val="11"/>
            <w:shd w:val="clear" w:color="auto" w:fill="CCEEFF"/>
          </w:tcPr>
          <w:p>
            <w:pPr>
              <w:spacing w:after="0" w:line="137" w:lineRule="exact"/>
              <w:rPr>
                <w:sz w:val="20"/>
                <w:szCs w:val="20"/>
                <w:color w:val="auto"/>
              </w:rPr>
            </w:pPr>
            <w:r>
              <w:rPr>
                <w:rFonts w:ascii="Arial" w:cs="Arial" w:eastAsia="Arial" w:hAnsi="Arial"/>
                <w:sz w:val="13"/>
                <w:szCs w:val="13"/>
                <w:color w:val="auto"/>
              </w:rPr>
              <w:t>Mount Vernon/South Valley/</w:t>
            </w:r>
          </w:p>
        </w:tc>
        <w:tc>
          <w:tcPr>
            <w:tcW w:w="2360" w:type="dxa"/>
            <w:vAlign w:val="bottom"/>
            <w:gridSpan w:val="3"/>
            <w:shd w:val="clear" w:color="auto" w:fill="CCEEFF"/>
          </w:tcPr>
          <w:p>
            <w:pPr>
              <w:ind w:left="60"/>
              <w:spacing w:after="0" w:line="137" w:lineRule="exact"/>
              <w:rPr>
                <w:sz w:val="20"/>
                <w:szCs w:val="20"/>
                <w:color w:val="auto"/>
              </w:rPr>
            </w:pPr>
            <w:r>
              <w:rPr>
                <w:rFonts w:ascii="Arial" w:cs="Arial" w:eastAsia="Arial" w:hAnsi="Arial"/>
                <w:sz w:val="13"/>
                <w:szCs w:val="13"/>
                <w:color w:val="auto"/>
              </w:rPr>
              <w:t>(6) Washington, DC-MD-VA</w:t>
            </w:r>
          </w:p>
        </w:tc>
        <w:tc>
          <w:tcPr>
            <w:tcW w:w="58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w w:val="90"/>
              </w:rPr>
              <w:t>2003-2006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76,869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11,803</w:t>
            </w:r>
          </w:p>
        </w:tc>
        <w:tc>
          <w:tcPr>
            <w:tcW w:w="6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color w:val="auto"/>
              </w:rPr>
              <w:t>565,000</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3"/>
                <w:szCs w:val="13"/>
                <w:color w:val="auto"/>
              </w:rPr>
              <w:t>95%</w:t>
            </w: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62,000</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w w:val="94"/>
              </w:rPr>
              <w:t>Shoppers Food</w:t>
            </w:r>
          </w:p>
        </w:tc>
        <w:tc>
          <w:tcPr>
            <w:tcW w:w="226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3"/>
                <w:szCs w:val="13"/>
                <w:color w:val="auto"/>
              </w:rPr>
              <w:t>Bed, Bath &amp; Beyond / Michaels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0" w:type="dxa"/>
            <w:vAlign w:val="bottom"/>
            <w:gridSpan w:val="11"/>
            <w:shd w:val="clear" w:color="auto" w:fill="CCEEFF"/>
          </w:tcPr>
          <w:p>
            <w:pPr>
              <w:ind w:left="120"/>
              <w:spacing w:after="0"/>
              <w:rPr>
                <w:sz w:val="20"/>
                <w:szCs w:val="20"/>
                <w:color w:val="auto"/>
              </w:rPr>
            </w:pPr>
            <w:r>
              <w:rPr>
                <w:rFonts w:ascii="Arial" w:cs="Arial" w:eastAsia="Arial" w:hAnsi="Arial"/>
                <w:sz w:val="13"/>
                <w:szCs w:val="13"/>
                <w:color w:val="auto"/>
              </w:rPr>
              <w:t>7770 Richmond Hwy</w:t>
            </w:r>
          </w:p>
        </w:tc>
        <w:tc>
          <w:tcPr>
            <w:tcW w:w="26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3"/>
                <w:szCs w:val="13"/>
                <w:color w:val="auto"/>
              </w:rPr>
              <w:t>Warehouse</w:t>
            </w:r>
          </w:p>
        </w:tc>
        <w:tc>
          <w:tcPr>
            <w:tcW w:w="2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HomeDepot / TJ Maxx / Gold’s Gym</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Old Keene Mill</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1976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5,716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92,000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99%</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24,000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Whole Foods</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Pan Am</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1993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28,042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227,000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63,000</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Safeway</w:t>
            </w:r>
          </w:p>
        </w:tc>
        <w:tc>
          <w:tcPr>
            <w:tcW w:w="226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Micro Center / Michaels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11"/>
          </w:tcPr>
          <w:p>
            <w:pPr>
              <w:spacing w:after="0" w:line="136" w:lineRule="exact"/>
              <w:rPr>
                <w:sz w:val="20"/>
                <w:szCs w:val="20"/>
                <w:color w:val="auto"/>
              </w:rPr>
            </w:pPr>
            <w:r>
              <w:rPr>
                <w:rFonts w:ascii="Arial" w:cs="Arial" w:eastAsia="Arial" w:hAnsi="Arial"/>
                <w:sz w:val="13"/>
                <w:szCs w:val="13"/>
                <w:color w:val="auto"/>
              </w:rPr>
              <w:t>Pentagon Row</w:t>
            </w:r>
          </w:p>
        </w:tc>
        <w:tc>
          <w:tcPr>
            <w:tcW w:w="260" w:type="dxa"/>
            <w:vAlign w:val="bottom"/>
          </w:tcPr>
          <w:p>
            <w:pPr>
              <w:spacing w:after="0"/>
              <w:rPr>
                <w:sz w:val="11"/>
                <w:szCs w:val="11"/>
                <w:color w:val="auto"/>
              </w:rPr>
            </w:pPr>
          </w:p>
        </w:tc>
        <w:tc>
          <w:tcPr>
            <w:tcW w:w="2100" w:type="dxa"/>
            <w:vAlign w:val="bottom"/>
            <w:gridSpan w:val="2"/>
          </w:tcPr>
          <w:p>
            <w:pPr>
              <w:spacing w:after="0" w:line="136" w:lineRule="exact"/>
              <w:rPr>
                <w:sz w:val="20"/>
                <w:szCs w:val="20"/>
                <w:color w:val="auto"/>
              </w:rPr>
            </w:pPr>
            <w:r>
              <w:rPr>
                <w:rFonts w:ascii="Arial" w:cs="Arial" w:eastAsia="Arial" w:hAnsi="Arial"/>
                <w:sz w:val="13"/>
                <w:szCs w:val="13"/>
                <w:color w:val="auto"/>
              </w:rPr>
              <w:t>Washington, DC-MD-VA</w:t>
            </w: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1999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87,750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296,000</w:t>
            </w:r>
          </w:p>
        </w:tc>
        <w:tc>
          <w:tcPr>
            <w:tcW w:w="4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45,000</w:t>
            </w:r>
          </w:p>
        </w:tc>
        <w:tc>
          <w:tcPr>
            <w:tcW w:w="60" w:type="dxa"/>
            <w:vAlign w:val="bottom"/>
          </w:tcPr>
          <w:p>
            <w:pPr>
              <w:spacing w:after="0"/>
              <w:rPr>
                <w:sz w:val="11"/>
                <w:szCs w:val="11"/>
                <w:color w:val="auto"/>
              </w:rPr>
            </w:pPr>
          </w:p>
        </w:tc>
        <w:tc>
          <w:tcPr>
            <w:tcW w:w="860" w:type="dxa"/>
            <w:vAlign w:val="bottom"/>
          </w:tcPr>
          <w:p>
            <w:pPr>
              <w:spacing w:after="0" w:line="136" w:lineRule="exact"/>
              <w:rPr>
                <w:sz w:val="20"/>
                <w:szCs w:val="20"/>
                <w:color w:val="auto"/>
              </w:rPr>
            </w:pPr>
            <w:r>
              <w:rPr>
                <w:rFonts w:ascii="Arial" w:cs="Arial" w:eastAsia="Arial" w:hAnsi="Arial"/>
                <w:sz w:val="13"/>
                <w:szCs w:val="13"/>
                <w:color w:val="auto"/>
              </w:rPr>
              <w:t>Harris Teeter</w:t>
            </w:r>
          </w:p>
        </w:tc>
        <w:tc>
          <w:tcPr>
            <w:tcW w:w="226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Bally Total Fitness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Arial" w:cs="Arial" w:eastAsia="Arial" w:hAnsi="Arial"/>
                <w:sz w:val="13"/>
                <w:szCs w:val="13"/>
                <w:color w:val="auto"/>
              </w:rPr>
              <w:t>DSW / Cost Plus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6" w:lineRule="exact"/>
              <w:rPr>
                <w:sz w:val="20"/>
                <w:szCs w:val="20"/>
                <w:color w:val="auto"/>
              </w:rPr>
            </w:pPr>
            <w:r>
              <w:rPr>
                <w:rFonts w:ascii="Arial" w:cs="Arial" w:eastAsia="Arial" w:hAnsi="Arial"/>
                <w:sz w:val="13"/>
                <w:szCs w:val="13"/>
                <w:color w:val="auto"/>
              </w:rPr>
              <w:t>Pike 7</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Washington, DC-MD-VA</w:t>
            </w: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34,824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164,000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DSW / Staples / TJ Maxx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Quince Orchard</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1993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20,900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253,000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82%</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24,000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Magruders</w:t>
            </w: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Circuit City / Staples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Rockville Town Square</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0"/>
              </w:rPr>
              <w:t>2006-2007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36,399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182,000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99%</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CVS / Gold’s Gym</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Rollingwood Apartments</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1971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7,126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N/A</w:t>
            </w: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95%</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Sam’s Park &amp; Shop</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1995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12,122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49,000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89%</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Tower</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1998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19,717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112,000</w:t>
            </w: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69%</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Talbots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Tyson’s Station</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1978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3,550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6,138</w:t>
            </w:r>
          </w:p>
        </w:tc>
        <w:tc>
          <w:tcPr>
            <w:tcW w:w="6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49,000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Trader Joes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Village at Shirlington</w:t>
            </w:r>
          </w:p>
        </w:tc>
        <w:tc>
          <w:tcPr>
            <w:tcW w:w="2360" w:type="dxa"/>
            <w:vAlign w:val="bottom"/>
            <w:gridSpan w:val="3"/>
          </w:tcPr>
          <w:p>
            <w:pPr>
              <w:ind w:left="60"/>
              <w:spacing w:after="0" w:line="144" w:lineRule="exact"/>
              <w:rPr>
                <w:sz w:val="20"/>
                <w:szCs w:val="20"/>
                <w:color w:val="auto"/>
              </w:rPr>
            </w:pPr>
            <w:r>
              <w:rPr>
                <w:rFonts w:ascii="Arial" w:cs="Arial" w:eastAsia="Arial" w:hAnsi="Arial"/>
                <w:sz w:val="13"/>
                <w:szCs w:val="13"/>
                <w:color w:val="auto"/>
              </w:rPr>
              <w:t>(4) Washington, DC-MD-VA</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1995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46,724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6,244</w:t>
            </w: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245,000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98%</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28,000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Harris Teeter</w:t>
            </w: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AMC Loews / Carlyle Grand Café</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Wildwood</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Washington, DC-MD-VA</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17,680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25,987</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84,000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20,000</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Balducci’s</w:t>
            </w:r>
          </w:p>
        </w:tc>
        <w:tc>
          <w:tcPr>
            <w:tcW w:w="226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Total Washington Metropolitan Area</w:t>
            </w: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943,313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5,204,000</w:t>
            </w:r>
          </w:p>
        </w:tc>
        <w:tc>
          <w:tcPr>
            <w:tcW w:w="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96%</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0" w:type="dxa"/>
            <w:vAlign w:val="bottom"/>
            <w:gridSpan w:val="11"/>
            <w:shd w:val="clear" w:color="auto" w:fill="CCEEFF"/>
          </w:tcPr>
          <w:p>
            <w:pPr>
              <w:ind w:left="200"/>
              <w:spacing w:after="0" w:line="131" w:lineRule="exact"/>
              <w:rPr>
                <w:sz w:val="20"/>
                <w:szCs w:val="20"/>
                <w:color w:val="auto"/>
              </w:rPr>
            </w:pPr>
            <w:r>
              <w:rPr>
                <w:rFonts w:ascii="Arial" w:cs="Arial" w:eastAsia="Arial" w:hAnsi="Arial"/>
                <w:sz w:val="13"/>
                <w:szCs w:val="13"/>
                <w:b w:val="1"/>
                <w:bCs w:val="1"/>
                <w:color w:val="auto"/>
              </w:rPr>
              <w:t>New York / New Jersey</w:t>
            </w:r>
          </w:p>
        </w:tc>
        <w:tc>
          <w:tcPr>
            <w:tcW w:w="2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2000" w:type="dxa"/>
            <w:vAlign w:val="bottom"/>
            <w:gridSpan w:val="11"/>
          </w:tcPr>
          <w:p>
            <w:pPr>
              <w:spacing w:after="0" w:line="129" w:lineRule="exact"/>
              <w:rPr>
                <w:sz w:val="20"/>
                <w:szCs w:val="20"/>
                <w:color w:val="auto"/>
              </w:rPr>
            </w:pPr>
            <w:r>
              <w:rPr>
                <w:rFonts w:ascii="Arial" w:cs="Arial" w:eastAsia="Arial" w:hAnsi="Arial"/>
                <w:sz w:val="13"/>
                <w:szCs w:val="13"/>
                <w:color w:val="auto"/>
              </w:rPr>
              <w:t>Brick Plaza</w:t>
            </w:r>
          </w:p>
        </w:tc>
        <w:tc>
          <w:tcPr>
            <w:tcW w:w="260" w:type="dxa"/>
            <w:vAlign w:val="bottom"/>
          </w:tcPr>
          <w:p>
            <w:pPr>
              <w:spacing w:after="0"/>
              <w:rPr>
                <w:sz w:val="11"/>
                <w:szCs w:val="11"/>
                <w:color w:val="auto"/>
              </w:rPr>
            </w:pPr>
          </w:p>
        </w:tc>
        <w:tc>
          <w:tcPr>
            <w:tcW w:w="2100" w:type="dxa"/>
            <w:vAlign w:val="bottom"/>
            <w:gridSpan w:val="2"/>
          </w:tcPr>
          <w:p>
            <w:pPr>
              <w:spacing w:after="0" w:line="129" w:lineRule="exact"/>
              <w:rPr>
                <w:sz w:val="20"/>
                <w:szCs w:val="20"/>
                <w:color w:val="auto"/>
              </w:rPr>
            </w:pPr>
            <w:r>
              <w:rPr>
                <w:rFonts w:ascii="Arial" w:cs="Arial" w:eastAsia="Arial" w:hAnsi="Arial"/>
                <w:sz w:val="13"/>
                <w:szCs w:val="13"/>
                <w:color w:val="auto"/>
              </w:rPr>
              <w:t>Monmouth-Ocean, NJ</w:t>
            </w: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1989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56,162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30,907</w:t>
            </w:r>
          </w:p>
        </w:tc>
        <w:tc>
          <w:tcPr>
            <w:tcW w:w="6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409,000</w:t>
            </w:r>
          </w:p>
        </w:tc>
        <w:tc>
          <w:tcPr>
            <w:tcW w:w="40" w:type="dxa"/>
            <w:vAlign w:val="bottom"/>
          </w:tcPr>
          <w:p>
            <w:pPr>
              <w:spacing w:after="0"/>
              <w:rPr>
                <w:sz w:val="11"/>
                <w:szCs w:val="11"/>
                <w:color w:val="auto"/>
              </w:rPr>
            </w:pPr>
          </w:p>
        </w:tc>
        <w:tc>
          <w:tcPr>
            <w:tcW w:w="5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100%</w:t>
            </w: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66,000</w:t>
            </w:r>
          </w:p>
        </w:tc>
        <w:tc>
          <w:tcPr>
            <w:tcW w:w="60" w:type="dxa"/>
            <w:vAlign w:val="bottom"/>
          </w:tcPr>
          <w:p>
            <w:pPr>
              <w:spacing w:after="0"/>
              <w:rPr>
                <w:sz w:val="11"/>
                <w:szCs w:val="11"/>
                <w:color w:val="auto"/>
              </w:rPr>
            </w:pPr>
          </w:p>
        </w:tc>
        <w:tc>
          <w:tcPr>
            <w:tcW w:w="860" w:type="dxa"/>
            <w:vAlign w:val="bottom"/>
          </w:tcPr>
          <w:p>
            <w:pPr>
              <w:spacing w:after="0" w:line="129" w:lineRule="exact"/>
              <w:rPr>
                <w:sz w:val="20"/>
                <w:szCs w:val="20"/>
                <w:color w:val="auto"/>
              </w:rPr>
            </w:pPr>
            <w:r>
              <w:rPr>
                <w:rFonts w:ascii="Arial" w:cs="Arial" w:eastAsia="Arial" w:hAnsi="Arial"/>
                <w:sz w:val="13"/>
                <w:szCs w:val="13"/>
                <w:color w:val="auto"/>
              </w:rPr>
              <w:t>A&amp;P</w:t>
            </w:r>
          </w:p>
        </w:tc>
        <w:tc>
          <w:tcPr>
            <w:tcW w:w="226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AMC Loews / Barnes &amp; Noble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Arial" w:cs="Arial" w:eastAsia="Arial" w:hAnsi="Arial"/>
                <w:sz w:val="13"/>
                <w:szCs w:val="13"/>
                <w:color w:val="auto"/>
              </w:rPr>
              <w:t>Sports Authority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6" w:lineRule="exact"/>
              <w:rPr>
                <w:sz w:val="20"/>
                <w:szCs w:val="20"/>
                <w:color w:val="auto"/>
              </w:rPr>
            </w:pPr>
            <w:r>
              <w:rPr>
                <w:rFonts w:ascii="Arial" w:cs="Arial" w:eastAsia="Arial" w:hAnsi="Arial"/>
                <w:sz w:val="13"/>
                <w:szCs w:val="13"/>
                <w:color w:val="auto"/>
              </w:rPr>
              <w:t>Forest Hills</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New York, NY</w:t>
            </w: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8,090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46,000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Midway Theatre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11"/>
          </w:tcPr>
          <w:p>
            <w:pPr>
              <w:spacing w:after="0" w:line="136" w:lineRule="exact"/>
              <w:rPr>
                <w:sz w:val="20"/>
                <w:szCs w:val="20"/>
                <w:color w:val="auto"/>
              </w:rPr>
            </w:pPr>
            <w:r>
              <w:rPr>
                <w:rFonts w:ascii="Arial" w:cs="Arial" w:eastAsia="Arial" w:hAnsi="Arial"/>
                <w:sz w:val="13"/>
                <w:szCs w:val="13"/>
                <w:color w:val="auto"/>
              </w:rPr>
              <w:t>Fresh Meadows</w:t>
            </w:r>
          </w:p>
        </w:tc>
        <w:tc>
          <w:tcPr>
            <w:tcW w:w="260" w:type="dxa"/>
            <w:vAlign w:val="bottom"/>
          </w:tcPr>
          <w:p>
            <w:pPr>
              <w:spacing w:after="0"/>
              <w:rPr>
                <w:sz w:val="11"/>
                <w:szCs w:val="11"/>
                <w:color w:val="auto"/>
              </w:rPr>
            </w:pPr>
          </w:p>
        </w:tc>
        <w:tc>
          <w:tcPr>
            <w:tcW w:w="2100" w:type="dxa"/>
            <w:vAlign w:val="bottom"/>
            <w:gridSpan w:val="2"/>
          </w:tcPr>
          <w:p>
            <w:pPr>
              <w:spacing w:after="0" w:line="136" w:lineRule="exact"/>
              <w:rPr>
                <w:sz w:val="20"/>
                <w:szCs w:val="20"/>
                <w:color w:val="auto"/>
              </w:rPr>
            </w:pPr>
            <w:r>
              <w:rPr>
                <w:rFonts w:ascii="Arial" w:cs="Arial" w:eastAsia="Arial" w:hAnsi="Arial"/>
                <w:sz w:val="13"/>
                <w:szCs w:val="13"/>
                <w:color w:val="auto"/>
              </w:rPr>
              <w:t>New York, NY</w:t>
            </w: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1997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68,651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403,000</w:t>
            </w:r>
          </w:p>
        </w:tc>
        <w:tc>
          <w:tcPr>
            <w:tcW w:w="4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94%</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15,000</w:t>
            </w:r>
          </w:p>
        </w:tc>
        <w:tc>
          <w:tcPr>
            <w:tcW w:w="60" w:type="dxa"/>
            <w:vAlign w:val="bottom"/>
          </w:tcPr>
          <w:p>
            <w:pPr>
              <w:spacing w:after="0"/>
              <w:rPr>
                <w:sz w:val="11"/>
                <w:szCs w:val="11"/>
                <w:color w:val="auto"/>
              </w:rPr>
            </w:pPr>
          </w:p>
        </w:tc>
        <w:tc>
          <w:tcPr>
            <w:tcW w:w="860" w:type="dxa"/>
            <w:vAlign w:val="bottom"/>
          </w:tcPr>
          <w:p>
            <w:pPr>
              <w:spacing w:after="0" w:line="136" w:lineRule="exact"/>
              <w:rPr>
                <w:sz w:val="20"/>
                <w:szCs w:val="20"/>
                <w:color w:val="auto"/>
              </w:rPr>
            </w:pPr>
            <w:r>
              <w:rPr>
                <w:rFonts w:ascii="Arial" w:cs="Arial" w:eastAsia="Arial" w:hAnsi="Arial"/>
                <w:sz w:val="13"/>
                <w:szCs w:val="13"/>
                <w:color w:val="auto"/>
              </w:rPr>
              <w:t>Island of Gold</w:t>
            </w:r>
          </w:p>
        </w:tc>
        <w:tc>
          <w:tcPr>
            <w:tcW w:w="226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Filene’s Basement / Kohl’s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Arial" w:cs="Arial" w:eastAsia="Arial" w:hAnsi="Arial"/>
                <w:sz w:val="13"/>
                <w:szCs w:val="13"/>
                <w:color w:val="auto"/>
              </w:rPr>
              <w:t>AMC Loews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6" w:lineRule="exact"/>
              <w:rPr>
                <w:sz w:val="20"/>
                <w:szCs w:val="20"/>
                <w:color w:val="auto"/>
              </w:rPr>
            </w:pPr>
            <w:r>
              <w:rPr>
                <w:rFonts w:ascii="Arial" w:cs="Arial" w:eastAsia="Arial" w:hAnsi="Arial"/>
                <w:sz w:val="13"/>
                <w:szCs w:val="13"/>
                <w:color w:val="auto"/>
              </w:rPr>
              <w:t>Hauppauge</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Nassau-Suffolk, NY</w:t>
            </w: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1998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27,554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15,724</w:t>
            </w:r>
          </w:p>
        </w:tc>
        <w:tc>
          <w:tcPr>
            <w:tcW w:w="6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133,000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98%</w:t>
            </w: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61,000</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Shop Rite</w:t>
            </w:r>
          </w:p>
        </w:tc>
        <w:tc>
          <w:tcPr>
            <w:tcW w:w="22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AC Moore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11"/>
          </w:tcPr>
          <w:p>
            <w:pPr>
              <w:spacing w:after="0" w:line="136" w:lineRule="exact"/>
              <w:rPr>
                <w:sz w:val="20"/>
                <w:szCs w:val="20"/>
                <w:color w:val="auto"/>
              </w:rPr>
            </w:pPr>
            <w:r>
              <w:rPr>
                <w:rFonts w:ascii="Arial" w:cs="Arial" w:eastAsia="Arial" w:hAnsi="Arial"/>
                <w:sz w:val="13"/>
                <w:szCs w:val="13"/>
                <w:color w:val="auto"/>
              </w:rPr>
              <w:t>Huntington</w:t>
            </w:r>
          </w:p>
        </w:tc>
        <w:tc>
          <w:tcPr>
            <w:tcW w:w="260" w:type="dxa"/>
            <w:vAlign w:val="bottom"/>
          </w:tcPr>
          <w:p>
            <w:pPr>
              <w:spacing w:after="0"/>
              <w:rPr>
                <w:sz w:val="11"/>
                <w:szCs w:val="11"/>
                <w:color w:val="auto"/>
              </w:rPr>
            </w:pPr>
          </w:p>
        </w:tc>
        <w:tc>
          <w:tcPr>
            <w:tcW w:w="2100" w:type="dxa"/>
            <w:vAlign w:val="bottom"/>
            <w:gridSpan w:val="2"/>
          </w:tcPr>
          <w:p>
            <w:pPr>
              <w:spacing w:after="0" w:line="136" w:lineRule="exact"/>
              <w:rPr>
                <w:sz w:val="20"/>
                <w:szCs w:val="20"/>
                <w:color w:val="auto"/>
              </w:rPr>
            </w:pPr>
            <w:r>
              <w:rPr>
                <w:rFonts w:ascii="Arial" w:cs="Arial" w:eastAsia="Arial" w:hAnsi="Arial"/>
                <w:sz w:val="13"/>
                <w:szCs w:val="13"/>
                <w:color w:val="auto"/>
              </w:rPr>
              <w:t>Nassau-Suffolk, NY</w:t>
            </w: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1988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37,935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279,000</w:t>
            </w:r>
          </w:p>
        </w:tc>
        <w:tc>
          <w:tcPr>
            <w:tcW w:w="4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60" w:type="dxa"/>
            <w:vAlign w:val="bottom"/>
            <w:gridSpan w:val="2"/>
          </w:tcPr>
          <w:p>
            <w:pPr>
              <w:ind w:left="40"/>
              <w:spacing w:after="0" w:line="136" w:lineRule="exact"/>
              <w:rPr>
                <w:sz w:val="20"/>
                <w:szCs w:val="20"/>
                <w:color w:val="auto"/>
              </w:rPr>
            </w:pPr>
            <w:r>
              <w:rPr>
                <w:rFonts w:ascii="Arial" w:cs="Arial" w:eastAsia="Arial" w:hAnsi="Arial"/>
                <w:sz w:val="13"/>
                <w:szCs w:val="13"/>
                <w:color w:val="auto"/>
                <w:w w:val="95"/>
              </w:rPr>
              <w:t>Buy Buy Baby /Toys R Us / Bed, Bath &amp;</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Arial" w:cs="Arial" w:eastAsia="Arial" w:hAnsi="Arial"/>
                <w:sz w:val="13"/>
                <w:szCs w:val="13"/>
                <w:color w:val="auto"/>
              </w:rPr>
              <w:t>Beyond / Barnes &amp; Noble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6" w:lineRule="exact"/>
              <w:rPr>
                <w:sz w:val="20"/>
                <w:szCs w:val="20"/>
                <w:color w:val="auto"/>
              </w:rPr>
            </w:pPr>
            <w:r>
              <w:rPr>
                <w:rFonts w:ascii="Arial" w:cs="Arial" w:eastAsia="Arial" w:hAnsi="Arial"/>
                <w:sz w:val="13"/>
                <w:szCs w:val="13"/>
                <w:color w:val="auto"/>
              </w:rPr>
              <w:t>Melville Mall</w:t>
            </w:r>
          </w:p>
        </w:tc>
        <w:tc>
          <w:tcPr>
            <w:tcW w:w="2360" w:type="dxa"/>
            <w:vAlign w:val="bottom"/>
            <w:gridSpan w:val="3"/>
            <w:shd w:val="clear" w:color="auto" w:fill="CCEEFF"/>
          </w:tcPr>
          <w:p>
            <w:pPr>
              <w:ind w:left="60"/>
              <w:spacing w:after="0" w:line="146" w:lineRule="exact"/>
              <w:rPr>
                <w:sz w:val="20"/>
                <w:szCs w:val="20"/>
                <w:color w:val="auto"/>
              </w:rPr>
            </w:pPr>
            <w:r>
              <w:rPr>
                <w:rFonts w:ascii="Arial" w:cs="Arial" w:eastAsia="Arial" w:hAnsi="Arial"/>
                <w:sz w:val="13"/>
                <w:szCs w:val="13"/>
                <w:color w:val="auto"/>
              </w:rPr>
              <w:t>(7) Nassau-Suffolk, NY</w:t>
            </w: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2006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68,532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24,780</w:t>
            </w:r>
          </w:p>
        </w:tc>
        <w:tc>
          <w:tcPr>
            <w:tcW w:w="6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248,000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54,000</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Waldbaum’s</w:t>
            </w:r>
          </w:p>
        </w:tc>
        <w:tc>
          <w:tcPr>
            <w:tcW w:w="22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Kohl’s / Marshalls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11"/>
          </w:tcPr>
          <w:p>
            <w:pPr>
              <w:spacing w:after="0" w:line="136" w:lineRule="exact"/>
              <w:rPr>
                <w:sz w:val="20"/>
                <w:szCs w:val="20"/>
                <w:color w:val="auto"/>
              </w:rPr>
            </w:pPr>
            <w:r>
              <w:rPr>
                <w:rFonts w:ascii="Arial" w:cs="Arial" w:eastAsia="Arial" w:hAnsi="Arial"/>
                <w:sz w:val="13"/>
                <w:szCs w:val="13"/>
                <w:color w:val="auto"/>
              </w:rPr>
              <w:t>Mercer Mall</w:t>
            </w:r>
          </w:p>
        </w:tc>
        <w:tc>
          <w:tcPr>
            <w:tcW w:w="2360" w:type="dxa"/>
            <w:vAlign w:val="bottom"/>
            <w:gridSpan w:val="3"/>
          </w:tcPr>
          <w:p>
            <w:pPr>
              <w:ind w:left="60"/>
              <w:spacing w:after="0" w:line="136" w:lineRule="exact"/>
              <w:rPr>
                <w:sz w:val="20"/>
                <w:szCs w:val="20"/>
                <w:color w:val="auto"/>
              </w:rPr>
            </w:pPr>
            <w:r>
              <w:rPr>
                <w:rFonts w:ascii="Arial" w:cs="Arial" w:eastAsia="Arial" w:hAnsi="Arial"/>
                <w:sz w:val="13"/>
                <w:szCs w:val="13"/>
                <w:color w:val="auto"/>
              </w:rPr>
              <w:t>(4) Trenton, NJ</w:t>
            </w: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2003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104,323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3"/>
                <w:szCs w:val="13"/>
                <w:color w:val="auto"/>
              </w:rPr>
              <w:t>56,271</w:t>
            </w:r>
          </w:p>
        </w:tc>
        <w:tc>
          <w:tcPr>
            <w:tcW w:w="6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501,000</w:t>
            </w:r>
          </w:p>
        </w:tc>
        <w:tc>
          <w:tcPr>
            <w:tcW w:w="4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75,000</w:t>
            </w:r>
          </w:p>
        </w:tc>
        <w:tc>
          <w:tcPr>
            <w:tcW w:w="60" w:type="dxa"/>
            <w:vAlign w:val="bottom"/>
          </w:tcPr>
          <w:p>
            <w:pPr>
              <w:spacing w:after="0"/>
              <w:rPr>
                <w:sz w:val="11"/>
                <w:szCs w:val="11"/>
                <w:color w:val="auto"/>
              </w:rPr>
            </w:pPr>
          </w:p>
        </w:tc>
        <w:tc>
          <w:tcPr>
            <w:tcW w:w="860" w:type="dxa"/>
            <w:vAlign w:val="bottom"/>
          </w:tcPr>
          <w:p>
            <w:pPr>
              <w:spacing w:after="0" w:line="136" w:lineRule="exact"/>
              <w:rPr>
                <w:sz w:val="20"/>
                <w:szCs w:val="20"/>
                <w:color w:val="auto"/>
              </w:rPr>
            </w:pPr>
            <w:r>
              <w:rPr>
                <w:rFonts w:ascii="Arial" w:cs="Arial" w:eastAsia="Arial" w:hAnsi="Arial"/>
                <w:sz w:val="13"/>
                <w:szCs w:val="13"/>
                <w:color w:val="auto"/>
              </w:rPr>
              <w:t>Shop Rite</w:t>
            </w:r>
          </w:p>
        </w:tc>
        <w:tc>
          <w:tcPr>
            <w:tcW w:w="2260" w:type="dxa"/>
            <w:vAlign w:val="bottom"/>
            <w:gridSpan w:val="2"/>
          </w:tcPr>
          <w:p>
            <w:pPr>
              <w:ind w:left="40"/>
              <w:spacing w:after="0" w:line="136" w:lineRule="exact"/>
              <w:rPr>
                <w:sz w:val="20"/>
                <w:szCs w:val="20"/>
                <w:color w:val="auto"/>
              </w:rPr>
            </w:pPr>
            <w:r>
              <w:rPr>
                <w:rFonts w:ascii="Arial" w:cs="Arial" w:eastAsia="Arial" w:hAnsi="Arial"/>
                <w:sz w:val="13"/>
                <w:szCs w:val="13"/>
                <w:color w:val="auto"/>
                <w:w w:val="97"/>
              </w:rPr>
              <w:t>Bed, Bath &amp; Beyond / DSW / TJ Maxx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Arial" w:cs="Arial" w:eastAsia="Arial" w:hAnsi="Arial"/>
                <w:sz w:val="13"/>
                <w:szCs w:val="13"/>
                <w:color w:val="auto"/>
              </w:rPr>
              <w:t>Raymour &amp; Flanigan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6" w:lineRule="exact"/>
              <w:rPr>
                <w:sz w:val="20"/>
                <w:szCs w:val="20"/>
                <w:color w:val="auto"/>
              </w:rPr>
            </w:pPr>
            <w:r>
              <w:rPr>
                <w:rFonts w:ascii="Arial" w:cs="Arial" w:eastAsia="Arial" w:hAnsi="Arial"/>
                <w:sz w:val="13"/>
                <w:szCs w:val="13"/>
                <w:color w:val="auto"/>
              </w:rPr>
              <w:t>Troy</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Newark, NJ</w:t>
            </w: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1980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22,842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207,000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99%</w:t>
            </w: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64,000</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Pathmark</w:t>
            </w:r>
          </w:p>
        </w:tc>
        <w:tc>
          <w:tcPr>
            <w:tcW w:w="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New York / New Jersey</w:t>
            </w: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394,089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2,226,000</w:t>
            </w:r>
          </w:p>
        </w:tc>
        <w:tc>
          <w:tcPr>
            <w:tcW w:w="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99%</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0" w:type="dxa"/>
            <w:vAlign w:val="bottom"/>
            <w:gridSpan w:val="11"/>
            <w:shd w:val="clear" w:color="auto" w:fill="CCEEFF"/>
          </w:tcPr>
          <w:p>
            <w:pPr>
              <w:ind w:left="200"/>
              <w:spacing w:after="0" w:line="131" w:lineRule="exact"/>
              <w:rPr>
                <w:sz w:val="20"/>
                <w:szCs w:val="20"/>
                <w:color w:val="auto"/>
              </w:rPr>
            </w:pPr>
            <w:r>
              <w:rPr>
                <w:rFonts w:ascii="Arial" w:cs="Arial" w:eastAsia="Arial" w:hAnsi="Arial"/>
                <w:sz w:val="13"/>
                <w:szCs w:val="13"/>
                <w:b w:val="1"/>
                <w:bCs w:val="1"/>
                <w:color w:val="auto"/>
              </w:rPr>
              <w:t>Philadelphia Metropolitan</w:t>
            </w:r>
          </w:p>
        </w:tc>
        <w:tc>
          <w:tcPr>
            <w:tcW w:w="2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gridSpan w:val="2"/>
            <w:shd w:val="clear" w:color="auto" w:fill="CCEEFF"/>
          </w:tcPr>
          <w:p>
            <w:pPr>
              <w:spacing w:after="0" w:line="124" w:lineRule="exact"/>
              <w:rPr>
                <w:sz w:val="20"/>
                <w:szCs w:val="20"/>
                <w:color w:val="auto"/>
              </w:rPr>
            </w:pPr>
            <w:r>
              <w:rPr>
                <w:rFonts w:ascii="Arial" w:cs="Arial" w:eastAsia="Arial" w:hAnsi="Arial"/>
                <w:sz w:val="13"/>
                <w:szCs w:val="13"/>
                <w:b w:val="1"/>
                <w:bCs w:val="1"/>
                <w:color w:val="auto"/>
                <w:w w:val="89"/>
              </w:rPr>
              <w:t>Area</w:t>
            </w:r>
          </w:p>
        </w:tc>
        <w:tc>
          <w:tcPr>
            <w:tcW w:w="1000" w:type="dxa"/>
            <w:vAlign w:val="bottom"/>
            <w:tcBorders>
              <w:top w:val="single" w:sz="8" w:color="auto"/>
              <w:bottom w:val="single" w:sz="8" w:color="CCEEFF"/>
            </w:tcBorders>
            <w:gridSpan w:val="5"/>
            <w:shd w:val="clear" w:color="auto" w:fill="CCEEFF"/>
          </w:tcPr>
          <w:p>
            <w:pPr>
              <w:spacing w:after="0"/>
              <w:rPr>
                <w:sz w:val="10"/>
                <w:szCs w:val="10"/>
                <w:color w:val="auto"/>
              </w:rPr>
            </w:pPr>
          </w:p>
        </w:tc>
        <w:tc>
          <w:tcPr>
            <w:tcW w:w="32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206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6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22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00" w:type="dxa"/>
            <w:vAlign w:val="bottom"/>
            <w:gridSpan w:val="11"/>
          </w:tcPr>
          <w:p>
            <w:pPr>
              <w:spacing w:after="0" w:line="138" w:lineRule="exact"/>
              <w:rPr>
                <w:sz w:val="20"/>
                <w:szCs w:val="20"/>
                <w:color w:val="auto"/>
              </w:rPr>
            </w:pPr>
            <w:r>
              <w:rPr>
                <w:rFonts w:ascii="Arial" w:cs="Arial" w:eastAsia="Arial" w:hAnsi="Arial"/>
                <w:sz w:val="13"/>
                <w:szCs w:val="13"/>
                <w:color w:val="auto"/>
              </w:rPr>
              <w:t>Andorra</w:t>
            </w:r>
          </w:p>
        </w:tc>
        <w:tc>
          <w:tcPr>
            <w:tcW w:w="260" w:type="dxa"/>
            <w:vAlign w:val="bottom"/>
          </w:tcPr>
          <w:p>
            <w:pPr>
              <w:spacing w:after="0"/>
              <w:rPr>
                <w:sz w:val="11"/>
                <w:szCs w:val="11"/>
                <w:color w:val="auto"/>
              </w:rPr>
            </w:pPr>
          </w:p>
        </w:tc>
        <w:tc>
          <w:tcPr>
            <w:tcW w:w="2100" w:type="dxa"/>
            <w:vAlign w:val="bottom"/>
            <w:gridSpan w:val="2"/>
          </w:tcPr>
          <w:p>
            <w:pPr>
              <w:spacing w:after="0" w:line="138" w:lineRule="exact"/>
              <w:rPr>
                <w:sz w:val="20"/>
                <w:szCs w:val="20"/>
                <w:color w:val="auto"/>
              </w:rPr>
            </w:pPr>
            <w:r>
              <w:rPr>
                <w:rFonts w:ascii="Arial" w:cs="Arial" w:eastAsia="Arial" w:hAnsi="Arial"/>
                <w:sz w:val="13"/>
                <w:szCs w:val="13"/>
                <w:color w:val="auto"/>
              </w:rPr>
              <w:t>Philadelphia, PA-NJ</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1988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22,987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267,000</w:t>
            </w:r>
          </w:p>
        </w:tc>
        <w:tc>
          <w:tcPr>
            <w:tcW w:w="40" w:type="dxa"/>
            <w:vAlign w:val="bottom"/>
          </w:tcPr>
          <w:p>
            <w:pPr>
              <w:spacing w:after="0"/>
              <w:rPr>
                <w:sz w:val="11"/>
                <w:szCs w:val="11"/>
                <w:color w:val="auto"/>
              </w:rPr>
            </w:pPr>
          </w:p>
        </w:tc>
        <w:tc>
          <w:tcPr>
            <w:tcW w:w="58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94%</w:t>
            </w:r>
          </w:p>
        </w:tc>
        <w:tc>
          <w:tcPr>
            <w:tcW w:w="460" w:type="dxa"/>
            <w:vAlign w:val="bottom"/>
          </w:tcPr>
          <w:p>
            <w:pPr>
              <w:jc w:val="right"/>
              <w:spacing w:after="0" w:line="138" w:lineRule="exact"/>
              <w:rPr>
                <w:sz w:val="20"/>
                <w:szCs w:val="20"/>
                <w:color w:val="auto"/>
              </w:rPr>
            </w:pPr>
            <w:r>
              <w:rPr>
                <w:rFonts w:ascii="Arial" w:cs="Arial" w:eastAsia="Arial" w:hAnsi="Arial"/>
                <w:sz w:val="13"/>
                <w:szCs w:val="13"/>
                <w:color w:val="auto"/>
              </w:rPr>
              <w:t>24,000</w:t>
            </w:r>
          </w:p>
        </w:tc>
        <w:tc>
          <w:tcPr>
            <w:tcW w:w="60" w:type="dxa"/>
            <w:vAlign w:val="bottom"/>
          </w:tcPr>
          <w:p>
            <w:pPr>
              <w:spacing w:after="0"/>
              <w:rPr>
                <w:sz w:val="11"/>
                <w:szCs w:val="11"/>
                <w:color w:val="auto"/>
              </w:rPr>
            </w:pPr>
          </w:p>
        </w:tc>
        <w:tc>
          <w:tcPr>
            <w:tcW w:w="860" w:type="dxa"/>
            <w:vAlign w:val="bottom"/>
          </w:tcPr>
          <w:p>
            <w:pPr>
              <w:spacing w:after="0" w:line="138" w:lineRule="exact"/>
              <w:rPr>
                <w:sz w:val="20"/>
                <w:szCs w:val="20"/>
                <w:color w:val="auto"/>
              </w:rPr>
            </w:pPr>
            <w:r>
              <w:rPr>
                <w:rFonts w:ascii="Arial" w:cs="Arial" w:eastAsia="Arial" w:hAnsi="Arial"/>
                <w:sz w:val="13"/>
                <w:szCs w:val="13"/>
                <w:color w:val="auto"/>
              </w:rPr>
              <w:t>Acme Markets</w:t>
            </w:r>
          </w:p>
        </w:tc>
        <w:tc>
          <w:tcPr>
            <w:tcW w:w="226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Kohl’s / Staples / L.A. Fitness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Bala Cynwyd</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Philadelphia, PA-NJ</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1993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33,856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280,000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45,000</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Acme Markets</w:t>
            </w:r>
          </w:p>
        </w:tc>
        <w:tc>
          <w:tcPr>
            <w:tcW w:w="226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Lord &amp; Taylor / L.A. Fitness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Ellisburg Circle</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Philadelphia, PA-NJ</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1992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27,647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268,000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99%</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47,000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Genuardi’s</w:t>
            </w: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Buy Buy Baby / Stein Mart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Feasterville</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Philadelphia, PA-NJ</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11,885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111,000</w:t>
            </w: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98%</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53,000</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Genuardi’s</w:t>
            </w:r>
          </w:p>
        </w:tc>
        <w:tc>
          <w:tcPr>
            <w:tcW w:w="226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OfficeMax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Flourtown</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Philadelphia, PA-NJ</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1980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15,000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189,000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86%</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42,000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Genuardi’s</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11"/>
            <w:shd w:val="clear" w:color="auto" w:fill="CCEEFF"/>
          </w:tcPr>
          <w:p>
            <w:pPr>
              <w:spacing w:after="0" w:line="136" w:lineRule="exact"/>
              <w:rPr>
                <w:sz w:val="20"/>
                <w:szCs w:val="20"/>
                <w:color w:val="auto"/>
              </w:rPr>
            </w:pPr>
            <w:r>
              <w:rPr>
                <w:rFonts w:ascii="Arial" w:cs="Arial" w:eastAsia="Arial" w:hAnsi="Arial"/>
                <w:sz w:val="13"/>
                <w:szCs w:val="13"/>
                <w:color w:val="auto"/>
              </w:rPr>
              <w:t>Langhorne Square</w:t>
            </w:r>
          </w:p>
        </w:tc>
        <w:tc>
          <w:tcPr>
            <w:tcW w:w="26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Philadelphia, PA-NJ</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1985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18,708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216,000</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55,000</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Redner’s</w:t>
            </w:r>
          </w:p>
        </w:tc>
        <w:tc>
          <w:tcPr>
            <w:tcW w:w="226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Warehouse</w:t>
            </w:r>
          </w:p>
        </w:tc>
        <w:tc>
          <w:tcPr>
            <w:tcW w:w="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3"/>
                <w:szCs w:val="13"/>
                <w:color w:val="auto"/>
              </w:rPr>
              <w:t>Mkts.</w:t>
            </w:r>
          </w:p>
        </w:tc>
        <w:tc>
          <w:tcPr>
            <w:tcW w:w="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Lawrence Park</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Philadelphia, PA-NJ</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1980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29,074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29,565</w:t>
            </w: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353,000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53,000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Acme Markets</w:t>
            </w: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CHI / TJ Maxx / HomeGoods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Northeast</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Philadelphia, PA-NJ</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1983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21,842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285,000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93%</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Burlington Coat / Marshalls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Town Center of New Britain</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Philadelphia, PA-NJ</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2006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13,998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124,000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87%</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36,000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Giant Food</w:t>
            </w: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Rite Aid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11"/>
            <w:shd w:val="clear" w:color="auto" w:fill="CCEEFF"/>
          </w:tcPr>
          <w:p>
            <w:pPr>
              <w:spacing w:after="0" w:line="136" w:lineRule="exact"/>
              <w:rPr>
                <w:sz w:val="20"/>
                <w:szCs w:val="20"/>
                <w:color w:val="auto"/>
              </w:rPr>
            </w:pPr>
            <w:r>
              <w:rPr>
                <w:rFonts w:ascii="Arial" w:cs="Arial" w:eastAsia="Arial" w:hAnsi="Arial"/>
                <w:sz w:val="13"/>
                <w:szCs w:val="13"/>
                <w:color w:val="auto"/>
              </w:rPr>
              <w:t>Willow Grove</w:t>
            </w:r>
          </w:p>
        </w:tc>
        <w:tc>
          <w:tcPr>
            <w:tcW w:w="26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Philadelphia, PA-NJ</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1984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26,938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215,000</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6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Barnes &amp; Noble / Marshalls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Toys R Us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11"/>
          </w:tcPr>
          <w:p>
            <w:pPr>
              <w:spacing w:after="0" w:line="136" w:lineRule="exact"/>
              <w:rPr>
                <w:sz w:val="20"/>
                <w:szCs w:val="20"/>
                <w:color w:val="auto"/>
              </w:rPr>
            </w:pPr>
            <w:r>
              <w:rPr>
                <w:rFonts w:ascii="Arial" w:cs="Arial" w:eastAsia="Arial" w:hAnsi="Arial"/>
                <w:sz w:val="13"/>
                <w:szCs w:val="13"/>
                <w:color w:val="auto"/>
              </w:rPr>
              <w:t>Wynnewood</w:t>
            </w:r>
          </w:p>
        </w:tc>
        <w:tc>
          <w:tcPr>
            <w:tcW w:w="260" w:type="dxa"/>
            <w:vAlign w:val="bottom"/>
          </w:tcPr>
          <w:p>
            <w:pPr>
              <w:spacing w:after="0"/>
              <w:rPr>
                <w:sz w:val="11"/>
                <w:szCs w:val="11"/>
                <w:color w:val="auto"/>
              </w:rPr>
            </w:pPr>
          </w:p>
        </w:tc>
        <w:tc>
          <w:tcPr>
            <w:tcW w:w="2100" w:type="dxa"/>
            <w:vAlign w:val="bottom"/>
            <w:gridSpan w:val="2"/>
          </w:tcPr>
          <w:p>
            <w:pPr>
              <w:spacing w:after="0" w:line="136" w:lineRule="exact"/>
              <w:rPr>
                <w:sz w:val="20"/>
                <w:szCs w:val="20"/>
                <w:color w:val="auto"/>
              </w:rPr>
            </w:pPr>
            <w:r>
              <w:rPr>
                <w:rFonts w:ascii="Arial" w:cs="Arial" w:eastAsia="Arial" w:hAnsi="Arial"/>
                <w:sz w:val="13"/>
                <w:szCs w:val="13"/>
                <w:color w:val="auto"/>
              </w:rPr>
              <w:t>Philadelphia, PA-NJ</w:t>
            </w: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1996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36,137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3"/>
                <w:szCs w:val="13"/>
                <w:color w:val="auto"/>
              </w:rPr>
              <w:t>30,130</w:t>
            </w:r>
          </w:p>
        </w:tc>
        <w:tc>
          <w:tcPr>
            <w:tcW w:w="6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255,000</w:t>
            </w:r>
          </w:p>
        </w:tc>
        <w:tc>
          <w:tcPr>
            <w:tcW w:w="4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98,000</w:t>
            </w:r>
          </w:p>
        </w:tc>
        <w:tc>
          <w:tcPr>
            <w:tcW w:w="60" w:type="dxa"/>
            <w:vAlign w:val="bottom"/>
          </w:tcPr>
          <w:p>
            <w:pPr>
              <w:spacing w:after="0"/>
              <w:rPr>
                <w:sz w:val="11"/>
                <w:szCs w:val="11"/>
                <w:color w:val="auto"/>
              </w:rPr>
            </w:pPr>
          </w:p>
        </w:tc>
        <w:tc>
          <w:tcPr>
            <w:tcW w:w="860" w:type="dxa"/>
            <w:vAlign w:val="bottom"/>
          </w:tcPr>
          <w:p>
            <w:pPr>
              <w:spacing w:after="0" w:line="136" w:lineRule="exact"/>
              <w:rPr>
                <w:sz w:val="20"/>
                <w:szCs w:val="20"/>
                <w:color w:val="auto"/>
              </w:rPr>
            </w:pPr>
            <w:r>
              <w:rPr>
                <w:rFonts w:ascii="Arial" w:cs="Arial" w:eastAsia="Arial" w:hAnsi="Arial"/>
                <w:sz w:val="13"/>
                <w:szCs w:val="13"/>
                <w:color w:val="auto"/>
              </w:rPr>
              <w:t>Genuardi’s</w:t>
            </w:r>
          </w:p>
        </w:tc>
        <w:tc>
          <w:tcPr>
            <w:tcW w:w="226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Bed, Bath &amp; Beyond / Borders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Arial" w:cs="Arial" w:eastAsia="Arial" w:hAnsi="Arial"/>
                <w:sz w:val="13"/>
                <w:szCs w:val="13"/>
                <w:color w:val="auto"/>
              </w:rPr>
              <w:t>Old Navy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w w:val="92"/>
              </w:rPr>
              <w:t>Total Philadelphia Metropolitan Area</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258,072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2,563,000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96%</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00" w:type="dxa"/>
            <w:vAlign w:val="bottom"/>
            <w:gridSpan w:val="11"/>
          </w:tcPr>
          <w:p>
            <w:pPr>
              <w:ind w:left="200"/>
              <w:spacing w:after="0"/>
              <w:rPr>
                <w:sz w:val="20"/>
                <w:szCs w:val="20"/>
                <w:color w:val="auto"/>
              </w:rPr>
            </w:pPr>
            <w:r>
              <w:rPr>
                <w:rFonts w:ascii="Arial" w:cs="Arial" w:eastAsia="Arial" w:hAnsi="Arial"/>
                <w:sz w:val="13"/>
                <w:szCs w:val="13"/>
                <w:b w:val="1"/>
                <w:bCs w:val="1"/>
                <w:color w:val="auto"/>
              </w:rPr>
              <w:t>New England</w:t>
            </w: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2000" w:type="dxa"/>
            <w:vAlign w:val="bottom"/>
            <w:gridSpan w:val="11"/>
            <w:shd w:val="clear" w:color="auto" w:fill="CCEEFF"/>
          </w:tcPr>
          <w:p>
            <w:pPr>
              <w:spacing w:after="0" w:line="129" w:lineRule="exact"/>
              <w:rPr>
                <w:sz w:val="20"/>
                <w:szCs w:val="20"/>
                <w:color w:val="auto"/>
              </w:rPr>
            </w:pPr>
            <w:r>
              <w:rPr>
                <w:rFonts w:ascii="Arial" w:cs="Arial" w:eastAsia="Arial" w:hAnsi="Arial"/>
                <w:sz w:val="13"/>
                <w:szCs w:val="13"/>
                <w:color w:val="auto"/>
                <w:w w:val="97"/>
              </w:rPr>
              <w:t>Assembly Square/Sturtevant Street</w:t>
            </w:r>
          </w:p>
        </w:tc>
        <w:tc>
          <w:tcPr>
            <w:tcW w:w="26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Boston-Cambridge-Quincy, MA-NH</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2005-2006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129,951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513,000</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6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rPr>
              <w:t>AC Moore / Bed, Bath &amp; Beyond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w w:val="93"/>
              </w:rPr>
              <w:t>Christmas Tree Shops / Kmart / Staples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Sports Authority / TJ Maxx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Chelsea Commons</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Boston-Cambridge-Quincy, MA-NH</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w w:val="90"/>
              </w:rPr>
              <w:t>2006-2007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20,682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8,182</w:t>
            </w: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196,000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91%</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16,000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Sav-A-Lot</w:t>
            </w: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Home Depot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Dedham Plaza</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Boston-Cambridge-Quincy, MA-NH</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1993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30,274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242,000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90%</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80,000</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Star Market</w:t>
            </w:r>
          </w:p>
        </w:tc>
        <w:tc>
          <w:tcPr>
            <w:tcW w:w="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11"/>
          </w:tcPr>
          <w:p>
            <w:pPr>
              <w:spacing w:after="0" w:line="136" w:lineRule="exact"/>
              <w:rPr>
                <w:sz w:val="20"/>
                <w:szCs w:val="20"/>
                <w:color w:val="auto"/>
              </w:rPr>
            </w:pPr>
            <w:r>
              <w:rPr>
                <w:rFonts w:ascii="Arial" w:cs="Arial" w:eastAsia="Arial" w:hAnsi="Arial"/>
                <w:sz w:val="13"/>
                <w:szCs w:val="13"/>
                <w:color w:val="auto"/>
              </w:rPr>
              <w:t>Linden Square</w:t>
            </w:r>
          </w:p>
        </w:tc>
        <w:tc>
          <w:tcPr>
            <w:tcW w:w="260" w:type="dxa"/>
            <w:vAlign w:val="bottom"/>
          </w:tcPr>
          <w:p>
            <w:pPr>
              <w:spacing w:after="0"/>
              <w:rPr>
                <w:sz w:val="11"/>
                <w:szCs w:val="11"/>
                <w:color w:val="auto"/>
              </w:rPr>
            </w:pPr>
          </w:p>
        </w:tc>
        <w:tc>
          <w:tcPr>
            <w:tcW w:w="2100" w:type="dxa"/>
            <w:vAlign w:val="bottom"/>
            <w:gridSpan w:val="2"/>
          </w:tcPr>
          <w:p>
            <w:pPr>
              <w:spacing w:after="0" w:line="136" w:lineRule="exact"/>
              <w:rPr>
                <w:sz w:val="20"/>
                <w:szCs w:val="20"/>
                <w:color w:val="auto"/>
              </w:rPr>
            </w:pPr>
            <w:r>
              <w:rPr>
                <w:rFonts w:ascii="Arial" w:cs="Arial" w:eastAsia="Arial" w:hAnsi="Arial"/>
                <w:sz w:val="13"/>
                <w:szCs w:val="13"/>
                <w:color w:val="auto"/>
              </w:rPr>
              <w:t>Boston-Cambridge-Quincy, MA-NH</w:t>
            </w: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w w:val="90"/>
              </w:rPr>
              <w:t>2006-2007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138,709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197,000</w:t>
            </w:r>
          </w:p>
        </w:tc>
        <w:tc>
          <w:tcPr>
            <w:tcW w:w="4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83%</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50,000</w:t>
            </w:r>
          </w:p>
        </w:tc>
        <w:tc>
          <w:tcPr>
            <w:tcW w:w="60" w:type="dxa"/>
            <w:vAlign w:val="bottom"/>
          </w:tcPr>
          <w:p>
            <w:pPr>
              <w:spacing w:after="0"/>
              <w:rPr>
                <w:sz w:val="11"/>
                <w:szCs w:val="11"/>
                <w:color w:val="auto"/>
              </w:rPr>
            </w:pPr>
          </w:p>
        </w:tc>
        <w:tc>
          <w:tcPr>
            <w:tcW w:w="860" w:type="dxa"/>
            <w:vAlign w:val="bottom"/>
          </w:tcPr>
          <w:p>
            <w:pPr>
              <w:spacing w:after="0" w:line="136" w:lineRule="exact"/>
              <w:rPr>
                <w:sz w:val="20"/>
                <w:szCs w:val="20"/>
                <w:color w:val="auto"/>
              </w:rPr>
            </w:pPr>
            <w:r>
              <w:rPr>
                <w:rFonts w:ascii="Arial" w:cs="Arial" w:eastAsia="Arial" w:hAnsi="Arial"/>
                <w:sz w:val="13"/>
                <w:szCs w:val="13"/>
                <w:color w:val="auto"/>
                <w:w w:val="92"/>
              </w:rPr>
              <w:t>Roche Brothers</w:t>
            </w:r>
          </w:p>
        </w:tc>
        <w:tc>
          <w:tcPr>
            <w:tcW w:w="226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CVS / Fitness Club for Women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Supermarkets</w:t>
            </w:r>
          </w:p>
        </w:tc>
        <w:tc>
          <w:tcPr>
            <w:tcW w:w="2260" w:type="dxa"/>
            <w:vAlign w:val="bottom"/>
            <w:gridSpan w:val="2"/>
          </w:tcPr>
          <w:p>
            <w:pPr>
              <w:ind w:left="40"/>
              <w:spacing w:after="0"/>
              <w:rPr>
                <w:sz w:val="20"/>
                <w:szCs w:val="20"/>
                <w:color w:val="auto"/>
              </w:rPr>
            </w:pPr>
            <w:r>
              <w:rPr>
                <w:rFonts w:ascii="Arial" w:cs="Arial" w:eastAsia="Arial" w:hAnsi="Arial"/>
                <w:sz w:val="13"/>
                <w:szCs w:val="13"/>
                <w:color w:val="auto"/>
              </w:rPr>
              <w:t>Wellesley Volkswagen, Buick</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6" w:lineRule="exact"/>
              <w:rPr>
                <w:sz w:val="20"/>
                <w:szCs w:val="20"/>
                <w:color w:val="auto"/>
              </w:rPr>
            </w:pPr>
            <w:r>
              <w:rPr>
                <w:rFonts w:ascii="Arial" w:cs="Arial" w:eastAsia="Arial" w:hAnsi="Arial"/>
                <w:sz w:val="13"/>
                <w:szCs w:val="13"/>
                <w:color w:val="auto"/>
              </w:rPr>
              <w:t>North Dartmouth</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Boston-Cambridge-Quincy, MA-NH</w:t>
            </w: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2006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27,215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183,000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48,000</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Stop &amp; Shop</w:t>
            </w:r>
          </w:p>
        </w:tc>
        <w:tc>
          <w:tcPr>
            <w:tcW w:w="22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Lowe’s Home Center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Queen Anne Plaza</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Boston-Cambridge-Quincy, MA-NH</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1994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15,305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149,000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50,000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Hannaford</w:t>
            </w: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11"/>
            <w:shd w:val="clear" w:color="auto" w:fill="CCEEFF"/>
          </w:tcPr>
          <w:p>
            <w:pPr>
              <w:spacing w:after="0" w:line="136" w:lineRule="exact"/>
              <w:rPr>
                <w:sz w:val="20"/>
                <w:szCs w:val="20"/>
                <w:color w:val="auto"/>
              </w:rPr>
            </w:pPr>
            <w:r>
              <w:rPr>
                <w:rFonts w:ascii="Arial" w:cs="Arial" w:eastAsia="Arial" w:hAnsi="Arial"/>
                <w:sz w:val="13"/>
                <w:szCs w:val="13"/>
                <w:color w:val="auto"/>
              </w:rPr>
              <w:t>Saugus Plaza</w:t>
            </w:r>
          </w:p>
        </w:tc>
        <w:tc>
          <w:tcPr>
            <w:tcW w:w="26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Boston-Cambridge-Quincy, MA-NH</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1996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13,691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171,000</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94%</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55,000</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Super Stop &amp;</w:t>
            </w:r>
          </w:p>
        </w:tc>
        <w:tc>
          <w:tcPr>
            <w:tcW w:w="226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Kmart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3"/>
                <w:szCs w:val="13"/>
                <w:color w:val="auto"/>
              </w:rPr>
              <w:t>Shop</w:t>
            </w:r>
          </w:p>
        </w:tc>
        <w:tc>
          <w:tcPr>
            <w:tcW w:w="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Total New England</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375,827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1,651,000</w:t>
            </w:r>
          </w:p>
        </w:tc>
        <w:tc>
          <w:tcPr>
            <w:tcW w:w="4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95%</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0" w:type="dxa"/>
            <w:vAlign w:val="bottom"/>
            <w:gridSpan w:val="11"/>
            <w:shd w:val="clear" w:color="auto" w:fill="CCEEFF"/>
          </w:tcPr>
          <w:p>
            <w:pPr>
              <w:ind w:left="200"/>
              <w:spacing w:after="0" w:line="131" w:lineRule="exact"/>
              <w:rPr>
                <w:sz w:val="20"/>
                <w:szCs w:val="20"/>
                <w:color w:val="auto"/>
              </w:rPr>
            </w:pPr>
            <w:r>
              <w:rPr>
                <w:rFonts w:ascii="Arial" w:cs="Arial" w:eastAsia="Arial" w:hAnsi="Arial"/>
                <w:sz w:val="13"/>
                <w:szCs w:val="13"/>
                <w:b w:val="1"/>
                <w:bCs w:val="1"/>
                <w:color w:val="auto"/>
              </w:rPr>
              <w:t>Baltimore</w:t>
            </w:r>
          </w:p>
        </w:tc>
        <w:tc>
          <w:tcPr>
            <w:tcW w:w="2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000" w:type="dxa"/>
            <w:vAlign w:val="bottom"/>
            <w:gridSpan w:val="11"/>
          </w:tcPr>
          <w:p>
            <w:pPr>
              <w:spacing w:after="0" w:line="138" w:lineRule="exact"/>
              <w:rPr>
                <w:sz w:val="20"/>
                <w:szCs w:val="20"/>
                <w:color w:val="auto"/>
              </w:rPr>
            </w:pPr>
            <w:r>
              <w:rPr>
                <w:rFonts w:ascii="Arial" w:cs="Arial" w:eastAsia="Arial" w:hAnsi="Arial"/>
                <w:sz w:val="13"/>
                <w:szCs w:val="13"/>
                <w:color w:val="auto"/>
              </w:rPr>
              <w:t>Governor Plaza</w:t>
            </w:r>
          </w:p>
        </w:tc>
        <w:tc>
          <w:tcPr>
            <w:tcW w:w="260" w:type="dxa"/>
            <w:vAlign w:val="bottom"/>
          </w:tcPr>
          <w:p>
            <w:pPr>
              <w:spacing w:after="0"/>
              <w:rPr>
                <w:sz w:val="11"/>
                <w:szCs w:val="11"/>
                <w:color w:val="auto"/>
              </w:rPr>
            </w:pPr>
          </w:p>
        </w:tc>
        <w:tc>
          <w:tcPr>
            <w:tcW w:w="2100" w:type="dxa"/>
            <w:vAlign w:val="bottom"/>
            <w:gridSpan w:val="2"/>
          </w:tcPr>
          <w:p>
            <w:pPr>
              <w:spacing w:after="0" w:line="138" w:lineRule="exact"/>
              <w:rPr>
                <w:sz w:val="20"/>
                <w:szCs w:val="20"/>
                <w:color w:val="auto"/>
              </w:rPr>
            </w:pPr>
            <w:r>
              <w:rPr>
                <w:rFonts w:ascii="Arial" w:cs="Arial" w:eastAsia="Arial" w:hAnsi="Arial"/>
                <w:sz w:val="13"/>
                <w:szCs w:val="13"/>
                <w:color w:val="auto"/>
              </w:rPr>
              <w:t>Baltimore, MD</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1985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20,886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269,000</w:t>
            </w:r>
          </w:p>
        </w:tc>
        <w:tc>
          <w:tcPr>
            <w:tcW w:w="40" w:type="dxa"/>
            <w:vAlign w:val="bottom"/>
          </w:tcPr>
          <w:p>
            <w:pPr>
              <w:spacing w:after="0"/>
              <w:rPr>
                <w:sz w:val="11"/>
                <w:szCs w:val="11"/>
                <w:color w:val="auto"/>
              </w:rPr>
            </w:pPr>
          </w:p>
        </w:tc>
        <w:tc>
          <w:tcPr>
            <w:tcW w:w="58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100%</w:t>
            </w:r>
          </w:p>
        </w:tc>
        <w:tc>
          <w:tcPr>
            <w:tcW w:w="460" w:type="dxa"/>
            <w:vAlign w:val="bottom"/>
          </w:tcPr>
          <w:p>
            <w:pPr>
              <w:jc w:val="right"/>
              <w:spacing w:after="0" w:line="138" w:lineRule="exact"/>
              <w:rPr>
                <w:sz w:val="20"/>
                <w:szCs w:val="20"/>
                <w:color w:val="auto"/>
              </w:rPr>
            </w:pPr>
            <w:r>
              <w:rPr>
                <w:rFonts w:ascii="Arial" w:cs="Arial" w:eastAsia="Arial" w:hAnsi="Arial"/>
                <w:sz w:val="13"/>
                <w:szCs w:val="13"/>
                <w:color w:val="auto"/>
              </w:rPr>
              <w:t>16,500</w:t>
            </w:r>
          </w:p>
        </w:tc>
        <w:tc>
          <w:tcPr>
            <w:tcW w:w="60" w:type="dxa"/>
            <w:vAlign w:val="bottom"/>
          </w:tcPr>
          <w:p>
            <w:pPr>
              <w:spacing w:after="0"/>
              <w:rPr>
                <w:sz w:val="11"/>
                <w:szCs w:val="11"/>
                <w:color w:val="auto"/>
              </w:rPr>
            </w:pPr>
          </w:p>
        </w:tc>
        <w:tc>
          <w:tcPr>
            <w:tcW w:w="860" w:type="dxa"/>
            <w:vAlign w:val="bottom"/>
          </w:tcPr>
          <w:p>
            <w:pPr>
              <w:spacing w:after="0" w:line="138" w:lineRule="exact"/>
              <w:rPr>
                <w:sz w:val="20"/>
                <w:szCs w:val="20"/>
                <w:color w:val="auto"/>
              </w:rPr>
            </w:pPr>
            <w:r>
              <w:rPr>
                <w:rFonts w:ascii="Arial" w:cs="Arial" w:eastAsia="Arial" w:hAnsi="Arial"/>
                <w:sz w:val="13"/>
                <w:szCs w:val="13"/>
                <w:color w:val="auto"/>
              </w:rPr>
              <w:t>Aldi</w:t>
            </w:r>
          </w:p>
        </w:tc>
        <w:tc>
          <w:tcPr>
            <w:tcW w:w="226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Bally Total Fitness / Office Depot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11"/>
            <w:shd w:val="clear" w:color="auto" w:fill="CCEEFF"/>
          </w:tcPr>
          <w:p>
            <w:pPr>
              <w:spacing w:after="0" w:line="136" w:lineRule="exact"/>
              <w:rPr>
                <w:sz w:val="20"/>
                <w:szCs w:val="20"/>
                <w:color w:val="auto"/>
              </w:rPr>
            </w:pPr>
            <w:r>
              <w:rPr>
                <w:rFonts w:ascii="Arial" w:cs="Arial" w:eastAsia="Arial" w:hAnsi="Arial"/>
                <w:sz w:val="13"/>
                <w:szCs w:val="13"/>
                <w:color w:val="auto"/>
              </w:rPr>
              <w:t>Perring Plaza</w:t>
            </w:r>
          </w:p>
        </w:tc>
        <w:tc>
          <w:tcPr>
            <w:tcW w:w="26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Baltimore, MD</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1985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26,609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402,000</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58,000</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4"/>
              </w:rPr>
              <w:t>Shoppers Food</w:t>
            </w:r>
          </w:p>
        </w:tc>
        <w:tc>
          <w:tcPr>
            <w:tcW w:w="226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w w:val="96"/>
              </w:rPr>
              <w:t>Home Depot / Burlington Coat Factory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3"/>
                <w:szCs w:val="13"/>
                <w:color w:val="auto"/>
              </w:rPr>
              <w:t>Warehouse</w:t>
            </w:r>
          </w:p>
        </w:tc>
        <w:tc>
          <w:tcPr>
            <w:tcW w:w="2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Jo-Ann Stores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11"/>
          </w:tcPr>
          <w:p>
            <w:pPr>
              <w:spacing w:after="0" w:line="136" w:lineRule="exact"/>
              <w:rPr>
                <w:sz w:val="20"/>
                <w:szCs w:val="20"/>
                <w:color w:val="auto"/>
              </w:rPr>
            </w:pPr>
            <w:r>
              <w:rPr>
                <w:rFonts w:ascii="Arial" w:cs="Arial" w:eastAsia="Arial" w:hAnsi="Arial"/>
                <w:sz w:val="13"/>
                <w:szCs w:val="13"/>
                <w:color w:val="auto"/>
              </w:rPr>
              <w:t>THE AVENUE at White Marsh</w:t>
            </w:r>
          </w:p>
        </w:tc>
        <w:tc>
          <w:tcPr>
            <w:tcW w:w="2360" w:type="dxa"/>
            <w:vAlign w:val="bottom"/>
            <w:gridSpan w:val="3"/>
          </w:tcPr>
          <w:p>
            <w:pPr>
              <w:ind w:left="60"/>
              <w:spacing w:after="0" w:line="136" w:lineRule="exact"/>
              <w:rPr>
                <w:sz w:val="20"/>
                <w:szCs w:val="20"/>
                <w:color w:val="auto"/>
              </w:rPr>
            </w:pPr>
            <w:r>
              <w:rPr>
                <w:rFonts w:ascii="Arial" w:cs="Arial" w:eastAsia="Arial" w:hAnsi="Arial"/>
                <w:sz w:val="13"/>
                <w:szCs w:val="13"/>
                <w:color w:val="auto"/>
              </w:rPr>
              <w:t>(8) Baltimore, MD</w:t>
            </w: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2007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93,544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3"/>
                <w:szCs w:val="13"/>
                <w:color w:val="auto"/>
              </w:rPr>
              <w:t>60,533</w:t>
            </w:r>
          </w:p>
        </w:tc>
        <w:tc>
          <w:tcPr>
            <w:tcW w:w="6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298,000</w:t>
            </w:r>
          </w:p>
        </w:tc>
        <w:tc>
          <w:tcPr>
            <w:tcW w:w="4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6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AMC Loews / Old Navy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Arial" w:cs="Arial" w:eastAsia="Arial" w:hAnsi="Arial"/>
                <w:sz w:val="13"/>
                <w:szCs w:val="13"/>
                <w:color w:val="auto"/>
              </w:rPr>
              <w:t>Barnes &amp; Noble / AC Moore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6" w:lineRule="exact"/>
              <w:rPr>
                <w:sz w:val="20"/>
                <w:szCs w:val="20"/>
                <w:color w:val="auto"/>
              </w:rPr>
            </w:pPr>
            <w:r>
              <w:rPr>
                <w:rFonts w:ascii="Arial" w:cs="Arial" w:eastAsia="Arial" w:hAnsi="Arial"/>
                <w:sz w:val="13"/>
                <w:szCs w:val="13"/>
                <w:color w:val="auto"/>
                <w:w w:val="95"/>
              </w:rPr>
              <w:t>The Shoppes at Nottingham Square</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Baltimore, MD</w:t>
            </w: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2007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15,807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186,000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Lowe’s Home Center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White Marsh Plaza</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Baltimore, MD</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2007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24,900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10,248</w:t>
            </w: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80,000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98%</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54,000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Giant Food</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White Marsh Other</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Baltimore, MD</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2007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63,658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1,131</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52,000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Baltimore</w:t>
            </w: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245,404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1,287,000</w:t>
            </w:r>
          </w:p>
        </w:tc>
        <w:tc>
          <w:tcPr>
            <w:tcW w:w="4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99%</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gridSpan w:val="9"/>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Chicago</w:t>
            </w:r>
          </w:p>
        </w:tc>
        <w:tc>
          <w:tcPr>
            <w:tcW w:w="2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000" w:type="dxa"/>
            <w:vAlign w:val="bottom"/>
            <w:gridSpan w:val="11"/>
          </w:tcPr>
          <w:p>
            <w:pPr>
              <w:spacing w:after="0" w:line="138" w:lineRule="exact"/>
              <w:rPr>
                <w:sz w:val="20"/>
                <w:szCs w:val="20"/>
                <w:color w:val="auto"/>
              </w:rPr>
            </w:pPr>
            <w:r>
              <w:rPr>
                <w:rFonts w:ascii="Arial" w:cs="Arial" w:eastAsia="Arial" w:hAnsi="Arial"/>
                <w:sz w:val="13"/>
                <w:szCs w:val="13"/>
                <w:color w:val="auto"/>
              </w:rPr>
              <w:t>Crossroads</w:t>
            </w:r>
          </w:p>
        </w:tc>
        <w:tc>
          <w:tcPr>
            <w:tcW w:w="260" w:type="dxa"/>
            <w:vAlign w:val="bottom"/>
          </w:tcPr>
          <w:p>
            <w:pPr>
              <w:spacing w:after="0"/>
              <w:rPr>
                <w:sz w:val="11"/>
                <w:szCs w:val="11"/>
                <w:color w:val="auto"/>
              </w:rPr>
            </w:pPr>
          </w:p>
        </w:tc>
        <w:tc>
          <w:tcPr>
            <w:tcW w:w="2100" w:type="dxa"/>
            <w:vAlign w:val="bottom"/>
            <w:gridSpan w:val="2"/>
          </w:tcPr>
          <w:p>
            <w:pPr>
              <w:spacing w:after="0" w:line="138" w:lineRule="exact"/>
              <w:rPr>
                <w:sz w:val="20"/>
                <w:szCs w:val="20"/>
                <w:color w:val="auto"/>
              </w:rPr>
            </w:pPr>
            <w:r>
              <w:rPr>
                <w:rFonts w:ascii="Arial" w:cs="Arial" w:eastAsia="Arial" w:hAnsi="Arial"/>
                <w:sz w:val="13"/>
                <w:szCs w:val="13"/>
                <w:color w:val="auto"/>
              </w:rPr>
              <w:t>Chicago, IL</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1993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23,074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173,000</w:t>
            </w:r>
          </w:p>
        </w:tc>
        <w:tc>
          <w:tcPr>
            <w:tcW w:w="40" w:type="dxa"/>
            <w:vAlign w:val="bottom"/>
          </w:tcPr>
          <w:p>
            <w:pPr>
              <w:spacing w:after="0"/>
              <w:rPr>
                <w:sz w:val="11"/>
                <w:szCs w:val="11"/>
                <w:color w:val="auto"/>
              </w:rPr>
            </w:pPr>
          </w:p>
        </w:tc>
        <w:tc>
          <w:tcPr>
            <w:tcW w:w="58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87%</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6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Golfsmith / Guitar Center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11"/>
            <w:shd w:val="clear" w:color="auto" w:fill="CCEEFF"/>
          </w:tcPr>
          <w:p>
            <w:pPr>
              <w:spacing w:after="0" w:line="136" w:lineRule="exact"/>
              <w:rPr>
                <w:sz w:val="20"/>
                <w:szCs w:val="20"/>
                <w:color w:val="auto"/>
              </w:rPr>
            </w:pPr>
            <w:r>
              <w:rPr>
                <w:rFonts w:ascii="Arial" w:cs="Arial" w:eastAsia="Arial" w:hAnsi="Arial"/>
                <w:sz w:val="13"/>
                <w:szCs w:val="13"/>
                <w:color w:val="auto"/>
              </w:rPr>
              <w:t>Finley Square</w:t>
            </w:r>
          </w:p>
        </w:tc>
        <w:tc>
          <w:tcPr>
            <w:tcW w:w="26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Chicago, IL</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1995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31,233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315,000</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6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Bed, Bath &amp; Beyond / Buy Buy Baby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Petsmart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tcPr>
          <w:p>
            <w:pPr>
              <w:spacing w:after="0" w:line="144" w:lineRule="exact"/>
              <w:rPr>
                <w:sz w:val="20"/>
                <w:szCs w:val="20"/>
                <w:color w:val="auto"/>
              </w:rPr>
            </w:pPr>
            <w:r>
              <w:rPr>
                <w:rFonts w:ascii="Arial" w:cs="Arial" w:eastAsia="Arial" w:hAnsi="Arial"/>
                <w:sz w:val="13"/>
                <w:szCs w:val="13"/>
                <w:color w:val="auto"/>
              </w:rPr>
              <w:t>Garden Market</w:t>
            </w:r>
          </w:p>
        </w:tc>
        <w:tc>
          <w:tcPr>
            <w:tcW w:w="260" w:type="dxa"/>
            <w:vAlign w:val="bottom"/>
          </w:tcPr>
          <w:p>
            <w:pPr>
              <w:spacing w:after="0"/>
              <w:rPr>
                <w:sz w:val="12"/>
                <w:szCs w:val="12"/>
                <w:color w:val="auto"/>
              </w:rPr>
            </w:pPr>
          </w:p>
        </w:tc>
        <w:tc>
          <w:tcPr>
            <w:tcW w:w="2100" w:type="dxa"/>
            <w:vAlign w:val="bottom"/>
            <w:gridSpan w:val="2"/>
          </w:tcPr>
          <w:p>
            <w:pPr>
              <w:spacing w:after="0" w:line="144" w:lineRule="exact"/>
              <w:rPr>
                <w:sz w:val="20"/>
                <w:szCs w:val="20"/>
                <w:color w:val="auto"/>
              </w:rPr>
            </w:pPr>
            <w:r>
              <w:rPr>
                <w:rFonts w:ascii="Arial" w:cs="Arial" w:eastAsia="Arial" w:hAnsi="Arial"/>
                <w:sz w:val="13"/>
                <w:szCs w:val="13"/>
                <w:color w:val="auto"/>
              </w:rPr>
              <w:t>Chicago, IL</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1994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11,491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140,000</w:t>
            </w: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94%</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63,000</w:t>
            </w:r>
          </w:p>
        </w:tc>
        <w:tc>
          <w:tcPr>
            <w:tcW w:w="60" w:type="dxa"/>
            <w:vAlign w:val="bottom"/>
          </w:tcPr>
          <w:p>
            <w:pPr>
              <w:spacing w:after="0"/>
              <w:rPr>
                <w:sz w:val="12"/>
                <w:szCs w:val="12"/>
                <w:color w:val="auto"/>
              </w:rPr>
            </w:pPr>
          </w:p>
        </w:tc>
        <w:tc>
          <w:tcPr>
            <w:tcW w:w="860" w:type="dxa"/>
            <w:vAlign w:val="bottom"/>
          </w:tcPr>
          <w:p>
            <w:pPr>
              <w:spacing w:after="0" w:line="144" w:lineRule="exact"/>
              <w:rPr>
                <w:sz w:val="20"/>
                <w:szCs w:val="20"/>
                <w:color w:val="auto"/>
              </w:rPr>
            </w:pPr>
            <w:r>
              <w:rPr>
                <w:rFonts w:ascii="Arial" w:cs="Arial" w:eastAsia="Arial" w:hAnsi="Arial"/>
                <w:sz w:val="13"/>
                <w:szCs w:val="13"/>
                <w:color w:val="auto"/>
              </w:rPr>
              <w:t>Dominick’s</w:t>
            </w:r>
          </w:p>
        </w:tc>
        <w:tc>
          <w:tcPr>
            <w:tcW w:w="22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11"/>
            <w:shd w:val="clear" w:color="auto" w:fill="CCEEFF"/>
          </w:tcPr>
          <w:p>
            <w:pPr>
              <w:spacing w:after="0" w:line="144" w:lineRule="exact"/>
              <w:rPr>
                <w:sz w:val="20"/>
                <w:szCs w:val="20"/>
                <w:color w:val="auto"/>
              </w:rPr>
            </w:pPr>
            <w:r>
              <w:rPr>
                <w:rFonts w:ascii="Arial" w:cs="Arial" w:eastAsia="Arial" w:hAnsi="Arial"/>
                <w:sz w:val="13"/>
                <w:szCs w:val="13"/>
                <w:color w:val="auto"/>
              </w:rPr>
              <w:t>North Lake Commons</w:t>
            </w:r>
          </w:p>
        </w:tc>
        <w:tc>
          <w:tcPr>
            <w:tcW w:w="2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Chicago, IL</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1994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13,488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129,000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93%</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77,000</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Dominick’s</w:t>
            </w:r>
          </w:p>
        </w:tc>
        <w:tc>
          <w:tcPr>
            <w:tcW w:w="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Chicago</w:t>
            </w: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79,286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757,000</w:t>
            </w:r>
          </w:p>
        </w:tc>
        <w:tc>
          <w:tcPr>
            <w:tcW w:w="4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93%</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gridSpan w:val="9"/>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South Florida</w:t>
            </w:r>
          </w:p>
        </w:tc>
        <w:tc>
          <w:tcPr>
            <w:tcW w:w="2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71" w:right="1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80" w:type="dxa"/>
            <w:vAlign w:val="bottom"/>
            <w:gridSpan w:val="5"/>
          </w:tcPr>
          <w:p>
            <w:pPr>
              <w:spacing w:after="0"/>
              <w:rPr>
                <w:sz w:val="20"/>
                <w:szCs w:val="20"/>
                <w:color w:val="auto"/>
              </w:rPr>
            </w:pPr>
            <w:r>
              <w:rPr>
                <w:rFonts w:ascii="Arial" w:cs="Arial" w:eastAsia="Arial" w:hAnsi="Arial"/>
                <w:sz w:val="13"/>
                <w:szCs w:val="13"/>
                <w:color w:val="auto"/>
              </w:rPr>
              <w:t>Del Mar Village</w:t>
            </w:r>
          </w:p>
        </w:tc>
        <w:tc>
          <w:tcPr>
            <w:tcW w:w="660" w:type="dxa"/>
            <w:vAlign w:val="bottom"/>
          </w:tcPr>
          <w:p>
            <w:pPr>
              <w:spacing w:after="0"/>
              <w:rPr>
                <w:sz w:val="13"/>
                <w:szCs w:val="13"/>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Miami-Ft Lauderdale</w:t>
            </w:r>
          </w:p>
        </w:tc>
        <w:tc>
          <w:tcPr>
            <w:tcW w:w="760" w:type="dxa"/>
            <w:vAlign w:val="bottom"/>
          </w:tcPr>
          <w:p>
            <w:pPr>
              <w:jc w:val="right"/>
              <w:spacing w:after="0"/>
              <w:rPr>
                <w:sz w:val="20"/>
                <w:szCs w:val="20"/>
                <w:color w:val="auto"/>
              </w:rPr>
            </w:pPr>
            <w:r>
              <w:rPr>
                <w:rFonts w:ascii="Arial" w:cs="Arial" w:eastAsia="Arial" w:hAnsi="Arial"/>
                <w:sz w:val="13"/>
                <w:szCs w:val="13"/>
                <w:color w:val="auto"/>
              </w:rPr>
              <w:t>2008</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45,405</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154,000</w:t>
            </w:r>
          </w:p>
        </w:tc>
        <w:tc>
          <w:tcPr>
            <w:tcW w:w="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94%</w:t>
            </w:r>
          </w:p>
        </w:tc>
        <w:tc>
          <w:tcPr>
            <w:tcW w:w="480" w:type="dxa"/>
            <w:vAlign w:val="bottom"/>
          </w:tcPr>
          <w:p>
            <w:pPr>
              <w:jc w:val="right"/>
              <w:spacing w:after="0"/>
              <w:rPr>
                <w:sz w:val="20"/>
                <w:szCs w:val="20"/>
                <w:color w:val="auto"/>
              </w:rPr>
            </w:pPr>
            <w:r>
              <w:rPr>
                <w:rFonts w:ascii="Arial" w:cs="Arial" w:eastAsia="Arial" w:hAnsi="Arial"/>
                <w:sz w:val="13"/>
                <w:szCs w:val="13"/>
                <w:color w:val="auto"/>
              </w:rPr>
              <w:t>44,000</w:t>
            </w:r>
          </w:p>
        </w:tc>
        <w:tc>
          <w:tcPr>
            <w:tcW w:w="820" w:type="dxa"/>
            <w:vAlign w:val="bottom"/>
          </w:tcPr>
          <w:p>
            <w:pPr>
              <w:ind w:left="20"/>
              <w:spacing w:after="0"/>
              <w:rPr>
                <w:sz w:val="20"/>
                <w:szCs w:val="20"/>
                <w:color w:val="auto"/>
              </w:rPr>
            </w:pPr>
            <w:r>
              <w:rPr>
                <w:rFonts w:ascii="Arial" w:cs="Arial" w:eastAsia="Arial" w:hAnsi="Arial"/>
                <w:sz w:val="13"/>
                <w:szCs w:val="13"/>
                <w:color w:val="auto"/>
              </w:rPr>
              <w:t>Winn Dixie</w:t>
            </w:r>
          </w:p>
        </w:tc>
        <w:tc>
          <w:tcPr>
            <w:tcW w:w="2320" w:type="dxa"/>
            <w:vAlign w:val="bottom"/>
          </w:tcPr>
          <w:p>
            <w:pPr>
              <w:ind w:left="10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rPr>
              <w:t>Total South Florida</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45,405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154,000</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94%</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spacing w:after="0" w:line="131" w:lineRule="exact"/>
              <w:rPr>
                <w:sz w:val="20"/>
                <w:szCs w:val="20"/>
                <w:color w:val="auto"/>
              </w:rPr>
            </w:pPr>
            <w:r>
              <w:rPr>
                <w:rFonts w:ascii="Arial" w:cs="Arial" w:eastAsia="Arial" w:hAnsi="Arial"/>
                <w:sz w:val="13"/>
                <w:szCs w:val="13"/>
                <w:b w:val="1"/>
                <w:bCs w:val="1"/>
                <w:color w:val="auto"/>
                <w:w w:val="93"/>
              </w:rPr>
              <w:t>East Region - Other</w:t>
            </w:r>
          </w:p>
        </w:tc>
        <w:tc>
          <w:tcPr>
            <w:tcW w:w="6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5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Barracks Road</w:t>
            </w:r>
          </w:p>
        </w:tc>
        <w:tc>
          <w:tcPr>
            <w:tcW w:w="660" w:type="dxa"/>
            <w:vAlign w:val="bottom"/>
            <w:shd w:val="clear" w:color="auto" w:fill="CCEEFF"/>
          </w:tcPr>
          <w:p>
            <w:pPr>
              <w:spacing w:after="0"/>
              <w:rPr>
                <w:sz w:val="11"/>
                <w:szCs w:val="11"/>
                <w:color w:val="auto"/>
              </w:rPr>
            </w:pP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Charlottesville, VA</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1985</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44,252</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41,712</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488,000</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94%</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99,000</w:t>
            </w:r>
          </w:p>
        </w:tc>
        <w:tc>
          <w:tcPr>
            <w:tcW w:w="31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Harris Teeter /  Bed, Bath &amp; Beyond / Barnes &amp; Noble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Kroger</w:t>
            </w:r>
          </w:p>
        </w:tc>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Old Navy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4"/>
          </w:tcPr>
          <w:p>
            <w:pPr>
              <w:spacing w:after="0" w:line="144" w:lineRule="exact"/>
              <w:rPr>
                <w:sz w:val="20"/>
                <w:szCs w:val="20"/>
                <w:color w:val="auto"/>
              </w:rPr>
            </w:pPr>
            <w:r>
              <w:rPr>
                <w:rFonts w:ascii="Arial" w:cs="Arial" w:eastAsia="Arial" w:hAnsi="Arial"/>
                <w:sz w:val="13"/>
                <w:szCs w:val="13"/>
                <w:color w:val="auto"/>
              </w:rPr>
              <w:t>Bristol Plaza</w:t>
            </w:r>
          </w:p>
        </w:tc>
        <w:tc>
          <w:tcPr>
            <w:tcW w:w="660" w:type="dxa"/>
            <w:vAlign w:val="bottom"/>
          </w:tcPr>
          <w:p>
            <w:pPr>
              <w:spacing w:after="0"/>
              <w:rPr>
                <w:sz w:val="12"/>
                <w:szCs w:val="12"/>
                <w:color w:val="auto"/>
              </w:rPr>
            </w:pPr>
          </w:p>
        </w:tc>
        <w:tc>
          <w:tcPr>
            <w:tcW w:w="2000" w:type="dxa"/>
            <w:vAlign w:val="bottom"/>
          </w:tcPr>
          <w:p>
            <w:pPr>
              <w:ind w:left="40"/>
              <w:spacing w:after="0" w:line="144" w:lineRule="exact"/>
              <w:rPr>
                <w:sz w:val="20"/>
                <w:szCs w:val="20"/>
                <w:color w:val="auto"/>
              </w:rPr>
            </w:pPr>
            <w:r>
              <w:rPr>
                <w:rFonts w:ascii="Arial" w:cs="Arial" w:eastAsia="Arial" w:hAnsi="Arial"/>
                <w:sz w:val="13"/>
                <w:szCs w:val="13"/>
                <w:color w:val="auto"/>
              </w:rPr>
              <w:t>Hartford, CT</w:t>
            </w: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1995</w:t>
            </w:r>
          </w:p>
        </w:tc>
        <w:tc>
          <w:tcPr>
            <w:tcW w:w="16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26,350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272,000</w:t>
            </w:r>
          </w:p>
        </w:tc>
        <w:tc>
          <w:tcPr>
            <w:tcW w:w="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85%</w:t>
            </w: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74,000</w:t>
            </w:r>
          </w:p>
        </w:tc>
        <w:tc>
          <w:tcPr>
            <w:tcW w:w="820" w:type="dxa"/>
            <w:vAlign w:val="bottom"/>
          </w:tcPr>
          <w:p>
            <w:pPr>
              <w:ind w:left="20"/>
              <w:spacing w:after="0" w:line="144" w:lineRule="exact"/>
              <w:rPr>
                <w:sz w:val="20"/>
                <w:szCs w:val="20"/>
                <w:color w:val="auto"/>
              </w:rPr>
            </w:pPr>
            <w:r>
              <w:rPr>
                <w:rFonts w:ascii="Arial" w:cs="Arial" w:eastAsia="Arial" w:hAnsi="Arial"/>
                <w:sz w:val="13"/>
                <w:szCs w:val="13"/>
                <w:color w:val="auto"/>
              </w:rPr>
              <w:t>Stop &amp; Shop</w:t>
            </w:r>
          </w:p>
        </w:tc>
        <w:tc>
          <w:tcPr>
            <w:tcW w:w="2320" w:type="dxa"/>
            <w:vAlign w:val="bottom"/>
          </w:tcPr>
          <w:p>
            <w:pPr>
              <w:ind w:left="100"/>
              <w:spacing w:after="0" w:line="144"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Eastgate</w:t>
            </w:r>
          </w:p>
        </w:tc>
        <w:tc>
          <w:tcPr>
            <w:tcW w:w="660" w:type="dxa"/>
            <w:vAlign w:val="bottom"/>
            <w:shd w:val="clear" w:color="auto" w:fill="CCEEFF"/>
          </w:tcPr>
          <w:p>
            <w:pPr>
              <w:spacing w:after="0"/>
              <w:rPr>
                <w:sz w:val="12"/>
                <w:szCs w:val="12"/>
                <w:color w:val="auto"/>
              </w:rPr>
            </w:pPr>
          </w:p>
        </w:tc>
        <w:tc>
          <w:tcPr>
            <w:tcW w:w="200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Raleigh-Durham-Chapel Hill, NC</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1986</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24,249</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155,000</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4"/>
          </w:tcPr>
          <w:p>
            <w:pPr>
              <w:spacing w:after="0" w:line="144" w:lineRule="exact"/>
              <w:rPr>
                <w:sz w:val="20"/>
                <w:szCs w:val="20"/>
                <w:color w:val="auto"/>
              </w:rPr>
            </w:pPr>
            <w:r>
              <w:rPr>
                <w:rFonts w:ascii="Arial" w:cs="Arial" w:eastAsia="Arial" w:hAnsi="Arial"/>
                <w:sz w:val="13"/>
                <w:szCs w:val="13"/>
                <w:color w:val="auto"/>
              </w:rPr>
              <w:t>Gratiot Plaza</w:t>
            </w:r>
          </w:p>
        </w:tc>
        <w:tc>
          <w:tcPr>
            <w:tcW w:w="660" w:type="dxa"/>
            <w:vAlign w:val="bottom"/>
          </w:tcPr>
          <w:p>
            <w:pPr>
              <w:spacing w:after="0"/>
              <w:rPr>
                <w:sz w:val="12"/>
                <w:szCs w:val="12"/>
                <w:color w:val="auto"/>
              </w:rPr>
            </w:pPr>
          </w:p>
        </w:tc>
        <w:tc>
          <w:tcPr>
            <w:tcW w:w="2000" w:type="dxa"/>
            <w:vAlign w:val="bottom"/>
          </w:tcPr>
          <w:p>
            <w:pPr>
              <w:ind w:left="40"/>
              <w:spacing w:after="0" w:line="144" w:lineRule="exact"/>
              <w:rPr>
                <w:sz w:val="20"/>
                <w:szCs w:val="20"/>
                <w:color w:val="auto"/>
              </w:rPr>
            </w:pPr>
            <w:r>
              <w:rPr>
                <w:rFonts w:ascii="Arial" w:cs="Arial" w:eastAsia="Arial" w:hAnsi="Arial"/>
                <w:sz w:val="13"/>
                <w:szCs w:val="13"/>
                <w:color w:val="auto"/>
              </w:rPr>
              <w:t>Detroit, MI</w:t>
            </w: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1973</w:t>
            </w:r>
          </w:p>
        </w:tc>
        <w:tc>
          <w:tcPr>
            <w:tcW w:w="16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18,134</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217,000</w:t>
            </w:r>
          </w:p>
        </w:tc>
        <w:tc>
          <w:tcPr>
            <w:tcW w:w="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100%</w:t>
            </w: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69,000</w:t>
            </w:r>
          </w:p>
        </w:tc>
        <w:tc>
          <w:tcPr>
            <w:tcW w:w="820" w:type="dxa"/>
            <w:vAlign w:val="bottom"/>
          </w:tcPr>
          <w:p>
            <w:pPr>
              <w:ind w:left="20"/>
              <w:spacing w:after="0" w:line="144" w:lineRule="exact"/>
              <w:rPr>
                <w:sz w:val="20"/>
                <w:szCs w:val="20"/>
                <w:color w:val="auto"/>
              </w:rPr>
            </w:pPr>
            <w:r>
              <w:rPr>
                <w:rFonts w:ascii="Arial" w:cs="Arial" w:eastAsia="Arial" w:hAnsi="Arial"/>
                <w:sz w:val="13"/>
                <w:szCs w:val="13"/>
                <w:color w:val="auto"/>
              </w:rPr>
              <w:t>Kroger</w:t>
            </w:r>
          </w:p>
        </w:tc>
        <w:tc>
          <w:tcPr>
            <w:tcW w:w="2320" w:type="dxa"/>
            <w:vAlign w:val="bottom"/>
          </w:tcPr>
          <w:p>
            <w:pPr>
              <w:ind w:left="100"/>
              <w:spacing w:after="0" w:line="144" w:lineRule="exact"/>
              <w:rPr>
                <w:sz w:val="20"/>
                <w:szCs w:val="20"/>
                <w:color w:val="auto"/>
              </w:rPr>
            </w:pPr>
            <w:r>
              <w:rPr>
                <w:rFonts w:ascii="Arial" w:cs="Arial" w:eastAsia="Arial" w:hAnsi="Arial"/>
                <w:sz w:val="13"/>
                <w:szCs w:val="13"/>
                <w:color w:val="auto"/>
                <w:w w:val="99"/>
              </w:rPr>
              <w:t>Bed, Bath &amp; Beyond / Best Buy / DSW</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Greenwich Avenue</w:t>
            </w:r>
          </w:p>
        </w:tc>
        <w:tc>
          <w:tcPr>
            <w:tcW w:w="660" w:type="dxa"/>
            <w:vAlign w:val="bottom"/>
            <w:shd w:val="clear" w:color="auto" w:fill="CCEEFF"/>
          </w:tcPr>
          <w:p>
            <w:pPr>
              <w:spacing w:after="0"/>
              <w:rPr>
                <w:sz w:val="11"/>
                <w:szCs w:val="11"/>
                <w:color w:val="auto"/>
              </w:rPr>
            </w:pPr>
          </w:p>
        </w:tc>
        <w:tc>
          <w:tcPr>
            <w:tcW w:w="200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New Haven-Bridgeport-Stamford-</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1995</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15,998</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42,000</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320" w:type="dxa"/>
            <w:vAlign w:val="bottom"/>
            <w:shd w:val="clear" w:color="auto" w:fill="CCEEFF"/>
          </w:tcPr>
          <w:p>
            <w:pPr>
              <w:ind w:left="100"/>
              <w:spacing w:after="0" w:line="136" w:lineRule="exact"/>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Waterbury</w:t>
            </w: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4"/>
          </w:tcPr>
          <w:p>
            <w:pPr>
              <w:spacing w:after="0" w:line="144" w:lineRule="exact"/>
              <w:rPr>
                <w:sz w:val="20"/>
                <w:szCs w:val="20"/>
                <w:color w:val="auto"/>
              </w:rPr>
            </w:pPr>
            <w:r>
              <w:rPr>
                <w:rFonts w:ascii="Arial" w:cs="Arial" w:eastAsia="Arial" w:hAnsi="Arial"/>
                <w:sz w:val="13"/>
                <w:szCs w:val="13"/>
                <w:color w:val="auto"/>
              </w:rPr>
              <w:t>Lancaster</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(9)</w:t>
            </w:r>
          </w:p>
        </w:tc>
        <w:tc>
          <w:tcPr>
            <w:tcW w:w="2000" w:type="dxa"/>
            <w:vAlign w:val="bottom"/>
          </w:tcPr>
          <w:p>
            <w:pPr>
              <w:ind w:left="40"/>
              <w:spacing w:after="0" w:line="144" w:lineRule="exact"/>
              <w:rPr>
                <w:sz w:val="20"/>
                <w:szCs w:val="20"/>
                <w:color w:val="auto"/>
              </w:rPr>
            </w:pPr>
            <w:r>
              <w:rPr>
                <w:rFonts w:ascii="Arial" w:cs="Arial" w:eastAsia="Arial" w:hAnsi="Arial"/>
                <w:sz w:val="13"/>
                <w:szCs w:val="13"/>
                <w:color w:val="auto"/>
              </w:rPr>
              <w:t>Lancaster, PA</w:t>
            </w: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1980</w:t>
            </w:r>
          </w:p>
        </w:tc>
        <w:tc>
          <w:tcPr>
            <w:tcW w:w="16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10,759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4,907</w:t>
            </w:r>
          </w:p>
        </w:tc>
        <w:tc>
          <w:tcPr>
            <w:tcW w:w="4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107,000</w:t>
            </w:r>
          </w:p>
        </w:tc>
        <w:tc>
          <w:tcPr>
            <w:tcW w:w="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94%</w:t>
            </w: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39,000</w:t>
            </w:r>
          </w:p>
        </w:tc>
        <w:tc>
          <w:tcPr>
            <w:tcW w:w="820" w:type="dxa"/>
            <w:vAlign w:val="bottom"/>
          </w:tcPr>
          <w:p>
            <w:pPr>
              <w:ind w:left="20"/>
              <w:spacing w:after="0" w:line="144" w:lineRule="exact"/>
              <w:rPr>
                <w:sz w:val="20"/>
                <w:szCs w:val="20"/>
                <w:color w:val="auto"/>
              </w:rPr>
            </w:pPr>
            <w:r>
              <w:rPr>
                <w:rFonts w:ascii="Arial" w:cs="Arial" w:eastAsia="Arial" w:hAnsi="Arial"/>
                <w:sz w:val="13"/>
                <w:szCs w:val="13"/>
                <w:color w:val="auto"/>
              </w:rPr>
              <w:t>Giant Food</w:t>
            </w:r>
          </w:p>
        </w:tc>
        <w:tc>
          <w:tcPr>
            <w:tcW w:w="2320" w:type="dxa"/>
            <w:vAlign w:val="bottom"/>
          </w:tcPr>
          <w:p>
            <w:pPr>
              <w:ind w:left="100"/>
              <w:spacing w:after="0" w:line="144" w:lineRule="exact"/>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Shoppers’ World</w:t>
            </w:r>
          </w:p>
        </w:tc>
        <w:tc>
          <w:tcPr>
            <w:tcW w:w="660" w:type="dxa"/>
            <w:vAlign w:val="bottom"/>
            <w:shd w:val="clear" w:color="auto" w:fill="CCEEFF"/>
          </w:tcPr>
          <w:p>
            <w:pPr>
              <w:spacing w:after="0"/>
              <w:rPr>
                <w:sz w:val="12"/>
                <w:szCs w:val="12"/>
                <w:color w:val="auto"/>
              </w:rPr>
            </w:pPr>
          </w:p>
        </w:tc>
        <w:tc>
          <w:tcPr>
            <w:tcW w:w="200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Charlottesville, VA</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2007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29,315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5,918</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170,000</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28,000</w:t>
            </w:r>
          </w:p>
        </w:tc>
        <w:tc>
          <w:tcPr>
            <w:tcW w:w="8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Whole Foods</w:t>
            </w:r>
          </w:p>
        </w:tc>
        <w:tc>
          <w:tcPr>
            <w:tcW w:w="232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4"/>
          </w:tcPr>
          <w:p>
            <w:pPr>
              <w:spacing w:after="0" w:line="144" w:lineRule="exact"/>
              <w:rPr>
                <w:sz w:val="20"/>
                <w:szCs w:val="20"/>
                <w:color w:val="auto"/>
              </w:rPr>
            </w:pPr>
            <w:r>
              <w:rPr>
                <w:rFonts w:ascii="Arial" w:cs="Arial" w:eastAsia="Arial" w:hAnsi="Arial"/>
                <w:sz w:val="13"/>
                <w:szCs w:val="13"/>
                <w:color w:val="auto"/>
              </w:rPr>
              <w:t>Shops at Willow Lawn</w:t>
            </w:r>
          </w:p>
        </w:tc>
        <w:tc>
          <w:tcPr>
            <w:tcW w:w="660" w:type="dxa"/>
            <w:vAlign w:val="bottom"/>
          </w:tcPr>
          <w:p>
            <w:pPr>
              <w:spacing w:after="0"/>
              <w:rPr>
                <w:sz w:val="12"/>
                <w:szCs w:val="12"/>
                <w:color w:val="auto"/>
              </w:rPr>
            </w:pPr>
          </w:p>
        </w:tc>
        <w:tc>
          <w:tcPr>
            <w:tcW w:w="2000" w:type="dxa"/>
            <w:vAlign w:val="bottom"/>
          </w:tcPr>
          <w:p>
            <w:pPr>
              <w:ind w:left="40"/>
              <w:spacing w:after="0" w:line="144" w:lineRule="exact"/>
              <w:rPr>
                <w:sz w:val="20"/>
                <w:szCs w:val="20"/>
                <w:color w:val="auto"/>
              </w:rPr>
            </w:pPr>
            <w:r>
              <w:rPr>
                <w:rFonts w:ascii="Arial" w:cs="Arial" w:eastAsia="Arial" w:hAnsi="Arial"/>
                <w:sz w:val="13"/>
                <w:szCs w:val="13"/>
                <w:color w:val="auto"/>
              </w:rPr>
              <w:t>Richmond-Petersburg, VA</w:t>
            </w: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1983</w:t>
            </w:r>
          </w:p>
        </w:tc>
        <w:tc>
          <w:tcPr>
            <w:tcW w:w="16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75,675</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476,000</w:t>
            </w:r>
          </w:p>
        </w:tc>
        <w:tc>
          <w:tcPr>
            <w:tcW w:w="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88%</w:t>
            </w: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60,000</w:t>
            </w:r>
          </w:p>
        </w:tc>
        <w:tc>
          <w:tcPr>
            <w:tcW w:w="820" w:type="dxa"/>
            <w:vAlign w:val="bottom"/>
          </w:tcPr>
          <w:p>
            <w:pPr>
              <w:ind w:left="20"/>
              <w:spacing w:after="0" w:line="144" w:lineRule="exact"/>
              <w:rPr>
                <w:sz w:val="20"/>
                <w:szCs w:val="20"/>
                <w:color w:val="auto"/>
              </w:rPr>
            </w:pPr>
            <w:r>
              <w:rPr>
                <w:rFonts w:ascii="Arial" w:cs="Arial" w:eastAsia="Arial" w:hAnsi="Arial"/>
                <w:sz w:val="13"/>
                <w:szCs w:val="13"/>
                <w:color w:val="auto"/>
              </w:rPr>
              <w:t>Kroger</w:t>
            </w:r>
          </w:p>
        </w:tc>
        <w:tc>
          <w:tcPr>
            <w:tcW w:w="2320" w:type="dxa"/>
            <w:vAlign w:val="bottom"/>
          </w:tcPr>
          <w:p>
            <w:pPr>
              <w:ind w:left="100"/>
              <w:spacing w:after="0" w:line="144" w:lineRule="exact"/>
              <w:rPr>
                <w:sz w:val="20"/>
                <w:szCs w:val="20"/>
                <w:color w:val="auto"/>
              </w:rPr>
            </w:pPr>
            <w:r>
              <w:rPr>
                <w:rFonts w:ascii="Arial" w:cs="Arial" w:eastAsia="Arial" w:hAnsi="Arial"/>
                <w:sz w:val="13"/>
                <w:szCs w:val="13"/>
                <w:color w:val="auto"/>
              </w:rPr>
              <w:t>Old Navy / Staples / Ross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rPr>
              <w:t>Total East Region -Other</w:t>
            </w:r>
          </w:p>
        </w:tc>
        <w:tc>
          <w:tcPr>
            <w:tcW w:w="7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244,732</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6"/>
              </w:rPr>
              <w:t>1,927,000</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93%</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0" w:type="dxa"/>
            <w:vAlign w:val="bottom"/>
          </w:tcPr>
          <w:p>
            <w:pPr>
              <w:ind w:left="40"/>
              <w:spacing w:after="0"/>
              <w:rPr>
                <w:sz w:val="20"/>
                <w:szCs w:val="20"/>
                <w:color w:val="auto"/>
              </w:rPr>
            </w:pPr>
            <w:r>
              <w:rPr>
                <w:rFonts w:ascii="Arial" w:cs="Arial" w:eastAsia="Arial" w:hAnsi="Arial"/>
                <w:sz w:val="13"/>
                <w:szCs w:val="13"/>
                <w:b w:val="1"/>
                <w:bCs w:val="1"/>
                <w:color w:val="auto"/>
              </w:rPr>
              <w:t>Total East Region</w:t>
            </w:r>
          </w:p>
        </w:tc>
        <w:tc>
          <w:tcPr>
            <w:tcW w:w="7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2,586,128</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15,769,000</w:t>
            </w:r>
          </w:p>
        </w:tc>
        <w:tc>
          <w:tcPr>
            <w:tcW w:w="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96%</w:t>
            </w: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tcBorders>
              <w:bottom w:val="single" w:sz="8" w:color="auto"/>
            </w:tcBorders>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89"/>
              </w:rPr>
              <w:t>West Region California</w:t>
            </w:r>
          </w:p>
        </w:tc>
        <w:tc>
          <w:tcPr>
            <w:tcW w:w="260" w:type="dxa"/>
            <w:vAlign w:val="bottom"/>
            <w:tcBorders>
              <w:bottom w:val="single" w:sz="8" w:color="CCEEFF"/>
            </w:tcBorders>
            <w:gridSpan w:val="2"/>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0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3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60" w:type="dxa"/>
            <w:vAlign w:val="bottom"/>
            <w:gridSpan w:val="4"/>
          </w:tcPr>
          <w:p>
            <w:pPr>
              <w:spacing w:after="0" w:line="138" w:lineRule="exact"/>
              <w:rPr>
                <w:sz w:val="20"/>
                <w:szCs w:val="20"/>
                <w:color w:val="auto"/>
              </w:rPr>
            </w:pPr>
            <w:r>
              <w:rPr>
                <w:rFonts w:ascii="Arial" w:cs="Arial" w:eastAsia="Arial" w:hAnsi="Arial"/>
                <w:sz w:val="13"/>
                <w:szCs w:val="13"/>
                <w:color w:val="auto"/>
              </w:rPr>
              <w:t>Colorado Blvd</w:t>
            </w:r>
          </w:p>
        </w:tc>
        <w:tc>
          <w:tcPr>
            <w:tcW w:w="660" w:type="dxa"/>
            <w:vAlign w:val="bottom"/>
          </w:tcPr>
          <w:p>
            <w:pPr>
              <w:spacing w:after="0"/>
              <w:rPr>
                <w:sz w:val="11"/>
                <w:szCs w:val="11"/>
                <w:color w:val="auto"/>
              </w:rPr>
            </w:pPr>
          </w:p>
        </w:tc>
        <w:tc>
          <w:tcPr>
            <w:tcW w:w="2000" w:type="dxa"/>
            <w:vAlign w:val="bottom"/>
          </w:tcPr>
          <w:p>
            <w:pPr>
              <w:ind w:left="40"/>
              <w:spacing w:after="0" w:line="138" w:lineRule="exact"/>
              <w:rPr>
                <w:sz w:val="20"/>
                <w:szCs w:val="20"/>
                <w:color w:val="auto"/>
              </w:rPr>
            </w:pPr>
            <w:r>
              <w:rPr>
                <w:rFonts w:ascii="Arial" w:cs="Arial" w:eastAsia="Arial" w:hAnsi="Arial"/>
                <w:sz w:val="13"/>
                <w:szCs w:val="13"/>
                <w:color w:val="auto"/>
              </w:rPr>
              <w:t>Los Angeles-Long Beach, CA</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1996-1998</w:t>
            </w:r>
          </w:p>
        </w:tc>
        <w:tc>
          <w:tcPr>
            <w:tcW w:w="1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16,669</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69,000</w:t>
            </w:r>
          </w:p>
        </w:tc>
        <w:tc>
          <w:tcPr>
            <w:tcW w:w="40" w:type="dxa"/>
            <w:vAlign w:val="bottom"/>
          </w:tcPr>
          <w:p>
            <w:pPr>
              <w:spacing w:after="0"/>
              <w:rPr>
                <w:sz w:val="11"/>
                <w:szCs w:val="11"/>
                <w:color w:val="auto"/>
              </w:rPr>
            </w:pPr>
          </w:p>
        </w:tc>
        <w:tc>
          <w:tcPr>
            <w:tcW w:w="60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99%</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ind w:left="100"/>
              <w:spacing w:after="0" w:line="138" w:lineRule="exact"/>
              <w:rPr>
                <w:sz w:val="20"/>
                <w:szCs w:val="20"/>
                <w:color w:val="auto"/>
              </w:rPr>
            </w:pPr>
            <w:r>
              <w:rPr>
                <w:rFonts w:ascii="Arial" w:cs="Arial" w:eastAsia="Arial" w:hAnsi="Arial"/>
                <w:sz w:val="13"/>
                <w:szCs w:val="13"/>
                <w:color w:val="auto"/>
              </w:rPr>
              <w:t>Pottery Barn / Banana Republic</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Crow Canyon</w:t>
            </w:r>
          </w:p>
        </w:tc>
        <w:tc>
          <w:tcPr>
            <w:tcW w:w="660" w:type="dxa"/>
            <w:vAlign w:val="bottom"/>
            <w:shd w:val="clear" w:color="auto" w:fill="CCEEFF"/>
          </w:tcPr>
          <w:p>
            <w:pPr>
              <w:spacing w:after="0"/>
              <w:rPr>
                <w:sz w:val="12"/>
                <w:szCs w:val="12"/>
                <w:color w:val="auto"/>
              </w:rPr>
            </w:pPr>
          </w:p>
        </w:tc>
        <w:tc>
          <w:tcPr>
            <w:tcW w:w="200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San Ramon, CA</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2005-2007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64,760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21,404</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242,000</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91%</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Albertson’s</w:t>
            </w:r>
          </w:p>
        </w:tc>
        <w:tc>
          <w:tcPr>
            <w:tcW w:w="232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Loehmann’s / Rite Aid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4"/>
          </w:tcPr>
          <w:p>
            <w:pPr>
              <w:spacing w:after="0" w:line="144" w:lineRule="exact"/>
              <w:rPr>
                <w:sz w:val="20"/>
                <w:szCs w:val="20"/>
                <w:color w:val="auto"/>
              </w:rPr>
            </w:pPr>
            <w:r>
              <w:rPr>
                <w:rFonts w:ascii="Arial" w:cs="Arial" w:eastAsia="Arial" w:hAnsi="Arial"/>
                <w:sz w:val="13"/>
                <w:szCs w:val="13"/>
                <w:color w:val="auto"/>
              </w:rPr>
              <w:t>Escondido</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(10)</w:t>
            </w:r>
          </w:p>
        </w:tc>
        <w:tc>
          <w:tcPr>
            <w:tcW w:w="2000" w:type="dxa"/>
            <w:vAlign w:val="bottom"/>
          </w:tcPr>
          <w:p>
            <w:pPr>
              <w:ind w:left="40"/>
              <w:spacing w:after="0" w:line="144" w:lineRule="exact"/>
              <w:rPr>
                <w:sz w:val="20"/>
                <w:szCs w:val="20"/>
                <w:color w:val="auto"/>
              </w:rPr>
            </w:pPr>
            <w:r>
              <w:rPr>
                <w:rFonts w:ascii="Arial" w:cs="Arial" w:eastAsia="Arial" w:hAnsi="Arial"/>
                <w:sz w:val="13"/>
                <w:szCs w:val="13"/>
                <w:color w:val="auto"/>
              </w:rPr>
              <w:t>San Diego, CA</w:t>
            </w: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1996</w:t>
            </w:r>
          </w:p>
        </w:tc>
        <w:tc>
          <w:tcPr>
            <w:tcW w:w="16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28,348</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222,000</w:t>
            </w:r>
          </w:p>
        </w:tc>
        <w:tc>
          <w:tcPr>
            <w:tcW w:w="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98%</w:t>
            </w: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ind w:left="100"/>
              <w:spacing w:after="0" w:line="144" w:lineRule="exact"/>
              <w:rPr>
                <w:sz w:val="20"/>
                <w:szCs w:val="20"/>
                <w:color w:val="auto"/>
              </w:rPr>
            </w:pPr>
            <w:r>
              <w:rPr>
                <w:rFonts w:ascii="Arial" w:cs="Arial" w:eastAsia="Arial" w:hAnsi="Arial"/>
                <w:sz w:val="13"/>
                <w:szCs w:val="13"/>
                <w:color w:val="auto"/>
              </w:rPr>
              <w:t>Cost Plus / TJ Maxx / Toys R Us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Fifth Ave</w:t>
            </w:r>
          </w:p>
        </w:tc>
        <w:tc>
          <w:tcPr>
            <w:tcW w:w="660" w:type="dxa"/>
            <w:vAlign w:val="bottom"/>
            <w:shd w:val="clear" w:color="auto" w:fill="CCEEFF"/>
          </w:tcPr>
          <w:p>
            <w:pPr>
              <w:spacing w:after="0"/>
              <w:rPr>
                <w:sz w:val="12"/>
                <w:szCs w:val="12"/>
                <w:color w:val="auto"/>
              </w:rPr>
            </w:pPr>
          </w:p>
        </w:tc>
        <w:tc>
          <w:tcPr>
            <w:tcW w:w="200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San Diego, CA</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1996-1997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12,970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51,000</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Urban Outfitters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4"/>
          </w:tcPr>
          <w:p>
            <w:pPr>
              <w:spacing w:after="0" w:line="144" w:lineRule="exact"/>
              <w:rPr>
                <w:sz w:val="20"/>
                <w:szCs w:val="20"/>
                <w:color w:val="auto"/>
              </w:rPr>
            </w:pPr>
            <w:r>
              <w:rPr>
                <w:rFonts w:ascii="Arial" w:cs="Arial" w:eastAsia="Arial" w:hAnsi="Arial"/>
                <w:sz w:val="13"/>
                <w:szCs w:val="13"/>
                <w:color w:val="auto"/>
              </w:rPr>
              <w:t>Hermosa Ave</w:t>
            </w:r>
          </w:p>
        </w:tc>
        <w:tc>
          <w:tcPr>
            <w:tcW w:w="660" w:type="dxa"/>
            <w:vAlign w:val="bottom"/>
          </w:tcPr>
          <w:p>
            <w:pPr>
              <w:spacing w:after="0"/>
              <w:rPr>
                <w:sz w:val="12"/>
                <w:szCs w:val="12"/>
                <w:color w:val="auto"/>
              </w:rPr>
            </w:pPr>
          </w:p>
        </w:tc>
        <w:tc>
          <w:tcPr>
            <w:tcW w:w="2000" w:type="dxa"/>
            <w:vAlign w:val="bottom"/>
          </w:tcPr>
          <w:p>
            <w:pPr>
              <w:ind w:left="40"/>
              <w:spacing w:after="0" w:line="144" w:lineRule="exact"/>
              <w:rPr>
                <w:sz w:val="20"/>
                <w:szCs w:val="20"/>
                <w:color w:val="auto"/>
              </w:rPr>
            </w:pPr>
            <w:r>
              <w:rPr>
                <w:rFonts w:ascii="Arial" w:cs="Arial" w:eastAsia="Arial" w:hAnsi="Arial"/>
                <w:sz w:val="13"/>
                <w:szCs w:val="13"/>
                <w:color w:val="auto"/>
              </w:rPr>
              <w:t>Los Angeles-Long Beach, CA</w:t>
            </w: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1997</w:t>
            </w:r>
          </w:p>
        </w:tc>
        <w:tc>
          <w:tcPr>
            <w:tcW w:w="16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5,397</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22,000</w:t>
            </w:r>
          </w:p>
        </w:tc>
        <w:tc>
          <w:tcPr>
            <w:tcW w:w="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100%</w:t>
            </w: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Hollywood Blvd</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w:t>
            </w:r>
          </w:p>
        </w:tc>
        <w:tc>
          <w:tcPr>
            <w:tcW w:w="200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Los Angeles-Long Beach, CA</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1999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37,645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153,000</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85%</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DSW / L.A.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gridSpan w:val="4"/>
          </w:tcPr>
          <w:p>
            <w:pPr>
              <w:spacing w:after="0" w:line="136" w:lineRule="exact"/>
              <w:rPr>
                <w:sz w:val="20"/>
                <w:szCs w:val="20"/>
                <w:color w:val="auto"/>
              </w:rPr>
            </w:pPr>
            <w:r>
              <w:rPr>
                <w:rFonts w:ascii="Arial" w:cs="Arial" w:eastAsia="Arial" w:hAnsi="Arial"/>
                <w:sz w:val="13"/>
                <w:szCs w:val="13"/>
                <w:color w:val="auto"/>
              </w:rPr>
              <w:t>Kings Court</w:t>
            </w: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(6)</w:t>
            </w:r>
          </w:p>
        </w:tc>
        <w:tc>
          <w:tcPr>
            <w:tcW w:w="2000" w:type="dxa"/>
            <w:vAlign w:val="bottom"/>
          </w:tcPr>
          <w:p>
            <w:pPr>
              <w:ind w:left="40"/>
              <w:spacing w:after="0" w:line="136" w:lineRule="exact"/>
              <w:rPr>
                <w:sz w:val="20"/>
                <w:szCs w:val="20"/>
                <w:color w:val="auto"/>
              </w:rPr>
            </w:pPr>
            <w:r>
              <w:rPr>
                <w:rFonts w:ascii="Arial" w:cs="Arial" w:eastAsia="Arial" w:hAnsi="Arial"/>
                <w:sz w:val="13"/>
                <w:szCs w:val="13"/>
                <w:color w:val="auto"/>
              </w:rPr>
              <w:t>San Jose, CA</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1998</w:t>
            </w:r>
          </w:p>
        </w:tc>
        <w:tc>
          <w:tcPr>
            <w:tcW w:w="16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11,518</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79,000</w:t>
            </w:r>
          </w:p>
        </w:tc>
        <w:tc>
          <w:tcPr>
            <w:tcW w:w="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100%</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25,000</w:t>
            </w:r>
          </w:p>
        </w:tc>
        <w:tc>
          <w:tcPr>
            <w:tcW w:w="314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Lunardi’s Super Longs Drug Store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Market</w:t>
            </w: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Old Town Center</w:t>
            </w:r>
          </w:p>
        </w:tc>
        <w:tc>
          <w:tcPr>
            <w:tcW w:w="660" w:type="dxa"/>
            <w:vAlign w:val="bottom"/>
            <w:shd w:val="clear" w:color="auto" w:fill="CCEEFF"/>
          </w:tcPr>
          <w:p>
            <w:pPr>
              <w:spacing w:after="0"/>
              <w:rPr>
                <w:sz w:val="12"/>
                <w:szCs w:val="12"/>
                <w:color w:val="auto"/>
              </w:rPr>
            </w:pPr>
          </w:p>
        </w:tc>
        <w:tc>
          <w:tcPr>
            <w:tcW w:w="200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San Jose, CA</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1997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33,849</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95,000</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96%</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Borders / Gap Kids / Banana Republic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gridSpan w:val="4"/>
          </w:tcPr>
          <w:p>
            <w:pPr>
              <w:spacing w:after="0" w:line="136" w:lineRule="exact"/>
              <w:rPr>
                <w:sz w:val="20"/>
                <w:szCs w:val="20"/>
                <w:color w:val="auto"/>
              </w:rPr>
            </w:pPr>
            <w:r>
              <w:rPr>
                <w:rFonts w:ascii="Arial" w:cs="Arial" w:eastAsia="Arial" w:hAnsi="Arial"/>
                <w:sz w:val="13"/>
                <w:szCs w:val="13"/>
                <w:color w:val="auto"/>
              </w:rPr>
              <w:t>Santana Row</w:t>
            </w:r>
          </w:p>
        </w:tc>
        <w:tc>
          <w:tcPr>
            <w:tcW w:w="660" w:type="dxa"/>
            <w:vAlign w:val="bottom"/>
          </w:tcPr>
          <w:p>
            <w:pPr>
              <w:spacing w:after="0"/>
              <w:rPr>
                <w:sz w:val="11"/>
                <w:szCs w:val="11"/>
                <w:color w:val="auto"/>
              </w:rPr>
            </w:pPr>
          </w:p>
        </w:tc>
        <w:tc>
          <w:tcPr>
            <w:tcW w:w="2000" w:type="dxa"/>
            <w:vAlign w:val="bottom"/>
          </w:tcPr>
          <w:p>
            <w:pPr>
              <w:ind w:left="40"/>
              <w:spacing w:after="0" w:line="136" w:lineRule="exact"/>
              <w:rPr>
                <w:sz w:val="20"/>
                <w:szCs w:val="20"/>
                <w:color w:val="auto"/>
              </w:rPr>
            </w:pPr>
            <w:r>
              <w:rPr>
                <w:rFonts w:ascii="Arial" w:cs="Arial" w:eastAsia="Arial" w:hAnsi="Arial"/>
                <w:sz w:val="13"/>
                <w:szCs w:val="13"/>
                <w:color w:val="auto"/>
              </w:rPr>
              <w:t>San Jose, CA</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1997</w:t>
            </w:r>
          </w:p>
        </w:tc>
        <w:tc>
          <w:tcPr>
            <w:tcW w:w="16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477,569</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562,000</w:t>
            </w:r>
          </w:p>
        </w:tc>
        <w:tc>
          <w:tcPr>
            <w:tcW w:w="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99%</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ind w:left="100"/>
              <w:spacing w:after="0" w:line="136" w:lineRule="exact"/>
              <w:rPr>
                <w:sz w:val="20"/>
                <w:szCs w:val="20"/>
                <w:color w:val="auto"/>
              </w:rPr>
            </w:pPr>
            <w:r>
              <w:rPr>
                <w:rFonts w:ascii="Arial" w:cs="Arial" w:eastAsia="Arial" w:hAnsi="Arial"/>
                <w:sz w:val="13"/>
                <w:szCs w:val="13"/>
                <w:color w:val="auto"/>
              </w:rPr>
              <w:t>Crate &amp; Barrel /Container Store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ind w:left="100"/>
              <w:spacing w:after="0" w:line="144" w:lineRule="exact"/>
              <w:rPr>
                <w:sz w:val="20"/>
                <w:szCs w:val="20"/>
                <w:color w:val="auto"/>
              </w:rPr>
            </w:pPr>
            <w:r>
              <w:rPr>
                <w:rFonts w:ascii="Arial" w:cs="Arial" w:eastAsia="Arial" w:hAnsi="Arial"/>
                <w:sz w:val="13"/>
                <w:szCs w:val="13"/>
                <w:color w:val="auto"/>
              </w:rPr>
              <w:t>/ Best Buy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Arial" w:cs="Arial" w:eastAsia="Arial" w:hAnsi="Arial"/>
                <w:sz w:val="13"/>
                <w:szCs w:val="13"/>
                <w:color w:val="auto"/>
              </w:rPr>
              <w:t>Borders /CineArts Theatre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60" w:type="dxa"/>
            <w:vAlign w:val="bottom"/>
            <w:gridSpan w:val="4"/>
            <w:shd w:val="clear" w:color="auto" w:fill="CCEEFF"/>
          </w:tcPr>
          <w:p>
            <w:pPr>
              <w:spacing w:after="0" w:line="137" w:lineRule="exact"/>
              <w:rPr>
                <w:sz w:val="20"/>
                <w:szCs w:val="20"/>
                <w:color w:val="auto"/>
              </w:rPr>
            </w:pPr>
            <w:r>
              <w:rPr>
                <w:rFonts w:ascii="Arial" w:cs="Arial" w:eastAsia="Arial" w:hAnsi="Arial"/>
                <w:sz w:val="13"/>
                <w:szCs w:val="13"/>
                <w:color w:val="auto"/>
              </w:rPr>
              <w:t>Third St Promenade</w:t>
            </w:r>
          </w:p>
        </w:tc>
        <w:tc>
          <w:tcPr>
            <w:tcW w:w="660" w:type="dxa"/>
            <w:vAlign w:val="bottom"/>
            <w:shd w:val="clear" w:color="auto" w:fill="CCEEFF"/>
          </w:tcPr>
          <w:p>
            <w:pPr>
              <w:spacing w:after="0"/>
              <w:rPr>
                <w:sz w:val="11"/>
                <w:szCs w:val="11"/>
                <w:color w:val="auto"/>
              </w:rPr>
            </w:pPr>
          </w:p>
        </w:tc>
        <w:tc>
          <w:tcPr>
            <w:tcW w:w="2000" w:type="dxa"/>
            <w:vAlign w:val="bottom"/>
            <w:shd w:val="clear" w:color="auto" w:fill="CCEEFF"/>
          </w:tcPr>
          <w:p>
            <w:pPr>
              <w:ind w:left="40"/>
              <w:spacing w:after="0" w:line="137" w:lineRule="exact"/>
              <w:rPr>
                <w:sz w:val="20"/>
                <w:szCs w:val="20"/>
                <w:color w:val="auto"/>
              </w:rPr>
            </w:pPr>
            <w:r>
              <w:rPr>
                <w:rFonts w:ascii="Arial" w:cs="Arial" w:eastAsia="Arial" w:hAnsi="Arial"/>
                <w:sz w:val="13"/>
                <w:szCs w:val="13"/>
                <w:color w:val="auto"/>
              </w:rPr>
              <w:t>Los Angeles-Long Beach, CA</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1996-2000</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78,889</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3"/>
                <w:szCs w:val="13"/>
                <w:color w:val="auto"/>
              </w:rPr>
              <w:t>211,000</w:t>
            </w:r>
          </w:p>
        </w:tc>
        <w:tc>
          <w:tcPr>
            <w:tcW w:w="6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320" w:type="dxa"/>
            <w:vAlign w:val="bottom"/>
            <w:shd w:val="clear" w:color="auto" w:fill="CCEEFF"/>
          </w:tcPr>
          <w:p>
            <w:pPr>
              <w:ind w:left="100"/>
              <w:spacing w:after="0" w:line="137" w:lineRule="exact"/>
              <w:rPr>
                <w:sz w:val="20"/>
                <w:szCs w:val="20"/>
                <w:color w:val="auto"/>
              </w:rPr>
            </w:pPr>
            <w:r>
              <w:rPr>
                <w:rFonts w:ascii="Arial" w:cs="Arial" w:eastAsia="Arial" w:hAnsi="Arial"/>
                <w:sz w:val="13"/>
                <w:szCs w:val="13"/>
                <w:color w:val="auto"/>
                <w:w w:val="97"/>
              </w:rPr>
              <w:t>J. Crew / Banana Republic / Old Navy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Abercrombie &amp; Fitch</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gridSpan w:val="4"/>
          </w:tcPr>
          <w:p>
            <w:pPr>
              <w:spacing w:after="0" w:line="136" w:lineRule="exact"/>
              <w:rPr>
                <w:sz w:val="20"/>
                <w:szCs w:val="20"/>
                <w:color w:val="auto"/>
              </w:rPr>
            </w:pPr>
            <w:r>
              <w:rPr>
                <w:rFonts w:ascii="Arial" w:cs="Arial" w:eastAsia="Arial" w:hAnsi="Arial"/>
                <w:sz w:val="13"/>
                <w:szCs w:val="13"/>
                <w:color w:val="auto"/>
              </w:rPr>
              <w:t>Westgate</w:t>
            </w:r>
          </w:p>
        </w:tc>
        <w:tc>
          <w:tcPr>
            <w:tcW w:w="660" w:type="dxa"/>
            <w:vAlign w:val="bottom"/>
          </w:tcPr>
          <w:p>
            <w:pPr>
              <w:spacing w:after="0"/>
              <w:rPr>
                <w:sz w:val="11"/>
                <w:szCs w:val="11"/>
                <w:color w:val="auto"/>
              </w:rPr>
            </w:pPr>
          </w:p>
        </w:tc>
        <w:tc>
          <w:tcPr>
            <w:tcW w:w="2000" w:type="dxa"/>
            <w:vAlign w:val="bottom"/>
          </w:tcPr>
          <w:p>
            <w:pPr>
              <w:ind w:left="40"/>
              <w:spacing w:after="0" w:line="136" w:lineRule="exact"/>
              <w:rPr>
                <w:sz w:val="20"/>
                <w:szCs w:val="20"/>
                <w:color w:val="auto"/>
              </w:rPr>
            </w:pPr>
            <w:r>
              <w:rPr>
                <w:rFonts w:ascii="Arial" w:cs="Arial" w:eastAsia="Arial" w:hAnsi="Arial"/>
                <w:sz w:val="13"/>
                <w:szCs w:val="13"/>
                <w:color w:val="auto"/>
              </w:rPr>
              <w:t>San Jose, CA</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2004</w:t>
            </w:r>
          </w:p>
        </w:tc>
        <w:tc>
          <w:tcPr>
            <w:tcW w:w="16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115,953</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645,000</w:t>
            </w:r>
          </w:p>
        </w:tc>
        <w:tc>
          <w:tcPr>
            <w:tcW w:w="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97%</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38,000</w:t>
            </w:r>
          </w:p>
        </w:tc>
        <w:tc>
          <w:tcPr>
            <w:tcW w:w="820" w:type="dxa"/>
            <w:vAlign w:val="bottom"/>
          </w:tcPr>
          <w:p>
            <w:pPr>
              <w:ind w:left="20"/>
              <w:spacing w:after="0" w:line="136" w:lineRule="exact"/>
              <w:rPr>
                <w:sz w:val="20"/>
                <w:szCs w:val="20"/>
                <w:color w:val="auto"/>
              </w:rPr>
            </w:pPr>
            <w:r>
              <w:rPr>
                <w:rFonts w:ascii="Arial" w:cs="Arial" w:eastAsia="Arial" w:hAnsi="Arial"/>
                <w:sz w:val="13"/>
                <w:szCs w:val="13"/>
                <w:color w:val="auto"/>
              </w:rPr>
              <w:t>Safeway</w:t>
            </w:r>
          </w:p>
        </w:tc>
        <w:tc>
          <w:tcPr>
            <w:tcW w:w="2320" w:type="dxa"/>
            <w:vAlign w:val="bottom"/>
          </w:tcPr>
          <w:p>
            <w:pPr>
              <w:ind w:left="100"/>
              <w:spacing w:after="0" w:line="136" w:lineRule="exact"/>
              <w:rPr>
                <w:sz w:val="20"/>
                <w:szCs w:val="20"/>
                <w:color w:val="auto"/>
              </w:rPr>
            </w:pPr>
            <w:r>
              <w:rPr>
                <w:rFonts w:ascii="Arial" w:cs="Arial" w:eastAsia="Arial" w:hAnsi="Arial"/>
                <w:sz w:val="13"/>
                <w:szCs w:val="13"/>
                <w:color w:val="auto"/>
                <w:w w:val="92"/>
              </w:rPr>
              <w:t>Target / Burlington Coat Factory / Barnes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ind w:left="100"/>
              <w:spacing w:after="0" w:line="144" w:lineRule="exact"/>
              <w:rPr>
                <w:sz w:val="20"/>
                <w:szCs w:val="20"/>
                <w:color w:val="auto"/>
              </w:rPr>
            </w:pPr>
            <w:r>
              <w:rPr>
                <w:rFonts w:ascii="Arial" w:cs="Arial" w:eastAsia="Arial" w:hAnsi="Arial"/>
                <w:sz w:val="13"/>
                <w:szCs w:val="13"/>
                <w:color w:val="auto"/>
              </w:rPr>
              <w:t>&amp;</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Arial" w:cs="Arial" w:eastAsia="Arial" w:hAnsi="Arial"/>
                <w:sz w:val="13"/>
                <w:szCs w:val="13"/>
                <w:color w:val="auto"/>
              </w:rPr>
              <w:t>Noble / Ross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line="146" w:lineRule="exact"/>
              <w:rPr>
                <w:sz w:val="20"/>
                <w:szCs w:val="20"/>
                <w:color w:val="auto"/>
              </w:rPr>
            </w:pPr>
            <w:r>
              <w:rPr>
                <w:rFonts w:ascii="Arial" w:cs="Arial" w:eastAsia="Arial" w:hAnsi="Arial"/>
                <w:sz w:val="13"/>
                <w:szCs w:val="13"/>
                <w:color w:val="auto"/>
              </w:rPr>
              <w:t>150 Post Street</w:t>
            </w:r>
          </w:p>
        </w:tc>
        <w:tc>
          <w:tcPr>
            <w:tcW w:w="660" w:type="dxa"/>
            <w:vAlign w:val="bottom"/>
            <w:shd w:val="clear" w:color="auto" w:fill="CCEEFF"/>
          </w:tcPr>
          <w:p>
            <w:pPr>
              <w:spacing w:after="0"/>
              <w:rPr>
                <w:sz w:val="12"/>
                <w:szCs w:val="12"/>
                <w:color w:val="auto"/>
              </w:rPr>
            </w:pPr>
          </w:p>
        </w:tc>
        <w:tc>
          <w:tcPr>
            <w:tcW w:w="2000" w:type="dxa"/>
            <w:vAlign w:val="bottom"/>
            <w:shd w:val="clear" w:color="auto" w:fill="CCEEFF"/>
          </w:tcPr>
          <w:p>
            <w:pPr>
              <w:ind w:left="40"/>
              <w:spacing w:after="0" w:line="146" w:lineRule="exact"/>
              <w:rPr>
                <w:sz w:val="20"/>
                <w:szCs w:val="20"/>
                <w:color w:val="auto"/>
              </w:rPr>
            </w:pPr>
            <w:r>
              <w:rPr>
                <w:rFonts w:ascii="Arial" w:cs="Arial" w:eastAsia="Arial" w:hAnsi="Arial"/>
                <w:sz w:val="13"/>
                <w:szCs w:val="13"/>
                <w:color w:val="auto"/>
              </w:rPr>
              <w:t>San Francisco, CA</w:t>
            </w: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1997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37,482</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102,000</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Brooks Brothers / H &amp; 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Total California</w:t>
            </w: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921,049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2,453,000</w:t>
            </w:r>
          </w:p>
        </w:tc>
        <w:tc>
          <w:tcPr>
            <w:tcW w:w="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97%</w:t>
            </w: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auto"/>
            </w:tcBorders>
            <w:gridSpan w:val="3"/>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1"/>
              </w:rPr>
              <w:t>West Region - Other</w:t>
            </w:r>
          </w:p>
        </w:tc>
        <w:tc>
          <w:tcPr>
            <w:tcW w:w="660" w:type="dxa"/>
            <w:vAlign w:val="bottom"/>
            <w:tcBorders>
              <w:bottom w:val="single" w:sz="8" w:color="CCEEFF"/>
            </w:tcBorders>
            <w:shd w:val="clear" w:color="auto" w:fill="CCEEFF"/>
          </w:tcPr>
          <w:p>
            <w:pPr>
              <w:spacing w:after="0"/>
              <w:rPr>
                <w:sz w:val="11"/>
                <w:szCs w:val="11"/>
                <w:color w:val="auto"/>
              </w:rPr>
            </w:pPr>
          </w:p>
        </w:tc>
        <w:tc>
          <w:tcPr>
            <w:tcW w:w="20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3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4"/>
          </w:tcPr>
          <w:p>
            <w:pPr>
              <w:spacing w:after="0" w:line="138" w:lineRule="exact"/>
              <w:rPr>
                <w:sz w:val="20"/>
                <w:szCs w:val="20"/>
                <w:color w:val="auto"/>
              </w:rPr>
            </w:pPr>
            <w:r>
              <w:rPr>
                <w:rFonts w:ascii="Arial" w:cs="Arial" w:eastAsia="Arial" w:hAnsi="Arial"/>
                <w:sz w:val="13"/>
                <w:szCs w:val="13"/>
                <w:color w:val="auto"/>
              </w:rPr>
              <w:t>Houston St</w:t>
            </w:r>
          </w:p>
        </w:tc>
        <w:tc>
          <w:tcPr>
            <w:tcW w:w="660" w:type="dxa"/>
            <w:vAlign w:val="bottom"/>
          </w:tcPr>
          <w:p>
            <w:pPr>
              <w:spacing w:after="0"/>
              <w:rPr>
                <w:sz w:val="12"/>
                <w:szCs w:val="12"/>
                <w:color w:val="auto"/>
              </w:rPr>
            </w:pPr>
          </w:p>
        </w:tc>
        <w:tc>
          <w:tcPr>
            <w:tcW w:w="2000" w:type="dxa"/>
            <w:vAlign w:val="bottom"/>
          </w:tcPr>
          <w:p>
            <w:pPr>
              <w:ind w:left="40"/>
              <w:spacing w:after="0" w:line="138" w:lineRule="exact"/>
              <w:rPr>
                <w:sz w:val="20"/>
                <w:szCs w:val="20"/>
                <w:color w:val="auto"/>
              </w:rPr>
            </w:pPr>
            <w:r>
              <w:rPr>
                <w:rFonts w:ascii="Arial" w:cs="Arial" w:eastAsia="Arial" w:hAnsi="Arial"/>
                <w:sz w:val="13"/>
                <w:szCs w:val="13"/>
                <w:color w:val="auto"/>
              </w:rPr>
              <w:t>San Antonio, TX</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1998</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62,212</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19</w:t>
            </w:r>
          </w:p>
        </w:tc>
        <w:tc>
          <w:tcPr>
            <w:tcW w:w="4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177,000</w:t>
            </w:r>
          </w:p>
        </w:tc>
        <w:tc>
          <w:tcPr>
            <w:tcW w:w="40" w:type="dxa"/>
            <w:vAlign w:val="bottom"/>
          </w:tcPr>
          <w:p>
            <w:pPr>
              <w:spacing w:after="0"/>
              <w:rPr>
                <w:sz w:val="12"/>
                <w:szCs w:val="12"/>
                <w:color w:val="auto"/>
              </w:rPr>
            </w:pPr>
          </w:p>
        </w:tc>
        <w:tc>
          <w:tcPr>
            <w:tcW w:w="60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79%</w:t>
            </w: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ind w:left="100"/>
              <w:spacing w:after="0" w:line="138" w:lineRule="exact"/>
              <w:rPr>
                <w:sz w:val="20"/>
                <w:szCs w:val="20"/>
                <w:color w:val="auto"/>
              </w:rPr>
            </w:pPr>
            <w:r>
              <w:rPr>
                <w:rFonts w:ascii="Arial" w:cs="Arial" w:eastAsia="Arial" w:hAnsi="Arial"/>
                <w:sz w:val="13"/>
                <w:szCs w:val="13"/>
                <w:color w:val="auto"/>
              </w:rPr>
              <w:t>Hotel Valencia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rPr>
              <w:t>Total West Region</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983,261</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6"/>
              </w:rPr>
              <w:t>2,630,000</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96%</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Grand Total</w:t>
            </w: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580" w:type="dxa"/>
            <w:vAlign w:val="bottom"/>
            <w:gridSpan w:val="5"/>
            <w:vMerge w:val="continue"/>
          </w:tcPr>
          <w:p>
            <w:pPr>
              <w:spacing w:after="0"/>
              <w:rPr>
                <w:sz w:val="13"/>
                <w:szCs w:val="13"/>
                <w:color w:val="auto"/>
              </w:rPr>
            </w:pPr>
          </w:p>
        </w:tc>
        <w:tc>
          <w:tcPr>
            <w:tcW w:w="6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3,569,389</w:t>
            </w:r>
          </w:p>
        </w:tc>
        <w:tc>
          <w:tcPr>
            <w:tcW w:w="2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447,143 18,399,000</w:t>
            </w:r>
          </w:p>
        </w:tc>
        <w:tc>
          <w:tcPr>
            <w:tcW w:w="4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96%</w:t>
            </w: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45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Notes:</w:t>
      </w:r>
    </w:p>
    <w:p>
      <w:pPr>
        <w:spacing w:after="0" w:line="20" w:lineRule="exact"/>
        <w:rPr>
          <w:sz w:val="20"/>
          <w:szCs w:val="20"/>
          <w:color w:val="auto"/>
        </w:rPr>
      </w:pPr>
    </w:p>
    <w:p>
      <w:pPr>
        <w:ind w:left="460" w:right="140" w:hanging="455"/>
        <w:spacing w:after="0" w:line="257"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mortgage or capital lease obligations differ from the total reported on the consolidated balance sheet due to the unamortized discount or premium on certain mortgage payables.</w:t>
      </w: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Excludes newly created redevelopment square footage not yet in service, as well as residential and hotel square footage.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Trust has a 64.1% ownership interest in the property.</w:t>
      </w:r>
    </w:p>
    <w:p>
      <w:pPr>
        <w:spacing w:after="0" w:line="14" w:lineRule="exact"/>
        <w:rPr>
          <w:rFonts w:ascii="Arial" w:cs="Arial" w:eastAsia="Arial" w:hAnsi="Arial"/>
          <w:sz w:val="17"/>
          <w:szCs w:val="17"/>
          <w:color w:val="auto"/>
        </w:rPr>
      </w:pPr>
    </w:p>
    <w:p>
      <w:pPr>
        <w:ind w:left="460" w:right="600" w:hanging="455"/>
        <w:spacing w:after="0" w:line="257"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Property owned in a “downreit” partnership, of which a wholly owned subsidiary of the Trust is the sole general partner, with third party partners holding operating partnership units.</w:t>
      </w:r>
    </w:p>
    <w:p>
      <w:pPr>
        <w:ind w:left="460" w:right="180" w:hanging="455"/>
        <w:spacing w:after="0" w:line="273"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ind w:left="460" w:right="480" w:hanging="455"/>
        <w:spacing w:after="0" w:line="257"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50% of the ownership of this property is in a “downreit” partnership, of which a wholly owned subsidiary of the Trust is the sole general partner, with third party partners holding operating partnership units.</w:t>
      </w: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Trust has a 70% ownership interest in the property.</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Trust has a 90% ownership interest in the property.</w:t>
      </w:r>
    </w:p>
    <w:p>
      <w:pPr>
        <w:spacing w:after="0" w:line="15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520"/>
          </w:cols>
          <w:pgMar w:left="240" w:top="131" w:right="1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Comparable (2)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7"/>
              </w:rPr>
              <w:t>Straight-</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92"/>
              </w:rPr>
              <w:t>lined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94"/>
              </w:rPr>
              <w:t>Cash</w:t>
            </w:r>
          </w:p>
        </w:tc>
        <w:tc>
          <w:tcPr>
            <w:tcW w:w="80" w:type="dxa"/>
            <w:vAlign w:val="bottom"/>
          </w:tcPr>
          <w:p>
            <w:pPr>
              <w:spacing w:after="0"/>
              <w:rPr>
                <w:sz w:val="12"/>
                <w:szCs w:val="12"/>
                <w:color w:val="auto"/>
              </w:rPr>
            </w:pPr>
          </w:p>
        </w:tc>
        <w:tc>
          <w:tcPr>
            <w:tcW w:w="86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88"/>
              </w:rPr>
              <w:t>Basis %</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gridSpan w:val="4"/>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Number</w:t>
            </w:r>
          </w:p>
        </w:tc>
        <w:tc>
          <w:tcPr>
            <w:tcW w:w="140" w:type="dxa"/>
            <w:vAlign w:val="bottom"/>
          </w:tcPr>
          <w:p>
            <w:pPr>
              <w:spacing w:after="0"/>
              <w:rPr>
                <w:sz w:val="12"/>
                <w:szCs w:val="12"/>
                <w:color w:val="auto"/>
              </w:rPr>
            </w:pPr>
          </w:p>
        </w:tc>
        <w:tc>
          <w:tcPr>
            <w:tcW w:w="940" w:type="dxa"/>
            <w:vAlign w:val="bottom"/>
            <w:gridSpan w:val="4"/>
          </w:tcPr>
          <w:p>
            <w:pPr>
              <w:jc w:val="center"/>
              <w:ind w:right="580"/>
              <w:spacing w:after="0" w:line="144"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8"/>
              </w:rPr>
              <w:t>Prior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92"/>
              </w:rPr>
              <w:t>Basis %</w:t>
            </w:r>
          </w:p>
        </w:tc>
        <w:tc>
          <w:tcPr>
            <w:tcW w:w="80" w:type="dxa"/>
            <w:vAlign w:val="bottom"/>
          </w:tcPr>
          <w:p>
            <w:pPr>
              <w:spacing w:after="0"/>
              <w:rPr>
                <w:sz w:val="12"/>
                <w:szCs w:val="12"/>
                <w:color w:val="auto"/>
              </w:rPr>
            </w:pPr>
          </w:p>
        </w:tc>
        <w:tc>
          <w:tcPr>
            <w:tcW w:w="86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90"/>
              </w:rPr>
              <w:t>Increase</w:t>
            </w: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gridSpan w:val="4"/>
          </w:tcPr>
          <w:p>
            <w:pPr>
              <w:jc w:val="center"/>
              <w:ind w:right="280"/>
              <w:spacing w:after="0" w:line="144" w:lineRule="exact"/>
              <w:rPr>
                <w:sz w:val="20"/>
                <w:szCs w:val="20"/>
                <w:color w:val="auto"/>
              </w:rPr>
            </w:pPr>
            <w:r>
              <w:rPr>
                <w:rFonts w:ascii="Arial" w:cs="Arial" w:eastAsia="Arial" w:hAnsi="Arial"/>
                <w:sz w:val="13"/>
                <w:szCs w:val="13"/>
                <w:b w:val="1"/>
                <w:bCs w:val="1"/>
                <w:color w:val="auto"/>
                <w:w w:val="81"/>
              </w:rPr>
              <w:t>of</w:t>
            </w:r>
          </w:p>
        </w:tc>
        <w:tc>
          <w:tcPr>
            <w:tcW w:w="1080" w:type="dxa"/>
            <w:vAlign w:val="bottom"/>
            <w:gridSpan w:val="5"/>
          </w:tcPr>
          <w:p>
            <w:pPr>
              <w:jc w:val="center"/>
              <w:ind w:right="400"/>
              <w:spacing w:after="0" w:line="144" w:lineRule="exact"/>
              <w:rPr>
                <w:sz w:val="20"/>
                <w:szCs w:val="20"/>
                <w:color w:val="auto"/>
              </w:rPr>
            </w:pPr>
            <w:r>
              <w:rPr>
                <w:rFonts w:ascii="Arial" w:cs="Arial" w:eastAsia="Arial" w:hAnsi="Arial"/>
                <w:sz w:val="13"/>
                <w:szCs w:val="13"/>
                <w:b w:val="1"/>
                <w:bCs w:val="1"/>
                <w:color w:val="auto"/>
                <w:w w:val="90"/>
              </w:rPr>
              <w:t>Comparable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spacing w:after="0" w:line="144" w:lineRule="exact"/>
              <w:rPr>
                <w:sz w:val="20"/>
                <w:szCs w:val="20"/>
                <w:color w:val="auto"/>
              </w:rPr>
            </w:pPr>
            <w:r>
              <w:rPr>
                <w:rFonts w:ascii="Arial" w:cs="Arial" w:eastAsia="Arial" w:hAnsi="Arial"/>
                <w:sz w:val="13"/>
                <w:szCs w:val="13"/>
                <w:b w:val="1"/>
                <w:bCs w:val="1"/>
                <w:color w:val="auto"/>
              </w:rPr>
              <w:t>Contractual</w:t>
            </w:r>
          </w:p>
        </w:tc>
        <w:tc>
          <w:tcPr>
            <w:tcW w:w="120" w:type="dxa"/>
            <w:vAlign w:val="bottom"/>
          </w:tcPr>
          <w:p>
            <w:pPr>
              <w:spacing w:after="0"/>
              <w:rPr>
                <w:sz w:val="12"/>
                <w:szCs w:val="12"/>
                <w:color w:val="auto"/>
              </w:rPr>
            </w:pPr>
          </w:p>
        </w:tc>
        <w:tc>
          <w:tcPr>
            <w:tcW w:w="7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Rent (4)</w:t>
            </w: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0"/>
              </w:rPr>
              <w:t>Annual</w:t>
            </w:r>
          </w:p>
        </w:tc>
        <w:tc>
          <w:tcPr>
            <w:tcW w:w="84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87"/>
              </w:rPr>
              <w:t>Increase</w:t>
            </w:r>
          </w:p>
        </w:tc>
        <w:tc>
          <w:tcPr>
            <w:tcW w:w="80" w:type="dxa"/>
            <w:vAlign w:val="bottom"/>
          </w:tcPr>
          <w:p>
            <w:pPr>
              <w:spacing w:after="0"/>
              <w:rPr>
                <w:sz w:val="12"/>
                <w:szCs w:val="12"/>
                <w:color w:val="auto"/>
              </w:rPr>
            </w:pPr>
          </w:p>
        </w:tc>
        <w:tc>
          <w:tcPr>
            <w:tcW w:w="86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94"/>
              </w:rPr>
              <w:t>Over</w:t>
            </w:r>
          </w:p>
        </w:tc>
        <w:tc>
          <w:tcPr>
            <w:tcW w:w="64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3"/>
              </w:rPr>
              <w:t>Tenant</w:t>
            </w:r>
          </w:p>
        </w:tc>
        <w:tc>
          <w:tcPr>
            <w:tcW w:w="120" w:type="dxa"/>
            <w:vAlign w:val="bottom"/>
          </w:tcPr>
          <w:p>
            <w:pPr>
              <w:spacing w:after="0"/>
              <w:rPr>
                <w:sz w:val="12"/>
                <w:szCs w:val="12"/>
                <w:color w:val="auto"/>
              </w:rPr>
            </w:pPr>
          </w:p>
        </w:tc>
        <w:tc>
          <w:tcPr>
            <w:tcW w:w="84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2"/>
              </w:rPr>
              <w:t>Improvements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gridSpan w:val="4"/>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Leases</w:t>
            </w:r>
          </w:p>
        </w:tc>
        <w:tc>
          <w:tcPr>
            <w:tcW w:w="1080" w:type="dxa"/>
            <w:vAlign w:val="bottom"/>
            <w:gridSpan w:val="5"/>
          </w:tcPr>
          <w:p>
            <w:pPr>
              <w:jc w:val="center"/>
              <w:ind w:right="420"/>
              <w:spacing w:after="0" w:line="144" w:lineRule="exact"/>
              <w:rPr>
                <w:sz w:val="20"/>
                <w:szCs w:val="20"/>
                <w:color w:val="auto"/>
              </w:rPr>
            </w:pPr>
            <w:r>
              <w:rPr>
                <w:rFonts w:ascii="Arial" w:cs="Arial" w:eastAsia="Arial" w:hAnsi="Arial"/>
                <w:sz w:val="13"/>
                <w:szCs w:val="13"/>
                <w:b w:val="1"/>
                <w:bCs w:val="1"/>
                <w:color w:val="auto"/>
                <w:w w:val="86"/>
              </w:rPr>
              <w:t>Leases</w:t>
            </w:r>
          </w:p>
        </w:tc>
        <w:tc>
          <w:tcPr>
            <w:tcW w:w="120" w:type="dxa"/>
            <w:vAlign w:val="bottom"/>
          </w:tcPr>
          <w:p>
            <w:pPr>
              <w:spacing w:after="0"/>
              <w:rPr>
                <w:sz w:val="12"/>
                <w:szCs w:val="12"/>
                <w:color w:val="auto"/>
              </w:rPr>
            </w:pPr>
          </w:p>
        </w:tc>
        <w:tc>
          <w:tcPr>
            <w:tcW w:w="62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GLA</w:t>
            </w:r>
          </w:p>
        </w:tc>
        <w:tc>
          <w:tcPr>
            <w:tcW w:w="160" w:type="dxa"/>
            <w:vAlign w:val="bottom"/>
          </w:tcPr>
          <w:p>
            <w:pPr>
              <w:spacing w:after="0"/>
              <w:rPr>
                <w:sz w:val="12"/>
                <w:szCs w:val="12"/>
                <w:color w:val="auto"/>
              </w:rPr>
            </w:pPr>
          </w:p>
        </w:tc>
        <w:tc>
          <w:tcPr>
            <w:tcW w:w="760" w:type="dxa"/>
            <w:vAlign w:val="bottom"/>
            <w:gridSpan w:val="4"/>
          </w:tcPr>
          <w:p>
            <w:pPr>
              <w:ind w:left="80"/>
              <w:spacing w:after="0" w:line="144" w:lineRule="exact"/>
              <w:rPr>
                <w:sz w:val="20"/>
                <w:szCs w:val="20"/>
                <w:color w:val="auto"/>
              </w:rPr>
            </w:pPr>
            <w:r>
              <w:rPr>
                <w:rFonts w:ascii="Arial" w:cs="Arial" w:eastAsia="Arial" w:hAnsi="Arial"/>
                <w:sz w:val="13"/>
                <w:szCs w:val="13"/>
                <w:b w:val="1"/>
                <w:bCs w:val="1"/>
                <w:color w:val="auto"/>
              </w:rPr>
              <w:t>Rent (3)</w:t>
            </w:r>
          </w:p>
        </w:tc>
        <w:tc>
          <w:tcPr>
            <w:tcW w:w="120" w:type="dxa"/>
            <w:vAlign w:val="bottom"/>
          </w:tcPr>
          <w:p>
            <w:pPr>
              <w:spacing w:after="0"/>
              <w:rPr>
                <w:sz w:val="12"/>
                <w:szCs w:val="12"/>
                <w:color w:val="auto"/>
              </w:rPr>
            </w:pPr>
          </w:p>
        </w:tc>
        <w:tc>
          <w:tcPr>
            <w:tcW w:w="7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Per Sq.</w:t>
            </w: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0"/>
              </w:rPr>
              <w:t>Increase</w:t>
            </w:r>
          </w:p>
        </w:tc>
        <w:tc>
          <w:tcPr>
            <w:tcW w:w="84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rPr>
              <w:t>Over</w:t>
            </w:r>
          </w:p>
        </w:tc>
        <w:tc>
          <w:tcPr>
            <w:tcW w:w="80" w:type="dxa"/>
            <w:vAlign w:val="bottom"/>
          </w:tcPr>
          <w:p>
            <w:pPr>
              <w:spacing w:after="0"/>
              <w:rPr>
                <w:sz w:val="12"/>
                <w:szCs w:val="12"/>
                <w:color w:val="auto"/>
              </w:rPr>
            </w:pPr>
          </w:p>
        </w:tc>
        <w:tc>
          <w:tcPr>
            <w:tcW w:w="86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92"/>
              </w:rPr>
              <w:t>Prior</w:t>
            </w:r>
          </w:p>
        </w:tc>
        <w:tc>
          <w:tcPr>
            <w:tcW w:w="640" w:type="dxa"/>
            <w:vAlign w:val="bottom"/>
            <w:gridSpan w:val="2"/>
          </w:tcPr>
          <w:p>
            <w:pPr>
              <w:jc w:val="right"/>
              <w:ind w:right="200"/>
              <w:spacing w:after="0" w:line="144" w:lineRule="exact"/>
              <w:rPr>
                <w:sz w:val="20"/>
                <w:szCs w:val="20"/>
                <w:color w:val="auto"/>
              </w:rPr>
            </w:pPr>
            <w:r>
              <w:rPr>
                <w:rFonts w:ascii="Arial" w:cs="Arial" w:eastAsia="Arial" w:hAnsi="Arial"/>
                <w:sz w:val="13"/>
                <w:szCs w:val="13"/>
                <w:b w:val="1"/>
                <w:bCs w:val="1"/>
                <w:color w:val="auto"/>
              </w:rPr>
              <w:t>Lease</w:t>
            </w:r>
          </w:p>
        </w:tc>
        <w:tc>
          <w:tcPr>
            <w:tcW w:w="120" w:type="dxa"/>
            <w:vAlign w:val="bottom"/>
          </w:tcPr>
          <w:p>
            <w:pPr>
              <w:spacing w:after="0"/>
              <w:rPr>
                <w:sz w:val="12"/>
                <w:szCs w:val="12"/>
                <w:color w:val="auto"/>
              </w:rPr>
            </w:pPr>
          </w:p>
        </w:tc>
        <w:tc>
          <w:tcPr>
            <w:tcW w:w="102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Improvements</w:t>
            </w:r>
          </w:p>
        </w:tc>
        <w:tc>
          <w:tcPr>
            <w:tcW w:w="120" w:type="dxa"/>
            <w:vAlign w:val="bottom"/>
          </w:tcPr>
          <w:p>
            <w:pPr>
              <w:spacing w:after="0"/>
              <w:rPr>
                <w:sz w:val="12"/>
                <w:szCs w:val="12"/>
                <w:color w:val="auto"/>
              </w:rPr>
            </w:pPr>
          </w:p>
        </w:tc>
        <w:tc>
          <w:tcPr>
            <w:tcW w:w="84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7"/>
        </w:trPr>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Quarter</w:t>
            </w:r>
          </w:p>
        </w:tc>
        <w:tc>
          <w:tcPr>
            <w:tcW w:w="70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7"/>
              </w:rPr>
              <w:t>Signed</w:t>
            </w:r>
          </w:p>
        </w:tc>
        <w:tc>
          <w:tcPr>
            <w:tcW w:w="108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87"/>
              </w:rPr>
              <w:t>Signed</w:t>
            </w:r>
          </w:p>
        </w:tc>
        <w:tc>
          <w:tcPr>
            <w:tcW w:w="740" w:type="dxa"/>
            <w:vAlign w:val="bottom"/>
            <w:gridSpan w:val="4"/>
          </w:tcPr>
          <w:p>
            <w:pPr>
              <w:ind w:left="100"/>
              <w:spacing w:after="0"/>
              <w:rPr>
                <w:sz w:val="20"/>
                <w:szCs w:val="20"/>
                <w:color w:val="auto"/>
              </w:rPr>
            </w:pPr>
            <w:r>
              <w:rPr>
                <w:rFonts w:ascii="Arial" w:cs="Arial" w:eastAsia="Arial" w:hAnsi="Arial"/>
                <w:sz w:val="13"/>
                <w:szCs w:val="13"/>
                <w:b w:val="1"/>
                <w:bCs w:val="1"/>
                <w:color w:val="auto"/>
              </w:rPr>
              <w:t>Signed</w:t>
            </w:r>
          </w:p>
        </w:tc>
        <w:tc>
          <w:tcPr>
            <w:tcW w:w="1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3"/>
                <w:szCs w:val="13"/>
                <w:b w:val="1"/>
                <w:bCs w:val="1"/>
                <w:color w:val="auto"/>
              </w:rPr>
              <w:t>Per Sq. Ft.</w:t>
            </w:r>
          </w:p>
        </w:tc>
        <w:tc>
          <w:tcPr>
            <w:tcW w:w="120" w:type="dxa"/>
            <w:vAlign w:val="bottom"/>
          </w:tcPr>
          <w:p>
            <w:pPr>
              <w:spacing w:after="0"/>
              <w:rPr>
                <w:sz w:val="13"/>
                <w:szCs w:val="13"/>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Ft.</w:t>
            </w:r>
          </w:p>
        </w:tc>
        <w:tc>
          <w:tcPr>
            <w:tcW w:w="8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in Rent</w:t>
            </w:r>
          </w:p>
        </w:tc>
        <w:tc>
          <w:tcPr>
            <w:tcW w:w="8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9"/>
              </w:rPr>
              <w:t>Prior Rent</w:t>
            </w:r>
          </w:p>
        </w:tc>
        <w:tc>
          <w:tcPr>
            <w:tcW w:w="80" w:type="dxa"/>
            <w:vAlign w:val="bottom"/>
          </w:tcPr>
          <w:p>
            <w:pPr>
              <w:spacing w:after="0"/>
              <w:rPr>
                <w:sz w:val="13"/>
                <w:szCs w:val="13"/>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6"/>
              </w:rPr>
              <w:t>Rent</w:t>
            </w:r>
          </w:p>
        </w:tc>
        <w:tc>
          <w:tcPr>
            <w:tcW w:w="1780" w:type="dxa"/>
            <w:vAlign w:val="bottom"/>
            <w:gridSpan w:val="6"/>
          </w:tcPr>
          <w:p>
            <w:pPr>
              <w:ind w:left="40"/>
              <w:spacing w:after="0"/>
              <w:rPr>
                <w:sz w:val="20"/>
                <w:szCs w:val="20"/>
                <w:color w:val="auto"/>
              </w:rPr>
            </w:pPr>
            <w:r>
              <w:rPr>
                <w:rFonts w:ascii="Arial" w:cs="Arial" w:eastAsia="Arial" w:hAnsi="Arial"/>
                <w:sz w:val="13"/>
                <w:szCs w:val="13"/>
                <w:b w:val="1"/>
                <w:bCs w:val="1"/>
                <w:color w:val="auto"/>
              </w:rPr>
              <w:t>Term (5)    &amp; Incentives (6)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2nd Quarter 2008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0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22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74"/>
              </w:rPr>
              <w:t>239,207</w:t>
            </w:r>
          </w:p>
        </w:tc>
        <w:tc>
          <w:tcPr>
            <w:tcW w:w="1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36.39</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0"/>
              </w:rPr>
              <w:t>$29.21</w:t>
            </w:r>
          </w:p>
        </w:tc>
        <w:tc>
          <w:tcPr>
            <w:tcW w:w="26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$1,717,881</w:t>
            </w: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w:t>
            </w:r>
          </w:p>
        </w:tc>
        <w:tc>
          <w:tcPr>
            <w:tcW w:w="9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42%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2,316,197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1st Quarter 2008</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7"/>
                <w:szCs w:val="17"/>
                <w:color w:val="auto"/>
                <w:w w:val="74"/>
              </w:rPr>
              <w:t>268,608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29.29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7"/>
                <w:szCs w:val="17"/>
                <w:color w:val="auto"/>
                <w:w w:val="80"/>
              </w:rPr>
              <w:t>$23.73</w:t>
            </w:r>
          </w:p>
        </w:tc>
        <w:tc>
          <w:tcPr>
            <w:tcW w:w="2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7"/>
                <w:szCs w:val="17"/>
                <w:color w:val="auto"/>
                <w:w w:val="84"/>
              </w:rPr>
              <w:t>$1,494,431</w:t>
            </w:r>
          </w:p>
        </w:tc>
        <w:tc>
          <w:tcPr>
            <w:tcW w:w="2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23%</w:t>
            </w:r>
          </w:p>
        </w:tc>
        <w:tc>
          <w:tcPr>
            <w:tcW w:w="940" w:type="dxa"/>
            <w:vAlign w:val="bottom"/>
            <w:gridSpan w:val="4"/>
          </w:tcPr>
          <w:p>
            <w:pPr>
              <w:jc w:val="right"/>
              <w:ind w:right="200"/>
              <w:spacing w:after="0"/>
              <w:rPr>
                <w:sz w:val="20"/>
                <w:szCs w:val="20"/>
                <w:color w:val="auto"/>
              </w:rPr>
            </w:pPr>
            <w:r>
              <w:rPr>
                <w:rFonts w:ascii="Arial" w:cs="Arial" w:eastAsia="Arial" w:hAnsi="Arial"/>
                <w:sz w:val="17"/>
                <w:szCs w:val="17"/>
                <w:color w:val="auto"/>
              </w:rPr>
              <w:t>37%</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6.3</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2,209,591</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4th Quarter 2007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74"/>
              </w:rPr>
              <w:t>471,853</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19.65</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0"/>
              </w:rPr>
              <w:t>$16.04</w:t>
            </w:r>
          </w:p>
        </w:tc>
        <w:tc>
          <w:tcPr>
            <w:tcW w:w="2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$1,701,647</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22%</w:t>
            </w:r>
          </w:p>
        </w:tc>
        <w:tc>
          <w:tcPr>
            <w:tcW w:w="9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31%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2,360,410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3rd Quarter 2007</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7"/>
                <w:szCs w:val="17"/>
                <w:color w:val="auto"/>
                <w:w w:val="74"/>
              </w:rPr>
              <w:t>410,312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23.36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7"/>
                <w:szCs w:val="17"/>
                <w:u w:val="single" w:color="auto"/>
                <w:color w:val="auto"/>
                <w:w w:val="80"/>
              </w:rPr>
              <w:t>$</w:t>
            </w:r>
            <w:r>
              <w:rPr>
                <w:rFonts w:ascii="Arial" w:cs="Arial" w:eastAsia="Arial" w:hAnsi="Arial"/>
                <w:sz w:val="17"/>
                <w:szCs w:val="17"/>
                <w:color w:val="auto"/>
                <w:w w:val="80"/>
              </w:rPr>
              <w:t>19.65</w:t>
            </w:r>
          </w:p>
        </w:tc>
        <w:tc>
          <w:tcPr>
            <w:tcW w:w="2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1,519,764</w:t>
            </w:r>
          </w:p>
        </w:tc>
        <w:tc>
          <w:tcPr>
            <w:tcW w:w="2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19%</w:t>
            </w:r>
          </w:p>
        </w:tc>
        <w:tc>
          <w:tcPr>
            <w:tcW w:w="940" w:type="dxa"/>
            <w:vAlign w:val="bottom"/>
            <w:gridSpan w:val="4"/>
          </w:tcPr>
          <w:p>
            <w:pPr>
              <w:jc w:val="right"/>
              <w:ind w:right="200"/>
              <w:spacing w:after="0"/>
              <w:rPr>
                <w:sz w:val="20"/>
                <w:szCs w:val="20"/>
                <w:color w:val="auto"/>
              </w:rPr>
            </w:pPr>
            <w:r>
              <w:rPr>
                <w:rFonts w:ascii="Arial" w:cs="Arial" w:eastAsia="Arial" w:hAnsi="Arial"/>
                <w:sz w:val="17"/>
                <w:szCs w:val="17"/>
                <w:color w:val="auto"/>
              </w:rPr>
              <w:t>31%</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7.4</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4,764,140</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1,389,980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25.49</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7"/>
                <w:szCs w:val="17"/>
                <w:u w:val="single" w:color="auto"/>
                <w:color w:val="auto"/>
                <w:w w:val="80"/>
              </w:rPr>
              <w:t>$</w:t>
            </w:r>
            <w:r>
              <w:rPr>
                <w:rFonts w:ascii="Arial" w:cs="Arial" w:eastAsia="Arial" w:hAnsi="Arial"/>
                <w:sz w:val="17"/>
                <w:szCs w:val="17"/>
                <w:color w:val="auto"/>
                <w:w w:val="80"/>
              </w:rPr>
              <w:t>20.86</w:t>
            </w:r>
          </w:p>
        </w:tc>
        <w:tc>
          <w:tcPr>
            <w:tcW w:w="2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6,433,723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22%</w:t>
            </w:r>
          </w:p>
        </w:tc>
        <w:tc>
          <w:tcPr>
            <w:tcW w:w="9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35%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$ 11,650,338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20" w:type="dxa"/>
            <w:vAlign w:val="bottom"/>
            <w:gridSpan w:val="12"/>
          </w:tcPr>
          <w:p>
            <w:pPr>
              <w:spacing w:after="0"/>
              <w:rPr>
                <w:sz w:val="20"/>
                <w:szCs w:val="20"/>
                <w:color w:val="auto"/>
              </w:rPr>
            </w:pPr>
            <w:r>
              <w:rPr>
                <w:rFonts w:ascii="Arial" w:cs="Arial" w:eastAsia="Arial" w:hAnsi="Arial"/>
                <w:sz w:val="17"/>
                <w:szCs w:val="17"/>
                <w:b w:val="1"/>
                <w:bCs w:val="1"/>
                <w:color w:val="auto"/>
              </w:rPr>
              <w:t>New Lease Summary - Comparable (2)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4"/>
          </w:tcPr>
          <w:p>
            <w:pPr>
              <w:jc w:val="center"/>
              <w:ind w:right="400"/>
              <w:spacing w:after="0"/>
              <w:rPr>
                <w:sz w:val="20"/>
                <w:szCs w:val="20"/>
                <w:color w:val="auto"/>
              </w:rPr>
            </w:pPr>
            <w:r>
              <w:rPr>
                <w:rFonts w:ascii="Arial" w:cs="Arial" w:eastAsia="Arial" w:hAnsi="Arial"/>
                <w:sz w:val="13"/>
                <w:szCs w:val="13"/>
                <w:b w:val="1"/>
                <w:bCs w:val="1"/>
                <w:color w:val="auto"/>
                <w:w w:val="93"/>
              </w:rPr>
              <w:t>Straight-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center"/>
              <w:ind w:right="380"/>
              <w:spacing w:after="0" w:line="144" w:lineRule="exact"/>
              <w:rPr>
                <w:sz w:val="20"/>
                <w:szCs w:val="20"/>
                <w:color w:val="auto"/>
              </w:rPr>
            </w:pPr>
            <w:r>
              <w:rPr>
                <w:rFonts w:ascii="Arial" w:cs="Arial" w:eastAsia="Arial" w:hAnsi="Arial"/>
                <w:sz w:val="13"/>
                <w:szCs w:val="13"/>
                <w:b w:val="1"/>
                <w:bCs w:val="1"/>
                <w:color w:val="auto"/>
                <w:w w:val="94"/>
              </w:rPr>
              <w:t>Cash</w:t>
            </w:r>
          </w:p>
        </w:tc>
        <w:tc>
          <w:tcPr>
            <w:tcW w:w="80" w:type="dxa"/>
            <w:vAlign w:val="bottom"/>
          </w:tcPr>
          <w:p>
            <w:pPr>
              <w:spacing w:after="0"/>
              <w:rPr>
                <w:sz w:val="12"/>
                <w:szCs w:val="12"/>
                <w:color w:val="auto"/>
              </w:rPr>
            </w:pPr>
          </w:p>
        </w:tc>
        <w:tc>
          <w:tcPr>
            <w:tcW w:w="860" w:type="dxa"/>
            <w:vAlign w:val="bottom"/>
            <w:gridSpan w:val="3"/>
          </w:tcPr>
          <w:p>
            <w:pPr>
              <w:jc w:val="center"/>
              <w:ind w:right="500"/>
              <w:spacing w:after="0" w:line="144" w:lineRule="exact"/>
              <w:rPr>
                <w:sz w:val="20"/>
                <w:szCs w:val="20"/>
                <w:color w:val="auto"/>
              </w:rPr>
            </w:pPr>
            <w:r>
              <w:rPr>
                <w:rFonts w:ascii="Arial" w:cs="Arial" w:eastAsia="Arial" w:hAnsi="Arial"/>
                <w:sz w:val="13"/>
                <w:szCs w:val="13"/>
                <w:b w:val="1"/>
                <w:bCs w:val="1"/>
                <w:color w:val="auto"/>
                <w:w w:val="92"/>
              </w:rPr>
              <w:t>lined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center"/>
              <w:ind w:right="380"/>
              <w:spacing w:after="0" w:line="144" w:lineRule="exact"/>
              <w:rPr>
                <w:sz w:val="20"/>
                <w:szCs w:val="20"/>
                <w:color w:val="auto"/>
              </w:rPr>
            </w:pPr>
            <w:r>
              <w:rPr>
                <w:rFonts w:ascii="Arial" w:cs="Arial" w:eastAsia="Arial" w:hAnsi="Arial"/>
                <w:sz w:val="13"/>
                <w:szCs w:val="13"/>
                <w:b w:val="1"/>
                <w:bCs w:val="1"/>
                <w:color w:val="auto"/>
                <w:w w:val="92"/>
              </w:rPr>
              <w:t>Basis %</w:t>
            </w:r>
          </w:p>
        </w:tc>
        <w:tc>
          <w:tcPr>
            <w:tcW w:w="940" w:type="dxa"/>
            <w:vAlign w:val="bottom"/>
            <w:gridSpan w:val="4"/>
          </w:tcPr>
          <w:p>
            <w:pPr>
              <w:jc w:val="center"/>
              <w:ind w:right="420"/>
              <w:spacing w:after="0" w:line="144" w:lineRule="exact"/>
              <w:rPr>
                <w:sz w:val="20"/>
                <w:szCs w:val="20"/>
                <w:color w:val="auto"/>
              </w:rPr>
            </w:pPr>
            <w:r>
              <w:rPr>
                <w:rFonts w:ascii="Arial" w:cs="Arial" w:eastAsia="Arial" w:hAnsi="Arial"/>
                <w:sz w:val="13"/>
                <w:szCs w:val="13"/>
                <w:b w:val="1"/>
                <w:bCs w:val="1"/>
                <w:color w:val="auto"/>
                <w:w w:val="88"/>
              </w:rPr>
              <w:t>Basis %</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Number</w:t>
            </w:r>
          </w:p>
        </w:tc>
        <w:tc>
          <w:tcPr>
            <w:tcW w:w="140" w:type="dxa"/>
            <w:vAlign w:val="bottom"/>
          </w:tcPr>
          <w:p>
            <w:pPr>
              <w:spacing w:after="0"/>
              <w:rPr>
                <w:sz w:val="12"/>
                <w:szCs w:val="12"/>
                <w:color w:val="auto"/>
              </w:rPr>
            </w:pPr>
          </w:p>
        </w:tc>
        <w:tc>
          <w:tcPr>
            <w:tcW w:w="940" w:type="dxa"/>
            <w:vAlign w:val="bottom"/>
            <w:gridSpan w:val="4"/>
          </w:tcPr>
          <w:p>
            <w:pPr>
              <w:jc w:val="center"/>
              <w:ind w:right="520"/>
              <w:spacing w:after="0" w:line="144" w:lineRule="exact"/>
              <w:rPr>
                <w:sz w:val="20"/>
                <w:szCs w:val="20"/>
                <w:color w:val="auto"/>
              </w:rPr>
            </w:pPr>
            <w:r>
              <w:rPr>
                <w:rFonts w:ascii="Arial" w:cs="Arial" w:eastAsia="Arial" w:hAnsi="Arial"/>
                <w:sz w:val="13"/>
                <w:szCs w:val="13"/>
                <w:b w:val="1"/>
                <w:bCs w:val="1"/>
                <w:color w:val="auto"/>
                <w:w w:val="94"/>
              </w:rPr>
              <w:t>% of</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2"/>
              </w:rPr>
              <w:t>Prior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center"/>
              <w:ind w:right="380"/>
              <w:spacing w:after="0" w:line="144" w:lineRule="exact"/>
              <w:rPr>
                <w:sz w:val="20"/>
                <w:szCs w:val="20"/>
                <w:color w:val="auto"/>
              </w:rPr>
            </w:pPr>
            <w:r>
              <w:rPr>
                <w:rFonts w:ascii="Arial" w:cs="Arial" w:eastAsia="Arial" w:hAnsi="Arial"/>
                <w:sz w:val="13"/>
                <w:szCs w:val="13"/>
                <w:b w:val="1"/>
                <w:bCs w:val="1"/>
                <w:color w:val="auto"/>
                <w:w w:val="87"/>
              </w:rPr>
              <w:t>Increase</w:t>
            </w:r>
          </w:p>
        </w:tc>
        <w:tc>
          <w:tcPr>
            <w:tcW w:w="940" w:type="dxa"/>
            <w:vAlign w:val="bottom"/>
            <w:gridSpan w:val="4"/>
          </w:tcPr>
          <w:p>
            <w:pPr>
              <w:jc w:val="center"/>
              <w:ind w:right="420"/>
              <w:spacing w:after="0" w:line="144" w:lineRule="exact"/>
              <w:rPr>
                <w:sz w:val="20"/>
                <w:szCs w:val="20"/>
                <w:color w:val="auto"/>
              </w:rPr>
            </w:pPr>
            <w:r>
              <w:rPr>
                <w:rFonts w:ascii="Arial" w:cs="Arial" w:eastAsia="Arial" w:hAnsi="Arial"/>
                <w:sz w:val="13"/>
                <w:szCs w:val="13"/>
                <w:b w:val="1"/>
                <w:bCs w:val="1"/>
                <w:color w:val="auto"/>
                <w:w w:val="90"/>
              </w:rPr>
              <w:t>Increase</w:t>
            </w: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b w:val="1"/>
                <w:bCs w:val="1"/>
                <w:color w:val="auto"/>
                <w:w w:val="81"/>
              </w:rPr>
              <w:t>Weighted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3"/>
          </w:tcPr>
          <w:p>
            <w:pPr>
              <w:jc w:val="center"/>
              <w:ind w:right="400"/>
              <w:spacing w:after="0" w:line="144" w:lineRule="exact"/>
              <w:rPr>
                <w:sz w:val="20"/>
                <w:szCs w:val="20"/>
                <w:color w:val="auto"/>
              </w:rPr>
            </w:pPr>
            <w:r>
              <w:rPr>
                <w:rFonts w:ascii="Arial" w:cs="Arial" w:eastAsia="Arial" w:hAnsi="Arial"/>
                <w:sz w:val="13"/>
                <w:szCs w:val="13"/>
                <w:b w:val="1"/>
                <w:bCs w:val="1"/>
                <w:color w:val="auto"/>
                <w:w w:val="81"/>
              </w:rPr>
              <w:t>of</w:t>
            </w:r>
          </w:p>
        </w:tc>
        <w:tc>
          <w:tcPr>
            <w:tcW w:w="1080" w:type="dxa"/>
            <w:vAlign w:val="bottom"/>
            <w:gridSpan w:val="5"/>
          </w:tcPr>
          <w:p>
            <w:pPr>
              <w:jc w:val="center"/>
              <w:ind w:right="380"/>
              <w:spacing w:after="0" w:line="144" w:lineRule="exact"/>
              <w:rPr>
                <w:sz w:val="20"/>
                <w:szCs w:val="20"/>
                <w:color w:val="auto"/>
              </w:rPr>
            </w:pPr>
            <w:r>
              <w:rPr>
                <w:rFonts w:ascii="Arial" w:cs="Arial" w:eastAsia="Arial" w:hAnsi="Arial"/>
                <w:sz w:val="13"/>
                <w:szCs w:val="13"/>
                <w:b w:val="1"/>
                <w:bCs w:val="1"/>
                <w:color w:val="auto"/>
                <w:w w:val="93"/>
              </w:rPr>
              <w:t>Comparable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spacing w:after="0" w:line="144" w:lineRule="exact"/>
              <w:rPr>
                <w:sz w:val="20"/>
                <w:szCs w:val="20"/>
                <w:color w:val="auto"/>
              </w:rPr>
            </w:pPr>
            <w:r>
              <w:rPr>
                <w:rFonts w:ascii="Arial" w:cs="Arial" w:eastAsia="Arial" w:hAnsi="Arial"/>
                <w:sz w:val="13"/>
                <w:szCs w:val="13"/>
                <w:b w:val="1"/>
                <w:bCs w:val="1"/>
                <w:color w:val="auto"/>
              </w:rPr>
              <w:t>Contractual</w:t>
            </w:r>
          </w:p>
        </w:tc>
        <w:tc>
          <w:tcPr>
            <w:tcW w:w="120" w:type="dxa"/>
            <w:vAlign w:val="bottom"/>
          </w:tcPr>
          <w:p>
            <w:pPr>
              <w:spacing w:after="0"/>
              <w:rPr>
                <w:sz w:val="12"/>
                <w:szCs w:val="12"/>
                <w:color w:val="auto"/>
              </w:rPr>
            </w:pPr>
          </w:p>
        </w:tc>
        <w:tc>
          <w:tcPr>
            <w:tcW w:w="7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Rent (4)</w:t>
            </w: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0"/>
              </w:rPr>
              <w:t>Annual</w:t>
            </w:r>
          </w:p>
        </w:tc>
        <w:tc>
          <w:tcPr>
            <w:tcW w:w="840" w:type="dxa"/>
            <w:vAlign w:val="bottom"/>
            <w:gridSpan w:val="3"/>
          </w:tcPr>
          <w:p>
            <w:pPr>
              <w:jc w:val="center"/>
              <w:ind w:right="380"/>
              <w:spacing w:after="0" w:line="144" w:lineRule="exact"/>
              <w:rPr>
                <w:sz w:val="20"/>
                <w:szCs w:val="20"/>
                <w:color w:val="auto"/>
              </w:rPr>
            </w:pPr>
            <w:r>
              <w:rPr>
                <w:rFonts w:ascii="Arial" w:cs="Arial" w:eastAsia="Arial" w:hAnsi="Arial"/>
                <w:sz w:val="13"/>
                <w:szCs w:val="13"/>
                <w:b w:val="1"/>
                <w:bCs w:val="1"/>
                <w:color w:val="auto"/>
              </w:rPr>
              <w:t>Over</w:t>
            </w:r>
          </w:p>
        </w:tc>
        <w:tc>
          <w:tcPr>
            <w:tcW w:w="80" w:type="dxa"/>
            <w:vAlign w:val="bottom"/>
          </w:tcPr>
          <w:p>
            <w:pPr>
              <w:spacing w:after="0"/>
              <w:rPr>
                <w:sz w:val="12"/>
                <w:szCs w:val="12"/>
                <w:color w:val="auto"/>
              </w:rPr>
            </w:pPr>
          </w:p>
        </w:tc>
        <w:tc>
          <w:tcPr>
            <w:tcW w:w="860" w:type="dxa"/>
            <w:vAlign w:val="bottom"/>
            <w:gridSpan w:val="3"/>
          </w:tcPr>
          <w:p>
            <w:pPr>
              <w:jc w:val="center"/>
              <w:ind w:right="500"/>
              <w:spacing w:after="0" w:line="144" w:lineRule="exact"/>
              <w:rPr>
                <w:sz w:val="20"/>
                <w:szCs w:val="20"/>
                <w:color w:val="auto"/>
              </w:rPr>
            </w:pPr>
            <w:r>
              <w:rPr>
                <w:rFonts w:ascii="Arial" w:cs="Arial" w:eastAsia="Arial" w:hAnsi="Arial"/>
                <w:sz w:val="13"/>
                <w:szCs w:val="13"/>
                <w:b w:val="1"/>
                <w:bCs w:val="1"/>
                <w:color w:val="auto"/>
                <w:w w:val="94"/>
              </w:rPr>
              <w:t>Over</w:t>
            </w:r>
          </w:p>
        </w:tc>
        <w:tc>
          <w:tcPr>
            <w:tcW w:w="640" w:type="dxa"/>
            <w:vAlign w:val="bottom"/>
            <w:gridSpan w:val="2"/>
          </w:tcPr>
          <w:p>
            <w:pPr>
              <w:jc w:val="right"/>
              <w:ind w:right="18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Tenant</w:t>
            </w:r>
          </w:p>
        </w:tc>
        <w:tc>
          <w:tcPr>
            <w:tcW w:w="120" w:type="dxa"/>
            <w:vAlign w:val="bottom"/>
          </w:tcPr>
          <w:p>
            <w:pPr>
              <w:spacing w:after="0"/>
              <w:rPr>
                <w:sz w:val="12"/>
                <w:szCs w:val="12"/>
                <w:color w:val="auto"/>
              </w:rPr>
            </w:pPr>
          </w:p>
        </w:tc>
        <w:tc>
          <w:tcPr>
            <w:tcW w:w="84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2"/>
              </w:rPr>
              <w:t>Improvements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Leases</w:t>
            </w:r>
          </w:p>
        </w:tc>
        <w:tc>
          <w:tcPr>
            <w:tcW w:w="140" w:type="dxa"/>
            <w:vAlign w:val="bottom"/>
          </w:tcPr>
          <w:p>
            <w:pPr>
              <w:spacing w:after="0"/>
              <w:rPr>
                <w:sz w:val="12"/>
                <w:szCs w:val="12"/>
                <w:color w:val="auto"/>
              </w:rPr>
            </w:pPr>
          </w:p>
        </w:tc>
        <w:tc>
          <w:tcPr>
            <w:tcW w:w="940" w:type="dxa"/>
            <w:vAlign w:val="bottom"/>
            <w:gridSpan w:val="4"/>
          </w:tcPr>
          <w:p>
            <w:pPr>
              <w:jc w:val="center"/>
              <w:ind w:right="520"/>
              <w:spacing w:after="0" w:line="144" w:lineRule="exact"/>
              <w:rPr>
                <w:sz w:val="20"/>
                <w:szCs w:val="20"/>
                <w:color w:val="auto"/>
              </w:rPr>
            </w:pPr>
            <w:r>
              <w:rPr>
                <w:rFonts w:ascii="Arial" w:cs="Arial" w:eastAsia="Arial" w:hAnsi="Arial"/>
                <w:sz w:val="13"/>
                <w:szCs w:val="13"/>
                <w:b w:val="1"/>
                <w:bCs w:val="1"/>
                <w:color w:val="auto"/>
                <w:w w:val="86"/>
              </w:rPr>
              <w:t>Leases</w:t>
            </w:r>
          </w:p>
        </w:tc>
        <w:tc>
          <w:tcPr>
            <w:tcW w:w="120" w:type="dxa"/>
            <w:vAlign w:val="bottom"/>
          </w:tcPr>
          <w:p>
            <w:pPr>
              <w:spacing w:after="0"/>
              <w:rPr>
                <w:sz w:val="12"/>
                <w:szCs w:val="12"/>
                <w:color w:val="auto"/>
              </w:rPr>
            </w:pPr>
          </w:p>
        </w:tc>
        <w:tc>
          <w:tcPr>
            <w:tcW w:w="6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GLA</w:t>
            </w:r>
          </w:p>
        </w:tc>
        <w:tc>
          <w:tcPr>
            <w:tcW w:w="160" w:type="dxa"/>
            <w:vAlign w:val="bottom"/>
          </w:tcPr>
          <w:p>
            <w:pPr>
              <w:spacing w:after="0"/>
              <w:rPr>
                <w:sz w:val="12"/>
                <w:szCs w:val="12"/>
                <w:color w:val="auto"/>
              </w:rPr>
            </w:pPr>
          </w:p>
        </w:tc>
        <w:tc>
          <w:tcPr>
            <w:tcW w:w="760" w:type="dxa"/>
            <w:vAlign w:val="bottom"/>
            <w:gridSpan w:val="4"/>
          </w:tcPr>
          <w:p>
            <w:pPr>
              <w:ind w:left="20"/>
              <w:spacing w:after="0" w:line="144" w:lineRule="exact"/>
              <w:rPr>
                <w:sz w:val="20"/>
                <w:szCs w:val="20"/>
                <w:color w:val="auto"/>
              </w:rPr>
            </w:pPr>
            <w:r>
              <w:rPr>
                <w:rFonts w:ascii="Arial" w:cs="Arial" w:eastAsia="Arial" w:hAnsi="Arial"/>
                <w:sz w:val="13"/>
                <w:szCs w:val="13"/>
                <w:b w:val="1"/>
                <w:bCs w:val="1"/>
                <w:color w:val="auto"/>
              </w:rPr>
              <w:t>Rent (3)</w:t>
            </w:r>
          </w:p>
        </w:tc>
        <w:tc>
          <w:tcPr>
            <w:tcW w:w="120" w:type="dxa"/>
            <w:vAlign w:val="bottom"/>
          </w:tcPr>
          <w:p>
            <w:pPr>
              <w:spacing w:after="0"/>
              <w:rPr>
                <w:sz w:val="12"/>
                <w:szCs w:val="12"/>
                <w:color w:val="auto"/>
              </w:rPr>
            </w:pPr>
          </w:p>
        </w:tc>
        <w:tc>
          <w:tcPr>
            <w:tcW w:w="7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Per Sq.</w:t>
            </w: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0"/>
              </w:rPr>
              <w:t>Increase</w:t>
            </w:r>
          </w:p>
        </w:tc>
        <w:tc>
          <w:tcPr>
            <w:tcW w:w="840" w:type="dxa"/>
            <w:vAlign w:val="bottom"/>
            <w:gridSpan w:val="3"/>
          </w:tcPr>
          <w:p>
            <w:pPr>
              <w:jc w:val="center"/>
              <w:ind w:right="380"/>
              <w:spacing w:after="0" w:line="144" w:lineRule="exact"/>
              <w:rPr>
                <w:sz w:val="20"/>
                <w:szCs w:val="20"/>
                <w:color w:val="auto"/>
              </w:rPr>
            </w:pPr>
            <w:r>
              <w:rPr>
                <w:rFonts w:ascii="Arial" w:cs="Arial" w:eastAsia="Arial" w:hAnsi="Arial"/>
                <w:sz w:val="13"/>
                <w:szCs w:val="13"/>
                <w:b w:val="1"/>
                <w:bCs w:val="1"/>
                <w:color w:val="auto"/>
                <w:w w:val="98"/>
              </w:rPr>
              <w:t>Prior</w:t>
            </w:r>
          </w:p>
        </w:tc>
        <w:tc>
          <w:tcPr>
            <w:tcW w:w="80" w:type="dxa"/>
            <w:vAlign w:val="bottom"/>
          </w:tcPr>
          <w:p>
            <w:pPr>
              <w:spacing w:after="0"/>
              <w:rPr>
                <w:sz w:val="12"/>
                <w:szCs w:val="12"/>
                <w:color w:val="auto"/>
              </w:rPr>
            </w:pPr>
          </w:p>
        </w:tc>
        <w:tc>
          <w:tcPr>
            <w:tcW w:w="860" w:type="dxa"/>
            <w:vAlign w:val="bottom"/>
            <w:gridSpan w:val="3"/>
          </w:tcPr>
          <w:p>
            <w:pPr>
              <w:jc w:val="center"/>
              <w:ind w:right="480"/>
              <w:spacing w:after="0" w:line="144" w:lineRule="exact"/>
              <w:rPr>
                <w:sz w:val="20"/>
                <w:szCs w:val="20"/>
                <w:color w:val="auto"/>
              </w:rPr>
            </w:pPr>
            <w:r>
              <w:rPr>
                <w:rFonts w:ascii="Arial" w:cs="Arial" w:eastAsia="Arial" w:hAnsi="Arial"/>
                <w:sz w:val="13"/>
                <w:szCs w:val="13"/>
                <w:b w:val="1"/>
                <w:bCs w:val="1"/>
                <w:color w:val="auto"/>
                <w:w w:val="98"/>
              </w:rPr>
              <w:t>Prior</w:t>
            </w:r>
          </w:p>
        </w:tc>
        <w:tc>
          <w:tcPr>
            <w:tcW w:w="64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Lease</w:t>
            </w:r>
          </w:p>
        </w:tc>
        <w:tc>
          <w:tcPr>
            <w:tcW w:w="120" w:type="dxa"/>
            <w:vAlign w:val="bottom"/>
          </w:tcPr>
          <w:p>
            <w:pPr>
              <w:spacing w:after="0"/>
              <w:rPr>
                <w:sz w:val="12"/>
                <w:szCs w:val="12"/>
                <w:color w:val="auto"/>
              </w:rPr>
            </w:pPr>
          </w:p>
        </w:tc>
        <w:tc>
          <w:tcPr>
            <w:tcW w:w="1020" w:type="dxa"/>
            <w:vAlign w:val="bottom"/>
            <w:gridSpan w:val="3"/>
          </w:tcPr>
          <w:p>
            <w:pPr>
              <w:jc w:val="right"/>
              <w:ind w:right="180"/>
              <w:spacing w:after="0" w:line="144" w:lineRule="exact"/>
              <w:rPr>
                <w:sz w:val="20"/>
                <w:szCs w:val="20"/>
                <w:color w:val="auto"/>
              </w:rPr>
            </w:pPr>
            <w:r>
              <w:rPr>
                <w:rFonts w:ascii="Arial" w:cs="Arial" w:eastAsia="Arial" w:hAnsi="Arial"/>
                <w:sz w:val="13"/>
                <w:szCs w:val="13"/>
                <w:b w:val="1"/>
                <w:bCs w:val="1"/>
                <w:color w:val="auto"/>
                <w:w w:val="92"/>
              </w:rPr>
              <w:t>Improvements</w:t>
            </w:r>
          </w:p>
        </w:tc>
        <w:tc>
          <w:tcPr>
            <w:tcW w:w="120" w:type="dxa"/>
            <w:vAlign w:val="bottom"/>
          </w:tcPr>
          <w:p>
            <w:pPr>
              <w:spacing w:after="0"/>
              <w:rPr>
                <w:sz w:val="12"/>
                <w:szCs w:val="12"/>
                <w:color w:val="auto"/>
              </w:rPr>
            </w:pPr>
          </w:p>
        </w:tc>
        <w:tc>
          <w:tcPr>
            <w:tcW w:w="84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7"/>
        </w:trPr>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Quarter</w:t>
            </w:r>
          </w:p>
        </w:tc>
        <w:tc>
          <w:tcPr>
            <w:tcW w:w="7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7"/>
              </w:rPr>
              <w:t>Signed</w:t>
            </w:r>
          </w:p>
        </w:tc>
        <w:tc>
          <w:tcPr>
            <w:tcW w:w="140" w:type="dxa"/>
            <w:vAlign w:val="bottom"/>
          </w:tcPr>
          <w:p>
            <w:pPr>
              <w:spacing w:after="0"/>
              <w:rPr>
                <w:sz w:val="13"/>
                <w:szCs w:val="13"/>
                <w:color w:val="auto"/>
              </w:rPr>
            </w:pPr>
          </w:p>
        </w:tc>
        <w:tc>
          <w:tcPr>
            <w:tcW w:w="940" w:type="dxa"/>
            <w:vAlign w:val="bottom"/>
            <w:gridSpan w:val="4"/>
          </w:tcPr>
          <w:p>
            <w:pPr>
              <w:jc w:val="center"/>
              <w:ind w:right="520"/>
              <w:spacing w:after="0"/>
              <w:rPr>
                <w:sz w:val="20"/>
                <w:szCs w:val="20"/>
                <w:color w:val="auto"/>
              </w:rPr>
            </w:pPr>
            <w:r>
              <w:rPr>
                <w:rFonts w:ascii="Arial" w:cs="Arial" w:eastAsia="Arial" w:hAnsi="Arial"/>
                <w:sz w:val="13"/>
                <w:szCs w:val="13"/>
                <w:b w:val="1"/>
                <w:bCs w:val="1"/>
                <w:color w:val="auto"/>
                <w:w w:val="87"/>
              </w:rPr>
              <w:t>Signed</w:t>
            </w:r>
          </w:p>
        </w:tc>
        <w:tc>
          <w:tcPr>
            <w:tcW w:w="740" w:type="dxa"/>
            <w:vAlign w:val="bottom"/>
            <w:gridSpan w:val="4"/>
          </w:tcPr>
          <w:p>
            <w:pPr>
              <w:ind w:left="100"/>
              <w:spacing w:after="0"/>
              <w:rPr>
                <w:sz w:val="20"/>
                <w:szCs w:val="20"/>
                <w:color w:val="auto"/>
              </w:rPr>
            </w:pPr>
            <w:r>
              <w:rPr>
                <w:rFonts w:ascii="Arial" w:cs="Arial" w:eastAsia="Arial" w:hAnsi="Arial"/>
                <w:sz w:val="13"/>
                <w:szCs w:val="13"/>
                <w:b w:val="1"/>
                <w:bCs w:val="1"/>
                <w:color w:val="auto"/>
              </w:rPr>
              <w:t>Signed</w:t>
            </w:r>
          </w:p>
        </w:tc>
        <w:tc>
          <w:tcPr>
            <w:tcW w:w="1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3"/>
                <w:szCs w:val="13"/>
                <w:b w:val="1"/>
                <w:bCs w:val="1"/>
                <w:color w:val="auto"/>
              </w:rPr>
              <w:t>Per Sq. Ft.</w:t>
            </w:r>
          </w:p>
        </w:tc>
        <w:tc>
          <w:tcPr>
            <w:tcW w:w="120" w:type="dxa"/>
            <w:vAlign w:val="bottom"/>
          </w:tcPr>
          <w:p>
            <w:pPr>
              <w:spacing w:after="0"/>
              <w:rPr>
                <w:sz w:val="13"/>
                <w:szCs w:val="13"/>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Ft.</w:t>
            </w:r>
          </w:p>
        </w:tc>
        <w:tc>
          <w:tcPr>
            <w:tcW w:w="8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in Rent</w:t>
            </w:r>
          </w:p>
        </w:tc>
        <w:tc>
          <w:tcPr>
            <w:tcW w:w="8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Rent</w:t>
            </w:r>
          </w:p>
        </w:tc>
        <w:tc>
          <w:tcPr>
            <w:tcW w:w="80" w:type="dxa"/>
            <w:vAlign w:val="bottom"/>
          </w:tcPr>
          <w:p>
            <w:pPr>
              <w:spacing w:after="0"/>
              <w:rPr>
                <w:sz w:val="13"/>
                <w:szCs w:val="13"/>
                <w:color w:val="auto"/>
              </w:rPr>
            </w:pPr>
          </w:p>
        </w:tc>
        <w:tc>
          <w:tcPr>
            <w:tcW w:w="86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6"/>
              </w:rPr>
              <w:t>Rent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5"/>
              </w:rPr>
              <w:t>Term (5)</w:t>
            </w:r>
          </w:p>
        </w:tc>
        <w:tc>
          <w:tcPr>
            <w:tcW w:w="12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&amp; Incentives (6)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2nd Quarter 2008</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31</w:t>
            </w:r>
          </w:p>
        </w:tc>
        <w:tc>
          <w:tcPr>
            <w:tcW w:w="6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37%</w:t>
            </w:r>
          </w:p>
        </w:tc>
        <w:tc>
          <w:tcPr>
            <w:tcW w:w="22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115,097</w:t>
            </w:r>
          </w:p>
        </w:tc>
        <w:tc>
          <w:tcPr>
            <w:tcW w:w="1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34.23</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$26.46</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894,253</w:t>
            </w: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29%</w:t>
            </w:r>
          </w:p>
        </w:tc>
        <w:tc>
          <w:tcPr>
            <w:tcW w:w="9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47%</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40" w:type="dxa"/>
            <w:vAlign w:val="bottom"/>
            <w:tcBorders>
              <w:left w:val="single" w:sz="8" w:color="CCEEFF"/>
            </w:tcBorders>
            <w:shd w:val="clear" w:color="auto" w:fill="CCEEFF"/>
          </w:tcPr>
          <w:p>
            <w:pPr>
              <w:spacing w:after="0"/>
              <w:rPr>
                <w:sz w:val="17"/>
                <w:szCs w:val="17"/>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1,770,940</w:t>
            </w:r>
          </w:p>
        </w:tc>
        <w:tc>
          <w:tcPr>
            <w:tcW w:w="140" w:type="dxa"/>
            <w:vAlign w:val="bottom"/>
            <w:tcBorders>
              <w:left w:val="single" w:sz="8" w:color="CCEEFF"/>
            </w:tcBorders>
            <w:shd w:val="clear" w:color="auto" w:fill="CCEEFF"/>
          </w:tcPr>
          <w:p>
            <w:pPr>
              <w:spacing w:after="0"/>
              <w:rPr>
                <w:sz w:val="17"/>
                <w:szCs w:val="17"/>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1st Quarter 2008</w:t>
            </w:r>
          </w:p>
        </w:tc>
        <w:tc>
          <w:tcPr>
            <w:tcW w:w="640" w:type="dxa"/>
            <w:vAlign w:val="bottom"/>
            <w:gridSpan w:val="3"/>
          </w:tcPr>
          <w:p>
            <w:pPr>
              <w:jc w:val="right"/>
              <w:ind w:right="180"/>
              <w:spacing w:after="0"/>
              <w:rPr>
                <w:sz w:val="20"/>
                <w:szCs w:val="20"/>
                <w:color w:val="auto"/>
              </w:rPr>
            </w:pPr>
            <w:r>
              <w:rPr>
                <w:rFonts w:ascii="Arial" w:cs="Arial" w:eastAsia="Arial" w:hAnsi="Arial"/>
                <w:sz w:val="17"/>
                <w:szCs w:val="17"/>
                <w:color w:val="auto"/>
              </w:rPr>
              <w:t>28</w:t>
            </w:r>
          </w:p>
        </w:tc>
        <w:tc>
          <w:tcPr>
            <w:tcW w:w="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1"/>
              </w:rPr>
              <w:t>106,860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36.64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92"/>
              </w:rPr>
              <w:t>$28.39</w:t>
            </w:r>
          </w:p>
        </w:tc>
        <w:tc>
          <w:tcPr>
            <w:tcW w:w="2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880,956</w:t>
            </w:r>
          </w:p>
        </w:tc>
        <w:tc>
          <w:tcPr>
            <w:tcW w:w="26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29%</w:t>
            </w:r>
          </w:p>
        </w:tc>
        <w:tc>
          <w:tcPr>
            <w:tcW w:w="940" w:type="dxa"/>
            <w:vAlign w:val="bottom"/>
            <w:gridSpan w:val="4"/>
          </w:tcPr>
          <w:p>
            <w:pPr>
              <w:jc w:val="right"/>
              <w:ind w:right="280"/>
              <w:spacing w:after="0"/>
              <w:rPr>
                <w:sz w:val="20"/>
                <w:szCs w:val="20"/>
                <w:color w:val="auto"/>
              </w:rPr>
            </w:pPr>
            <w:r>
              <w:rPr>
                <w:rFonts w:ascii="Arial" w:cs="Arial" w:eastAsia="Arial" w:hAnsi="Arial"/>
                <w:sz w:val="17"/>
                <w:szCs w:val="17"/>
                <w:color w:val="auto"/>
              </w:rPr>
              <w:t>44%</w:t>
            </w:r>
          </w:p>
        </w:tc>
        <w:tc>
          <w:tcPr>
            <w:tcW w:w="500" w:type="dxa"/>
            <w:vAlign w:val="bottom"/>
          </w:tcPr>
          <w:p>
            <w:pPr>
              <w:jc w:val="right"/>
              <w:spacing w:after="0"/>
              <w:rPr>
                <w:sz w:val="20"/>
                <w:szCs w:val="20"/>
                <w:color w:val="auto"/>
              </w:rPr>
            </w:pPr>
            <w:r>
              <w:rPr>
                <w:rFonts w:ascii="Arial" w:cs="Arial" w:eastAsia="Arial" w:hAnsi="Arial"/>
                <w:sz w:val="17"/>
                <w:szCs w:val="17"/>
                <w:color w:val="auto"/>
              </w:rPr>
              <w:t>7.9</w:t>
            </w:r>
          </w:p>
        </w:tc>
        <w:tc>
          <w:tcPr>
            <w:tcW w:w="14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2,204,591</w:t>
            </w:r>
          </w:p>
        </w:tc>
        <w:tc>
          <w:tcPr>
            <w:tcW w:w="1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4th Quarter 2007</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23</w:t>
            </w: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26%</w:t>
            </w: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118,389</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20.47</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$16.35</w:t>
            </w:r>
          </w:p>
        </w:tc>
        <w:tc>
          <w:tcPr>
            <w:tcW w:w="2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487,942</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25%</w:t>
            </w:r>
          </w:p>
        </w:tc>
        <w:tc>
          <w:tcPr>
            <w:tcW w:w="9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40%</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4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2,345,410</w:t>
            </w:r>
          </w:p>
        </w:tc>
        <w:tc>
          <w:tcPr>
            <w:tcW w:w="14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3rd Quarter 2007</w:t>
            </w:r>
          </w:p>
        </w:tc>
        <w:tc>
          <w:tcPr>
            <w:tcW w:w="640" w:type="dxa"/>
            <w:vAlign w:val="bottom"/>
            <w:gridSpan w:val="3"/>
          </w:tcPr>
          <w:p>
            <w:pPr>
              <w:jc w:val="right"/>
              <w:ind w:right="180"/>
              <w:spacing w:after="0"/>
              <w:rPr>
                <w:sz w:val="20"/>
                <w:szCs w:val="20"/>
                <w:color w:val="auto"/>
              </w:rPr>
            </w:pPr>
            <w:r>
              <w:rPr>
                <w:rFonts w:ascii="Arial" w:cs="Arial" w:eastAsia="Arial" w:hAnsi="Arial"/>
                <w:sz w:val="17"/>
                <w:szCs w:val="17"/>
                <w:color w:val="auto"/>
              </w:rPr>
              <w:t>26</w:t>
            </w:r>
          </w:p>
        </w:tc>
        <w:tc>
          <w:tcPr>
            <w:tcW w:w="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7"/>
                <w:szCs w:val="17"/>
                <w:color w:val="auto"/>
              </w:rPr>
              <w:t>37%</w:t>
            </w:r>
          </w:p>
        </w:tc>
        <w:tc>
          <w:tcPr>
            <w:tcW w:w="2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1"/>
              </w:rPr>
              <w:t>199,685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21.79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18.89</w:t>
            </w:r>
          </w:p>
        </w:tc>
        <w:tc>
          <w:tcPr>
            <w:tcW w:w="2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578,760</w:t>
            </w:r>
          </w:p>
        </w:tc>
        <w:tc>
          <w:tcPr>
            <w:tcW w:w="26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15%</w:t>
            </w:r>
          </w:p>
        </w:tc>
        <w:tc>
          <w:tcPr>
            <w:tcW w:w="940" w:type="dxa"/>
            <w:vAlign w:val="bottom"/>
            <w:gridSpan w:val="4"/>
          </w:tcPr>
          <w:p>
            <w:pPr>
              <w:jc w:val="right"/>
              <w:ind w:right="280"/>
              <w:spacing w:after="0"/>
              <w:rPr>
                <w:sz w:val="20"/>
                <w:szCs w:val="20"/>
                <w:color w:val="auto"/>
              </w:rPr>
            </w:pPr>
            <w:r>
              <w:rPr>
                <w:rFonts w:ascii="Arial" w:cs="Arial" w:eastAsia="Arial" w:hAnsi="Arial"/>
                <w:sz w:val="17"/>
                <w:szCs w:val="17"/>
                <w:color w:val="auto"/>
              </w:rPr>
              <w:t>27%</w:t>
            </w:r>
          </w:p>
        </w:tc>
        <w:tc>
          <w:tcPr>
            <w:tcW w:w="500" w:type="dxa"/>
            <w:vAlign w:val="bottom"/>
          </w:tcPr>
          <w:p>
            <w:pPr>
              <w:jc w:val="right"/>
              <w:spacing w:after="0"/>
              <w:rPr>
                <w:sz w:val="20"/>
                <w:szCs w:val="20"/>
                <w:color w:val="auto"/>
              </w:rPr>
            </w:pPr>
            <w:r>
              <w:rPr>
                <w:rFonts w:ascii="Arial" w:cs="Arial" w:eastAsia="Arial" w:hAnsi="Arial"/>
                <w:sz w:val="17"/>
                <w:szCs w:val="17"/>
                <w:color w:val="auto"/>
              </w:rPr>
              <w:t>10.2</w:t>
            </w:r>
          </w:p>
        </w:tc>
        <w:tc>
          <w:tcPr>
            <w:tcW w:w="14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4,730,710</w:t>
            </w:r>
          </w:p>
        </w:tc>
        <w:tc>
          <w:tcPr>
            <w:tcW w:w="1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108</w:t>
            </w: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34%</w:t>
            </w: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540,031</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21.83</w:t>
            </w:r>
          </w:p>
        </w:tc>
        <w:tc>
          <w:tcPr>
            <w:tcW w:w="2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2,841,911</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24%</w:t>
            </w:r>
          </w:p>
        </w:tc>
        <w:tc>
          <w:tcPr>
            <w:tcW w:w="9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38%</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4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8"/>
              </w:rPr>
              <w:t>$ 11,051,651</w:t>
            </w:r>
          </w:p>
        </w:tc>
        <w:tc>
          <w:tcPr>
            <w:tcW w:w="14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60" w:type="dxa"/>
            <w:vAlign w:val="bottom"/>
            <w:gridSpan w:val="16"/>
          </w:tcPr>
          <w:p>
            <w:pPr>
              <w:spacing w:after="0"/>
              <w:rPr>
                <w:sz w:val="20"/>
                <w:szCs w:val="20"/>
                <w:color w:val="auto"/>
              </w:rPr>
            </w:pPr>
            <w:r>
              <w:rPr>
                <w:rFonts w:ascii="Arial" w:cs="Arial" w:eastAsia="Arial" w:hAnsi="Arial"/>
                <w:sz w:val="17"/>
                <w:szCs w:val="17"/>
                <w:b w:val="1"/>
                <w:bCs w:val="1"/>
                <w:color w:val="auto"/>
              </w:rPr>
              <w:t>Renewal Lease Summary - Comparable (2) (7)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7"/>
              </w:rPr>
              <w:t>Straight-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92"/>
              </w:rPr>
              <w:t>lined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94"/>
              </w:rPr>
              <w:t>Cash</w:t>
            </w:r>
          </w:p>
        </w:tc>
        <w:tc>
          <w:tcPr>
            <w:tcW w:w="80" w:type="dxa"/>
            <w:vAlign w:val="bottom"/>
          </w:tcPr>
          <w:p>
            <w:pPr>
              <w:spacing w:after="0"/>
              <w:rPr>
                <w:sz w:val="12"/>
                <w:szCs w:val="12"/>
                <w:color w:val="auto"/>
              </w:rPr>
            </w:pPr>
          </w:p>
        </w:tc>
        <w:tc>
          <w:tcPr>
            <w:tcW w:w="86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88"/>
              </w:rPr>
              <w:t>Basis %</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3"/>
              </w:rPr>
              <w:t>Number</w:t>
            </w:r>
          </w:p>
        </w:tc>
        <w:tc>
          <w:tcPr>
            <w:tcW w:w="140" w:type="dxa"/>
            <w:vAlign w:val="bottom"/>
          </w:tcPr>
          <w:p>
            <w:pPr>
              <w:spacing w:after="0"/>
              <w:rPr>
                <w:sz w:val="12"/>
                <w:szCs w:val="12"/>
                <w:color w:val="auto"/>
              </w:rPr>
            </w:pPr>
          </w:p>
        </w:tc>
        <w:tc>
          <w:tcPr>
            <w:tcW w:w="940" w:type="dxa"/>
            <w:vAlign w:val="bottom"/>
            <w:gridSpan w:val="4"/>
          </w:tcPr>
          <w:p>
            <w:pPr>
              <w:jc w:val="center"/>
              <w:ind w:right="220"/>
              <w:spacing w:after="0" w:line="144"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8"/>
              </w:rPr>
              <w:t>Prior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92"/>
              </w:rPr>
              <w:t>Basis %</w:t>
            </w:r>
          </w:p>
        </w:tc>
        <w:tc>
          <w:tcPr>
            <w:tcW w:w="80" w:type="dxa"/>
            <w:vAlign w:val="bottom"/>
          </w:tcPr>
          <w:p>
            <w:pPr>
              <w:spacing w:after="0"/>
              <w:rPr>
                <w:sz w:val="12"/>
                <w:szCs w:val="12"/>
                <w:color w:val="auto"/>
              </w:rPr>
            </w:pPr>
          </w:p>
        </w:tc>
        <w:tc>
          <w:tcPr>
            <w:tcW w:w="86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90"/>
              </w:rPr>
              <w:t>Increase</w:t>
            </w: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w w:val="97"/>
              </w:rPr>
              <w:t>of</w:t>
            </w:r>
          </w:p>
        </w:tc>
        <w:tc>
          <w:tcPr>
            <w:tcW w:w="140" w:type="dxa"/>
            <w:vAlign w:val="bottom"/>
          </w:tcPr>
          <w:p>
            <w:pPr>
              <w:spacing w:after="0"/>
              <w:rPr>
                <w:sz w:val="12"/>
                <w:szCs w:val="12"/>
                <w:color w:val="auto"/>
              </w:rPr>
            </w:pPr>
          </w:p>
        </w:tc>
        <w:tc>
          <w:tcPr>
            <w:tcW w:w="940" w:type="dxa"/>
            <w:vAlign w:val="bottom"/>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Comparable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spacing w:after="0" w:line="144" w:lineRule="exact"/>
              <w:rPr>
                <w:sz w:val="20"/>
                <w:szCs w:val="20"/>
                <w:color w:val="auto"/>
              </w:rPr>
            </w:pPr>
            <w:r>
              <w:rPr>
                <w:rFonts w:ascii="Arial" w:cs="Arial" w:eastAsia="Arial" w:hAnsi="Arial"/>
                <w:sz w:val="13"/>
                <w:szCs w:val="13"/>
                <w:b w:val="1"/>
                <w:bCs w:val="1"/>
                <w:color w:val="auto"/>
              </w:rPr>
              <w:t>Contractual</w:t>
            </w:r>
          </w:p>
        </w:tc>
        <w:tc>
          <w:tcPr>
            <w:tcW w:w="120" w:type="dxa"/>
            <w:vAlign w:val="bottom"/>
          </w:tcPr>
          <w:p>
            <w:pPr>
              <w:spacing w:after="0"/>
              <w:rPr>
                <w:sz w:val="12"/>
                <w:szCs w:val="12"/>
                <w:color w:val="auto"/>
              </w:rPr>
            </w:pPr>
          </w:p>
        </w:tc>
        <w:tc>
          <w:tcPr>
            <w:tcW w:w="7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4"/>
              </w:rPr>
              <w:t>Rent (4)</w:t>
            </w: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5"/>
              </w:rPr>
              <w:t>Annual</w:t>
            </w:r>
          </w:p>
        </w:tc>
        <w:tc>
          <w:tcPr>
            <w:tcW w:w="84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87"/>
              </w:rPr>
              <w:t>Increase</w:t>
            </w:r>
          </w:p>
        </w:tc>
        <w:tc>
          <w:tcPr>
            <w:tcW w:w="80" w:type="dxa"/>
            <w:vAlign w:val="bottom"/>
          </w:tcPr>
          <w:p>
            <w:pPr>
              <w:spacing w:after="0"/>
              <w:rPr>
                <w:sz w:val="12"/>
                <w:szCs w:val="12"/>
                <w:color w:val="auto"/>
              </w:rPr>
            </w:pPr>
          </w:p>
        </w:tc>
        <w:tc>
          <w:tcPr>
            <w:tcW w:w="86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94"/>
              </w:rPr>
              <w:t>Over</w:t>
            </w:r>
          </w:p>
        </w:tc>
        <w:tc>
          <w:tcPr>
            <w:tcW w:w="64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3"/>
              </w:rPr>
              <w:t>Tenant</w:t>
            </w:r>
          </w:p>
        </w:tc>
        <w:tc>
          <w:tcPr>
            <w:tcW w:w="120" w:type="dxa"/>
            <w:vAlign w:val="bottom"/>
          </w:tcPr>
          <w:p>
            <w:pPr>
              <w:spacing w:after="0"/>
              <w:rPr>
                <w:sz w:val="12"/>
                <w:szCs w:val="12"/>
                <w:color w:val="auto"/>
              </w:rPr>
            </w:pPr>
          </w:p>
        </w:tc>
        <w:tc>
          <w:tcPr>
            <w:tcW w:w="84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2"/>
              </w:rPr>
              <w:t>Improvements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w w:val="81"/>
              </w:rPr>
              <w:t>Leases</w:t>
            </w:r>
          </w:p>
        </w:tc>
        <w:tc>
          <w:tcPr>
            <w:tcW w:w="140" w:type="dxa"/>
            <w:vAlign w:val="bottom"/>
          </w:tcPr>
          <w:p>
            <w:pPr>
              <w:spacing w:after="0"/>
              <w:rPr>
                <w:sz w:val="12"/>
                <w:szCs w:val="12"/>
                <w:color w:val="auto"/>
              </w:rPr>
            </w:pPr>
          </w:p>
        </w:tc>
        <w:tc>
          <w:tcPr>
            <w:tcW w:w="940" w:type="dxa"/>
            <w:vAlign w:val="bottom"/>
            <w:gridSpan w:val="4"/>
          </w:tcPr>
          <w:p>
            <w:pPr>
              <w:jc w:val="center"/>
              <w:ind w:right="220"/>
              <w:spacing w:after="0" w:line="144" w:lineRule="exact"/>
              <w:rPr>
                <w:sz w:val="20"/>
                <w:szCs w:val="20"/>
                <w:color w:val="auto"/>
              </w:rPr>
            </w:pPr>
            <w:r>
              <w:rPr>
                <w:rFonts w:ascii="Arial" w:cs="Arial" w:eastAsia="Arial" w:hAnsi="Arial"/>
                <w:sz w:val="13"/>
                <w:szCs w:val="13"/>
                <w:b w:val="1"/>
                <w:bCs w:val="1"/>
                <w:color w:val="auto"/>
                <w:w w:val="81"/>
              </w:rPr>
              <w:t>Leases</w:t>
            </w:r>
          </w:p>
        </w:tc>
        <w:tc>
          <w:tcPr>
            <w:tcW w:w="120" w:type="dxa"/>
            <w:vAlign w:val="bottom"/>
          </w:tcPr>
          <w:p>
            <w:pPr>
              <w:spacing w:after="0"/>
              <w:rPr>
                <w:sz w:val="12"/>
                <w:szCs w:val="12"/>
                <w:color w:val="auto"/>
              </w:rPr>
            </w:pPr>
          </w:p>
        </w:tc>
        <w:tc>
          <w:tcPr>
            <w:tcW w:w="62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rPr>
              <w:t>GLA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Rent (3)</w:t>
            </w:r>
          </w:p>
        </w:tc>
        <w:tc>
          <w:tcPr>
            <w:tcW w:w="120" w:type="dxa"/>
            <w:vAlign w:val="bottom"/>
          </w:tcPr>
          <w:p>
            <w:pPr>
              <w:spacing w:after="0"/>
              <w:rPr>
                <w:sz w:val="12"/>
                <w:szCs w:val="12"/>
                <w:color w:val="auto"/>
              </w:rPr>
            </w:pPr>
          </w:p>
        </w:tc>
        <w:tc>
          <w:tcPr>
            <w:tcW w:w="7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3"/>
              </w:rPr>
              <w:t>Per Sq.</w:t>
            </w: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7"/>
              </w:rPr>
              <w:t>Increase</w:t>
            </w:r>
          </w:p>
        </w:tc>
        <w:tc>
          <w:tcPr>
            <w:tcW w:w="84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rPr>
              <w:t>Over</w:t>
            </w:r>
          </w:p>
        </w:tc>
        <w:tc>
          <w:tcPr>
            <w:tcW w:w="80" w:type="dxa"/>
            <w:vAlign w:val="bottom"/>
          </w:tcPr>
          <w:p>
            <w:pPr>
              <w:spacing w:after="0"/>
              <w:rPr>
                <w:sz w:val="12"/>
                <w:szCs w:val="12"/>
                <w:color w:val="auto"/>
              </w:rPr>
            </w:pPr>
          </w:p>
        </w:tc>
        <w:tc>
          <w:tcPr>
            <w:tcW w:w="86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92"/>
              </w:rPr>
              <w:t>Prior</w:t>
            </w:r>
          </w:p>
        </w:tc>
        <w:tc>
          <w:tcPr>
            <w:tcW w:w="640" w:type="dxa"/>
            <w:vAlign w:val="bottom"/>
            <w:gridSpan w:val="2"/>
          </w:tcPr>
          <w:p>
            <w:pPr>
              <w:jc w:val="right"/>
              <w:ind w:right="200"/>
              <w:spacing w:after="0" w:line="144" w:lineRule="exact"/>
              <w:rPr>
                <w:sz w:val="20"/>
                <w:szCs w:val="20"/>
                <w:color w:val="auto"/>
              </w:rPr>
            </w:pPr>
            <w:r>
              <w:rPr>
                <w:rFonts w:ascii="Arial" w:cs="Arial" w:eastAsia="Arial" w:hAnsi="Arial"/>
                <w:sz w:val="13"/>
                <w:szCs w:val="13"/>
                <w:b w:val="1"/>
                <w:bCs w:val="1"/>
                <w:color w:val="auto"/>
              </w:rPr>
              <w:t>Lease</w:t>
            </w:r>
          </w:p>
        </w:tc>
        <w:tc>
          <w:tcPr>
            <w:tcW w:w="120" w:type="dxa"/>
            <w:vAlign w:val="bottom"/>
          </w:tcPr>
          <w:p>
            <w:pPr>
              <w:spacing w:after="0"/>
              <w:rPr>
                <w:sz w:val="12"/>
                <w:szCs w:val="12"/>
                <w:color w:val="auto"/>
              </w:rPr>
            </w:pPr>
          </w:p>
        </w:tc>
        <w:tc>
          <w:tcPr>
            <w:tcW w:w="102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Improvements</w:t>
            </w:r>
          </w:p>
        </w:tc>
        <w:tc>
          <w:tcPr>
            <w:tcW w:w="120" w:type="dxa"/>
            <w:vAlign w:val="bottom"/>
          </w:tcPr>
          <w:p>
            <w:pPr>
              <w:spacing w:after="0"/>
              <w:rPr>
                <w:sz w:val="12"/>
                <w:szCs w:val="12"/>
                <w:color w:val="auto"/>
              </w:rPr>
            </w:pPr>
          </w:p>
        </w:tc>
        <w:tc>
          <w:tcPr>
            <w:tcW w:w="84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7"/>
        </w:trPr>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3"/>
                <w:szCs w:val="13"/>
                <w:color w:val="auto"/>
              </w:rPr>
            </w:pPr>
          </w:p>
        </w:tc>
        <w:tc>
          <w:tcPr>
            <w:tcW w:w="5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7"/>
              </w:rPr>
              <w:t>Signed</w:t>
            </w:r>
          </w:p>
        </w:tc>
        <w:tc>
          <w:tcPr>
            <w:tcW w:w="140" w:type="dxa"/>
            <w:vAlign w:val="bottom"/>
          </w:tcPr>
          <w:p>
            <w:pPr>
              <w:spacing w:after="0"/>
              <w:rPr>
                <w:sz w:val="13"/>
                <w:szCs w:val="13"/>
                <w:color w:val="auto"/>
              </w:rPr>
            </w:pPr>
          </w:p>
        </w:tc>
        <w:tc>
          <w:tcPr>
            <w:tcW w:w="94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7"/>
              </w:rPr>
              <w:t>Signed</w:t>
            </w:r>
          </w:p>
        </w:tc>
        <w:tc>
          <w:tcPr>
            <w:tcW w:w="120" w:type="dxa"/>
            <w:vAlign w:val="bottom"/>
          </w:tcPr>
          <w:p>
            <w:pPr>
              <w:spacing w:after="0"/>
              <w:rPr>
                <w:sz w:val="13"/>
                <w:szCs w:val="13"/>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7"/>
              </w:rPr>
              <w:t>Signed</w:t>
            </w:r>
          </w:p>
        </w:tc>
        <w:tc>
          <w:tcPr>
            <w:tcW w:w="160" w:type="dxa"/>
            <w:vAlign w:val="bottom"/>
          </w:tcPr>
          <w:p>
            <w:pPr>
              <w:spacing w:after="0"/>
              <w:rPr>
                <w:sz w:val="13"/>
                <w:szCs w:val="13"/>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6"/>
              </w:rPr>
              <w:t>Per Sq. Ft.</w:t>
            </w:r>
          </w:p>
        </w:tc>
        <w:tc>
          <w:tcPr>
            <w:tcW w:w="12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Ft.</w:t>
            </w:r>
          </w:p>
        </w:tc>
        <w:tc>
          <w:tcPr>
            <w:tcW w:w="8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in Rent</w:t>
            </w:r>
          </w:p>
        </w:tc>
        <w:tc>
          <w:tcPr>
            <w:tcW w:w="8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9"/>
              </w:rPr>
              <w:t>Prior Rent</w:t>
            </w:r>
          </w:p>
        </w:tc>
        <w:tc>
          <w:tcPr>
            <w:tcW w:w="80" w:type="dxa"/>
            <w:vAlign w:val="bottom"/>
          </w:tcPr>
          <w:p>
            <w:pPr>
              <w:spacing w:after="0"/>
              <w:rPr>
                <w:sz w:val="13"/>
                <w:szCs w:val="13"/>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6"/>
              </w:rPr>
              <w:t>Rent</w:t>
            </w:r>
          </w:p>
        </w:tc>
        <w:tc>
          <w:tcPr>
            <w:tcW w:w="1780" w:type="dxa"/>
            <w:vAlign w:val="bottom"/>
            <w:gridSpan w:val="6"/>
          </w:tcPr>
          <w:p>
            <w:pPr>
              <w:ind w:left="40"/>
              <w:spacing w:after="0"/>
              <w:rPr>
                <w:sz w:val="20"/>
                <w:szCs w:val="20"/>
                <w:color w:val="auto"/>
              </w:rPr>
            </w:pPr>
            <w:r>
              <w:rPr>
                <w:rFonts w:ascii="Arial" w:cs="Arial" w:eastAsia="Arial" w:hAnsi="Arial"/>
                <w:sz w:val="13"/>
                <w:szCs w:val="13"/>
                <w:b w:val="1"/>
                <w:bCs w:val="1"/>
                <w:color w:val="auto"/>
              </w:rPr>
              <w:t>Term (5)    &amp; Incentives (6)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2nd Quarter 2008</w:t>
            </w:r>
          </w:p>
        </w:tc>
        <w:tc>
          <w:tcPr>
            <w:tcW w:w="7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53</w:t>
            </w:r>
          </w:p>
        </w:tc>
        <w:tc>
          <w:tcPr>
            <w:tcW w:w="108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63%</w:t>
            </w:r>
          </w:p>
        </w:tc>
        <w:tc>
          <w:tcPr>
            <w:tcW w:w="74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w w:val="94"/>
              </w:rPr>
              <w:t>124,110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38.40</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$31.76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823,628</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21%</w:t>
            </w:r>
          </w:p>
        </w:tc>
        <w:tc>
          <w:tcPr>
            <w:tcW w:w="9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38%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545,257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1st Quarter 2008</w:t>
            </w:r>
          </w:p>
        </w:tc>
        <w:tc>
          <w:tcPr>
            <w:tcW w:w="700" w:type="dxa"/>
            <w:vAlign w:val="bottom"/>
            <w:gridSpan w:val="4"/>
          </w:tcPr>
          <w:p>
            <w:pPr>
              <w:jc w:val="right"/>
              <w:ind w:right="60"/>
              <w:spacing w:after="0"/>
              <w:rPr>
                <w:sz w:val="20"/>
                <w:szCs w:val="20"/>
                <w:color w:val="auto"/>
              </w:rPr>
            </w:pPr>
            <w:r>
              <w:rPr>
                <w:rFonts w:ascii="Arial" w:cs="Arial" w:eastAsia="Arial" w:hAnsi="Arial"/>
                <w:sz w:val="17"/>
                <w:szCs w:val="17"/>
                <w:color w:val="auto"/>
              </w:rPr>
              <w:t>46</w:t>
            </w:r>
          </w:p>
        </w:tc>
        <w:tc>
          <w:tcPr>
            <w:tcW w:w="1080" w:type="dxa"/>
            <w:vAlign w:val="bottom"/>
            <w:gridSpan w:val="5"/>
          </w:tcPr>
          <w:p>
            <w:pPr>
              <w:jc w:val="right"/>
              <w:ind w:right="80"/>
              <w:spacing w:after="0"/>
              <w:rPr>
                <w:sz w:val="20"/>
                <w:szCs w:val="20"/>
                <w:color w:val="auto"/>
              </w:rPr>
            </w:pPr>
            <w:r>
              <w:rPr>
                <w:rFonts w:ascii="Arial" w:cs="Arial" w:eastAsia="Arial" w:hAnsi="Arial"/>
                <w:sz w:val="17"/>
                <w:szCs w:val="17"/>
                <w:color w:val="auto"/>
              </w:rPr>
              <w:t>62%</w:t>
            </w:r>
          </w:p>
        </w:tc>
        <w:tc>
          <w:tcPr>
            <w:tcW w:w="740" w:type="dxa"/>
            <w:vAlign w:val="bottom"/>
            <w:gridSpan w:val="4"/>
          </w:tcPr>
          <w:p>
            <w:pPr>
              <w:ind w:left="140"/>
              <w:spacing w:after="0"/>
              <w:rPr>
                <w:sz w:val="20"/>
                <w:szCs w:val="20"/>
                <w:color w:val="auto"/>
              </w:rPr>
            </w:pPr>
            <w:r>
              <w:rPr>
                <w:rFonts w:ascii="Arial" w:cs="Arial" w:eastAsia="Arial" w:hAnsi="Arial"/>
                <w:sz w:val="17"/>
                <w:szCs w:val="17"/>
                <w:color w:val="auto"/>
                <w:w w:val="94"/>
              </w:rPr>
              <w:t>161,748</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24.44</w:t>
            </w:r>
          </w:p>
        </w:tc>
        <w:tc>
          <w:tcPr>
            <w:tcW w:w="820" w:type="dxa"/>
            <w:vAlign w:val="bottom"/>
            <w:gridSpan w:val="3"/>
          </w:tcPr>
          <w:p>
            <w:pPr>
              <w:ind w:left="120"/>
              <w:spacing w:after="0"/>
              <w:rPr>
                <w:sz w:val="20"/>
                <w:szCs w:val="20"/>
                <w:color w:val="auto"/>
              </w:rPr>
            </w:pPr>
            <w:r>
              <w:rPr>
                <w:rFonts w:ascii="Arial" w:cs="Arial" w:eastAsia="Arial" w:hAnsi="Arial"/>
                <w:sz w:val="17"/>
                <w:szCs w:val="17"/>
                <w:color w:val="auto"/>
              </w:rPr>
              <w:t>$20.65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613,475</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18%</w:t>
            </w:r>
          </w:p>
        </w:tc>
        <w:tc>
          <w:tcPr>
            <w:tcW w:w="940" w:type="dxa"/>
            <w:vAlign w:val="bottom"/>
            <w:gridSpan w:val="4"/>
          </w:tcPr>
          <w:p>
            <w:pPr>
              <w:jc w:val="right"/>
              <w:ind w:right="200"/>
              <w:spacing w:after="0"/>
              <w:rPr>
                <w:sz w:val="20"/>
                <w:szCs w:val="20"/>
                <w:color w:val="auto"/>
              </w:rPr>
            </w:pPr>
            <w:r>
              <w:rPr>
                <w:rFonts w:ascii="Arial" w:cs="Arial" w:eastAsia="Arial" w:hAnsi="Arial"/>
                <w:sz w:val="17"/>
                <w:szCs w:val="17"/>
                <w:color w:val="auto"/>
              </w:rPr>
              <w:t>30%</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5,000</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4th Quarter 2007</w:t>
            </w:r>
          </w:p>
        </w:tc>
        <w:tc>
          <w:tcPr>
            <w:tcW w:w="7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64</w:t>
            </w:r>
          </w:p>
        </w:tc>
        <w:tc>
          <w:tcPr>
            <w:tcW w:w="108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74%</w:t>
            </w:r>
          </w:p>
        </w:tc>
        <w:tc>
          <w:tcPr>
            <w:tcW w:w="74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w w:val="94"/>
              </w:rPr>
              <w:t>353,464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19.37</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$15.94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1,213,705</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22%</w:t>
            </w:r>
          </w:p>
        </w:tc>
        <w:tc>
          <w:tcPr>
            <w:tcW w:w="9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3rd Quarter 2007</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63%</w:t>
            </w:r>
          </w:p>
        </w:tc>
        <w:tc>
          <w:tcPr>
            <w:tcW w:w="740" w:type="dxa"/>
            <w:vAlign w:val="bottom"/>
            <w:gridSpan w:val="4"/>
          </w:tcPr>
          <w:p>
            <w:pPr>
              <w:ind w:left="140"/>
              <w:spacing w:after="0"/>
              <w:rPr>
                <w:sz w:val="20"/>
                <w:szCs w:val="20"/>
                <w:color w:val="auto"/>
              </w:rPr>
            </w:pPr>
            <w:r>
              <w:rPr>
                <w:rFonts w:ascii="Arial" w:cs="Arial" w:eastAsia="Arial" w:hAnsi="Arial"/>
                <w:sz w:val="17"/>
                <w:szCs w:val="17"/>
                <w:color w:val="auto"/>
                <w:w w:val="94"/>
              </w:rPr>
              <w:t>210,627</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24.85</w:t>
            </w:r>
          </w:p>
        </w:tc>
        <w:tc>
          <w:tcPr>
            <w:tcW w:w="820" w:type="dxa"/>
            <w:vAlign w:val="bottom"/>
            <w:gridSpan w:val="3"/>
          </w:tcPr>
          <w:p>
            <w:pPr>
              <w:ind w:left="1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20.38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941,004</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22%</w:t>
            </w:r>
          </w:p>
        </w:tc>
        <w:tc>
          <w:tcPr>
            <w:tcW w:w="940" w:type="dxa"/>
            <w:vAlign w:val="bottom"/>
            <w:gridSpan w:val="4"/>
          </w:tcPr>
          <w:p>
            <w:pPr>
              <w:jc w:val="right"/>
              <w:ind w:right="200"/>
              <w:spacing w:after="0"/>
              <w:rPr>
                <w:sz w:val="20"/>
                <w:szCs w:val="20"/>
                <w:color w:val="auto"/>
              </w:rPr>
            </w:pPr>
            <w:r>
              <w:rPr>
                <w:rFonts w:ascii="Arial" w:cs="Arial" w:eastAsia="Arial" w:hAnsi="Arial"/>
                <w:sz w:val="17"/>
                <w:szCs w:val="17"/>
                <w:color w:val="auto"/>
              </w:rPr>
              <w:t>34%</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33,430</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Borders>
              <w:left w:val="single" w:sz="8" w:color="auto"/>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66%</w:t>
            </w:r>
          </w:p>
        </w:tc>
        <w:tc>
          <w:tcPr>
            <w:tcW w:w="74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w w:val="94"/>
              </w:rPr>
              <w:t>849,949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24.</w:t>
            </w:r>
            <w:r>
              <w:rPr>
                <w:rFonts w:ascii="Arial" w:cs="Arial" w:eastAsia="Arial" w:hAnsi="Arial"/>
                <w:sz w:val="17"/>
                <w:szCs w:val="17"/>
                <w:u w:val="single" w:color="auto"/>
                <w:color w:val="auto"/>
              </w:rPr>
              <w:t>47</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20.25</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3,591,812</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21%</w:t>
            </w:r>
          </w:p>
        </w:tc>
        <w:tc>
          <w:tcPr>
            <w:tcW w:w="9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32%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598,687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Lease Summary - Comparable and Non-comparable (2)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91"/>
              </w:rPr>
              <w:t>Contractual</w:t>
            </w:r>
          </w:p>
        </w:tc>
        <w:tc>
          <w:tcPr>
            <w:tcW w:w="340" w:type="dxa"/>
            <w:vAlign w:val="bottom"/>
          </w:tcPr>
          <w:p>
            <w:pPr>
              <w:spacing w:after="0"/>
              <w:rPr>
                <w:sz w:val="12"/>
                <w:szCs w:val="12"/>
                <w:color w:val="auto"/>
              </w:rPr>
            </w:pPr>
          </w:p>
        </w:tc>
        <w:tc>
          <w:tcPr>
            <w:tcW w:w="118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4" w:lineRule="exact"/>
              <w:rPr>
                <w:sz w:val="20"/>
                <w:szCs w:val="20"/>
                <w:color w:val="auto"/>
              </w:rPr>
            </w:pPr>
            <w:r>
              <w:rPr>
                <w:rFonts w:ascii="Arial" w:cs="Arial" w:eastAsia="Arial" w:hAnsi="Arial"/>
                <w:sz w:val="13"/>
                <w:szCs w:val="13"/>
                <w:b w:val="1"/>
                <w:bCs w:val="1"/>
                <w:color w:val="auto"/>
                <w:w w:val="89"/>
              </w:rPr>
              <w:t>Tenant</w:t>
            </w:r>
          </w:p>
        </w:tc>
        <w:tc>
          <w:tcPr>
            <w:tcW w:w="8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44"/>
        </w:trPr>
        <w:tc>
          <w:tcPr>
            <w:tcW w:w="17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Quarter</w:t>
            </w:r>
          </w:p>
        </w:tc>
        <w:tc>
          <w:tcPr>
            <w:tcW w:w="114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2"/>
              </w:rPr>
              <w:t>Number of</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8"/>
              <w:spacing w:after="0" w:line="144" w:lineRule="exact"/>
              <w:rPr>
                <w:sz w:val="20"/>
                <w:szCs w:val="20"/>
                <w:color w:val="auto"/>
              </w:rPr>
            </w:pPr>
            <w:r>
              <w:rPr>
                <w:rFonts w:ascii="Arial" w:cs="Arial" w:eastAsia="Arial" w:hAnsi="Arial"/>
                <w:sz w:val="13"/>
                <w:szCs w:val="13"/>
                <w:b w:val="1"/>
                <w:bCs w:val="1"/>
                <w:color w:val="auto"/>
                <w:w w:val="90"/>
              </w:rPr>
              <w:t>Rent (3)</w:t>
            </w:r>
          </w:p>
        </w:tc>
        <w:tc>
          <w:tcPr>
            <w:tcW w:w="340" w:type="dxa"/>
            <w:vAlign w:val="bottom"/>
          </w:tcPr>
          <w:p>
            <w:pPr>
              <w:spacing w:after="0"/>
              <w:rPr>
                <w:sz w:val="12"/>
                <w:szCs w:val="12"/>
                <w:color w:val="auto"/>
              </w:rPr>
            </w:pPr>
          </w:p>
        </w:tc>
        <w:tc>
          <w:tcPr>
            <w:tcW w:w="118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89"/>
              </w:rPr>
              <w:t>Average</w:t>
            </w:r>
          </w:p>
        </w:tc>
        <w:tc>
          <w:tcPr>
            <w:tcW w:w="124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92"/>
              </w:rPr>
              <w:t>Improvements</w:t>
            </w:r>
          </w:p>
        </w:tc>
        <w:tc>
          <w:tcPr>
            <w:tcW w:w="8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44"/>
        </w:trPr>
        <w:tc>
          <w:tcPr>
            <w:tcW w:w="1780" w:type="dxa"/>
            <w:vAlign w:val="bottom"/>
            <w:gridSpan w:val="4"/>
            <w:vMerge w:val="continue"/>
          </w:tcPr>
          <w:p>
            <w:pPr>
              <w:spacing w:after="0"/>
              <w:rPr>
                <w:sz w:val="12"/>
                <w:szCs w:val="12"/>
                <w:color w:val="auto"/>
              </w:rPr>
            </w:pPr>
          </w:p>
        </w:tc>
        <w:tc>
          <w:tcPr>
            <w:tcW w:w="114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7"/>
              </w:rPr>
              <w:t>Leases Signed</w:t>
            </w:r>
          </w:p>
        </w:tc>
        <w:tc>
          <w:tcPr>
            <w:tcW w:w="1040" w:type="dxa"/>
            <w:vAlign w:val="bottom"/>
            <w:gridSpan w:val="2"/>
          </w:tcPr>
          <w:p>
            <w:pPr>
              <w:jc w:val="right"/>
              <w:ind w:right="360"/>
              <w:spacing w:after="0" w:line="144" w:lineRule="exact"/>
              <w:rPr>
                <w:sz w:val="20"/>
                <w:szCs w:val="20"/>
                <w:color w:val="auto"/>
              </w:rPr>
            </w:pPr>
            <w:r>
              <w:rPr>
                <w:rFonts w:ascii="Arial" w:cs="Arial" w:eastAsia="Arial" w:hAnsi="Arial"/>
                <w:sz w:val="13"/>
                <w:szCs w:val="13"/>
                <w:b w:val="1"/>
                <w:bCs w:val="1"/>
                <w:color w:val="auto"/>
                <w:w w:val="88"/>
              </w:rPr>
              <w:t>GLA Signed</w:t>
            </w:r>
          </w:p>
        </w:tc>
        <w:tc>
          <w:tcPr>
            <w:tcW w:w="68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w w:val="96"/>
              </w:rPr>
              <w:t>Per Sq. Ft.</w:t>
            </w:r>
          </w:p>
        </w:tc>
        <w:tc>
          <w:tcPr>
            <w:tcW w:w="340" w:type="dxa"/>
            <w:vAlign w:val="bottom"/>
          </w:tcPr>
          <w:p>
            <w:pPr>
              <w:spacing w:after="0"/>
              <w:rPr>
                <w:sz w:val="12"/>
                <w:szCs w:val="12"/>
                <w:color w:val="auto"/>
              </w:rPr>
            </w:pPr>
          </w:p>
        </w:tc>
        <w:tc>
          <w:tcPr>
            <w:tcW w:w="118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w w:val="89"/>
              </w:rPr>
              <w:t>Lease Term (5)</w:t>
            </w:r>
          </w:p>
        </w:tc>
        <w:tc>
          <w:tcPr>
            <w:tcW w:w="124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&amp; Incentives (6)</w:t>
            </w:r>
          </w:p>
        </w:tc>
        <w:tc>
          <w:tcPr>
            <w:tcW w:w="100" w:type="dxa"/>
            <w:vAlign w:val="bottom"/>
          </w:tcPr>
          <w:p>
            <w:pPr>
              <w:spacing w:after="0"/>
              <w:rPr>
                <w:sz w:val="12"/>
                <w:szCs w:val="12"/>
                <w:color w:val="auto"/>
              </w:rPr>
            </w:pPr>
          </w:p>
        </w:tc>
        <w:tc>
          <w:tcPr>
            <w:tcW w:w="7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2nd Quarter 2008</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253,048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2,940,855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7"/>
                <w:szCs w:val="17"/>
                <w:color w:val="auto"/>
              </w:rPr>
              <w:t>1st Quarter 2008</w:t>
            </w: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85</w:t>
            </w: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295,646</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30.61</w:t>
            </w:r>
          </w:p>
        </w:tc>
        <w:tc>
          <w:tcPr>
            <w:tcW w:w="1520" w:type="dxa"/>
            <w:vAlign w:val="bottom"/>
            <w:gridSpan w:val="3"/>
          </w:tcPr>
          <w:p>
            <w:pPr>
              <w:jc w:val="right"/>
              <w:ind w:right="34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3,005,202</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4th Quarter 2007</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93</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482,730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20.36</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2,686,086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7"/>
                <w:szCs w:val="17"/>
                <w:color w:val="auto"/>
              </w:rPr>
              <w:t>3rd Quarter 2007</w:t>
            </w:r>
          </w:p>
        </w:tc>
        <w:tc>
          <w:tcPr>
            <w:tcW w:w="800" w:type="dxa"/>
            <w:vAlign w:val="bottom"/>
          </w:tcPr>
          <w:p>
            <w:pPr>
              <w:jc w:val="right"/>
              <w:spacing w:after="0"/>
              <w:rPr>
                <w:sz w:val="20"/>
                <w:szCs w:val="20"/>
                <w:color w:val="auto"/>
              </w:rPr>
            </w:pPr>
            <w:r>
              <w:rPr>
                <w:rFonts w:ascii="Arial" w:cs="Arial" w:eastAsia="Arial" w:hAnsi="Arial"/>
                <w:sz w:val="17"/>
                <w:szCs w:val="17"/>
                <w:color w:val="auto"/>
              </w:rPr>
              <w:t>80</w:t>
            </w:r>
          </w:p>
        </w:tc>
        <w:tc>
          <w:tcPr>
            <w:tcW w:w="3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442,942</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24.35</w:t>
            </w:r>
          </w:p>
        </w:tc>
        <w:tc>
          <w:tcPr>
            <w:tcW w:w="1520" w:type="dxa"/>
            <w:vAlign w:val="bottom"/>
            <w:gridSpan w:val="3"/>
          </w:tcPr>
          <w:p>
            <w:pPr>
              <w:jc w:val="right"/>
              <w:ind w:right="340"/>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6,450,056</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14.56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9"/>
              </w:rPr>
              <w:t>1,474,366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26.37</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1"/>
              </w:rPr>
              <w:t>15,082,199</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Comparable leases represent those leases signed on spaces for which there was a former tenant.</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if any, paid by the prior tenant in the final 12 months of the term.</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in the same location. All other leases are categorized as new.</w:t>
      </w:r>
    </w:p>
    <w:p>
      <w:pPr>
        <w:sectPr>
          <w:pgSz w:w="11900" w:h="16838" w:orient="portrait"/>
          <w:cols w:equalWidth="0" w:num="1">
            <w:col w:w="11420"/>
          </w:cols>
          <w:pgMar w:left="240" w:top="271" w:right="239"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1"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Anchor Tenants (1)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9"/>
              </w:rPr>
              <w:t>Small Shop Tenants</w:t>
            </w:r>
          </w:p>
        </w:tc>
        <w:tc>
          <w:tcPr>
            <w:tcW w:w="7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center"/>
              <w:ind w:right="380"/>
              <w:spacing w:after="0" w:line="124" w:lineRule="exact"/>
              <w:rPr>
                <w:sz w:val="20"/>
                <w:szCs w:val="20"/>
                <w:color w:val="auto"/>
              </w:rPr>
            </w:pPr>
            <w:r>
              <w:rPr>
                <w:rFonts w:ascii="Arial" w:cs="Arial" w:eastAsia="Arial" w:hAnsi="Arial"/>
                <w:sz w:val="13"/>
                <w:szCs w:val="13"/>
                <w:b w:val="1"/>
                <w:bCs w:val="1"/>
                <w:color w:val="auto"/>
              </w:rPr>
              <w:t>% of</w:t>
            </w:r>
          </w:p>
        </w:tc>
        <w:tc>
          <w:tcPr>
            <w:tcW w:w="86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w w:val="93"/>
              </w:rPr>
              <w:t>Minimum Rent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w w:val="96"/>
              </w:rPr>
              <w:t>Expiring</w:t>
            </w:r>
          </w:p>
        </w:tc>
        <w:tc>
          <w:tcPr>
            <w:tcW w:w="160" w:type="dxa"/>
            <w:vAlign w:val="bottom"/>
          </w:tcPr>
          <w:p>
            <w:pPr>
              <w:spacing w:after="0"/>
              <w:rPr>
                <w:sz w:val="10"/>
                <w:szCs w:val="10"/>
                <w:color w:val="auto"/>
              </w:rPr>
            </w:pPr>
          </w:p>
        </w:tc>
        <w:tc>
          <w:tcPr>
            <w:tcW w:w="1020" w:type="dxa"/>
            <w:vAlign w:val="bottom"/>
            <w:gridSpan w:val="2"/>
          </w:tcPr>
          <w:p>
            <w:pPr>
              <w:jc w:val="center"/>
              <w:ind w:right="400"/>
              <w:spacing w:after="0" w:line="124" w:lineRule="exact"/>
              <w:rPr>
                <w:sz w:val="20"/>
                <w:szCs w:val="20"/>
                <w:color w:val="auto"/>
              </w:rPr>
            </w:pPr>
            <w:r>
              <w:rPr>
                <w:rFonts w:ascii="Arial" w:cs="Arial" w:eastAsia="Arial" w:hAnsi="Arial"/>
                <w:sz w:val="13"/>
                <w:szCs w:val="13"/>
                <w:b w:val="1"/>
                <w:bCs w:val="1"/>
                <w:color w:val="auto"/>
                <w:w w:val="94"/>
              </w:rPr>
              <w:t>% of Small</w:t>
            </w:r>
          </w:p>
        </w:tc>
        <w:tc>
          <w:tcPr>
            <w:tcW w:w="86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w w:val="93"/>
              </w:rPr>
              <w:t>Minimum Rent</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tcPr>
          <w:p>
            <w:pPr>
              <w:jc w:val="center"/>
              <w:ind w:right="400"/>
              <w:spacing w:after="0" w:line="124" w:lineRule="exact"/>
              <w:rPr>
                <w:sz w:val="20"/>
                <w:szCs w:val="20"/>
                <w:color w:val="auto"/>
              </w:rPr>
            </w:pPr>
            <w:r>
              <w:rPr>
                <w:rFonts w:ascii="Arial" w:cs="Arial" w:eastAsia="Arial" w:hAnsi="Arial"/>
                <w:sz w:val="13"/>
                <w:szCs w:val="13"/>
                <w:b w:val="1"/>
                <w:bCs w:val="1"/>
                <w:color w:val="auto"/>
              </w:rPr>
              <w:t>% of</w:t>
            </w:r>
          </w:p>
        </w:tc>
        <w:tc>
          <w:tcPr>
            <w:tcW w:w="86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w w:val="93"/>
              </w:rPr>
              <w:t>Minimum Rent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54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91"/>
              </w:rPr>
              <w:t>Expiring SF</w:t>
            </w:r>
          </w:p>
        </w:tc>
        <w:tc>
          <w:tcPr>
            <w:tcW w:w="24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1"/>
              </w:rPr>
              <w:t>Anchor SF</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PSF (2)</w:t>
            </w:r>
          </w:p>
        </w:tc>
        <w:tc>
          <w:tcPr>
            <w:tcW w:w="12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SF</w:t>
            </w:r>
          </w:p>
        </w:tc>
        <w:tc>
          <w:tcPr>
            <w:tcW w:w="160" w:type="dxa"/>
            <w:vAlign w:val="bottom"/>
          </w:tcPr>
          <w:p>
            <w:pPr>
              <w:spacing w:after="0"/>
              <w:rPr>
                <w:sz w:val="13"/>
                <w:szCs w:val="13"/>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7"/>
              </w:rPr>
              <w:t>Shop SF</w:t>
            </w:r>
          </w:p>
        </w:tc>
        <w:tc>
          <w:tcPr>
            <w:tcW w:w="160" w:type="dxa"/>
            <w:vAlign w:val="bottom"/>
          </w:tcPr>
          <w:p>
            <w:pPr>
              <w:spacing w:after="0"/>
              <w:rPr>
                <w:sz w:val="13"/>
                <w:szCs w:val="13"/>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PSF (2)</w:t>
            </w: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Expiring SF</w:t>
            </w:r>
          </w:p>
        </w:tc>
        <w:tc>
          <w:tcPr>
            <w:tcW w:w="8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Total SF</w:t>
            </w:r>
          </w:p>
        </w:tc>
        <w:tc>
          <w:tcPr>
            <w:tcW w:w="16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2008</w:t>
            </w:r>
          </w:p>
        </w:tc>
        <w:tc>
          <w:tcPr>
            <w:tcW w:w="1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391,000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20.01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616,000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2009</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776,000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11.31</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888,000</w:t>
            </w:r>
          </w:p>
        </w:tc>
        <w:tc>
          <w:tcPr>
            <w:tcW w:w="1180" w:type="dxa"/>
            <w:vAlign w:val="bottom"/>
            <w:gridSpan w:val="3"/>
          </w:tcPr>
          <w:p>
            <w:pPr>
              <w:jc w:val="right"/>
              <w:ind w:right="24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26.99</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1,664,000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931,000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27.58</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1,651,000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2011</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710,000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14.78</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1,115,000</w:t>
            </w:r>
          </w:p>
        </w:tc>
        <w:tc>
          <w:tcPr>
            <w:tcW w:w="1180" w:type="dxa"/>
            <w:vAlign w:val="bottom"/>
            <w:gridSpan w:val="3"/>
          </w:tcPr>
          <w:p>
            <w:pPr>
              <w:jc w:val="right"/>
              <w:ind w:right="240"/>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30.24</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1,825,000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13.35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1,079,000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30.24</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2,057,000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2013</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1,054,000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14.29</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823,000</w:t>
            </w:r>
          </w:p>
        </w:tc>
        <w:tc>
          <w:tcPr>
            <w:tcW w:w="1180" w:type="dxa"/>
            <w:vAlign w:val="bottom"/>
            <w:gridSpan w:val="3"/>
          </w:tcPr>
          <w:p>
            <w:pPr>
              <w:jc w:val="right"/>
              <w:ind w:right="24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31.99</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1,877,000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1,094,000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17.59</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373,000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35.22</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1,467,000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2015</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438,000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16.12</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418,000</w:t>
            </w:r>
          </w:p>
        </w:tc>
        <w:tc>
          <w:tcPr>
            <w:tcW w:w="1180" w:type="dxa"/>
            <w:vAlign w:val="bottom"/>
            <w:gridSpan w:val="3"/>
          </w:tcPr>
          <w:p>
            <w:pPr>
              <w:jc w:val="right"/>
              <w:ind w:right="24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28.02</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856,000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18.43</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413,000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31.81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797,000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2017</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623,000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17.18</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433,000</w:t>
            </w:r>
          </w:p>
        </w:tc>
        <w:tc>
          <w:tcPr>
            <w:tcW w:w="1180" w:type="dxa"/>
            <w:vAlign w:val="bottom"/>
            <w:gridSpan w:val="3"/>
          </w:tcPr>
          <w:p>
            <w:pPr>
              <w:jc w:val="right"/>
              <w:ind w:right="24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31.79</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1,056,000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2,974,000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14.71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490,000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36.11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3,464,000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Total (3)</w:t>
            </w: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540" w:type="dxa"/>
            <w:vAlign w:val="bottom"/>
            <w:gridSpan w:val="4"/>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9,976,000</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14.57</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7,354,000</w:t>
            </w:r>
          </w:p>
        </w:tc>
        <w:tc>
          <w:tcPr>
            <w:tcW w:w="1180" w:type="dxa"/>
            <w:vAlign w:val="bottom"/>
            <w:gridSpan w:val="3"/>
          </w:tcPr>
          <w:p>
            <w:pPr>
              <w:jc w:val="right"/>
              <w:ind w:right="24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29.86</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17,330,000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21.06</w:t>
            </w: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220" w:type="dxa"/>
            <w:vAlign w:val="bottom"/>
            <w:gridSpan w:val="5"/>
          </w:tcPr>
          <w:p>
            <w:pPr>
              <w:spacing w:after="0"/>
              <w:rPr>
                <w:sz w:val="20"/>
                <w:szCs w:val="20"/>
                <w:color w:val="auto"/>
              </w:rPr>
            </w:pPr>
            <w:r>
              <w:rPr>
                <w:rFonts w:ascii="Arial" w:cs="Arial" w:eastAsia="Arial" w:hAnsi="Arial"/>
                <w:sz w:val="17"/>
                <w:szCs w:val="17"/>
                <w:b w:val="1"/>
                <w:bCs w:val="1"/>
                <w:color w:val="auto"/>
                <w:w w:val="98"/>
              </w:rPr>
              <w:t>Assumes all lease options are exercised</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Anchor Tenants (1)</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9"/>
              </w:rPr>
              <w:t>Small Shop Tenants</w:t>
            </w:r>
          </w:p>
        </w:tc>
        <w:tc>
          <w:tcPr>
            <w:tcW w:w="7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center"/>
              <w:ind w:right="380"/>
              <w:spacing w:after="0" w:line="124" w:lineRule="exact"/>
              <w:rPr>
                <w:sz w:val="20"/>
                <w:szCs w:val="20"/>
                <w:color w:val="auto"/>
              </w:rPr>
            </w:pPr>
            <w:r>
              <w:rPr>
                <w:rFonts w:ascii="Arial" w:cs="Arial" w:eastAsia="Arial" w:hAnsi="Arial"/>
                <w:sz w:val="13"/>
                <w:szCs w:val="13"/>
                <w:b w:val="1"/>
                <w:bCs w:val="1"/>
                <w:color w:val="auto"/>
              </w:rPr>
              <w:t>% of</w:t>
            </w:r>
          </w:p>
        </w:tc>
        <w:tc>
          <w:tcPr>
            <w:tcW w:w="86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w w:val="93"/>
              </w:rPr>
              <w:t>Minimum Rent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w w:val="96"/>
              </w:rPr>
              <w:t>Expiring</w:t>
            </w:r>
          </w:p>
        </w:tc>
        <w:tc>
          <w:tcPr>
            <w:tcW w:w="160" w:type="dxa"/>
            <w:vAlign w:val="bottom"/>
          </w:tcPr>
          <w:p>
            <w:pPr>
              <w:spacing w:after="0"/>
              <w:rPr>
                <w:sz w:val="10"/>
                <w:szCs w:val="10"/>
                <w:color w:val="auto"/>
              </w:rPr>
            </w:pPr>
          </w:p>
        </w:tc>
        <w:tc>
          <w:tcPr>
            <w:tcW w:w="1020" w:type="dxa"/>
            <w:vAlign w:val="bottom"/>
            <w:gridSpan w:val="2"/>
          </w:tcPr>
          <w:p>
            <w:pPr>
              <w:jc w:val="center"/>
              <w:ind w:right="400"/>
              <w:spacing w:after="0" w:line="124" w:lineRule="exact"/>
              <w:rPr>
                <w:sz w:val="20"/>
                <w:szCs w:val="20"/>
                <w:color w:val="auto"/>
              </w:rPr>
            </w:pPr>
            <w:r>
              <w:rPr>
                <w:rFonts w:ascii="Arial" w:cs="Arial" w:eastAsia="Arial" w:hAnsi="Arial"/>
                <w:sz w:val="13"/>
                <w:szCs w:val="13"/>
                <w:b w:val="1"/>
                <w:bCs w:val="1"/>
                <w:color w:val="auto"/>
                <w:w w:val="94"/>
              </w:rPr>
              <w:t>% of Small</w:t>
            </w:r>
          </w:p>
        </w:tc>
        <w:tc>
          <w:tcPr>
            <w:tcW w:w="86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w w:val="93"/>
              </w:rPr>
              <w:t>Minimum Rent</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tcPr>
          <w:p>
            <w:pPr>
              <w:jc w:val="center"/>
              <w:ind w:right="400"/>
              <w:spacing w:after="0" w:line="124" w:lineRule="exact"/>
              <w:rPr>
                <w:sz w:val="20"/>
                <w:szCs w:val="20"/>
                <w:color w:val="auto"/>
              </w:rPr>
            </w:pPr>
            <w:r>
              <w:rPr>
                <w:rFonts w:ascii="Arial" w:cs="Arial" w:eastAsia="Arial" w:hAnsi="Arial"/>
                <w:sz w:val="13"/>
                <w:szCs w:val="13"/>
                <w:b w:val="1"/>
                <w:bCs w:val="1"/>
                <w:color w:val="auto"/>
              </w:rPr>
              <w:t>% of</w:t>
            </w:r>
          </w:p>
        </w:tc>
        <w:tc>
          <w:tcPr>
            <w:tcW w:w="86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w w:val="93"/>
              </w:rPr>
              <w:t>Minimum Rent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54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91"/>
              </w:rPr>
              <w:t>Expiring SF</w:t>
            </w:r>
          </w:p>
        </w:tc>
        <w:tc>
          <w:tcPr>
            <w:tcW w:w="24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1"/>
              </w:rPr>
              <w:t>Anchor SF</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PSF (2)</w:t>
            </w:r>
          </w:p>
        </w:tc>
        <w:tc>
          <w:tcPr>
            <w:tcW w:w="12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SF</w:t>
            </w:r>
          </w:p>
        </w:tc>
        <w:tc>
          <w:tcPr>
            <w:tcW w:w="160" w:type="dxa"/>
            <w:vAlign w:val="bottom"/>
          </w:tcPr>
          <w:p>
            <w:pPr>
              <w:spacing w:after="0"/>
              <w:rPr>
                <w:sz w:val="13"/>
                <w:szCs w:val="13"/>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7"/>
              </w:rPr>
              <w:t>Shop SF</w:t>
            </w:r>
          </w:p>
        </w:tc>
        <w:tc>
          <w:tcPr>
            <w:tcW w:w="160" w:type="dxa"/>
            <w:vAlign w:val="bottom"/>
          </w:tcPr>
          <w:p>
            <w:pPr>
              <w:spacing w:after="0"/>
              <w:rPr>
                <w:sz w:val="13"/>
                <w:szCs w:val="13"/>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PSF (2)</w:t>
            </w: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Expiring SF</w:t>
            </w:r>
          </w:p>
        </w:tc>
        <w:tc>
          <w:tcPr>
            <w:tcW w:w="8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Total SF</w:t>
            </w:r>
          </w:p>
        </w:tc>
        <w:tc>
          <w:tcPr>
            <w:tcW w:w="16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2008</w:t>
            </w:r>
          </w:p>
        </w:tc>
        <w:tc>
          <w:tcPr>
            <w:tcW w:w="1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7.77</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278,000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19.69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459,000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2009</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251,000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11.86</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527,000</w:t>
            </w:r>
          </w:p>
        </w:tc>
        <w:tc>
          <w:tcPr>
            <w:tcW w:w="1180" w:type="dxa"/>
            <w:vAlign w:val="bottom"/>
            <w:gridSpan w:val="3"/>
          </w:tcPr>
          <w:p>
            <w:pPr>
              <w:jc w:val="right"/>
              <w:ind w:right="24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27.73</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778,000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8.49</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523,000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29.35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762,000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2011</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43,000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7.19</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620,000</w:t>
            </w:r>
          </w:p>
        </w:tc>
        <w:tc>
          <w:tcPr>
            <w:tcW w:w="1180" w:type="dxa"/>
            <w:vAlign w:val="bottom"/>
            <w:gridSpan w:val="3"/>
          </w:tcPr>
          <w:p>
            <w:pPr>
              <w:jc w:val="right"/>
              <w:ind w:right="24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28.72</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663,000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14.92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592,000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32.31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827,000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2013</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127,000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15.11</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509,000</w:t>
            </w:r>
          </w:p>
        </w:tc>
        <w:tc>
          <w:tcPr>
            <w:tcW w:w="1180" w:type="dxa"/>
            <w:vAlign w:val="bottom"/>
            <w:gridSpan w:val="3"/>
          </w:tcPr>
          <w:p>
            <w:pPr>
              <w:jc w:val="right"/>
              <w:ind w:right="24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30.11</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636,000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14.48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409,000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33.51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741,000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2015</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189,000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16.78</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413,000</w:t>
            </w:r>
          </w:p>
        </w:tc>
        <w:tc>
          <w:tcPr>
            <w:tcW w:w="1180" w:type="dxa"/>
            <w:vAlign w:val="bottom"/>
            <w:gridSpan w:val="3"/>
          </w:tcPr>
          <w:p>
            <w:pPr>
              <w:jc w:val="right"/>
              <w:ind w:right="24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25.74</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602,000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20.50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400,000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32.04</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525,000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2017</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127,000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26.65</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541,000</w:t>
            </w:r>
          </w:p>
        </w:tc>
        <w:tc>
          <w:tcPr>
            <w:tcW w:w="1180" w:type="dxa"/>
            <w:vAlign w:val="bottom"/>
            <w:gridSpan w:val="3"/>
          </w:tcPr>
          <w:p>
            <w:pPr>
              <w:jc w:val="right"/>
              <w:ind w:right="24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29.87</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668,000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8,127,000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14.68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2,542,000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35%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30.90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10,669,000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Total (3)</w:t>
            </w: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540" w:type="dxa"/>
            <w:vAlign w:val="bottom"/>
            <w:gridSpan w:val="4"/>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9,976,000</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14.57</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7,354,000</w:t>
            </w:r>
          </w:p>
        </w:tc>
        <w:tc>
          <w:tcPr>
            <w:tcW w:w="1180" w:type="dxa"/>
            <w:vAlign w:val="bottom"/>
            <w:gridSpan w:val="3"/>
          </w:tcPr>
          <w:p>
            <w:pPr>
              <w:jc w:val="right"/>
              <w:ind w:right="24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29.86</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17,330,000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Minimum Rent reflects in-place contractual (cash-basis) rent as of June 30, 2008.</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occupied square footage as of June 30, 2008.</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71"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Leased Statistics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Portfolio Statistics (1)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0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Type</w:t>
            </w:r>
          </w:p>
        </w:tc>
        <w:tc>
          <w:tcPr>
            <w:tcW w:w="7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w w:val="92"/>
              </w:rPr>
              <w:t>At June 30, 2008</w:t>
            </w:r>
          </w:p>
        </w:tc>
        <w:tc>
          <w:tcPr>
            <w:tcW w:w="5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At June 30, 2007</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00" w:type="dxa"/>
            <w:vAlign w:val="bottom"/>
            <w:gridSpan w:val="4"/>
            <w:vMerge w:val="continue"/>
          </w:tcPr>
          <w:p>
            <w:pPr>
              <w:spacing w:after="0"/>
              <w:rPr>
                <w:sz w:val="11"/>
                <w:szCs w:val="11"/>
                <w:color w:val="auto"/>
              </w:rPr>
            </w:pPr>
          </w:p>
        </w:tc>
        <w:tc>
          <w:tcPr>
            <w:tcW w:w="780" w:type="dxa"/>
            <w:vAlign w:val="bottom"/>
          </w:tcPr>
          <w:p>
            <w:pPr>
              <w:jc w:val="right"/>
              <w:ind w:right="201"/>
              <w:spacing w:after="0" w:line="138"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1"/>
                <w:szCs w:val="11"/>
                <w:color w:val="auto"/>
              </w:rPr>
            </w:pPr>
          </w:p>
        </w:tc>
        <w:tc>
          <w:tcPr>
            <w:tcW w:w="1000" w:type="dxa"/>
            <w:vAlign w:val="bottom"/>
            <w:gridSpan w:val="2"/>
          </w:tcPr>
          <w:p>
            <w:pPr>
              <w:jc w:val="right"/>
              <w:ind w:right="420"/>
              <w:spacing w:after="0" w:line="138" w:lineRule="exact"/>
              <w:rPr>
                <w:sz w:val="20"/>
                <w:szCs w:val="20"/>
                <w:color w:val="auto"/>
              </w:rPr>
            </w:pPr>
            <w:r>
              <w:rPr>
                <w:rFonts w:ascii="Arial" w:cs="Arial" w:eastAsia="Arial" w:hAnsi="Arial"/>
                <w:sz w:val="13"/>
                <w:szCs w:val="13"/>
                <w:b w:val="1"/>
                <w:bCs w:val="1"/>
                <w:color w:val="auto"/>
              </w:rPr>
              <w:t>Leased</w:t>
            </w:r>
          </w:p>
        </w:tc>
        <w:tc>
          <w:tcPr>
            <w:tcW w:w="560" w:type="dxa"/>
            <w:vAlign w:val="bottom"/>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360" w:type="dxa"/>
            <w:vAlign w:val="bottom"/>
          </w:tcPr>
          <w:p>
            <w:pPr>
              <w:spacing w:after="0"/>
              <w:rPr>
                <w:sz w:val="11"/>
                <w:szCs w:val="11"/>
                <w:color w:val="auto"/>
              </w:rPr>
            </w:pPr>
          </w:p>
        </w:tc>
        <w:tc>
          <w:tcPr>
            <w:tcW w:w="780" w:type="dxa"/>
            <w:vAlign w:val="bottom"/>
          </w:tcPr>
          <w:p>
            <w:pPr>
              <w:jc w:val="right"/>
              <w:ind w:right="201"/>
              <w:spacing w:after="0" w:line="138"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1"/>
                <w:szCs w:val="11"/>
                <w:color w:val="auto"/>
              </w:rPr>
            </w:pPr>
          </w:p>
        </w:tc>
        <w:tc>
          <w:tcPr>
            <w:tcW w:w="1000" w:type="dxa"/>
            <w:vAlign w:val="bottom"/>
            <w:gridSpan w:val="2"/>
          </w:tcPr>
          <w:p>
            <w:pPr>
              <w:ind w:left="180"/>
              <w:spacing w:after="0" w:line="138" w:lineRule="exact"/>
              <w:rPr>
                <w:sz w:val="20"/>
                <w:szCs w:val="20"/>
                <w:color w:val="auto"/>
              </w:rPr>
            </w:pPr>
            <w:r>
              <w:rPr>
                <w:rFonts w:ascii="Arial" w:cs="Arial" w:eastAsia="Arial" w:hAnsi="Arial"/>
                <w:sz w:val="13"/>
                <w:szCs w:val="13"/>
                <w:b w:val="1"/>
                <w:bCs w:val="1"/>
                <w:color w:val="auto"/>
              </w:rPr>
              <w:t>Leased</w:t>
            </w:r>
          </w:p>
        </w:tc>
        <w:tc>
          <w:tcPr>
            <w:tcW w:w="560" w:type="dxa"/>
            <w:vAlign w:val="bottom"/>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Properties (2) (sf)</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18,399,000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17,634,000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19,468,000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18,702,000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80" w:type="dxa"/>
            <w:vAlign w:val="bottom"/>
          </w:tcPr>
          <w:p>
            <w:pPr>
              <w:jc w:val="right"/>
              <w:spacing w:after="0"/>
              <w:rPr>
                <w:sz w:val="20"/>
                <w:szCs w:val="20"/>
                <w:color w:val="auto"/>
              </w:rPr>
            </w:pPr>
            <w:r>
              <w:rPr>
                <w:rFonts w:ascii="Arial" w:cs="Arial" w:eastAsia="Arial" w:hAnsi="Arial"/>
                <w:sz w:val="17"/>
                <w:szCs w:val="17"/>
                <w:color w:val="auto"/>
              </w:rPr>
              <w:t>723</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692</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95.7%</w:t>
            </w:r>
          </w:p>
        </w:tc>
        <w:tc>
          <w:tcPr>
            <w:tcW w:w="780" w:type="dxa"/>
            <w:vAlign w:val="bottom"/>
          </w:tcPr>
          <w:p>
            <w:pPr>
              <w:jc w:val="right"/>
              <w:spacing w:after="0"/>
              <w:rPr>
                <w:sz w:val="20"/>
                <w:szCs w:val="20"/>
                <w:color w:val="auto"/>
              </w:rPr>
            </w:pPr>
            <w:r>
              <w:rPr>
                <w:rFonts w:ascii="Arial" w:cs="Arial" w:eastAsia="Arial" w:hAnsi="Arial"/>
                <w:sz w:val="17"/>
                <w:szCs w:val="17"/>
                <w:color w:val="auto"/>
              </w:rPr>
              <w:t>723</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706</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97.6%</w:t>
            </w:r>
          </w:p>
        </w:tc>
        <w:tc>
          <w:tcPr>
            <w:tcW w:w="0" w:type="dxa"/>
            <w:vAlign w:val="bottom"/>
          </w:tcPr>
          <w:p>
            <w:pPr>
              <w:spacing w:after="0"/>
              <w:rPr>
                <w:sz w:val="1"/>
                <w:szCs w:val="1"/>
                <w:color w:val="auto"/>
              </w:rPr>
            </w:pPr>
          </w:p>
        </w:tc>
      </w:tr>
      <w:tr>
        <w:trPr>
          <w:trHeight w:val="400"/>
        </w:trPr>
        <w:tc>
          <w:tcPr>
            <w:tcW w:w="5800" w:type="dxa"/>
            <w:vAlign w:val="bottom"/>
            <w:gridSpan w:val="4"/>
          </w:tcPr>
          <w:p>
            <w:pPr>
              <w:spacing w:after="0"/>
              <w:rPr>
                <w:sz w:val="20"/>
                <w:szCs w:val="20"/>
                <w:color w:val="auto"/>
              </w:rPr>
            </w:pPr>
            <w:r>
              <w:rPr>
                <w:rFonts w:ascii="Arial" w:cs="Arial" w:eastAsia="Arial" w:hAnsi="Arial"/>
                <w:sz w:val="17"/>
                <w:szCs w:val="17"/>
                <w:b w:val="1"/>
                <w:bCs w:val="1"/>
                <w:color w:val="auto"/>
              </w:rPr>
              <w:t>Same Center Statistics (1)</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3"/>
            <w:vMerge w:val="restart"/>
          </w:tcPr>
          <w:p>
            <w:pPr>
              <w:jc w:val="right"/>
              <w:ind w:right="260"/>
              <w:spacing w:after="0"/>
              <w:rPr>
                <w:sz w:val="20"/>
                <w:szCs w:val="20"/>
                <w:color w:val="auto"/>
              </w:rPr>
            </w:pPr>
            <w:r>
              <w:rPr>
                <w:rFonts w:ascii="Arial" w:cs="Arial" w:eastAsia="Arial" w:hAnsi="Arial"/>
                <w:sz w:val="13"/>
                <w:szCs w:val="13"/>
                <w:b w:val="1"/>
                <w:bCs w:val="1"/>
                <w:color w:val="auto"/>
                <w:w w:val="92"/>
              </w:rPr>
              <w:t>At June 30, 2008</w:t>
            </w: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At June 30, 2007</w:t>
            </w: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0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Type</w:t>
            </w: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800" w:type="dxa"/>
            <w:vAlign w:val="bottom"/>
            <w:gridSpan w:val="4"/>
            <w:vMerge w:val="continue"/>
          </w:tcPr>
          <w:p>
            <w:pPr>
              <w:spacing w:after="0"/>
              <w:rPr>
                <w:sz w:val="11"/>
                <w:szCs w:val="11"/>
                <w:color w:val="auto"/>
              </w:rPr>
            </w:pPr>
          </w:p>
        </w:tc>
        <w:tc>
          <w:tcPr>
            <w:tcW w:w="780" w:type="dxa"/>
            <w:vAlign w:val="bottom"/>
          </w:tcPr>
          <w:p>
            <w:pPr>
              <w:jc w:val="right"/>
              <w:ind w:right="201"/>
              <w:spacing w:after="0" w:line="138"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1"/>
                <w:szCs w:val="11"/>
                <w:color w:val="auto"/>
              </w:rPr>
            </w:pPr>
          </w:p>
        </w:tc>
        <w:tc>
          <w:tcPr>
            <w:tcW w:w="1000" w:type="dxa"/>
            <w:vAlign w:val="bottom"/>
            <w:gridSpan w:val="2"/>
          </w:tcPr>
          <w:p>
            <w:pPr>
              <w:jc w:val="right"/>
              <w:ind w:right="420"/>
              <w:spacing w:after="0" w:line="138" w:lineRule="exact"/>
              <w:rPr>
                <w:sz w:val="20"/>
                <w:szCs w:val="20"/>
                <w:color w:val="auto"/>
              </w:rPr>
            </w:pPr>
            <w:r>
              <w:rPr>
                <w:rFonts w:ascii="Arial" w:cs="Arial" w:eastAsia="Arial" w:hAnsi="Arial"/>
                <w:sz w:val="13"/>
                <w:szCs w:val="13"/>
                <w:b w:val="1"/>
                <w:bCs w:val="1"/>
                <w:color w:val="auto"/>
              </w:rPr>
              <w:t>Leased</w:t>
            </w:r>
          </w:p>
        </w:tc>
        <w:tc>
          <w:tcPr>
            <w:tcW w:w="560" w:type="dxa"/>
            <w:vAlign w:val="bottom"/>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360" w:type="dxa"/>
            <w:vAlign w:val="bottom"/>
          </w:tcPr>
          <w:p>
            <w:pPr>
              <w:spacing w:after="0"/>
              <w:rPr>
                <w:sz w:val="11"/>
                <w:szCs w:val="11"/>
                <w:color w:val="auto"/>
              </w:rPr>
            </w:pPr>
          </w:p>
        </w:tc>
        <w:tc>
          <w:tcPr>
            <w:tcW w:w="780" w:type="dxa"/>
            <w:vAlign w:val="bottom"/>
          </w:tcPr>
          <w:p>
            <w:pPr>
              <w:jc w:val="right"/>
              <w:ind w:right="201"/>
              <w:spacing w:after="0" w:line="138"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1"/>
                <w:szCs w:val="11"/>
                <w:color w:val="auto"/>
              </w:rPr>
            </w:pPr>
          </w:p>
        </w:tc>
        <w:tc>
          <w:tcPr>
            <w:tcW w:w="1000" w:type="dxa"/>
            <w:vAlign w:val="bottom"/>
            <w:gridSpan w:val="2"/>
          </w:tcPr>
          <w:p>
            <w:pPr>
              <w:ind w:left="180"/>
              <w:spacing w:after="0" w:line="138" w:lineRule="exact"/>
              <w:rPr>
                <w:sz w:val="20"/>
                <w:szCs w:val="20"/>
                <w:color w:val="auto"/>
              </w:rPr>
            </w:pPr>
            <w:r>
              <w:rPr>
                <w:rFonts w:ascii="Arial" w:cs="Arial" w:eastAsia="Arial" w:hAnsi="Arial"/>
                <w:sz w:val="13"/>
                <w:szCs w:val="13"/>
                <w:b w:val="1"/>
                <w:bCs w:val="1"/>
                <w:color w:val="auto"/>
              </w:rPr>
              <w:t>Leased</w:t>
            </w:r>
          </w:p>
        </w:tc>
        <w:tc>
          <w:tcPr>
            <w:tcW w:w="560" w:type="dxa"/>
            <w:vAlign w:val="bottom"/>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Properties (2) (4) (sf)</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16,252,000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15,622,000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15,896,000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15,324,000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80" w:type="dxa"/>
            <w:vAlign w:val="bottom"/>
          </w:tcPr>
          <w:p>
            <w:pPr>
              <w:jc w:val="right"/>
              <w:spacing w:after="0"/>
              <w:rPr>
                <w:sz w:val="20"/>
                <w:szCs w:val="20"/>
                <w:color w:val="auto"/>
              </w:rPr>
            </w:pPr>
            <w:r>
              <w:rPr>
                <w:rFonts w:ascii="Arial" w:cs="Arial" w:eastAsia="Arial" w:hAnsi="Arial"/>
                <w:sz w:val="17"/>
                <w:szCs w:val="17"/>
                <w:color w:val="auto"/>
              </w:rPr>
              <w:t>723</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692</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95.7%</w:t>
            </w:r>
          </w:p>
        </w:tc>
        <w:tc>
          <w:tcPr>
            <w:tcW w:w="780" w:type="dxa"/>
            <w:vAlign w:val="bottom"/>
          </w:tcPr>
          <w:p>
            <w:pPr>
              <w:jc w:val="right"/>
              <w:spacing w:after="0"/>
              <w:rPr>
                <w:sz w:val="20"/>
                <w:szCs w:val="20"/>
                <w:color w:val="auto"/>
              </w:rPr>
            </w:pPr>
            <w:r>
              <w:rPr>
                <w:rFonts w:ascii="Arial" w:cs="Arial" w:eastAsia="Arial" w:hAnsi="Arial"/>
                <w:sz w:val="17"/>
                <w:szCs w:val="17"/>
                <w:color w:val="auto"/>
              </w:rPr>
              <w:t>428</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412</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45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14" w:lineRule="exact"/>
        <w:rPr>
          <w:rFonts w:ascii="Arial" w:cs="Arial" w:eastAsia="Arial" w:hAnsi="Arial"/>
          <w:sz w:val="17"/>
          <w:szCs w:val="17"/>
          <w:color w:val="auto"/>
        </w:rPr>
      </w:pPr>
    </w:p>
    <w:p>
      <w:pPr>
        <w:ind w:left="460" w:right="100" w:hanging="455"/>
        <w:spacing w:after="0" w:line="257"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Overall portfolio statistics at June 30, 2008 and 2007 include Rollingwood, The Crest at Congressional and the residential rental units at Santana Row. The 180 residential units at Arlington East (Bethesda Row) were first delivered in late May 2008 and will continue to be delivered through third quarter 2008. Same center statistics at June 30, 2007 included only Rollingwood and The Crest at Congressional.</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Excludes properties purchased, sold or under redevelopment.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1"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Percentage of</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Tenant Name</w:t>
            </w:r>
          </w:p>
        </w:tc>
        <w:tc>
          <w:tcPr>
            <w:tcW w:w="260" w:type="dxa"/>
            <w:vAlign w:val="bottom"/>
          </w:tcPr>
          <w:p>
            <w:pPr>
              <w:spacing w:after="0"/>
              <w:rPr>
                <w:sz w:val="12"/>
                <w:szCs w:val="12"/>
                <w:color w:val="auto"/>
              </w:rPr>
            </w:pPr>
          </w:p>
        </w:tc>
        <w:tc>
          <w:tcPr>
            <w:tcW w:w="1480" w:type="dxa"/>
            <w:vAlign w:val="bottom"/>
            <w:gridSpan w:val="3"/>
          </w:tcPr>
          <w:p>
            <w:pPr>
              <w:jc w:val="center"/>
              <w:ind w:right="460"/>
              <w:spacing w:after="0" w:line="144" w:lineRule="exact"/>
              <w:rPr>
                <w:sz w:val="20"/>
                <w:szCs w:val="20"/>
                <w:color w:val="auto"/>
              </w:rPr>
            </w:pPr>
            <w:r>
              <w:rPr>
                <w:rFonts w:ascii="Arial" w:cs="Arial" w:eastAsia="Arial" w:hAnsi="Arial"/>
                <w:sz w:val="13"/>
                <w:szCs w:val="13"/>
                <w:b w:val="1"/>
                <w:bCs w:val="1"/>
                <w:color w:val="auto"/>
                <w:w w:val="90"/>
              </w:rPr>
              <w:t>Annualized Base</w:t>
            </w:r>
          </w:p>
        </w:tc>
        <w:tc>
          <w:tcPr>
            <w:tcW w:w="1360" w:type="dxa"/>
            <w:vAlign w:val="bottom"/>
            <w:gridSpan w:val="2"/>
          </w:tcPr>
          <w:p>
            <w:pPr>
              <w:jc w:val="center"/>
              <w:ind w:right="420"/>
              <w:spacing w:after="0" w:line="144" w:lineRule="exact"/>
              <w:rPr>
                <w:sz w:val="20"/>
                <w:szCs w:val="20"/>
                <w:color w:val="auto"/>
              </w:rPr>
            </w:pPr>
            <w:r>
              <w:rPr>
                <w:rFonts w:ascii="Arial" w:cs="Arial" w:eastAsia="Arial" w:hAnsi="Arial"/>
                <w:sz w:val="13"/>
                <w:szCs w:val="13"/>
                <w:b w:val="1"/>
                <w:bCs w:val="1"/>
                <w:color w:val="auto"/>
                <w:w w:val="90"/>
              </w:rPr>
              <w:t>Total Annualized</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tcPr>
          <w:p>
            <w:pPr>
              <w:jc w:val="right"/>
              <w:ind w:right="400"/>
              <w:spacing w:after="0" w:line="144" w:lineRule="exact"/>
              <w:rPr>
                <w:sz w:val="20"/>
                <w:szCs w:val="20"/>
                <w:color w:val="auto"/>
              </w:rPr>
            </w:pPr>
            <w:r>
              <w:rPr>
                <w:rFonts w:ascii="Arial" w:cs="Arial" w:eastAsia="Arial" w:hAnsi="Arial"/>
                <w:sz w:val="13"/>
                <w:szCs w:val="13"/>
                <w:b w:val="1"/>
                <w:bCs w:val="1"/>
                <w:color w:val="auto"/>
                <w:w w:val="86"/>
              </w:rPr>
              <w:t>Percentage of</w:t>
            </w:r>
          </w:p>
        </w:tc>
        <w:tc>
          <w:tcPr>
            <w:tcW w:w="64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83"/>
              </w:rPr>
              <w:t>Stores</w:t>
            </w:r>
          </w:p>
        </w:tc>
        <w:tc>
          <w:tcPr>
            <w:tcW w:w="0" w:type="dxa"/>
            <w:vAlign w:val="bottom"/>
          </w:tcPr>
          <w:p>
            <w:pPr>
              <w:spacing w:after="0"/>
              <w:rPr>
                <w:sz w:val="1"/>
                <w:szCs w:val="1"/>
                <w:color w:val="auto"/>
              </w:rPr>
            </w:pPr>
          </w:p>
        </w:tc>
      </w:tr>
      <w:tr>
        <w:trPr>
          <w:trHeight w:val="157"/>
        </w:trPr>
        <w:tc>
          <w:tcPr>
            <w:tcW w:w="320" w:type="dxa"/>
            <w:vAlign w:val="bottom"/>
            <w:gridSpan w:val="2"/>
          </w:tcPr>
          <w:p>
            <w:pPr>
              <w:spacing w:after="0"/>
              <w:rPr>
                <w:sz w:val="20"/>
                <w:szCs w:val="20"/>
                <w:color w:val="auto"/>
              </w:rPr>
            </w:pPr>
            <w:r>
              <w:rPr>
                <w:rFonts w:ascii="Arial" w:cs="Arial" w:eastAsia="Arial" w:hAnsi="Arial"/>
                <w:sz w:val="13"/>
                <w:szCs w:val="13"/>
                <w:b w:val="1"/>
                <w:bCs w:val="1"/>
                <w:color w:val="auto"/>
                <w:w w:val="94"/>
              </w:rPr>
              <w:t>Rank</w:t>
            </w:r>
          </w:p>
        </w:tc>
        <w:tc>
          <w:tcPr>
            <w:tcW w:w="24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6"/>
              </w:rPr>
              <w:t>Rent</w:t>
            </w:r>
          </w:p>
        </w:tc>
        <w:tc>
          <w:tcPr>
            <w:tcW w:w="13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1"/>
              </w:rPr>
              <w:t>Base Rent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7"/>
              </w:rPr>
              <w:t>Tenant GLA</w:t>
            </w:r>
          </w:p>
        </w:tc>
        <w:tc>
          <w:tcPr>
            <w:tcW w:w="480" w:type="dxa"/>
            <w:vAlign w:val="bottom"/>
          </w:tcPr>
          <w:p>
            <w:pPr>
              <w:spacing w:after="0"/>
              <w:rPr>
                <w:sz w:val="13"/>
                <w:szCs w:val="13"/>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Total GLA</w:t>
            </w: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Bed, Bath &amp; Beyond, Inc.</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9,637,000</w:t>
            </w:r>
          </w:p>
        </w:tc>
        <w:tc>
          <w:tcPr>
            <w:tcW w:w="4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647,000</w:t>
            </w:r>
          </w:p>
        </w:tc>
        <w:tc>
          <w:tcPr>
            <w:tcW w:w="4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3.52%</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Ahold USA, Inc.</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8,166,000</w:t>
            </w:r>
          </w:p>
        </w:tc>
        <w:tc>
          <w:tcPr>
            <w:tcW w:w="4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2.24%</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571,000</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3.10%</w:t>
            </w: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Safeway,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6,719,000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481,000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TJX Companies</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6,531,000</w:t>
            </w:r>
          </w:p>
        </w:tc>
        <w:tc>
          <w:tcPr>
            <w:tcW w:w="4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1.79%</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541,000</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2.94%</w:t>
            </w: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Gap,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6,364,000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220,000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CVS Corporation</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5,453,000</w:t>
            </w:r>
          </w:p>
        </w:tc>
        <w:tc>
          <w:tcPr>
            <w:tcW w:w="4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1.49%</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166,000</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0.90%</w:t>
            </w: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Barnes &amp; Noble,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201,000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1.09%</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OPNET Technologies, Inc.</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3,645,000</w:t>
            </w:r>
          </w:p>
        </w:tc>
        <w:tc>
          <w:tcPr>
            <w:tcW w:w="4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1.00%</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83,000</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0.45%</w:t>
            </w: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DSW,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3,486,000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0.96%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125,000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0.68%</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Best Buy Stores, L.P.</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3,457,000</w:t>
            </w:r>
          </w:p>
        </w:tc>
        <w:tc>
          <w:tcPr>
            <w:tcW w:w="4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0.95%</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99,000</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0.54%</w:t>
            </w: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Staples,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3,376,000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0.92%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187,000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1.02%</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Supervalu Inc. (Acme/Sav-A-Lot/Star Mkt/Shoppers Food)</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3,204,000</w:t>
            </w:r>
          </w:p>
        </w:tc>
        <w:tc>
          <w:tcPr>
            <w:tcW w:w="4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0.88%</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338,000</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1.84%</w:t>
            </w:r>
          </w:p>
        </w:tc>
        <w:tc>
          <w:tcPr>
            <w:tcW w:w="62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13</w:t>
            </w:r>
          </w:p>
        </w:tc>
        <w:tc>
          <w:tcPr>
            <w:tcW w:w="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Borders Group,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2,834,000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0.78%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129,000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0.70%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Home Depot, Inc.</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2,832,000</w:t>
            </w:r>
          </w:p>
        </w:tc>
        <w:tc>
          <w:tcPr>
            <w:tcW w:w="4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0.78%</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335,000</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1.82%</w:t>
            </w: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15</w:t>
            </w:r>
          </w:p>
        </w:tc>
        <w:tc>
          <w:tcPr>
            <w:tcW w:w="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Kohl’s Corporation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2,793,000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0.77%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322,000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1.75%</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Ross Stores, Inc.</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2,672,000</w:t>
            </w:r>
          </w:p>
        </w:tc>
        <w:tc>
          <w:tcPr>
            <w:tcW w:w="4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0.73%</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149,000</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0.81%</w:t>
            </w: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17</w:t>
            </w:r>
          </w:p>
        </w:tc>
        <w:tc>
          <w:tcPr>
            <w:tcW w:w="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Wakefern Food Corporation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0.70%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136,000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0.74%</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Wachovia Corporation</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2,536,000</w:t>
            </w:r>
          </w:p>
        </w:tc>
        <w:tc>
          <w:tcPr>
            <w:tcW w:w="4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0.69%</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58,000</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0.32%</w:t>
            </w:r>
          </w:p>
        </w:tc>
        <w:tc>
          <w:tcPr>
            <w:tcW w:w="62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19</w:t>
            </w:r>
          </w:p>
        </w:tc>
        <w:tc>
          <w:tcPr>
            <w:tcW w:w="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A.C. Moore,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141,000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0.77%</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L.A. Fitness International LLC</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2,388,000</w:t>
            </w:r>
          </w:p>
        </w:tc>
        <w:tc>
          <w:tcPr>
            <w:tcW w:w="4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0.65%</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117,000</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0.64%</w:t>
            </w: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21</w:t>
            </w:r>
          </w:p>
        </w:tc>
        <w:tc>
          <w:tcPr>
            <w:tcW w:w="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AMC Entertainment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166,000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0.90%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22</w:t>
            </w:r>
          </w:p>
        </w:tc>
        <w:tc>
          <w:tcPr>
            <w:tcW w:w="2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Container Store, Inc.</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2,354,000</w:t>
            </w:r>
          </w:p>
        </w:tc>
        <w:tc>
          <w:tcPr>
            <w:tcW w:w="4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0.64%</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52,000</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0.28%</w:t>
            </w: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23</w:t>
            </w:r>
          </w:p>
        </w:tc>
        <w:tc>
          <w:tcPr>
            <w:tcW w:w="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PETsMART,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2,240,000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130,000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0.71%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Dollar Tree Stores, Inc.</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2,223,000</w:t>
            </w:r>
          </w:p>
        </w:tc>
        <w:tc>
          <w:tcPr>
            <w:tcW w:w="4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0.61%</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147,000</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0.80%</w:t>
            </w:r>
          </w:p>
        </w:tc>
        <w:tc>
          <w:tcPr>
            <w:tcW w:w="62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25</w:t>
            </w:r>
          </w:p>
        </w:tc>
        <w:tc>
          <w:tcPr>
            <w:tcW w:w="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Bank of America, N.A.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58,000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0.32%</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7"/>
                <w:szCs w:val="17"/>
                <w:color w:val="auto"/>
              </w:rPr>
              <w:t>Totals - Top 25 Tenants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97,244,000</w:t>
            </w:r>
          </w:p>
        </w:tc>
        <w:tc>
          <w:tcPr>
            <w:tcW w:w="4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26.64%</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5,599,000</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30.45%</w:t>
            </w: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Total: (1)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9"/>
              </w:rPr>
              <w:t>364,974,000 (2)</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6"/>
              </w:rPr>
              <w:t>18,399,000</w:t>
            </w:r>
          </w:p>
        </w:tc>
        <w:tc>
          <w:tcPr>
            <w:tcW w:w="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96"/>
              </w:rPr>
              <w:t>(3)</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5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Does not include amounts related to leases these tenants have with our partnership with Clarion Lion Properties Fund.</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annual in-place contractual (cash-basis) rent as of June 30, 2008.</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1"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to FFO Guidance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rPr>
              <w:t>2008 Guidance</w:t>
            </w:r>
          </w:p>
        </w:tc>
        <w:tc>
          <w:tcPr>
            <w:tcW w:w="3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4"/>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1300" w:type="dxa"/>
            <w:vAlign w:val="bottom"/>
            <w:gridSpan w:val="4"/>
          </w:tcPr>
          <w:p>
            <w:pPr>
              <w:jc w:val="right"/>
              <w:ind w:right="20"/>
              <w:spacing w:after="0" w:line="124" w:lineRule="exact"/>
              <w:rPr>
                <w:sz w:val="20"/>
                <w:szCs w:val="20"/>
                <w:color w:val="auto"/>
              </w:rPr>
            </w:pPr>
            <w:r>
              <w:rPr>
                <w:rFonts w:ascii="Arial" w:cs="Arial" w:eastAsia="Arial" w:hAnsi="Arial"/>
                <w:sz w:val="13"/>
                <w:szCs w:val="13"/>
                <w:b w:val="1"/>
                <w:bCs w:val="1"/>
                <w:color w:val="auto"/>
              </w:rPr>
              <w:t>($ millions except</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166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per share amounts) (1)</w:t>
            </w:r>
          </w:p>
        </w:tc>
      </w:tr>
      <w:tr>
        <w:trPr>
          <w:trHeight w:val="210"/>
        </w:trPr>
        <w:tc>
          <w:tcPr>
            <w:tcW w:w="20" w:type="dxa"/>
            <w:vAlign w:val="bottom"/>
          </w:tcPr>
          <w:p>
            <w:pPr>
              <w:spacing w:after="0"/>
              <w:rPr>
                <w:sz w:val="18"/>
                <w:szCs w:val="18"/>
                <w:color w:val="auto"/>
              </w:rPr>
            </w:pPr>
          </w:p>
        </w:tc>
        <w:tc>
          <w:tcPr>
            <w:tcW w:w="9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  123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to   $</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125</w:t>
            </w:r>
          </w:p>
        </w:tc>
      </w:tr>
      <w:tr>
        <w:trPr>
          <w:trHeight w:val="210"/>
        </w:trPr>
        <w:tc>
          <w:tcPr>
            <w:tcW w:w="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7"/>
                <w:szCs w:val="17"/>
                <w:color w:val="auto"/>
              </w:rPr>
              <w:t>Gain on sale of real estate</w:t>
            </w:r>
          </w:p>
        </w:tc>
        <w:tc>
          <w:tcPr>
            <w:tcW w:w="44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r>
      <w:tr>
        <w:trPr>
          <w:trHeight w:val="210"/>
        </w:trPr>
        <w:tc>
          <w:tcPr>
            <w:tcW w:w="20" w:type="dxa"/>
            <w:vAlign w:val="bottom"/>
          </w:tcPr>
          <w:p>
            <w:pPr>
              <w:spacing w:after="0"/>
              <w:rPr>
                <w:sz w:val="18"/>
                <w:szCs w:val="18"/>
                <w:color w:val="auto"/>
              </w:rPr>
            </w:pPr>
          </w:p>
        </w:tc>
        <w:tc>
          <w:tcPr>
            <w:tcW w:w="9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&amp; real estate partnership assets</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99</w:t>
            </w:r>
          </w:p>
        </w:tc>
      </w:tr>
      <w:tr>
        <w:trPr>
          <w:trHeight w:val="216"/>
        </w:trPr>
        <w:tc>
          <w:tcPr>
            <w:tcW w:w="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7"/>
                <w:szCs w:val="17"/>
                <w:color w:val="auto"/>
              </w:rPr>
              <w:t>Amortization of initial direct costs of leases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232</w:t>
            </w:r>
          </w:p>
        </w:tc>
      </w:tr>
      <w:tr>
        <w:trPr>
          <w:trHeight w:val="210"/>
        </w:trPr>
        <w:tc>
          <w:tcPr>
            <w:tcW w:w="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7"/>
                <w:szCs w:val="17"/>
                <w:color w:val="auto"/>
              </w:rPr>
              <w:t>Income attributable to operating partnership units</w:t>
            </w: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r>
      <w:tr>
        <w:trPr>
          <w:trHeight w:val="210"/>
        </w:trPr>
        <w:tc>
          <w:tcPr>
            <w:tcW w:w="20" w:type="dxa"/>
            <w:vAlign w:val="bottom"/>
          </w:tcPr>
          <w:p>
            <w:pPr>
              <w:spacing w:after="0"/>
              <w:rPr>
                <w:sz w:val="18"/>
                <w:szCs w:val="18"/>
                <w:color w:val="auto"/>
              </w:rPr>
            </w:pPr>
          </w:p>
        </w:tc>
        <w:tc>
          <w:tcPr>
            <w:tcW w:w="9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5"/>
        </w:trPr>
        <w:tc>
          <w:tcPr>
            <w:tcW w:w="9760" w:type="dxa"/>
            <w:vAlign w:val="bottom"/>
            <w:gridSpan w:val="3"/>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20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to</w:t>
            </w:r>
          </w:p>
        </w:tc>
        <w:tc>
          <w:tcPr>
            <w:tcW w:w="1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233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(diluted)</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9760" w:type="dxa"/>
            <w:vAlign w:val="bottom"/>
            <w:gridSpan w:val="3"/>
          </w:tcPr>
          <w:p>
            <w:pPr>
              <w:spacing w:after="0"/>
              <w:rPr>
                <w:sz w:val="20"/>
                <w:szCs w:val="20"/>
                <w:color w:val="auto"/>
              </w:rPr>
            </w:pPr>
            <w:r>
              <w:rPr>
                <w:rFonts w:ascii="Arial" w:cs="Arial" w:eastAsia="Arial" w:hAnsi="Arial"/>
                <w:sz w:val="17"/>
                <w:szCs w:val="17"/>
                <w:color w:val="auto"/>
              </w:rPr>
              <w:t>Funds from operations available for common shareholders per diluted share</w:t>
            </w:r>
          </w:p>
        </w:tc>
        <w:tc>
          <w:tcPr>
            <w:tcW w:w="440" w:type="dxa"/>
            <w:vAlign w:val="bottom"/>
          </w:tcPr>
          <w:p>
            <w:pPr>
              <w:jc w:val="right"/>
              <w:spacing w:after="0"/>
              <w:rPr>
                <w:sz w:val="20"/>
                <w:szCs w:val="20"/>
                <w:color w:val="auto"/>
              </w:rPr>
            </w:pPr>
            <w:r>
              <w:rPr>
                <w:rFonts w:ascii="Arial" w:cs="Arial" w:eastAsia="Arial" w:hAnsi="Arial"/>
                <w:sz w:val="17"/>
                <w:szCs w:val="17"/>
                <w:color w:val="auto"/>
                <w:w w:val="88"/>
              </w:rPr>
              <w:t>$ 3.89</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3.92</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0" w:lineRule="exact"/>
        <w:rPr>
          <w:sz w:val="20"/>
          <w:szCs w:val="20"/>
          <w:color w:val="auto"/>
        </w:rPr>
      </w:pPr>
    </w:p>
    <w:p>
      <w:pPr>
        <w:ind w:left="460" w:hanging="45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Individual items may not add up to total due to rounding.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71"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 Disclosure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Clarion Lion Properties Fund</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219"/>
          </w:cols>
          <w:pgMar w:left="240" w:top="271" w:right="1440"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 and Balance Sheets - Joint Venture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CONSOLIDATED INCOME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860" w:type="dxa"/>
            <w:vAlign w:val="bottom"/>
            <w:gridSpan w:val="6"/>
          </w:tcPr>
          <w:p>
            <w:pPr>
              <w:jc w:val="right"/>
              <w:ind w:right="140"/>
              <w:spacing w:after="0"/>
              <w:rPr>
                <w:sz w:val="20"/>
                <w:szCs w:val="20"/>
                <w:color w:val="auto"/>
              </w:rPr>
            </w:pPr>
            <w:r>
              <w:rPr>
                <w:rFonts w:ascii="Arial" w:cs="Arial" w:eastAsia="Arial" w:hAnsi="Arial"/>
                <w:sz w:val="13"/>
                <w:szCs w:val="13"/>
                <w:b w:val="1"/>
                <w:bCs w:val="1"/>
                <w:color w:val="auto"/>
                <w:w w:val="92"/>
              </w:rPr>
              <w:t>Three months ended June 30,</w:t>
            </w:r>
          </w:p>
        </w:tc>
        <w:tc>
          <w:tcPr>
            <w:tcW w:w="200" w:type="dxa"/>
            <w:vAlign w:val="bottom"/>
          </w:tcPr>
          <w:p>
            <w:pPr>
              <w:spacing w:after="0"/>
              <w:rPr>
                <w:sz w:val="13"/>
                <w:szCs w:val="13"/>
                <w:color w:val="auto"/>
              </w:rPr>
            </w:pPr>
          </w:p>
        </w:tc>
        <w:tc>
          <w:tcPr>
            <w:tcW w:w="1720" w:type="dxa"/>
            <w:vAlign w:val="bottom"/>
            <w:gridSpan w:val="8"/>
          </w:tcPr>
          <w:p>
            <w:pPr>
              <w:jc w:val="center"/>
              <w:ind w:right="60"/>
              <w:spacing w:after="0"/>
              <w:rPr>
                <w:sz w:val="20"/>
                <w:szCs w:val="20"/>
                <w:color w:val="auto"/>
              </w:rPr>
            </w:pPr>
            <w:r>
              <w:rPr>
                <w:rFonts w:ascii="Arial" w:cs="Arial" w:eastAsia="Arial" w:hAnsi="Arial"/>
                <w:sz w:val="13"/>
                <w:szCs w:val="13"/>
                <w:b w:val="1"/>
                <w:bCs w:val="1"/>
                <w:color w:val="auto"/>
                <w:w w:val="89"/>
              </w:rPr>
              <w:t>Six months ended June 30,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2008</w:t>
            </w: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7"/>
              <w:spacing w:after="0" w:line="138" w:lineRule="exact"/>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2008</w:t>
            </w:r>
          </w:p>
        </w:tc>
        <w:tc>
          <w:tcPr>
            <w:tcW w:w="2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3"/>
          </w:tcPr>
          <w:p>
            <w:pPr>
              <w:jc w:val="right"/>
              <w:ind w:right="417"/>
              <w:spacing w:after="0" w:line="124" w:lineRule="exact"/>
              <w:rPr>
                <w:sz w:val="20"/>
                <w:szCs w:val="20"/>
                <w:color w:val="auto"/>
              </w:rPr>
            </w:pPr>
            <w:r>
              <w:rPr>
                <w:rFonts w:ascii="Arial" w:cs="Arial" w:eastAsia="Arial" w:hAnsi="Arial"/>
                <w:sz w:val="13"/>
                <w:szCs w:val="13"/>
                <w:b w:val="1"/>
                <w:bCs w:val="1"/>
                <w:color w:val="auto"/>
                <w:w w:val="77"/>
              </w:rPr>
              <w:t>thousands)</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34"/>
              <w:spacing w:after="0" w:line="124" w:lineRule="exact"/>
              <w:rPr>
                <w:sz w:val="20"/>
                <w:szCs w:val="20"/>
                <w:color w:val="auto"/>
              </w:rPr>
            </w:pPr>
            <w:r>
              <w:rPr>
                <w:rFonts w:ascii="Arial" w:cs="Arial" w:eastAsia="Arial" w:hAnsi="Arial"/>
                <w:sz w:val="13"/>
                <w:szCs w:val="13"/>
                <w:b w:val="1"/>
                <w:bCs w:val="1"/>
                <w:color w:val="auto"/>
              </w:rPr>
              <w:t>(in</w:t>
            </w:r>
          </w:p>
        </w:tc>
        <w:tc>
          <w:tcPr>
            <w:tcW w:w="980" w:type="dxa"/>
            <w:vAlign w:val="bottom"/>
            <w:gridSpan w:val="4"/>
          </w:tcPr>
          <w:p>
            <w:pPr>
              <w:jc w:val="right"/>
              <w:ind w:right="336"/>
              <w:spacing w:after="0" w:line="124" w:lineRule="exact"/>
              <w:rPr>
                <w:sz w:val="20"/>
                <w:szCs w:val="20"/>
                <w:color w:val="auto"/>
              </w:rPr>
            </w:pPr>
            <w:r>
              <w:rPr>
                <w:rFonts w:ascii="Arial" w:cs="Arial" w:eastAsia="Arial" w:hAnsi="Arial"/>
                <w:sz w:val="13"/>
                <w:szCs w:val="13"/>
                <w:b w:val="1"/>
                <w:bCs w:val="1"/>
                <w:color w:val="auto"/>
                <w:w w:val="77"/>
              </w:rPr>
              <w:t>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gridSpan w:val="6"/>
          </w:tcPr>
          <w:p>
            <w:pPr>
              <w:jc w:val="center"/>
              <w:ind w:right="540"/>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ind w:left="400"/>
              <w:spacing w:after="0"/>
              <w:rPr>
                <w:sz w:val="20"/>
                <w:szCs w:val="20"/>
                <w:color w:val="auto"/>
              </w:rPr>
            </w:pPr>
            <w:r>
              <w:rPr>
                <w:rFonts w:ascii="Arial" w:cs="Arial" w:eastAsia="Arial" w:hAnsi="Arial"/>
                <w:sz w:val="17"/>
                <w:szCs w:val="17"/>
                <w:color w:val="auto"/>
              </w:rPr>
              <w:t>Rental income</w:t>
            </w:r>
          </w:p>
        </w:tc>
        <w:tc>
          <w:tcPr>
            <w:tcW w:w="3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34"/>
              <w:spacing w:after="0"/>
              <w:rPr>
                <w:sz w:val="20"/>
                <w:szCs w:val="20"/>
                <w:color w:val="auto"/>
              </w:rPr>
            </w:pPr>
            <w:r>
              <w:rPr>
                <w:rFonts w:ascii="Arial" w:cs="Arial" w:eastAsia="Arial" w:hAnsi="Arial"/>
                <w:sz w:val="17"/>
                <w:szCs w:val="17"/>
                <w:color w:val="auto"/>
              </w:rPr>
              <w:t>4,760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4,333</w:t>
            </w:r>
          </w:p>
        </w:tc>
        <w:tc>
          <w:tcPr>
            <w:tcW w:w="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80" w:type="dxa"/>
            <w:vAlign w:val="bottom"/>
            <w:gridSpan w:val="3"/>
          </w:tcPr>
          <w:p>
            <w:pPr>
              <w:jc w:val="right"/>
              <w:ind w:right="134"/>
              <w:spacing w:after="0"/>
              <w:rPr>
                <w:sz w:val="20"/>
                <w:szCs w:val="20"/>
                <w:color w:val="auto"/>
              </w:rPr>
            </w:pPr>
            <w:r>
              <w:rPr>
                <w:rFonts w:ascii="Arial" w:cs="Arial" w:eastAsia="Arial" w:hAnsi="Arial"/>
                <w:sz w:val="17"/>
                <w:szCs w:val="17"/>
                <w:color w:val="auto"/>
              </w:rPr>
              <w:t>9,377</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7,818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Other property income</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46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34"/>
              <w:spacing w:after="0"/>
              <w:rPr>
                <w:sz w:val="20"/>
                <w:szCs w:val="20"/>
                <w:color w:val="auto"/>
              </w:rPr>
            </w:pPr>
            <w:r>
              <w:rPr>
                <w:rFonts w:ascii="Arial" w:cs="Arial" w:eastAsia="Arial" w:hAnsi="Arial"/>
                <w:sz w:val="17"/>
                <w:szCs w:val="17"/>
                <w:color w:val="auto"/>
              </w:rPr>
              <w:t>109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34"/>
              <w:spacing w:after="0"/>
              <w:rPr>
                <w:sz w:val="20"/>
                <w:szCs w:val="20"/>
                <w:color w:val="auto"/>
              </w:rPr>
            </w:pPr>
            <w:r>
              <w:rPr>
                <w:rFonts w:ascii="Arial" w:cs="Arial" w:eastAsia="Arial" w:hAnsi="Arial"/>
                <w:sz w:val="17"/>
                <w:szCs w:val="17"/>
                <w:color w:val="auto"/>
              </w:rPr>
              <w:t>4,806</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4,437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34"/>
              <w:spacing w:after="0"/>
              <w:rPr>
                <w:sz w:val="20"/>
                <w:szCs w:val="20"/>
                <w:color w:val="auto"/>
              </w:rPr>
            </w:pPr>
            <w:r>
              <w:rPr>
                <w:rFonts w:ascii="Arial" w:cs="Arial" w:eastAsia="Arial" w:hAnsi="Arial"/>
                <w:sz w:val="17"/>
                <w:szCs w:val="17"/>
                <w:color w:val="auto"/>
              </w:rPr>
              <w:t>9,486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7,968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Expenses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ind w:left="400"/>
              <w:spacing w:after="0"/>
              <w:rPr>
                <w:sz w:val="20"/>
                <w:szCs w:val="20"/>
                <w:color w:val="auto"/>
              </w:rPr>
            </w:pPr>
            <w:r>
              <w:rPr>
                <w:rFonts w:ascii="Arial" w:cs="Arial" w:eastAsia="Arial" w:hAnsi="Arial"/>
                <w:sz w:val="17"/>
                <w:szCs w:val="17"/>
                <w:color w:val="auto"/>
              </w:rPr>
              <w:t>Rental</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34"/>
              <w:spacing w:after="0"/>
              <w:rPr>
                <w:sz w:val="20"/>
                <w:szCs w:val="20"/>
                <w:color w:val="auto"/>
              </w:rPr>
            </w:pPr>
            <w:r>
              <w:rPr>
                <w:rFonts w:ascii="Arial" w:cs="Arial" w:eastAsia="Arial" w:hAnsi="Arial"/>
                <w:sz w:val="17"/>
                <w:szCs w:val="17"/>
                <w:color w:val="auto"/>
              </w:rPr>
              <w:t>671</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639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34"/>
              <w:spacing w:after="0"/>
              <w:rPr>
                <w:sz w:val="20"/>
                <w:szCs w:val="20"/>
                <w:color w:val="auto"/>
              </w:rPr>
            </w:pPr>
            <w:r>
              <w:rPr>
                <w:rFonts w:ascii="Arial" w:cs="Arial" w:eastAsia="Arial" w:hAnsi="Arial"/>
                <w:sz w:val="17"/>
                <w:szCs w:val="17"/>
                <w:color w:val="auto"/>
              </w:rPr>
              <w:t>1,545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Real estate taxes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495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34"/>
              <w:spacing w:after="0"/>
              <w:rPr>
                <w:sz w:val="20"/>
                <w:szCs w:val="20"/>
                <w:color w:val="auto"/>
              </w:rPr>
            </w:pPr>
            <w:r>
              <w:rPr>
                <w:rFonts w:ascii="Arial" w:cs="Arial" w:eastAsia="Arial" w:hAnsi="Arial"/>
                <w:sz w:val="17"/>
                <w:szCs w:val="17"/>
                <w:color w:val="auto"/>
              </w:rPr>
              <w:t>960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ind w:left="400"/>
              <w:spacing w:after="0"/>
              <w:rPr>
                <w:sz w:val="20"/>
                <w:szCs w:val="20"/>
                <w:color w:val="auto"/>
              </w:rPr>
            </w:pPr>
            <w:r>
              <w:rPr>
                <w:rFonts w:ascii="Arial" w:cs="Arial" w:eastAsia="Arial" w:hAnsi="Arial"/>
                <w:sz w:val="17"/>
                <w:szCs w:val="17"/>
                <w:color w:val="auto"/>
              </w:rPr>
              <w:t>Depreciation and amortization</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34"/>
              <w:spacing w:after="0"/>
              <w:rPr>
                <w:sz w:val="20"/>
                <w:szCs w:val="20"/>
                <w:color w:val="auto"/>
              </w:rPr>
            </w:pPr>
            <w:r>
              <w:rPr>
                <w:rFonts w:ascii="Arial" w:cs="Arial" w:eastAsia="Arial" w:hAnsi="Arial"/>
                <w:sz w:val="17"/>
                <w:szCs w:val="17"/>
                <w:color w:val="auto"/>
              </w:rPr>
              <w:t>1,192</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1,162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34"/>
              <w:spacing w:after="0"/>
              <w:rPr>
                <w:sz w:val="20"/>
                <w:szCs w:val="20"/>
                <w:color w:val="auto"/>
              </w:rPr>
            </w:pPr>
            <w:r>
              <w:rPr>
                <w:rFonts w:ascii="Arial" w:cs="Arial" w:eastAsia="Arial" w:hAnsi="Arial"/>
                <w:sz w:val="17"/>
                <w:szCs w:val="17"/>
                <w:color w:val="auto"/>
              </w:rPr>
              <w:t>2,377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2,137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2,358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34"/>
              <w:spacing w:after="0"/>
              <w:rPr>
                <w:sz w:val="20"/>
                <w:szCs w:val="20"/>
                <w:color w:val="auto"/>
              </w:rPr>
            </w:pPr>
            <w:r>
              <w:rPr>
                <w:rFonts w:ascii="Arial" w:cs="Arial" w:eastAsia="Arial" w:hAnsi="Arial"/>
                <w:sz w:val="17"/>
                <w:szCs w:val="17"/>
                <w:color w:val="auto"/>
              </w:rPr>
              <w:t>4,882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gridSpan w:val="2"/>
            <w:vMerge w:val="restart"/>
          </w:tcPr>
          <w:p>
            <w:pPr>
              <w:ind w:left="400"/>
              <w:spacing w:after="0"/>
              <w:rPr>
                <w:sz w:val="20"/>
                <w:szCs w:val="20"/>
                <w:color w:val="auto"/>
              </w:rPr>
            </w:pPr>
            <w:r>
              <w:rPr>
                <w:rFonts w:ascii="Arial" w:cs="Arial" w:eastAsia="Arial" w:hAnsi="Arial"/>
                <w:sz w:val="17"/>
                <w:szCs w:val="17"/>
                <w:color w:val="auto"/>
              </w:rPr>
              <w:t>Operating income</w:t>
            </w:r>
          </w:p>
        </w:tc>
        <w:tc>
          <w:tcPr>
            <w:tcW w:w="2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gridSpan w:val="2"/>
            <w:vMerge w:val="continue"/>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34"/>
              <w:spacing w:after="0"/>
              <w:rPr>
                <w:sz w:val="20"/>
                <w:szCs w:val="20"/>
                <w:color w:val="auto"/>
              </w:rPr>
            </w:pPr>
            <w:r>
              <w:rPr>
                <w:rFonts w:ascii="Arial" w:cs="Arial" w:eastAsia="Arial" w:hAnsi="Arial"/>
                <w:sz w:val="17"/>
                <w:szCs w:val="17"/>
                <w:color w:val="auto"/>
              </w:rPr>
              <w:t>2,448</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2,234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34"/>
              <w:spacing w:after="0"/>
              <w:rPr>
                <w:sz w:val="20"/>
                <w:szCs w:val="20"/>
                <w:color w:val="auto"/>
              </w:rPr>
            </w:pPr>
            <w:r>
              <w:rPr>
                <w:rFonts w:ascii="Arial" w:cs="Arial" w:eastAsia="Arial" w:hAnsi="Arial"/>
                <w:sz w:val="17"/>
                <w:szCs w:val="17"/>
                <w:color w:val="auto"/>
              </w:rPr>
              <w:t>4,604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3,885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(1,135)</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74"/>
              <w:spacing w:after="0"/>
              <w:rPr>
                <w:sz w:val="20"/>
                <w:szCs w:val="20"/>
                <w:color w:val="auto"/>
              </w:rPr>
            </w:pPr>
            <w:r>
              <w:rPr>
                <w:rFonts w:ascii="Arial" w:cs="Arial" w:eastAsia="Arial" w:hAnsi="Arial"/>
                <w:sz w:val="17"/>
                <w:szCs w:val="17"/>
                <w:color w:val="auto"/>
              </w:rPr>
              <w:t>(2,270)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(2,206)</w:t>
            </w: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7"/>
                <w:szCs w:val="17"/>
                <w:color w:val="auto"/>
              </w:rPr>
              <w:t>Net income</w:t>
            </w:r>
          </w:p>
        </w:tc>
        <w:tc>
          <w:tcPr>
            <w:tcW w:w="2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80" w:type="dxa"/>
            <w:vAlign w:val="bottom"/>
            <w:gridSpan w:val="3"/>
            <w:vMerge w:val="continue"/>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34"/>
              <w:spacing w:after="0"/>
              <w:rPr>
                <w:sz w:val="20"/>
                <w:szCs w:val="20"/>
                <w:color w:val="auto"/>
              </w:rPr>
            </w:pPr>
            <w:r>
              <w:rPr>
                <w:rFonts w:ascii="Arial" w:cs="Arial" w:eastAsia="Arial" w:hAnsi="Arial"/>
                <w:sz w:val="17"/>
                <w:szCs w:val="17"/>
                <w:color w:val="auto"/>
              </w:rPr>
              <w:t>1,313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1,102</w:t>
            </w:r>
          </w:p>
        </w:tc>
        <w:tc>
          <w:tcPr>
            <w:tcW w:w="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80" w:type="dxa"/>
            <w:vAlign w:val="bottom"/>
            <w:gridSpan w:val="3"/>
          </w:tcPr>
          <w:p>
            <w:pPr>
              <w:jc w:val="right"/>
              <w:ind w:right="134"/>
              <w:spacing w:after="0"/>
              <w:rPr>
                <w:sz w:val="20"/>
                <w:szCs w:val="20"/>
                <w:color w:val="auto"/>
              </w:rPr>
            </w:pPr>
            <w:r>
              <w:rPr>
                <w:rFonts w:ascii="Arial" w:cs="Arial" w:eastAsia="Arial" w:hAnsi="Arial"/>
                <w:sz w:val="17"/>
                <w:szCs w:val="17"/>
                <w:color w:val="auto"/>
              </w:rPr>
              <w:t>2,334</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1,679</w:t>
            </w: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7"/>
                <w:szCs w:val="17"/>
                <w:color w:val="auto"/>
              </w:rPr>
              <w:t>CONSOLIDATED BALANCE SHEETS</w:t>
            </w:r>
          </w:p>
        </w:tc>
        <w:tc>
          <w:tcPr>
            <w:tcW w:w="2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680" w:type="dxa"/>
            <w:vAlign w:val="bottom"/>
            <w:gridSpan w:val="3"/>
            <w:vMerge w:val="continue"/>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5"/>
          </w:tcPr>
          <w:p>
            <w:pPr>
              <w:jc w:val="right"/>
              <w:ind w:right="434"/>
              <w:spacing w:after="0"/>
              <w:rPr>
                <w:sz w:val="20"/>
                <w:szCs w:val="20"/>
                <w:color w:val="auto"/>
              </w:rPr>
            </w:pPr>
            <w:r>
              <w:rPr>
                <w:rFonts w:ascii="Arial" w:cs="Arial" w:eastAsia="Arial" w:hAnsi="Arial"/>
                <w:sz w:val="13"/>
                <w:szCs w:val="13"/>
                <w:b w:val="1"/>
                <w:bCs w:val="1"/>
                <w:color w:val="auto"/>
              </w:rPr>
              <w:t>June 30,</w:t>
            </w:r>
          </w:p>
        </w:tc>
        <w:tc>
          <w:tcPr>
            <w:tcW w:w="840" w:type="dxa"/>
            <w:vAlign w:val="bottom"/>
            <w:gridSpan w:val="4"/>
          </w:tcPr>
          <w:p>
            <w:pPr>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(in</w:t>
            </w:r>
          </w:p>
        </w:tc>
        <w:tc>
          <w:tcPr>
            <w:tcW w:w="1180" w:type="dxa"/>
            <w:vAlign w:val="bottom"/>
            <w:gridSpan w:val="5"/>
          </w:tcPr>
          <w:p>
            <w:pPr>
              <w:jc w:val="center"/>
              <w:ind w:right="396"/>
              <w:spacing w:after="0" w:line="124" w:lineRule="exact"/>
              <w:rPr>
                <w:sz w:val="20"/>
                <w:szCs w:val="20"/>
                <w:color w:val="auto"/>
              </w:rPr>
            </w:pPr>
            <w:r>
              <w:rPr>
                <w:rFonts w:ascii="Arial" w:cs="Arial" w:eastAsia="Arial" w:hAnsi="Arial"/>
                <w:sz w:val="13"/>
                <w:szCs w:val="13"/>
                <w:b w:val="1"/>
                <w:bCs w:val="1"/>
                <w:color w:val="auto"/>
                <w:w w:val="88"/>
              </w:rPr>
              <w:t>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5"/>
          </w:tcPr>
          <w:p>
            <w:pPr>
              <w:jc w:val="right"/>
              <w:ind w:right="334"/>
              <w:spacing w:after="0"/>
              <w:rPr>
                <w:sz w:val="20"/>
                <w:szCs w:val="20"/>
                <w:color w:val="auto"/>
              </w:rPr>
            </w:pPr>
            <w:r>
              <w:rPr>
                <w:rFonts w:ascii="Arial" w:cs="Arial" w:eastAsia="Arial" w:hAnsi="Arial"/>
                <w:sz w:val="13"/>
                <w:szCs w:val="13"/>
                <w:b w:val="1"/>
                <w:bCs w:val="1"/>
                <w:color w:val="auto"/>
                <w:w w:val="93"/>
              </w:rPr>
              <w:t>(unaudited)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7"/>
                <w:szCs w:val="17"/>
                <w:color w:val="auto"/>
              </w:rPr>
              <w:t>Real estate, at cost</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4"/>
          </w:tcPr>
          <w:p>
            <w:pPr>
              <w:jc w:val="right"/>
              <w:ind w:right="134"/>
              <w:spacing w:after="0"/>
              <w:rPr>
                <w:sz w:val="20"/>
                <w:szCs w:val="20"/>
                <w:color w:val="auto"/>
              </w:rPr>
            </w:pPr>
            <w:r>
              <w:rPr>
                <w:rFonts w:ascii="Arial" w:cs="Arial" w:eastAsia="Arial" w:hAnsi="Arial"/>
                <w:sz w:val="17"/>
                <w:szCs w:val="17"/>
                <w:color w:val="auto"/>
                <w:w w:val="87"/>
              </w:rPr>
              <w:t>$ 201,886</w:t>
            </w:r>
          </w:p>
        </w:tc>
        <w:tc>
          <w:tcPr>
            <w:tcW w:w="2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201,641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Less accumulated depreciation and amortization</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74"/>
              <w:spacing w:after="0"/>
              <w:rPr>
                <w:sz w:val="20"/>
                <w:szCs w:val="20"/>
                <w:color w:val="auto"/>
              </w:rPr>
            </w:pPr>
            <w:r>
              <w:rPr>
                <w:rFonts w:ascii="Arial" w:cs="Arial" w:eastAsia="Arial" w:hAnsi="Arial"/>
                <w:sz w:val="17"/>
                <w:szCs w:val="17"/>
                <w:color w:val="auto"/>
              </w:rPr>
              <w:t>(12,230)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(9,894)</w:t>
            </w:r>
          </w:p>
        </w:tc>
        <w:tc>
          <w:tcPr>
            <w:tcW w:w="0" w:type="dxa"/>
            <w:vAlign w:val="bottom"/>
          </w:tcPr>
          <w:p>
            <w:pPr>
              <w:spacing w:after="0"/>
              <w:rPr>
                <w:sz w:val="1"/>
                <w:szCs w:val="1"/>
                <w:color w:val="auto"/>
              </w:rPr>
            </w:pPr>
          </w:p>
        </w:tc>
      </w:tr>
      <w:tr>
        <w:trPr>
          <w:trHeight w:val="214"/>
        </w:trPr>
        <w:tc>
          <w:tcPr>
            <w:tcW w:w="4680" w:type="dxa"/>
            <w:vAlign w:val="bottom"/>
            <w:gridSpan w:val="3"/>
          </w:tcPr>
          <w:p>
            <w:pPr>
              <w:spacing w:after="0"/>
              <w:rPr>
                <w:sz w:val="20"/>
                <w:szCs w:val="20"/>
                <w:color w:val="auto"/>
              </w:rPr>
            </w:pPr>
            <w:r>
              <w:rPr>
                <w:rFonts w:ascii="Arial" w:cs="Arial" w:eastAsia="Arial" w:hAnsi="Arial"/>
                <w:sz w:val="17"/>
                <w:szCs w:val="17"/>
                <w:color w:val="auto"/>
              </w:rPr>
              <w:t>Net real estate</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189,656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191,747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w w:val="84"/>
              </w:rPr>
              <w:t>2,484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6,516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34"/>
              <w:spacing w:after="0"/>
              <w:rPr>
                <w:sz w:val="20"/>
                <w:szCs w:val="20"/>
                <w:color w:val="auto"/>
              </w:rPr>
            </w:pPr>
            <w:r>
              <w:rPr>
                <w:rFonts w:ascii="Arial" w:cs="Arial" w:eastAsia="Arial" w:hAnsi="Arial"/>
                <w:sz w:val="17"/>
                <w:szCs w:val="17"/>
                <w:color w:val="auto"/>
                <w:w w:val="87"/>
              </w:rPr>
              <w:t>$ 198,656</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200,373</w:t>
            </w: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7"/>
                <w:szCs w:val="17"/>
                <w:color w:val="auto"/>
              </w:rPr>
              <w:t>LIABILITIES AND PARTNERS’ CAPITAL</w:t>
            </w: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80" w:type="dxa"/>
            <w:vAlign w:val="bottom"/>
            <w:gridSpan w:val="3"/>
            <w:vMerge w:val="continue"/>
          </w:tcPr>
          <w:p>
            <w:pPr>
              <w:spacing w:after="0"/>
              <w:rPr>
                <w:sz w:val="17"/>
                <w:szCs w:val="17"/>
                <w:color w:val="auto"/>
              </w:rPr>
            </w:pPr>
          </w:p>
        </w:tc>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ind w:left="400"/>
              <w:spacing w:after="0"/>
              <w:rPr>
                <w:sz w:val="20"/>
                <w:szCs w:val="20"/>
                <w:color w:val="auto"/>
              </w:rPr>
            </w:pPr>
            <w:r>
              <w:rPr>
                <w:rFonts w:ascii="Arial" w:cs="Arial" w:eastAsia="Arial" w:hAnsi="Arial"/>
                <w:sz w:val="17"/>
                <w:szCs w:val="17"/>
                <w:color w:val="auto"/>
              </w:rPr>
              <w:t>Mortgages payable</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4"/>
          </w:tcPr>
          <w:p>
            <w:pPr>
              <w:jc w:val="right"/>
              <w:ind w:right="134"/>
              <w:spacing w:after="0"/>
              <w:rPr>
                <w:sz w:val="20"/>
                <w:szCs w:val="20"/>
                <w:color w:val="auto"/>
              </w:rPr>
            </w:pPr>
            <w:r>
              <w:rPr>
                <w:rFonts w:ascii="Arial" w:cs="Arial" w:eastAsia="Arial" w:hAnsi="Arial"/>
                <w:sz w:val="17"/>
                <w:szCs w:val="17"/>
                <w:color w:val="auto"/>
                <w:w w:val="93"/>
              </w:rPr>
              <w:t>$  81,454</w:t>
            </w:r>
          </w:p>
        </w:tc>
        <w:tc>
          <w:tcPr>
            <w:tcW w:w="2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81,540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Other liabilities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7,624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3"/>
          </w:tcPr>
          <w:p>
            <w:pPr>
              <w:spacing w:after="0"/>
              <w:rPr>
                <w:sz w:val="20"/>
                <w:szCs w:val="20"/>
                <w:color w:val="auto"/>
              </w:rPr>
            </w:pPr>
            <w:r>
              <w:rPr>
                <w:rFonts w:ascii="Arial" w:cs="Arial" w:eastAsia="Arial" w:hAnsi="Arial"/>
                <w:sz w:val="17"/>
                <w:szCs w:val="17"/>
                <w:color w:val="auto"/>
              </w:rPr>
              <w:t>Total liabilities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4"/>
          </w:tcPr>
          <w:p>
            <w:pPr>
              <w:jc w:val="right"/>
              <w:ind w:right="134"/>
              <w:spacing w:after="0"/>
              <w:rPr>
                <w:sz w:val="20"/>
                <w:szCs w:val="20"/>
                <w:color w:val="auto"/>
              </w:rPr>
            </w:pPr>
            <w:r>
              <w:rPr>
                <w:rFonts w:ascii="Arial" w:cs="Arial" w:eastAsia="Arial" w:hAnsi="Arial"/>
                <w:sz w:val="17"/>
                <w:szCs w:val="17"/>
                <w:color w:val="auto"/>
              </w:rPr>
              <w:t>89,078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90,231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Partners’ capital</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109,578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110,142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3"/>
          </w:tcPr>
          <w:p>
            <w:pPr>
              <w:spacing w:after="0"/>
              <w:rPr>
                <w:sz w:val="20"/>
                <w:szCs w:val="20"/>
                <w:color w:val="auto"/>
              </w:rPr>
            </w:pPr>
            <w:r>
              <w:rPr>
                <w:rFonts w:ascii="Arial" w:cs="Arial" w:eastAsia="Arial" w:hAnsi="Arial"/>
                <w:sz w:val="17"/>
                <w:szCs w:val="17"/>
                <w:color w:val="auto"/>
              </w:rPr>
              <w:t>TOTAL LIABILITIES AND PARTNERS’ CAPITAL</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4"/>
          </w:tcPr>
          <w:p>
            <w:pPr>
              <w:jc w:val="right"/>
              <w:ind w:right="134"/>
              <w:spacing w:after="0"/>
              <w:rPr>
                <w:sz w:val="20"/>
                <w:szCs w:val="20"/>
                <w:color w:val="auto"/>
              </w:rPr>
            </w:pPr>
            <w:r>
              <w:rPr>
                <w:rFonts w:ascii="Arial" w:cs="Arial" w:eastAsia="Arial" w:hAnsi="Arial"/>
                <w:sz w:val="17"/>
                <w:szCs w:val="17"/>
                <w:color w:val="auto"/>
                <w:w w:val="87"/>
              </w:rPr>
              <w:t>$ 198,656</w:t>
            </w:r>
          </w:p>
        </w:tc>
        <w:tc>
          <w:tcPr>
            <w:tcW w:w="2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200,373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60" w:type="dxa"/>
            <w:vAlign w:val="bottom"/>
            <w:vMerge w:val="restart"/>
          </w:tcPr>
          <w:p>
            <w:pPr>
              <w:jc w:val="right"/>
              <w:ind w:right="1755"/>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Debt Maturities - Joint Venture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OUTSTANDING DEBT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3"/>
          </w:tcPr>
          <w:p>
            <w:pPr>
              <w:jc w:val="center"/>
              <w:ind w:right="860"/>
              <w:spacing w:after="0"/>
              <w:rPr>
                <w:sz w:val="20"/>
                <w:szCs w:val="20"/>
                <w:color w:val="auto"/>
              </w:rPr>
            </w:pPr>
            <w:r>
              <w:rPr>
                <w:rFonts w:ascii="Arial" w:cs="Arial" w:eastAsia="Arial" w:hAnsi="Arial"/>
                <w:sz w:val="13"/>
                <w:szCs w:val="13"/>
                <w:b w:val="1"/>
                <w:bCs w:val="1"/>
                <w:color w:val="auto"/>
                <w:w w:val="90"/>
              </w:rPr>
              <w:t>Stated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3"/>
            <w:vMerge w:val="restart"/>
          </w:tcPr>
          <w:p>
            <w:pPr>
              <w:jc w:val="center"/>
              <w:ind w:right="580"/>
              <w:spacing w:after="0"/>
              <w:rPr>
                <w:sz w:val="20"/>
                <w:szCs w:val="20"/>
                <w:color w:val="auto"/>
              </w:rPr>
            </w:pPr>
            <w:r>
              <w:rPr>
                <w:rFonts w:ascii="Arial" w:cs="Arial" w:eastAsia="Arial" w:hAnsi="Arial"/>
                <w:sz w:val="13"/>
                <w:szCs w:val="13"/>
                <w:b w:val="1"/>
                <w:bCs w:val="1"/>
                <w:color w:val="auto"/>
              </w:rPr>
              <w:t>Maturity</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3"/>
          </w:tcPr>
          <w:p>
            <w:pPr>
              <w:jc w:val="center"/>
              <w:ind w:right="880"/>
              <w:spacing w:after="0" w:line="144" w:lineRule="exact"/>
              <w:rPr>
                <w:sz w:val="20"/>
                <w:szCs w:val="20"/>
                <w:color w:val="auto"/>
              </w:rPr>
            </w:pPr>
            <w:r>
              <w:rPr>
                <w:rFonts w:ascii="Arial" w:cs="Arial" w:eastAsia="Arial" w:hAnsi="Arial"/>
                <w:sz w:val="13"/>
                <w:szCs w:val="13"/>
                <w:b w:val="1"/>
                <w:bCs w:val="1"/>
                <w:color w:val="auto"/>
                <w:w w:val="90"/>
              </w:rPr>
              <w:t>Interest Rate as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3"/>
          </w:tcPr>
          <w:p>
            <w:pPr>
              <w:jc w:val="center"/>
              <w:ind w:right="860"/>
              <w:spacing w:after="0"/>
              <w:rPr>
                <w:sz w:val="20"/>
                <w:szCs w:val="20"/>
                <w:color w:val="auto"/>
              </w:rPr>
            </w:pPr>
            <w:r>
              <w:rPr>
                <w:rFonts w:ascii="Arial" w:cs="Arial" w:eastAsia="Arial" w:hAnsi="Arial"/>
                <w:sz w:val="13"/>
                <w:szCs w:val="13"/>
                <w:b w:val="1"/>
                <w:bCs w:val="1"/>
                <w:color w:val="auto"/>
                <w:w w:val="89"/>
              </w:rPr>
              <w:t>June 30, 2008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gridSpan w:val="3"/>
          </w:tcPr>
          <w:p>
            <w:pPr>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400" w:type="dxa"/>
            <w:vAlign w:val="bottom"/>
            <w:gridSpan w:val="3"/>
            <w:shd w:val="clear" w:color="auto" w:fill="CCEEFF"/>
          </w:tcPr>
          <w:p>
            <w:pPr>
              <w:spacing w:after="0" w:line="171" w:lineRule="exact"/>
              <w:rPr>
                <w:sz w:val="20"/>
                <w:szCs w:val="20"/>
                <w:color w:val="auto"/>
              </w:rPr>
            </w:pPr>
            <w:r>
              <w:rPr>
                <w:rFonts w:ascii="Arial" w:cs="Arial" w:eastAsia="Arial" w:hAnsi="Arial"/>
                <w:sz w:val="17"/>
                <w:szCs w:val="17"/>
                <w:color w:val="auto"/>
              </w:rPr>
              <w:t>Mortgage Loans</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140" w:type="dxa"/>
            <w:vAlign w:val="bottom"/>
            <w:tcBorders>
              <w:right w:val="single" w:sz="8" w:color="auto"/>
            </w:tcBorders>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3"/>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Campus Plaza</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90"/>
              </w:rPr>
              <w:t>12/01/09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4.530%(a)</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3"/>
          </w:tcPr>
          <w:p>
            <w:pPr>
              <w:ind w:left="420"/>
              <w:spacing w:after="0"/>
              <w:rPr>
                <w:sz w:val="20"/>
                <w:szCs w:val="20"/>
                <w:color w:val="auto"/>
              </w:rPr>
            </w:pPr>
            <w:r>
              <w:rPr>
                <w:rFonts w:ascii="Arial" w:cs="Arial" w:eastAsia="Arial" w:hAnsi="Arial"/>
                <w:sz w:val="17"/>
                <w:szCs w:val="17"/>
                <w:color w:val="auto"/>
              </w:rPr>
              <w:t>Pleasant Shops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7"/>
                <w:szCs w:val="17"/>
                <w:color w:val="auto"/>
                <w:w w:val="90"/>
              </w:rPr>
              <w:t>12/01/09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ind w:left="640"/>
              <w:spacing w:after="0"/>
              <w:rPr>
                <w:sz w:val="20"/>
                <w:szCs w:val="20"/>
                <w:color w:val="auto"/>
              </w:rPr>
            </w:pPr>
            <w:r>
              <w:rPr>
                <w:rFonts w:ascii="Arial" w:cs="Arial" w:eastAsia="Arial" w:hAnsi="Arial"/>
                <w:sz w:val="17"/>
                <w:szCs w:val="17"/>
                <w:color w:val="auto"/>
              </w:rPr>
              <w:t>4.530%(a)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Plaza del Mercado</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90"/>
              </w:rPr>
              <w:t>07/05/14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5.770%(b)</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3"/>
          </w:tcPr>
          <w:p>
            <w:pPr>
              <w:ind w:left="420"/>
              <w:spacing w:after="0"/>
              <w:rPr>
                <w:sz w:val="20"/>
                <w:szCs w:val="20"/>
                <w:color w:val="auto"/>
              </w:rPr>
            </w:pPr>
            <w:r>
              <w:rPr>
                <w:rFonts w:ascii="Arial" w:cs="Arial" w:eastAsia="Arial" w:hAnsi="Arial"/>
                <w:sz w:val="17"/>
                <w:szCs w:val="17"/>
                <w:color w:val="auto"/>
              </w:rPr>
              <w:t>Atlantic Plaza</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7"/>
                <w:szCs w:val="17"/>
                <w:color w:val="auto"/>
                <w:w w:val="90"/>
              </w:rPr>
              <w:t>12/01/14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ind w:left="640"/>
              <w:spacing w:after="0"/>
              <w:rPr>
                <w:sz w:val="20"/>
                <w:szCs w:val="20"/>
                <w:color w:val="auto"/>
              </w:rPr>
            </w:pPr>
            <w:r>
              <w:rPr>
                <w:rFonts w:ascii="Arial" w:cs="Arial" w:eastAsia="Arial" w:hAnsi="Arial"/>
                <w:sz w:val="17"/>
                <w:szCs w:val="17"/>
                <w:color w:val="auto"/>
              </w:rPr>
              <w:t>5.120%(a)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Barcroft Plaza</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90"/>
              </w:rPr>
              <w:t>07/01/16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5.990%(a)(c)</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ind w:left="420"/>
              <w:spacing w:after="0"/>
              <w:rPr>
                <w:sz w:val="20"/>
                <w:szCs w:val="20"/>
                <w:color w:val="auto"/>
              </w:rPr>
            </w:pPr>
            <w:r>
              <w:rPr>
                <w:rFonts w:ascii="Arial" w:cs="Arial" w:eastAsia="Arial" w:hAnsi="Arial"/>
                <w:sz w:val="17"/>
                <w:szCs w:val="17"/>
                <w:color w:val="auto"/>
              </w:rPr>
              <w:t>Greenlawn Plaza</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7"/>
                <w:szCs w:val="17"/>
                <w:color w:val="auto"/>
                <w:w w:val="90"/>
              </w:rPr>
              <w:t>07/01/16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ind w:left="640"/>
              <w:spacing w:after="0"/>
              <w:rPr>
                <w:sz w:val="20"/>
                <w:szCs w:val="20"/>
                <w:color w:val="auto"/>
              </w:rPr>
            </w:pPr>
            <w:r>
              <w:rPr>
                <w:rFonts w:ascii="Arial" w:cs="Arial" w:eastAsia="Arial" w:hAnsi="Arial"/>
                <w:sz w:val="17"/>
                <w:szCs w:val="17"/>
                <w:color w:val="auto"/>
              </w:rPr>
              <w:t>5.900%(a)</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13,600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91"/>
              </w:rPr>
              <w:t>Total Fixed Rate Debt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7"/>
                <w:szCs w:val="17"/>
                <w:color w:val="auto"/>
                <w:w w:val="96"/>
              </w:rPr>
              <w:t>Debt Maturities</w:t>
            </w:r>
          </w:p>
        </w:tc>
        <w:tc>
          <w:tcPr>
            <w:tcW w:w="2260" w:type="dxa"/>
            <w:vAlign w:val="bottom"/>
            <w:gridSpan w:val="2"/>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40" w:type="dxa"/>
            <w:vAlign w:val="bottom"/>
            <w:tcBorders>
              <w:bottom w:val="single" w:sz="8" w:color="auto"/>
            </w:tcBorders>
            <w:vMerge w:val="continue"/>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400" w:type="dxa"/>
            <w:vAlign w:val="bottom"/>
            <w:gridSpan w:val="3"/>
          </w:tcPr>
          <w:p>
            <w:pPr>
              <w:spacing w:after="0"/>
              <w:rPr>
                <w:sz w:val="20"/>
                <w:szCs w:val="20"/>
                <w:color w:val="auto"/>
              </w:rPr>
            </w:pPr>
            <w:r>
              <w:rPr>
                <w:rFonts w:ascii="Arial" w:cs="Arial" w:eastAsia="Arial" w:hAnsi="Arial"/>
                <w:sz w:val="17"/>
                <w:szCs w:val="17"/>
                <w:color w:val="auto"/>
              </w:rPr>
              <w:t>(in thousands)</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7"/>
              <w:spacing w:after="0" w:line="144" w:lineRule="exact"/>
              <w:rPr>
                <w:sz w:val="20"/>
                <w:szCs w:val="20"/>
                <w:color w:val="auto"/>
              </w:rPr>
            </w:pPr>
            <w:r>
              <w:rPr>
                <w:rFonts w:ascii="Arial" w:cs="Arial" w:eastAsia="Arial" w:hAnsi="Arial"/>
                <w:sz w:val="13"/>
                <w:szCs w:val="13"/>
                <w:b w:val="1"/>
                <w:bCs w:val="1"/>
                <w:color w:val="auto"/>
                <w:w w:val="85"/>
              </w:rPr>
              <w:t>Scheduled</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Percent of</w:t>
            </w:r>
          </w:p>
        </w:tc>
        <w:tc>
          <w:tcPr>
            <w:tcW w:w="1020" w:type="dxa"/>
            <w:vAlign w:val="bottom"/>
            <w:gridSpan w:val="5"/>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260" w:type="dxa"/>
            <w:vAlign w:val="bottom"/>
            <w:gridSpan w:val="2"/>
          </w:tcPr>
          <w:p>
            <w:pPr>
              <w:jc w:val="center"/>
              <w:ind w:right="2080"/>
              <w:spacing w:after="0"/>
              <w:rPr>
                <w:sz w:val="20"/>
                <w:szCs w:val="20"/>
                <w:color w:val="auto"/>
              </w:rPr>
            </w:pPr>
            <w:r>
              <w:rPr>
                <w:rFonts w:ascii="Arial" w:cs="Arial" w:eastAsia="Arial" w:hAnsi="Arial"/>
                <w:sz w:val="11"/>
                <w:szCs w:val="11"/>
                <w:b w:val="1"/>
                <w:bCs w:val="1"/>
                <w:color w:val="auto"/>
                <w:w w:val="75"/>
              </w:rPr>
              <w:t>Year</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w w:val="93"/>
              </w:rPr>
              <w:t>Amortization</w:t>
            </w:r>
          </w:p>
        </w:tc>
        <w:tc>
          <w:tcPr>
            <w:tcW w:w="206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Maturities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6"/>
              </w:rPr>
              <w:t>Total</w:t>
            </w:r>
          </w:p>
        </w:tc>
        <w:tc>
          <w:tcPr>
            <w:tcW w:w="420" w:type="dxa"/>
            <w:vAlign w:val="bottom"/>
          </w:tcPr>
          <w:p>
            <w:pPr>
              <w:spacing w:after="0"/>
              <w:rPr>
                <w:sz w:val="13"/>
                <w:szCs w:val="13"/>
                <w:color w:val="auto"/>
              </w:rPr>
            </w:pPr>
          </w:p>
        </w:tc>
        <w:tc>
          <w:tcPr>
            <w:tcW w:w="2020" w:type="dxa"/>
            <w:vAlign w:val="bottom"/>
            <w:gridSpan w:val="4"/>
          </w:tcPr>
          <w:p>
            <w:pPr>
              <w:ind w:left="20"/>
              <w:spacing w:after="0"/>
              <w:rPr>
                <w:sz w:val="20"/>
                <w:szCs w:val="20"/>
                <w:color w:val="auto"/>
              </w:rPr>
            </w:pPr>
            <w:r>
              <w:rPr>
                <w:rFonts w:ascii="Arial" w:cs="Arial" w:eastAsia="Arial" w:hAnsi="Arial"/>
                <w:sz w:val="13"/>
                <w:szCs w:val="13"/>
                <w:b w:val="1"/>
                <w:bCs w:val="1"/>
                <w:color w:val="auto"/>
              </w:rPr>
              <w:t>Debt Maturing</w:t>
            </w:r>
          </w:p>
        </w:tc>
        <w:tc>
          <w:tcPr>
            <w:tcW w:w="10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6"/>
              </w:rPr>
              <w:t>Debt Maturing</w:t>
            </w:r>
          </w:p>
        </w:tc>
        <w:tc>
          <w:tcPr>
            <w:tcW w:w="0" w:type="dxa"/>
            <w:vAlign w:val="bottom"/>
          </w:tcPr>
          <w:p>
            <w:pPr>
              <w:spacing w:after="0"/>
              <w:rPr>
                <w:sz w:val="1"/>
                <w:szCs w:val="1"/>
                <w:color w:val="auto"/>
              </w:rPr>
            </w:pPr>
          </w:p>
        </w:tc>
      </w:tr>
      <w:tr>
        <w:trPr>
          <w:trHeight w:val="20"/>
        </w:trPr>
        <w:tc>
          <w:tcPr>
            <w:tcW w:w="1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gridSpan w:val="3"/>
            <w:shd w:val="clear" w:color="auto" w:fill="CCEEFF"/>
          </w:tcPr>
          <w:p>
            <w:pPr>
              <w:jc w:val="center"/>
              <w:ind w:right="1020"/>
              <w:spacing w:after="0"/>
              <w:rPr>
                <w:sz w:val="20"/>
                <w:szCs w:val="20"/>
                <w:color w:val="auto"/>
              </w:rPr>
            </w:pPr>
            <w:r>
              <w:rPr>
                <w:rFonts w:ascii="Arial" w:cs="Arial" w:eastAsia="Arial" w:hAnsi="Arial"/>
                <w:sz w:val="17"/>
                <w:szCs w:val="17"/>
                <w:color w:val="auto"/>
                <w:w w:val="89"/>
              </w:rPr>
              <w:t>2008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89</w:t>
            </w:r>
          </w:p>
        </w:tc>
        <w:tc>
          <w:tcPr>
            <w:tcW w:w="15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0.1%</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gridSpan w:val="3"/>
          </w:tcPr>
          <w:p>
            <w:pPr>
              <w:jc w:val="center"/>
              <w:ind w:right="1020"/>
              <w:spacing w:after="0"/>
              <w:rPr>
                <w:sz w:val="20"/>
                <w:szCs w:val="20"/>
                <w:color w:val="auto"/>
              </w:rPr>
            </w:pPr>
            <w:r>
              <w:rPr>
                <w:rFonts w:ascii="Arial" w:cs="Arial" w:eastAsia="Arial" w:hAnsi="Arial"/>
                <w:sz w:val="17"/>
                <w:szCs w:val="17"/>
                <w:color w:val="auto"/>
                <w:w w:val="89"/>
              </w:rPr>
              <w:t>2009</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185</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7"/>
                <w:szCs w:val="17"/>
                <w:color w:val="auto"/>
                <w:w w:val="92"/>
              </w:rPr>
              <w:t>23,400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7"/>
                <w:szCs w:val="17"/>
                <w:color w:val="auto"/>
                <w:w w:val="88"/>
              </w:rPr>
              <w:t>23,585</w:t>
            </w:r>
          </w:p>
        </w:tc>
        <w:tc>
          <w:tcPr>
            <w:tcW w:w="1560" w:type="dxa"/>
            <w:vAlign w:val="bottom"/>
            <w:gridSpan w:val="4"/>
          </w:tcPr>
          <w:p>
            <w:pPr>
              <w:jc w:val="right"/>
              <w:ind w:right="140"/>
              <w:spacing w:after="0"/>
              <w:rPr>
                <w:sz w:val="20"/>
                <w:szCs w:val="20"/>
                <w:color w:val="auto"/>
              </w:rPr>
            </w:pPr>
            <w:r>
              <w:rPr>
                <w:rFonts w:ascii="Arial" w:cs="Arial" w:eastAsia="Arial" w:hAnsi="Arial"/>
                <w:sz w:val="17"/>
                <w:szCs w:val="17"/>
                <w:color w:val="auto"/>
              </w:rPr>
              <w:t>28.9%</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3"/>
            <w:shd w:val="clear" w:color="auto" w:fill="CCEEFF"/>
          </w:tcPr>
          <w:p>
            <w:pPr>
              <w:jc w:val="center"/>
              <w:ind w:right="1020"/>
              <w:spacing w:after="0"/>
              <w:rPr>
                <w:sz w:val="20"/>
                <w:szCs w:val="20"/>
                <w:color w:val="auto"/>
              </w:rPr>
            </w:pPr>
            <w:r>
              <w:rPr>
                <w:rFonts w:ascii="Arial" w:cs="Arial" w:eastAsia="Arial" w:hAnsi="Arial"/>
                <w:sz w:val="17"/>
                <w:szCs w:val="17"/>
                <w:color w:val="auto"/>
                <w:w w:val="89"/>
              </w:rPr>
              <w:t>2010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196</w:t>
            </w:r>
          </w:p>
        </w:tc>
        <w:tc>
          <w:tcPr>
            <w:tcW w:w="15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0.2%</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3"/>
          </w:tcPr>
          <w:p>
            <w:pPr>
              <w:jc w:val="center"/>
              <w:ind w:right="1020"/>
              <w:spacing w:after="0"/>
              <w:rPr>
                <w:sz w:val="20"/>
                <w:szCs w:val="20"/>
                <w:color w:val="auto"/>
              </w:rPr>
            </w:pPr>
            <w:r>
              <w:rPr>
                <w:rFonts w:ascii="Arial" w:cs="Arial" w:eastAsia="Arial" w:hAnsi="Arial"/>
                <w:sz w:val="17"/>
                <w:szCs w:val="17"/>
                <w:color w:val="auto"/>
                <w:w w:val="89"/>
              </w:rPr>
              <w:t>2011</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208</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7"/>
                <w:szCs w:val="17"/>
                <w:color w:val="auto"/>
              </w:rPr>
              <w:t>208</w:t>
            </w:r>
          </w:p>
        </w:tc>
        <w:tc>
          <w:tcPr>
            <w:tcW w:w="1560" w:type="dxa"/>
            <w:vAlign w:val="bottom"/>
            <w:gridSpan w:val="4"/>
          </w:tcPr>
          <w:p>
            <w:pPr>
              <w:jc w:val="right"/>
              <w:ind w:right="140"/>
              <w:spacing w:after="0"/>
              <w:rPr>
                <w:sz w:val="20"/>
                <w:szCs w:val="20"/>
                <w:color w:val="auto"/>
              </w:rPr>
            </w:pPr>
            <w:r>
              <w:rPr>
                <w:rFonts w:ascii="Arial" w:cs="Arial" w:eastAsia="Arial" w:hAnsi="Arial"/>
                <w:sz w:val="17"/>
                <w:szCs w:val="17"/>
                <w:color w:val="auto"/>
              </w:rPr>
              <w:t>0.3%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3"/>
            <w:shd w:val="clear" w:color="auto" w:fill="CCEEFF"/>
          </w:tcPr>
          <w:p>
            <w:pPr>
              <w:jc w:val="center"/>
              <w:ind w:right="1020"/>
              <w:spacing w:after="0"/>
              <w:rPr>
                <w:sz w:val="20"/>
                <w:szCs w:val="20"/>
                <w:color w:val="auto"/>
              </w:rPr>
            </w:pPr>
            <w:r>
              <w:rPr>
                <w:rFonts w:ascii="Arial" w:cs="Arial" w:eastAsia="Arial" w:hAnsi="Arial"/>
                <w:sz w:val="17"/>
                <w:szCs w:val="17"/>
                <w:color w:val="auto"/>
                <w:w w:val="89"/>
              </w:rPr>
              <w:t>2012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220</w:t>
            </w:r>
          </w:p>
        </w:tc>
        <w:tc>
          <w:tcPr>
            <w:tcW w:w="15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0.3%</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3"/>
          </w:tcPr>
          <w:p>
            <w:pPr>
              <w:jc w:val="center"/>
              <w:ind w:right="1020"/>
              <w:spacing w:after="0"/>
              <w:rPr>
                <w:sz w:val="20"/>
                <w:szCs w:val="20"/>
                <w:color w:val="auto"/>
              </w:rPr>
            </w:pPr>
            <w:r>
              <w:rPr>
                <w:rFonts w:ascii="Arial" w:cs="Arial" w:eastAsia="Arial" w:hAnsi="Arial"/>
                <w:sz w:val="17"/>
                <w:szCs w:val="17"/>
                <w:color w:val="auto"/>
                <w:w w:val="89"/>
              </w:rPr>
              <w:t>2013</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233</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7"/>
                <w:szCs w:val="17"/>
                <w:color w:val="auto"/>
              </w:rPr>
              <w:t>233</w:t>
            </w:r>
          </w:p>
        </w:tc>
        <w:tc>
          <w:tcPr>
            <w:tcW w:w="1560" w:type="dxa"/>
            <w:vAlign w:val="bottom"/>
            <w:gridSpan w:val="4"/>
          </w:tcPr>
          <w:p>
            <w:pPr>
              <w:jc w:val="right"/>
              <w:ind w:right="140"/>
              <w:spacing w:after="0"/>
              <w:rPr>
                <w:sz w:val="20"/>
                <w:szCs w:val="20"/>
                <w:color w:val="auto"/>
              </w:rPr>
            </w:pPr>
            <w:r>
              <w:rPr>
                <w:rFonts w:ascii="Arial" w:cs="Arial" w:eastAsia="Arial" w:hAnsi="Arial"/>
                <w:sz w:val="17"/>
                <w:szCs w:val="17"/>
                <w:color w:val="auto"/>
              </w:rPr>
              <w:t>0.3%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3"/>
            <w:shd w:val="clear" w:color="auto" w:fill="CCEEFF"/>
          </w:tcPr>
          <w:p>
            <w:pPr>
              <w:jc w:val="center"/>
              <w:ind w:right="1020"/>
              <w:spacing w:after="0"/>
              <w:rPr>
                <w:sz w:val="20"/>
                <w:szCs w:val="20"/>
                <w:color w:val="auto"/>
              </w:rPr>
            </w:pPr>
            <w:r>
              <w:rPr>
                <w:rFonts w:ascii="Arial" w:cs="Arial" w:eastAsia="Arial" w:hAnsi="Arial"/>
                <w:sz w:val="17"/>
                <w:szCs w:val="17"/>
                <w:color w:val="auto"/>
                <w:w w:val="89"/>
              </w:rPr>
              <w:t>2014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2"/>
              </w:rPr>
              <w:t>22,396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88"/>
              </w:rPr>
              <w:t>22,538</w:t>
            </w:r>
          </w:p>
        </w:tc>
        <w:tc>
          <w:tcPr>
            <w:tcW w:w="15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27.7%</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3"/>
          </w:tcPr>
          <w:p>
            <w:pPr>
              <w:jc w:val="center"/>
              <w:ind w:right="1020"/>
              <w:spacing w:after="0"/>
              <w:rPr>
                <w:sz w:val="20"/>
                <w:szCs w:val="20"/>
                <w:color w:val="auto"/>
              </w:rPr>
            </w:pPr>
            <w:r>
              <w:rPr>
                <w:rFonts w:ascii="Arial" w:cs="Arial" w:eastAsia="Arial" w:hAnsi="Arial"/>
                <w:sz w:val="17"/>
                <w:szCs w:val="17"/>
                <w:color w:val="auto"/>
                <w:w w:val="89"/>
              </w:rPr>
              <w:t>2015</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560" w:type="dxa"/>
            <w:vAlign w:val="bottom"/>
            <w:gridSpan w:val="4"/>
          </w:tcPr>
          <w:p>
            <w:pPr>
              <w:jc w:val="right"/>
              <w:ind w:right="140"/>
              <w:spacing w:after="0"/>
              <w:rPr>
                <w:sz w:val="20"/>
                <w:szCs w:val="20"/>
                <w:color w:val="auto"/>
              </w:rPr>
            </w:pPr>
            <w:r>
              <w:rPr>
                <w:rFonts w:ascii="Arial" w:cs="Arial" w:eastAsia="Arial" w:hAnsi="Arial"/>
                <w:sz w:val="17"/>
                <w:szCs w:val="17"/>
                <w:color w:val="auto"/>
              </w:rPr>
              <w:t>0.0%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3"/>
            <w:shd w:val="clear" w:color="auto" w:fill="CCEEFF"/>
          </w:tcPr>
          <w:p>
            <w:pPr>
              <w:jc w:val="center"/>
              <w:ind w:right="1020"/>
              <w:spacing w:after="0"/>
              <w:rPr>
                <w:sz w:val="20"/>
                <w:szCs w:val="20"/>
                <w:color w:val="auto"/>
              </w:rPr>
            </w:pPr>
            <w:r>
              <w:rPr>
                <w:rFonts w:ascii="Arial" w:cs="Arial" w:eastAsia="Arial" w:hAnsi="Arial"/>
                <w:sz w:val="17"/>
                <w:szCs w:val="17"/>
                <w:color w:val="auto"/>
                <w:w w:val="89"/>
              </w:rPr>
              <w:t>2016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34,385</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34,385</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42.2%</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jc w:val="center"/>
              <w:ind w:right="1020"/>
              <w:spacing w:after="0"/>
              <w:rPr>
                <w:sz w:val="20"/>
                <w:szCs w:val="20"/>
                <w:color w:val="auto"/>
              </w:rPr>
            </w:pPr>
            <w:r>
              <w:rPr>
                <w:rFonts w:ascii="Arial" w:cs="Arial" w:eastAsia="Arial" w:hAnsi="Arial"/>
                <w:sz w:val="17"/>
                <w:szCs w:val="17"/>
                <w:color w:val="auto"/>
                <w:w w:val="89"/>
              </w:rPr>
              <w:t>Total</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00" w:type="dxa"/>
            <w:vAlign w:val="bottom"/>
            <w:gridSpan w:val="3"/>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1,273</w:t>
            </w:r>
          </w:p>
        </w:tc>
        <w:tc>
          <w:tcPr>
            <w:tcW w:w="10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80,181</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81,454</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7"/>
                <w:szCs w:val="17"/>
                <w:color w:val="auto"/>
              </w:rPr>
              <w:t>100.0%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Interest only until maturity.</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Effective July 5, 2007, principal and interest payments were due based on a 30-year amortization schedule.</w:t>
      </w:r>
    </w:p>
    <w:p>
      <w:pPr>
        <w:spacing w:after="0" w:line="14" w:lineRule="exact"/>
        <w:rPr>
          <w:rFonts w:ascii="Arial" w:cs="Arial" w:eastAsia="Arial" w:hAnsi="Arial"/>
          <w:sz w:val="17"/>
          <w:szCs w:val="17"/>
          <w:color w:val="auto"/>
        </w:rPr>
      </w:pPr>
    </w:p>
    <w:p>
      <w:pPr>
        <w:ind w:left="460" w:hanging="455"/>
        <w:spacing w:after="0" w:line="275"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71"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 - Joint Venture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Mortgage</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94"/>
              </w:rPr>
              <w:t>Real</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3"/>
              </w:rPr>
              <w:t>or Capital</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Grocery</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MSA Description</w:t>
            </w:r>
          </w:p>
        </w:tc>
        <w:tc>
          <w:tcPr>
            <w:tcW w:w="180" w:type="dxa"/>
            <w:vAlign w:val="bottom"/>
          </w:tcPr>
          <w:p>
            <w:pPr>
              <w:spacing w:after="0"/>
              <w:rPr>
                <w:sz w:val="12"/>
                <w:szCs w:val="12"/>
                <w:color w:val="auto"/>
              </w:rPr>
            </w:pPr>
          </w:p>
        </w:tc>
        <w:tc>
          <w:tcPr>
            <w:tcW w:w="860" w:type="dxa"/>
            <w:vAlign w:val="bottom"/>
            <w:gridSpan w:val="3"/>
          </w:tcPr>
          <w:p>
            <w:pPr>
              <w:jc w:val="center"/>
              <w:ind w:right="254"/>
              <w:spacing w:after="0" w:line="144" w:lineRule="exact"/>
              <w:rPr>
                <w:sz w:val="20"/>
                <w:szCs w:val="20"/>
                <w:color w:val="auto"/>
              </w:rPr>
            </w:pPr>
            <w:r>
              <w:rPr>
                <w:rFonts w:ascii="Arial" w:cs="Arial" w:eastAsia="Arial" w:hAnsi="Arial"/>
                <w:sz w:val="13"/>
                <w:szCs w:val="13"/>
                <w:b w:val="1"/>
                <w:bCs w:val="1"/>
                <w:color w:val="auto"/>
                <w:w w:val="92"/>
              </w:rPr>
              <w:t>Year</w:t>
            </w:r>
          </w:p>
        </w:tc>
        <w:tc>
          <w:tcPr>
            <w:tcW w:w="84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87"/>
              </w:rPr>
              <w:t>Estate</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Lease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Anchor</w:t>
            </w:r>
          </w:p>
        </w:tc>
        <w:tc>
          <w:tcPr>
            <w:tcW w:w="100" w:type="dxa"/>
            <w:vAlign w:val="bottom"/>
          </w:tcPr>
          <w:p>
            <w:pPr>
              <w:spacing w:after="0"/>
              <w:rPr>
                <w:sz w:val="12"/>
                <w:szCs w:val="12"/>
                <w:color w:val="auto"/>
              </w:rPr>
            </w:pPr>
          </w:p>
        </w:tc>
        <w:tc>
          <w:tcPr>
            <w:tcW w:w="13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Grocery Anchor (1)</w:t>
            </w:r>
          </w:p>
        </w:tc>
        <w:tc>
          <w:tcPr>
            <w:tcW w:w="180" w:type="dxa"/>
            <w:vAlign w:val="bottom"/>
          </w:tcPr>
          <w:p>
            <w:pPr>
              <w:spacing w:after="0"/>
              <w:rPr>
                <w:sz w:val="12"/>
                <w:szCs w:val="12"/>
                <w:color w:val="auto"/>
              </w:rPr>
            </w:pPr>
          </w:p>
        </w:tc>
        <w:tc>
          <w:tcPr>
            <w:tcW w:w="1460" w:type="dxa"/>
            <w:vAlign w:val="bottom"/>
            <w:vMerge w:val="restart"/>
          </w:tcPr>
          <w:p>
            <w:pPr>
              <w:ind w:left="60"/>
              <w:spacing w:after="0"/>
              <w:rPr>
                <w:sz w:val="20"/>
                <w:szCs w:val="20"/>
                <w:color w:val="auto"/>
              </w:rPr>
            </w:pPr>
            <w:r>
              <w:rPr>
                <w:rFonts w:ascii="Arial" w:cs="Arial" w:eastAsia="Arial" w:hAnsi="Arial"/>
                <w:sz w:val="13"/>
                <w:szCs w:val="13"/>
                <w:b w:val="1"/>
                <w:bCs w:val="1"/>
                <w:color w:val="auto"/>
                <w:w w:val="94"/>
              </w:rPr>
              <w:t>Other Principal Tenants</w:t>
            </w:r>
          </w:p>
        </w:tc>
        <w:tc>
          <w:tcPr>
            <w:tcW w:w="0" w:type="dxa"/>
            <w:vAlign w:val="bottom"/>
          </w:tcPr>
          <w:p>
            <w:pPr>
              <w:spacing w:after="0"/>
              <w:rPr>
                <w:sz w:val="1"/>
                <w:szCs w:val="1"/>
                <w:color w:val="auto"/>
              </w:rPr>
            </w:pPr>
          </w:p>
        </w:tc>
      </w:tr>
      <w:tr>
        <w:trPr>
          <w:trHeight w:val="157"/>
        </w:trPr>
        <w:tc>
          <w:tcPr>
            <w:tcW w:w="1760" w:type="dxa"/>
            <w:vAlign w:val="bottom"/>
            <w:gridSpan w:val="10"/>
          </w:tcPr>
          <w:p>
            <w:pPr>
              <w:spacing w:after="0"/>
              <w:rPr>
                <w:sz w:val="20"/>
                <w:szCs w:val="20"/>
                <w:color w:val="auto"/>
              </w:rPr>
            </w:pPr>
            <w:r>
              <w:rPr>
                <w:rFonts w:ascii="Arial" w:cs="Arial" w:eastAsia="Arial" w:hAnsi="Arial"/>
                <w:sz w:val="13"/>
                <w:szCs w:val="13"/>
                <w:b w:val="1"/>
                <w:bCs w:val="1"/>
                <w:color w:val="auto"/>
              </w:rPr>
              <w:t>Property Name</w:t>
            </w: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jc w:val="center"/>
              <w:ind w:right="274"/>
              <w:spacing w:after="0"/>
              <w:rPr>
                <w:sz w:val="20"/>
                <w:szCs w:val="20"/>
                <w:color w:val="auto"/>
              </w:rPr>
            </w:pPr>
            <w:r>
              <w:rPr>
                <w:rFonts w:ascii="Arial" w:cs="Arial" w:eastAsia="Arial" w:hAnsi="Arial"/>
                <w:sz w:val="13"/>
                <w:szCs w:val="13"/>
                <w:b w:val="1"/>
                <w:bCs w:val="1"/>
                <w:color w:val="auto"/>
                <w:w w:val="92"/>
              </w:rPr>
              <w:t>Acquired</w:t>
            </w:r>
          </w:p>
        </w:tc>
        <w:tc>
          <w:tcPr>
            <w:tcW w:w="84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0"/>
              </w:rPr>
              <w:t>at Cost</w:t>
            </w:r>
          </w:p>
        </w:tc>
        <w:tc>
          <w:tcPr>
            <w:tcW w:w="10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Obligation</w:t>
            </w:r>
          </w:p>
        </w:tc>
        <w:tc>
          <w:tcPr>
            <w:tcW w:w="560" w:type="dxa"/>
            <w:vAlign w:val="bottom"/>
          </w:tcPr>
          <w:p>
            <w:pPr>
              <w:jc w:val="right"/>
              <w:ind w:right="56"/>
              <w:spacing w:after="0"/>
              <w:rPr>
                <w:sz w:val="20"/>
                <w:szCs w:val="20"/>
                <w:color w:val="auto"/>
              </w:rPr>
            </w:pPr>
            <w:r>
              <w:rPr>
                <w:rFonts w:ascii="Arial" w:cs="Arial" w:eastAsia="Arial" w:hAnsi="Arial"/>
                <w:sz w:val="13"/>
                <w:szCs w:val="13"/>
                <w:b w:val="1"/>
                <w:bCs w:val="1"/>
                <w:color w:val="auto"/>
              </w:rPr>
              <w:t>GLA</w:t>
            </w:r>
          </w:p>
        </w:tc>
        <w:tc>
          <w:tcPr>
            <w:tcW w:w="18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9"/>
              </w:rPr>
              <w:t>% Leased</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GLA (1)</w:t>
            </w:r>
          </w:p>
        </w:tc>
        <w:tc>
          <w:tcPr>
            <w:tcW w:w="10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760" w:type="dxa"/>
            <w:vAlign w:val="bottom"/>
            <w:gridSpan w:val="10"/>
            <w:shd w:val="clear" w:color="auto" w:fill="CCEEFF"/>
          </w:tcPr>
          <w:p>
            <w:pPr>
              <w:spacing w:after="0" w:line="171" w:lineRule="exact"/>
              <w:rPr>
                <w:sz w:val="20"/>
                <w:szCs w:val="20"/>
                <w:color w:val="auto"/>
              </w:rPr>
            </w:pPr>
            <w:r>
              <w:rPr>
                <w:rFonts w:ascii="Arial" w:cs="Arial" w:eastAsia="Arial" w:hAnsi="Arial"/>
                <w:sz w:val="17"/>
                <w:szCs w:val="17"/>
                <w:b w:val="1"/>
                <w:bCs w:val="1"/>
                <w:color w:val="auto"/>
              </w:rPr>
              <w:t>East Region</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2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260" w:type="dxa"/>
            <w:vAlign w:val="bottom"/>
            <w:tcBorders>
              <w:right w:val="single" w:sz="8" w:color="CCEEFF"/>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420" w:type="dxa"/>
            <w:vAlign w:val="bottom"/>
          </w:tcPr>
          <w:p>
            <w:pPr>
              <w:spacing w:after="0"/>
              <w:rPr>
                <w:sz w:val="14"/>
                <w:szCs w:val="14"/>
                <w:color w:val="auto"/>
              </w:rPr>
            </w:pPr>
          </w:p>
        </w:tc>
        <w:tc>
          <w:tcPr>
            <w:tcW w:w="880" w:type="dxa"/>
            <w:vAlign w:val="bottom"/>
            <w:tcBorders>
              <w:bottom w:val="single" w:sz="8" w:color="auto"/>
            </w:tcBorders>
            <w:gridSpan w:val="6"/>
          </w:tcPr>
          <w:p>
            <w:pPr>
              <w:spacing w:after="0" w:line="171" w:lineRule="exact"/>
              <w:rPr>
                <w:sz w:val="20"/>
                <w:szCs w:val="20"/>
                <w:color w:val="auto"/>
              </w:rPr>
            </w:pPr>
            <w:r>
              <w:rPr>
                <w:rFonts w:ascii="Arial" w:cs="Arial" w:eastAsia="Arial" w:hAnsi="Arial"/>
                <w:sz w:val="17"/>
                <w:szCs w:val="17"/>
                <w:b w:val="1"/>
                <w:bCs w:val="1"/>
                <w:color w:val="auto"/>
                <w:w w:val="88"/>
              </w:rPr>
              <w:t>Washington</w:t>
            </w:r>
          </w:p>
        </w:tc>
        <w:tc>
          <w:tcPr>
            <w:tcW w:w="46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gridSpan w:val="7"/>
          </w:tcPr>
          <w:p>
            <w:pPr>
              <w:spacing w:after="0" w:line="189" w:lineRule="exact"/>
              <w:rPr>
                <w:sz w:val="20"/>
                <w:szCs w:val="20"/>
                <w:color w:val="auto"/>
              </w:rPr>
            </w:pPr>
            <w:r>
              <w:rPr>
                <w:rFonts w:ascii="Arial" w:cs="Arial" w:eastAsia="Arial" w:hAnsi="Arial"/>
                <w:sz w:val="17"/>
                <w:szCs w:val="17"/>
                <w:b w:val="1"/>
                <w:bCs w:val="1"/>
                <w:color w:val="auto"/>
                <w:w w:val="92"/>
              </w:rPr>
              <w:t>Metropolitan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b w:val="1"/>
                <w:bCs w:val="1"/>
                <w:color w:val="auto"/>
                <w:w w:val="89"/>
              </w:rPr>
              <w:t>Area</w:t>
            </w:r>
          </w:p>
        </w:tc>
        <w:tc>
          <w:tcPr>
            <w:tcW w:w="76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760" w:type="dxa"/>
            <w:vAlign w:val="bottom"/>
            <w:gridSpan w:val="10"/>
            <w:shd w:val="clear" w:color="auto" w:fill="CCEEFF"/>
          </w:tcPr>
          <w:p>
            <w:pPr>
              <w:spacing w:after="0"/>
              <w:rPr>
                <w:sz w:val="20"/>
                <w:szCs w:val="20"/>
                <w:color w:val="auto"/>
              </w:rPr>
            </w:pPr>
            <w:r>
              <w:rPr>
                <w:rFonts w:ascii="Arial" w:cs="Arial" w:eastAsia="Arial" w:hAnsi="Arial"/>
                <w:sz w:val="17"/>
                <w:szCs w:val="17"/>
                <w:color w:val="auto"/>
              </w:rPr>
              <w:t>Barcroft Plaza</w:t>
            </w: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Washington, DC-</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2006-</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MD-VA</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2007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33,993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20,785</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100,000</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95%</w:t>
            </w:r>
          </w:p>
        </w:tc>
        <w:tc>
          <w:tcPr>
            <w:tcW w:w="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46,000</w:t>
            </w: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Harris Teeter</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Bank of America</w:t>
            </w:r>
          </w:p>
        </w:tc>
        <w:tc>
          <w:tcPr>
            <w:tcW w:w="0" w:type="dxa"/>
            <w:vAlign w:val="bottom"/>
          </w:tcPr>
          <w:p>
            <w:pPr>
              <w:spacing w:after="0"/>
              <w:rPr>
                <w:sz w:val="1"/>
                <w:szCs w:val="1"/>
                <w:color w:val="auto"/>
              </w:rPr>
            </w:pPr>
          </w:p>
        </w:tc>
      </w:tr>
      <w:tr>
        <w:trPr>
          <w:trHeight w:val="201"/>
        </w:trPr>
        <w:tc>
          <w:tcPr>
            <w:tcW w:w="1760" w:type="dxa"/>
            <w:vAlign w:val="bottom"/>
            <w:gridSpan w:val="10"/>
          </w:tcPr>
          <w:p>
            <w:pPr>
              <w:spacing w:after="0"/>
              <w:rPr>
                <w:sz w:val="20"/>
                <w:szCs w:val="20"/>
                <w:color w:val="auto"/>
              </w:rPr>
            </w:pPr>
            <w:r>
              <w:rPr>
                <w:rFonts w:ascii="Arial" w:cs="Arial" w:eastAsia="Arial" w:hAnsi="Arial"/>
                <w:sz w:val="17"/>
                <w:szCs w:val="17"/>
                <w:color w:val="auto"/>
              </w:rPr>
              <w:t>Free State Shopping</w:t>
            </w:r>
          </w:p>
        </w:tc>
        <w:tc>
          <w:tcPr>
            <w:tcW w:w="1480" w:type="dxa"/>
            <w:vAlign w:val="bottom"/>
            <w:gridSpan w:val="2"/>
          </w:tcPr>
          <w:p>
            <w:pPr>
              <w:ind w:left="160"/>
              <w:spacing w:after="0"/>
              <w:rPr>
                <w:sz w:val="20"/>
                <w:szCs w:val="20"/>
                <w:color w:val="auto"/>
              </w:rPr>
            </w:pPr>
            <w:r>
              <w:rPr>
                <w:rFonts w:ascii="Arial" w:cs="Arial" w:eastAsia="Arial" w:hAnsi="Arial"/>
                <w:sz w:val="17"/>
                <w:szCs w:val="17"/>
                <w:color w:val="auto"/>
              </w:rPr>
              <w:t>Washington, DC-</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TJ Maxx / Ross /</w:t>
            </w:r>
          </w:p>
        </w:tc>
        <w:tc>
          <w:tcPr>
            <w:tcW w:w="0" w:type="dxa"/>
            <w:vAlign w:val="bottom"/>
          </w:tcPr>
          <w:p>
            <w:pPr>
              <w:spacing w:after="0"/>
              <w:rPr>
                <w:sz w:val="1"/>
                <w:szCs w:val="1"/>
                <w:color w:val="auto"/>
              </w:rPr>
            </w:pPr>
          </w:p>
        </w:tc>
      </w:tr>
      <w:tr>
        <w:trPr>
          <w:trHeight w:val="216"/>
        </w:trPr>
        <w:tc>
          <w:tcPr>
            <w:tcW w:w="1760" w:type="dxa"/>
            <w:vAlign w:val="bottom"/>
            <w:gridSpan w:val="10"/>
          </w:tcPr>
          <w:p>
            <w:pPr>
              <w:ind w:left="220"/>
              <w:spacing w:after="0"/>
              <w:rPr>
                <w:sz w:val="20"/>
                <w:szCs w:val="20"/>
                <w:color w:val="auto"/>
              </w:rPr>
            </w:pPr>
            <w:r>
              <w:rPr>
                <w:rFonts w:ascii="Arial" w:cs="Arial" w:eastAsia="Arial" w:hAnsi="Arial"/>
                <w:sz w:val="17"/>
                <w:szCs w:val="17"/>
                <w:color w:val="auto"/>
              </w:rPr>
              <w:t>Center</w:t>
            </w:r>
          </w:p>
        </w:tc>
        <w:tc>
          <w:tcPr>
            <w:tcW w:w="1480" w:type="dxa"/>
            <w:vAlign w:val="bottom"/>
            <w:gridSpan w:val="2"/>
          </w:tcPr>
          <w:p>
            <w:pPr>
              <w:ind w:left="160"/>
              <w:spacing w:after="0"/>
              <w:rPr>
                <w:sz w:val="20"/>
                <w:szCs w:val="20"/>
                <w:color w:val="auto"/>
              </w:rPr>
            </w:pPr>
            <w:r>
              <w:rPr>
                <w:rFonts w:ascii="Arial" w:cs="Arial" w:eastAsia="Arial" w:hAnsi="Arial"/>
                <w:sz w:val="17"/>
                <w:szCs w:val="17"/>
                <w:color w:val="auto"/>
              </w:rPr>
              <w:t>MD-VA</w:t>
            </w:r>
          </w:p>
        </w:tc>
        <w:tc>
          <w:tcPr>
            <w:tcW w:w="900" w:type="dxa"/>
            <w:vAlign w:val="bottom"/>
            <w:gridSpan w:val="3"/>
          </w:tcPr>
          <w:p>
            <w:pPr>
              <w:jc w:val="right"/>
              <w:ind w:right="180"/>
              <w:spacing w:after="0"/>
              <w:rPr>
                <w:sz w:val="20"/>
                <w:szCs w:val="20"/>
                <w:color w:val="auto"/>
              </w:rPr>
            </w:pPr>
            <w:r>
              <w:rPr>
                <w:rFonts w:ascii="Arial" w:cs="Arial" w:eastAsia="Arial" w:hAnsi="Arial"/>
                <w:sz w:val="17"/>
                <w:szCs w:val="17"/>
                <w:color w:val="auto"/>
              </w:rPr>
              <w:t>2007</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65,737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279,000</w:t>
            </w: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rPr>
              <w:t>100%</w:t>
            </w:r>
          </w:p>
        </w:tc>
        <w:tc>
          <w:tcPr>
            <w:tcW w:w="560" w:type="dxa"/>
            <w:vAlign w:val="bottom"/>
            <w:gridSpan w:val="2"/>
          </w:tcPr>
          <w:p>
            <w:pPr>
              <w:spacing w:after="0"/>
              <w:rPr>
                <w:sz w:val="20"/>
                <w:szCs w:val="20"/>
                <w:color w:val="auto"/>
              </w:rPr>
            </w:pPr>
            <w:r>
              <w:rPr>
                <w:rFonts w:ascii="Arial" w:cs="Arial" w:eastAsia="Arial" w:hAnsi="Arial"/>
                <w:sz w:val="17"/>
                <w:szCs w:val="17"/>
                <w:color w:val="auto"/>
              </w:rPr>
              <w:t>73,000</w:t>
            </w: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Giant Food</w:t>
            </w:r>
          </w:p>
        </w:tc>
        <w:tc>
          <w:tcPr>
            <w:tcW w:w="18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Office Depot</w:t>
            </w:r>
          </w:p>
        </w:tc>
        <w:tc>
          <w:tcPr>
            <w:tcW w:w="0" w:type="dxa"/>
            <w:vAlign w:val="bottom"/>
          </w:tcPr>
          <w:p>
            <w:pPr>
              <w:spacing w:after="0"/>
              <w:rPr>
                <w:sz w:val="1"/>
                <w:szCs w:val="1"/>
                <w:color w:val="auto"/>
              </w:rPr>
            </w:pPr>
          </w:p>
        </w:tc>
      </w:tr>
      <w:tr>
        <w:trPr>
          <w:trHeight w:val="204"/>
        </w:trPr>
        <w:tc>
          <w:tcPr>
            <w:tcW w:w="1760" w:type="dxa"/>
            <w:vAlign w:val="bottom"/>
            <w:gridSpan w:val="10"/>
            <w:shd w:val="clear" w:color="auto" w:fill="CCEEFF"/>
          </w:tcPr>
          <w:p>
            <w:pPr>
              <w:spacing w:after="0"/>
              <w:rPr>
                <w:sz w:val="20"/>
                <w:szCs w:val="20"/>
                <w:color w:val="auto"/>
              </w:rPr>
            </w:pPr>
            <w:r>
              <w:rPr>
                <w:rFonts w:ascii="Arial" w:cs="Arial" w:eastAsia="Arial" w:hAnsi="Arial"/>
                <w:sz w:val="17"/>
                <w:szCs w:val="17"/>
                <w:color w:val="auto"/>
              </w:rPr>
              <w:t>Plaza del Mercado</w:t>
            </w: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Washington, DC-</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MD-VA</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2004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20,978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13,169</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96,000</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93%</w:t>
            </w:r>
          </w:p>
        </w:tc>
        <w:tc>
          <w:tcPr>
            <w:tcW w:w="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25,000</w:t>
            </w: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Giant Food</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CVS</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Arial" w:cs="Arial" w:eastAsia="Arial" w:hAnsi="Arial"/>
                <w:sz w:val="17"/>
                <w:szCs w:val="17"/>
                <w:b w:val="1"/>
                <w:bCs w:val="1"/>
                <w:color w:val="auto"/>
                <w:w w:val="91"/>
              </w:rPr>
              <w:t>Total Washington</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7"/>
                <w:szCs w:val="17"/>
                <w:b w:val="1"/>
                <w:bCs w:val="1"/>
                <w:color w:val="auto"/>
              </w:rPr>
              <w:t>Metropolitan</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60"/>
              <w:spacing w:after="0"/>
              <w:rPr>
                <w:sz w:val="20"/>
                <w:szCs w:val="20"/>
                <w:color w:val="auto"/>
              </w:rPr>
            </w:pPr>
            <w:r>
              <w:rPr>
                <w:rFonts w:ascii="Arial" w:cs="Arial" w:eastAsia="Arial" w:hAnsi="Arial"/>
                <w:sz w:val="17"/>
                <w:szCs w:val="17"/>
                <w:b w:val="1"/>
                <w:bCs w:val="1"/>
                <w:color w:val="auto"/>
              </w:rPr>
              <w:t>Area</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120,708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475,000</w:t>
            </w: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rPr>
              <w:t>98%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20" w:type="dxa"/>
            <w:vAlign w:val="bottom"/>
            <w:shd w:val="clear" w:color="auto" w:fill="CCEEFF"/>
          </w:tcPr>
          <w:p>
            <w:pPr>
              <w:spacing w:after="0"/>
              <w:rPr>
                <w:sz w:val="14"/>
                <w:szCs w:val="14"/>
                <w:color w:val="auto"/>
              </w:rPr>
            </w:pPr>
          </w:p>
        </w:tc>
        <w:tc>
          <w:tcPr>
            <w:tcW w:w="1340" w:type="dxa"/>
            <w:vAlign w:val="bottom"/>
            <w:gridSpan w:val="9"/>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New York / New</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1"/>
              </w:rPr>
              <w:t>Jersey</w:t>
            </w:r>
          </w:p>
        </w:tc>
        <w:tc>
          <w:tcPr>
            <w:tcW w:w="500" w:type="dxa"/>
            <w:vAlign w:val="bottom"/>
            <w:tcBorders>
              <w:top w:val="single" w:sz="8" w:color="auto"/>
              <w:bottom w:val="single" w:sz="8" w:color="CCEEFF"/>
            </w:tcBorders>
            <w:gridSpan w:val="4"/>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760" w:type="dxa"/>
            <w:vAlign w:val="bottom"/>
            <w:gridSpan w:val="10"/>
          </w:tcPr>
          <w:p>
            <w:pPr>
              <w:spacing w:after="0"/>
              <w:rPr>
                <w:sz w:val="20"/>
                <w:szCs w:val="20"/>
                <w:color w:val="auto"/>
              </w:rPr>
            </w:pPr>
            <w:r>
              <w:rPr>
                <w:rFonts w:ascii="Arial" w:cs="Arial" w:eastAsia="Arial" w:hAnsi="Arial"/>
                <w:sz w:val="17"/>
                <w:szCs w:val="17"/>
                <w:color w:val="auto"/>
              </w:rPr>
              <w:t>Greenlawn Plaza</w:t>
            </w:r>
          </w:p>
        </w:tc>
        <w:tc>
          <w:tcPr>
            <w:tcW w:w="1480" w:type="dxa"/>
            <w:vAlign w:val="bottom"/>
            <w:gridSpan w:val="2"/>
          </w:tcPr>
          <w:p>
            <w:pPr>
              <w:ind w:left="160"/>
              <w:spacing w:after="0"/>
              <w:rPr>
                <w:sz w:val="20"/>
                <w:szCs w:val="20"/>
                <w:color w:val="auto"/>
              </w:rPr>
            </w:pPr>
            <w:r>
              <w:rPr>
                <w:rFonts w:ascii="Arial" w:cs="Arial" w:eastAsia="Arial" w:hAnsi="Arial"/>
                <w:sz w:val="17"/>
                <w:szCs w:val="17"/>
                <w:color w:val="auto"/>
              </w:rPr>
              <w:t>Nassau-Suffolk,</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60"/>
              <w:spacing w:after="0"/>
              <w:rPr>
                <w:sz w:val="20"/>
                <w:szCs w:val="20"/>
                <w:color w:val="auto"/>
              </w:rPr>
            </w:pPr>
            <w:r>
              <w:rPr>
                <w:rFonts w:ascii="Arial" w:cs="Arial" w:eastAsia="Arial" w:hAnsi="Arial"/>
                <w:sz w:val="17"/>
                <w:szCs w:val="17"/>
                <w:color w:val="auto"/>
              </w:rPr>
              <w:t>NY</w:t>
            </w:r>
          </w:p>
        </w:tc>
        <w:tc>
          <w:tcPr>
            <w:tcW w:w="900" w:type="dxa"/>
            <w:vAlign w:val="bottom"/>
            <w:gridSpan w:val="3"/>
          </w:tcPr>
          <w:p>
            <w:pPr>
              <w:jc w:val="right"/>
              <w:ind w:right="180"/>
              <w:spacing w:after="0"/>
              <w:rPr>
                <w:sz w:val="20"/>
                <w:szCs w:val="20"/>
                <w:color w:val="auto"/>
              </w:rPr>
            </w:pPr>
            <w:r>
              <w:rPr>
                <w:rFonts w:ascii="Arial" w:cs="Arial" w:eastAsia="Arial" w:hAnsi="Arial"/>
                <w:sz w:val="17"/>
                <w:szCs w:val="17"/>
                <w:color w:val="auto"/>
              </w:rPr>
              <w:t>2006</w:t>
            </w: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19,983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13,600</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106,000</w:t>
            </w: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rPr>
              <w:t>100%</w:t>
            </w:r>
          </w:p>
        </w:tc>
        <w:tc>
          <w:tcPr>
            <w:tcW w:w="560" w:type="dxa"/>
            <w:vAlign w:val="bottom"/>
            <w:gridSpan w:val="2"/>
          </w:tcPr>
          <w:p>
            <w:pPr>
              <w:spacing w:after="0"/>
              <w:rPr>
                <w:sz w:val="20"/>
                <w:szCs w:val="20"/>
                <w:color w:val="auto"/>
              </w:rPr>
            </w:pPr>
            <w:r>
              <w:rPr>
                <w:rFonts w:ascii="Arial" w:cs="Arial" w:eastAsia="Arial" w:hAnsi="Arial"/>
                <w:sz w:val="17"/>
                <w:szCs w:val="17"/>
                <w:color w:val="auto"/>
              </w:rPr>
              <w:t>46,000</w:t>
            </w: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Waldbaum’s</w:t>
            </w:r>
          </w:p>
        </w:tc>
        <w:tc>
          <w:tcPr>
            <w:tcW w:w="18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Tuesday Morning</w:t>
            </w:r>
          </w:p>
        </w:tc>
        <w:tc>
          <w:tcPr>
            <w:tcW w:w="0" w:type="dxa"/>
            <w:vAlign w:val="bottom"/>
          </w:tcPr>
          <w:p>
            <w:pPr>
              <w:spacing w:after="0"/>
              <w:rPr>
                <w:sz w:val="1"/>
                <w:szCs w:val="1"/>
                <w:color w:val="auto"/>
              </w:rPr>
            </w:pPr>
          </w:p>
        </w:tc>
      </w:tr>
      <w:tr>
        <w:trPr>
          <w:trHeight w:val="197"/>
        </w:trPr>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w w:val="98"/>
              </w:rPr>
              <w:t>Total New York /</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New Jersey</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19,983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106,000</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20" w:type="dxa"/>
            <w:vAlign w:val="bottom"/>
          </w:tcPr>
          <w:p>
            <w:pPr>
              <w:spacing w:after="0"/>
              <w:rPr>
                <w:sz w:val="14"/>
                <w:szCs w:val="14"/>
                <w:color w:val="auto"/>
              </w:rPr>
            </w:pPr>
          </w:p>
        </w:tc>
        <w:tc>
          <w:tcPr>
            <w:tcW w:w="1340" w:type="dxa"/>
            <w:vAlign w:val="bottom"/>
            <w:gridSpan w:val="9"/>
          </w:tcPr>
          <w:p>
            <w:pPr>
              <w:spacing w:after="0" w:line="171" w:lineRule="exact"/>
              <w:rPr>
                <w:sz w:val="20"/>
                <w:szCs w:val="20"/>
                <w:color w:val="auto"/>
              </w:rPr>
            </w:pPr>
            <w:r>
              <w:rPr>
                <w:rFonts w:ascii="Arial" w:cs="Arial" w:eastAsia="Arial" w:hAnsi="Arial"/>
                <w:sz w:val="17"/>
                <w:szCs w:val="17"/>
                <w:b w:val="1"/>
                <w:bCs w:val="1"/>
                <w:color w:val="auto"/>
              </w:rPr>
              <w:t>New England</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60" w:type="dxa"/>
            <w:vAlign w:val="bottom"/>
            <w:gridSpan w:val="10"/>
            <w:shd w:val="clear" w:color="auto" w:fill="CCEEFF"/>
          </w:tcPr>
          <w:p>
            <w:pPr>
              <w:spacing w:after="0"/>
              <w:rPr>
                <w:sz w:val="20"/>
                <w:szCs w:val="20"/>
                <w:color w:val="auto"/>
              </w:rPr>
            </w:pPr>
            <w:r>
              <w:rPr>
                <w:rFonts w:ascii="Arial" w:cs="Arial" w:eastAsia="Arial" w:hAnsi="Arial"/>
                <w:sz w:val="17"/>
                <w:szCs w:val="17"/>
                <w:color w:val="auto"/>
              </w:rPr>
              <w:t>Atlantic Plaza</w:t>
            </w: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1"/>
              </w:rPr>
              <w:t>Boston-Worcester-</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7"/>
              </w:rPr>
              <w:t>Lawrence-Lowell-</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Shaw’s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Brockton, MA</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2004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16,403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10,500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123,000</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97%</w:t>
            </w:r>
          </w:p>
        </w:tc>
        <w:tc>
          <w:tcPr>
            <w:tcW w:w="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63,000</w:t>
            </w: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Supermarket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Sears</w:t>
            </w:r>
          </w:p>
        </w:tc>
        <w:tc>
          <w:tcPr>
            <w:tcW w:w="0" w:type="dxa"/>
            <w:vAlign w:val="bottom"/>
          </w:tcPr>
          <w:p>
            <w:pPr>
              <w:spacing w:after="0"/>
              <w:rPr>
                <w:sz w:val="1"/>
                <w:szCs w:val="1"/>
                <w:color w:val="auto"/>
              </w:rPr>
            </w:pPr>
          </w:p>
        </w:tc>
      </w:tr>
      <w:tr>
        <w:trPr>
          <w:trHeight w:val="201"/>
        </w:trPr>
        <w:tc>
          <w:tcPr>
            <w:tcW w:w="1760" w:type="dxa"/>
            <w:vAlign w:val="bottom"/>
            <w:gridSpan w:val="10"/>
          </w:tcPr>
          <w:p>
            <w:pPr>
              <w:spacing w:after="0"/>
              <w:rPr>
                <w:sz w:val="20"/>
                <w:szCs w:val="20"/>
                <w:color w:val="auto"/>
              </w:rPr>
            </w:pPr>
            <w:r>
              <w:rPr>
                <w:rFonts w:ascii="Arial" w:cs="Arial" w:eastAsia="Arial" w:hAnsi="Arial"/>
                <w:sz w:val="17"/>
                <w:szCs w:val="17"/>
                <w:color w:val="auto"/>
              </w:rPr>
              <w:t>Campus Plaza</w:t>
            </w:r>
          </w:p>
        </w:tc>
        <w:tc>
          <w:tcPr>
            <w:tcW w:w="1480" w:type="dxa"/>
            <w:vAlign w:val="bottom"/>
            <w:gridSpan w:val="2"/>
          </w:tcPr>
          <w:p>
            <w:pPr>
              <w:ind w:left="160"/>
              <w:spacing w:after="0"/>
              <w:rPr>
                <w:sz w:val="20"/>
                <w:szCs w:val="20"/>
                <w:color w:val="auto"/>
              </w:rPr>
            </w:pPr>
            <w:r>
              <w:rPr>
                <w:rFonts w:ascii="Arial" w:cs="Arial" w:eastAsia="Arial" w:hAnsi="Arial"/>
                <w:sz w:val="17"/>
                <w:szCs w:val="17"/>
                <w:color w:val="auto"/>
                <w:w w:val="91"/>
              </w:rPr>
              <w:t>Boston-Worcester-</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7"/>
                <w:szCs w:val="17"/>
                <w:color w:val="auto"/>
                <w:w w:val="97"/>
              </w:rPr>
              <w:t>Lawrence-Lowell-</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Burlington Coat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7"/>
                <w:szCs w:val="17"/>
                <w:color w:val="auto"/>
              </w:rPr>
              <w:t>Brockton, MA</w:t>
            </w:r>
          </w:p>
        </w:tc>
        <w:tc>
          <w:tcPr>
            <w:tcW w:w="900" w:type="dxa"/>
            <w:vAlign w:val="bottom"/>
            <w:gridSpan w:val="3"/>
          </w:tcPr>
          <w:p>
            <w:pPr>
              <w:jc w:val="right"/>
              <w:ind w:right="180"/>
              <w:spacing w:after="0"/>
              <w:rPr>
                <w:sz w:val="20"/>
                <w:szCs w:val="20"/>
                <w:color w:val="auto"/>
              </w:rPr>
            </w:pPr>
            <w:r>
              <w:rPr>
                <w:rFonts w:ascii="Arial" w:cs="Arial" w:eastAsia="Arial" w:hAnsi="Arial"/>
                <w:sz w:val="17"/>
                <w:szCs w:val="17"/>
                <w:color w:val="auto"/>
              </w:rPr>
              <w:t>2004</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22,101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11,000</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116,000</w:t>
            </w: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rPr>
              <w:t>100%</w:t>
            </w:r>
          </w:p>
        </w:tc>
        <w:tc>
          <w:tcPr>
            <w:tcW w:w="560" w:type="dxa"/>
            <w:vAlign w:val="bottom"/>
            <w:gridSpan w:val="2"/>
          </w:tcPr>
          <w:p>
            <w:pPr>
              <w:spacing w:after="0"/>
              <w:rPr>
                <w:sz w:val="20"/>
                <w:szCs w:val="20"/>
                <w:color w:val="auto"/>
              </w:rPr>
            </w:pPr>
            <w:r>
              <w:rPr>
                <w:rFonts w:ascii="Arial" w:cs="Arial" w:eastAsia="Arial" w:hAnsi="Arial"/>
                <w:sz w:val="17"/>
                <w:szCs w:val="17"/>
                <w:color w:val="auto"/>
              </w:rPr>
              <w:t>46,000</w:t>
            </w: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Roche Brothers</w:t>
            </w:r>
          </w:p>
        </w:tc>
        <w:tc>
          <w:tcPr>
            <w:tcW w:w="18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Factory</w:t>
            </w:r>
          </w:p>
        </w:tc>
        <w:tc>
          <w:tcPr>
            <w:tcW w:w="0" w:type="dxa"/>
            <w:vAlign w:val="bottom"/>
          </w:tcPr>
          <w:p>
            <w:pPr>
              <w:spacing w:after="0"/>
              <w:rPr>
                <w:sz w:val="1"/>
                <w:szCs w:val="1"/>
                <w:color w:val="auto"/>
              </w:rPr>
            </w:pPr>
          </w:p>
        </w:tc>
      </w:tr>
      <w:tr>
        <w:trPr>
          <w:trHeight w:val="204"/>
        </w:trPr>
        <w:tc>
          <w:tcPr>
            <w:tcW w:w="1760" w:type="dxa"/>
            <w:vAlign w:val="bottom"/>
            <w:gridSpan w:val="10"/>
            <w:shd w:val="clear" w:color="auto" w:fill="CCEEFF"/>
          </w:tcPr>
          <w:p>
            <w:pPr>
              <w:spacing w:after="0"/>
              <w:rPr>
                <w:sz w:val="20"/>
                <w:szCs w:val="20"/>
                <w:color w:val="auto"/>
              </w:rPr>
            </w:pPr>
            <w:r>
              <w:rPr>
                <w:rFonts w:ascii="Arial" w:cs="Arial" w:eastAsia="Arial" w:hAnsi="Arial"/>
                <w:sz w:val="17"/>
                <w:szCs w:val="17"/>
                <w:color w:val="auto"/>
              </w:rPr>
              <w:t>Pleasant Shops</w:t>
            </w: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1"/>
              </w:rPr>
              <w:t>Boston-Worcester-</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7"/>
              </w:rPr>
              <w:t>Lawrence-Lowell-</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Brockton, MA</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2004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22,691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12,400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129,000</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97%</w:t>
            </w:r>
          </w:p>
        </w:tc>
        <w:tc>
          <w:tcPr>
            <w:tcW w:w="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38,000</w:t>
            </w: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Foodmaster</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Marshalls</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 New</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60"/>
              <w:spacing w:after="0"/>
              <w:rPr>
                <w:sz w:val="20"/>
                <w:szCs w:val="20"/>
                <w:color w:val="auto"/>
              </w:rPr>
            </w:pPr>
            <w:r>
              <w:rPr>
                <w:rFonts w:ascii="Arial" w:cs="Arial" w:eastAsia="Arial" w:hAnsi="Arial"/>
                <w:sz w:val="17"/>
                <w:szCs w:val="17"/>
                <w:b w:val="1"/>
                <w:bCs w:val="1"/>
                <w:color w:val="auto"/>
              </w:rPr>
              <w:t>Englan</w:t>
            </w:r>
            <w:r>
              <w:rPr>
                <w:rFonts w:ascii="Arial" w:cs="Arial" w:eastAsia="Arial" w:hAnsi="Arial"/>
                <w:sz w:val="17"/>
                <w:szCs w:val="17"/>
                <w:color w:val="auto"/>
              </w:rPr>
              <w:t>d</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61,195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368,000</w:t>
            </w: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rPr>
              <w:t>98%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w w:val="90"/>
              </w:rPr>
              <w:t>Total East Region</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949,000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gridSpan w:val="10"/>
            <w:vMerge w:val="restart"/>
          </w:tcPr>
          <w:p>
            <w:pPr>
              <w:spacing w:after="0"/>
              <w:rPr>
                <w:sz w:val="20"/>
                <w:szCs w:val="20"/>
                <w:color w:val="auto"/>
              </w:rPr>
            </w:pPr>
            <w:r>
              <w:rPr>
                <w:rFonts w:ascii="Arial" w:cs="Arial" w:eastAsia="Arial" w:hAnsi="Arial"/>
                <w:sz w:val="17"/>
                <w:szCs w:val="17"/>
                <w:color w:val="auto"/>
              </w:rPr>
              <w:t>Grand Totals</w:t>
            </w: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760" w:type="dxa"/>
            <w:vAlign w:val="bottom"/>
            <w:gridSpan w:val="10"/>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201,886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81,454</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949,000</w:t>
            </w: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rPr>
              <w:t>98%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0" w:lineRule="exact"/>
        <w:rPr>
          <w:sz w:val="20"/>
          <w:szCs w:val="20"/>
          <w:color w:val="auto"/>
        </w:rPr>
      </w:pPr>
    </w:p>
    <w:p>
      <w:pPr>
        <w:ind w:left="5620" w:right="5420" w:hanging="5615"/>
        <w:spacing w:after="0" w:line="544" w:lineRule="auto"/>
        <w:tabs>
          <w:tab w:leader="none" w:pos="442" w:val="left"/>
        </w:tabs>
        <w:numPr>
          <w:ilvl w:val="0"/>
          <w:numId w:val="22"/>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25</w:t>
      </w:r>
    </w:p>
    <w:p>
      <w:pPr>
        <w:sectPr>
          <w:pgSz w:w="11900" w:h="16838" w:orient="portrait"/>
          <w:cols w:equalWidth="0" w:num="1">
            <w:col w:w="11420"/>
          </w:cols>
          <w:pgMar w:left="240" w:top="27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1385" cy="27305"/>
                    </a:xfrm>
                    <a:prstGeom prst="rect">
                      <a:avLst/>
                    </a:prstGeom>
                    <a:noFill/>
                  </pic:spPr>
                </pic:pic>
              </a:graphicData>
            </a:graphic>
          </wp:anchor>
        </w:drawing>
        <w:t>Glossary of Terms</w:t>
      </w:r>
    </w:p>
    <w:p>
      <w:pPr>
        <w:spacing w:after="0" w:line="17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plus depreciation and amortization, net interest expense, income taxes,</w:t>
      </w:r>
      <w:r>
        <w:rPr>
          <w:rFonts w:ascii="Arial" w:cs="Arial" w:eastAsia="Arial" w:hAnsi="Arial"/>
          <w:sz w:val="17"/>
          <w:szCs w:val="17"/>
          <w:b w:val="1"/>
          <w:bCs w:val="1"/>
          <w:color w:val="auto"/>
        </w:rPr>
        <w:t xml:space="preserve"> </w:t>
      </w:r>
      <w:r>
        <w:rPr>
          <w:rFonts w:ascii="Arial" w:cs="Arial" w:eastAsia="Arial" w:hAnsi="Arial"/>
          <w:sz w:val="17"/>
          <w:szCs w:val="17"/>
          <w:color w:val="auto"/>
        </w:rPr>
        <w:t>gain 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three and six months ended June 30, 2008 and 2007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3"/>
              </w:rPr>
              <w:t>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ind w:left="1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2"/>
              </w:rPr>
              <w:t>June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86"/>
              <w:spacing w:after="0" w:line="138" w:lineRule="exact"/>
              <w:rPr>
                <w:sz w:val="20"/>
                <w:szCs w:val="20"/>
                <w:color w:val="auto"/>
              </w:rPr>
            </w:pPr>
            <w:r>
              <w:rPr>
                <w:rFonts w:ascii="Arial" w:cs="Arial" w:eastAsia="Arial" w:hAnsi="Arial"/>
                <w:sz w:val="13"/>
                <w:szCs w:val="13"/>
                <w:b w:val="1"/>
                <w:bCs w:val="1"/>
                <w:color w:val="auto"/>
              </w:rPr>
              <w:t>2008</w:t>
            </w:r>
          </w:p>
        </w:tc>
        <w:tc>
          <w:tcPr>
            <w:tcW w:w="280" w:type="dxa"/>
            <w:vAlign w:val="bottom"/>
            <w:tcBorders>
              <w:top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57"/>
              <w:spacing w:after="0" w:line="138" w:lineRule="exact"/>
              <w:rPr>
                <w:sz w:val="20"/>
                <w:szCs w:val="20"/>
                <w:color w:val="auto"/>
              </w:rPr>
            </w:pPr>
            <w:r>
              <w:rPr>
                <w:rFonts w:ascii="Arial" w:cs="Arial" w:eastAsia="Arial" w:hAnsi="Arial"/>
                <w:sz w:val="13"/>
                <w:szCs w:val="13"/>
                <w:b w:val="1"/>
                <w:bCs w:val="1"/>
                <w:color w:val="auto"/>
              </w:rPr>
              <w:t>2007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2008</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560" w:type="dxa"/>
            <w:vAlign w:val="bottom"/>
          </w:tcPr>
          <w:p>
            <w:pPr>
              <w:ind w:left="300"/>
              <w:spacing w:after="0" w:line="138" w:lineRule="exact"/>
              <w:rPr>
                <w:sz w:val="20"/>
                <w:szCs w:val="20"/>
                <w:color w:val="auto"/>
              </w:rPr>
            </w:pPr>
            <w:r>
              <w:rPr>
                <w:rFonts w:ascii="Arial" w:cs="Arial" w:eastAsia="Arial" w:hAnsi="Arial"/>
                <w:sz w:val="13"/>
                <w:szCs w:val="13"/>
                <w:b w:val="1"/>
                <w:bCs w:val="1"/>
                <w:color w:val="auto"/>
              </w:rPr>
              <w:t>(in</w:t>
            </w:r>
          </w:p>
        </w:tc>
        <w:tc>
          <w:tcPr>
            <w:tcW w:w="840" w:type="dxa"/>
            <w:vAlign w:val="bottom"/>
            <w:gridSpan w:val="2"/>
          </w:tcPr>
          <w:p>
            <w:pPr>
              <w:jc w:val="right"/>
              <w:ind w:right="217"/>
              <w:spacing w:after="0" w:line="138" w:lineRule="exact"/>
              <w:rPr>
                <w:sz w:val="20"/>
                <w:szCs w:val="20"/>
                <w:color w:val="auto"/>
              </w:rPr>
            </w:pPr>
            <w:r>
              <w:rPr>
                <w:rFonts w:ascii="Arial" w:cs="Arial" w:eastAsia="Arial" w:hAnsi="Arial"/>
                <w:sz w:val="13"/>
                <w:szCs w:val="13"/>
                <w:b w:val="1"/>
                <w:bCs w:val="1"/>
                <w:color w:val="auto"/>
                <w:w w:val="74"/>
              </w:rPr>
              <w:t>thousands)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ind w:left="300"/>
              <w:spacing w:after="0" w:line="138" w:lineRule="exact"/>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840" w:type="dxa"/>
            <w:vAlign w:val="bottom"/>
            <w:gridSpan w:val="3"/>
            <w:shd w:val="clear" w:color="auto" w:fill="CCEEFF"/>
          </w:tcPr>
          <w:p>
            <w:pPr>
              <w:jc w:val="right"/>
              <w:ind w:right="214"/>
              <w:spacing w:after="0"/>
              <w:rPr>
                <w:sz w:val="20"/>
                <w:szCs w:val="20"/>
                <w:color w:val="auto"/>
              </w:rPr>
            </w:pPr>
            <w:r>
              <w:rPr>
                <w:rFonts w:ascii="Arial" w:cs="Arial" w:eastAsia="Arial" w:hAnsi="Arial"/>
                <w:sz w:val="17"/>
                <w:szCs w:val="17"/>
                <w:color w:val="auto"/>
              </w:rPr>
              <w:t>$28,974</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$26,718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58,960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3840" w:type="dxa"/>
            <w:vAlign w:val="bottom"/>
            <w:gridSpan w:val="3"/>
          </w:tcPr>
          <w:p>
            <w:pPr>
              <w:jc w:val="right"/>
              <w:ind w:right="214"/>
              <w:spacing w:after="0"/>
              <w:rPr>
                <w:sz w:val="20"/>
                <w:szCs w:val="20"/>
                <w:color w:val="auto"/>
              </w:rPr>
            </w:pPr>
            <w:r>
              <w:rPr>
                <w:rFonts w:ascii="Arial" w:cs="Arial" w:eastAsia="Arial" w:hAnsi="Arial"/>
                <w:sz w:val="17"/>
                <w:szCs w:val="17"/>
                <w:color w:val="auto"/>
              </w:rPr>
              <w:t>27,795</w:t>
            </w:r>
          </w:p>
        </w:tc>
        <w:tc>
          <w:tcPr>
            <w:tcW w:w="560" w:type="dxa"/>
            <w:vAlign w:val="bottom"/>
          </w:tcPr>
          <w:p>
            <w:pPr>
              <w:jc w:val="right"/>
              <w:spacing w:after="0"/>
              <w:rPr>
                <w:sz w:val="20"/>
                <w:szCs w:val="20"/>
                <w:color w:val="auto"/>
              </w:rPr>
            </w:pPr>
            <w:r>
              <w:rPr>
                <w:rFonts w:ascii="Arial" w:cs="Arial" w:eastAsia="Arial" w:hAnsi="Arial"/>
                <w:sz w:val="17"/>
                <w:szCs w:val="17"/>
                <w:color w:val="auto"/>
              </w:rPr>
              <w:t>26,902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53,195</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53,386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3840" w:type="dxa"/>
            <w:vAlign w:val="bottom"/>
            <w:gridSpan w:val="3"/>
            <w:shd w:val="clear" w:color="auto" w:fill="CCEEFF"/>
          </w:tcPr>
          <w:p>
            <w:pPr>
              <w:jc w:val="right"/>
              <w:ind w:right="214"/>
              <w:spacing w:after="0"/>
              <w:rPr>
                <w:sz w:val="20"/>
                <w:szCs w:val="20"/>
                <w:color w:val="auto"/>
              </w:rPr>
            </w:pPr>
            <w:r>
              <w:rPr>
                <w:rFonts w:ascii="Arial" w:cs="Arial" w:eastAsia="Arial" w:hAnsi="Arial"/>
                <w:sz w:val="17"/>
                <w:szCs w:val="17"/>
                <w:color w:val="auto"/>
              </w:rPr>
              <w:t>24,476</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48,829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Other interest income</w:t>
            </w:r>
          </w:p>
        </w:tc>
        <w:tc>
          <w:tcPr>
            <w:tcW w:w="3000" w:type="dxa"/>
            <w:vAlign w:val="bottom"/>
          </w:tcPr>
          <w:p>
            <w:pPr>
              <w:spacing w:after="0"/>
              <w:rPr>
                <w:sz w:val="18"/>
                <w:szCs w:val="18"/>
                <w:color w:val="auto"/>
              </w:rPr>
            </w:pPr>
          </w:p>
        </w:tc>
        <w:tc>
          <w:tcPr>
            <w:tcW w:w="840" w:type="dxa"/>
            <w:vAlign w:val="bottom"/>
            <w:gridSpan w:val="2"/>
          </w:tcPr>
          <w:p>
            <w:pPr>
              <w:jc w:val="right"/>
              <w:ind w:right="154"/>
              <w:spacing w:after="0"/>
              <w:rPr>
                <w:sz w:val="20"/>
                <w:szCs w:val="20"/>
                <w:color w:val="auto"/>
              </w:rPr>
            </w:pPr>
            <w:r>
              <w:rPr>
                <w:rFonts w:ascii="Arial" w:cs="Arial" w:eastAsia="Arial" w:hAnsi="Arial"/>
                <w:sz w:val="17"/>
                <w:szCs w:val="17"/>
                <w:color w:val="auto"/>
              </w:rPr>
              <w:t>(209)</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(332)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(550)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30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81,036</w:t>
            </w: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160,434</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161,770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0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(1,849)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(1,849)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3840" w:type="dxa"/>
            <w:vAlign w:val="bottom"/>
            <w:gridSpan w:val="3"/>
            <w:shd w:val="clear" w:color="auto" w:fill="CCEEFF"/>
          </w:tcPr>
          <w:p>
            <w:pPr>
              <w:jc w:val="right"/>
              <w:ind w:right="214"/>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81,036</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81,175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7"/>
              </w:rPr>
              <w:t>160,434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159,921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24"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other property income and mortgage interest income, less rental expenses and real estate taxes and excluding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from discontinued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Overall Portfolio: </w:t>
      </w:r>
      <w:r>
        <w:rPr>
          <w:rFonts w:ascii="Arial" w:cs="Arial" w:eastAsia="Arial" w:hAnsi="Arial"/>
          <w:sz w:val="17"/>
          <w:szCs w:val="17"/>
          <w:color w:val="auto"/>
        </w:rPr>
        <w:t>Includes all operating properties owned in reporting period.</w:t>
      </w:r>
    </w:p>
    <w:p>
      <w:pPr>
        <w:spacing w:after="0" w:line="17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Information provided on a same center basis is provided for only those properties that were owned and operated for the entirety of both periods being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excludes properties that were redeveloped, expanded or under development and properties purchased or sold at any time during the periods being compared.</w:t>
      </w:r>
    </w:p>
    <w:p>
      <w:pPr>
        <w:spacing w:after="0" w:line="122" w:lineRule="exact"/>
        <w:rPr>
          <w:sz w:val="20"/>
          <w:szCs w:val="20"/>
          <w:color w:val="auto"/>
        </w:rPr>
      </w:pPr>
    </w:p>
    <w:p>
      <w:pPr>
        <w:jc w:val="both"/>
        <w:ind w:right="240"/>
        <w:spacing w:after="0" w:line="272"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 lease but</w:t>
      </w:r>
      <w:r>
        <w:rPr>
          <w:rFonts w:ascii="Arial" w:cs="Arial" w:eastAsia="Arial" w:hAnsi="Arial"/>
          <w:sz w:val="17"/>
          <w:szCs w:val="17"/>
          <w:b w:val="1"/>
          <w:bCs w:val="1"/>
          <w:color w:val="auto"/>
        </w:rPr>
        <w:t xml:space="preserve"> </w:t>
      </w:r>
      <w:r>
        <w:rPr>
          <w:rFonts w:ascii="Arial" w:cs="Arial" w:eastAsia="Arial" w:hAnsi="Arial"/>
          <w:sz w:val="17"/>
          <w:szCs w:val="17"/>
          <w:color w:val="auto"/>
        </w:rPr>
        <w:t>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sectPr>
      <w:pgSz w:w="11900" w:h="16838" w:orient="portrait"/>
      <w:cols w:equalWidth="0" w:num="1">
        <w:col w:w="11420"/>
      </w:cols>
      <w:pgMar w:left="240" w:top="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3"/>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6"/>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2019-12-11T12:29:40Z</dcterms:created>
  <dcterms:modified xsi:type="dcterms:W3CDTF">2019-12-11T12:29:40Z</dcterms:modified>
</cp:coreProperties>
</file>