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30,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4, 2016, Federal Realty Investment Trust issued supplemental data pertaining to its operations, as well as a press release, to report its financial results for the quarter ended June 30, 2016.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2016 (including press release dated August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August 4, 2016</w:t>
      </w:r>
      <w:r>
        <w:rPr>
          <w:sz w:val="20"/>
          <w:szCs w:val="20"/>
          <w:color w:val="auto"/>
        </w:rPr>
        <w:tab/>
      </w:r>
      <w:r>
        <w:rPr>
          <w:rFonts w:ascii="Arial" w:cs="Arial" w:eastAsia="Arial" w:hAnsi="Arial"/>
          <w:sz w:val="19"/>
          <w:szCs w:val="19"/>
          <w:u w:val="single" w:color="auto"/>
          <w:color w:val="auto"/>
        </w:rPr>
        <w:t>/s/ Donald C. Wood</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Donald C. Wood</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Executive Officer and Trustee</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2016</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2016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2016 Significant Acquisitions and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848985" cy="1457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Leah Andress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Vice President,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landress@federalrealty.com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2016 OPERATING RESULTS</w:t>
      </w:r>
    </w:p>
    <w:p>
      <w:pPr>
        <w:spacing w:after="0" w:line="30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 xml:space="preserve">ROCKVILLE, Md. (August 4, 2016)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second quarter ended June 30, 2016. Highlights of the quarter and recent activity include:</w:t>
      </w:r>
    </w:p>
    <w:p>
      <w:pPr>
        <w:spacing w:after="0" w:line="29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$0.78 for the quarter compared to $0.63 in second quarter 2015.</w:t>
      </w:r>
    </w:p>
    <w:p>
      <w:pPr>
        <w:spacing w:after="0" w:line="103" w:lineRule="exact"/>
        <w:rPr>
          <w:rFonts w:ascii="Arial" w:cs="Arial" w:eastAsia="Arial" w:hAnsi="Arial"/>
          <w:sz w:val="18"/>
          <w:szCs w:val="18"/>
          <w:color w:val="auto"/>
        </w:rPr>
      </w:pPr>
    </w:p>
    <w:p>
      <w:pPr>
        <w:ind w:left="660" w:right="4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$1.42 for the quarter compared to $1.06 in second quarter 2015 ($1.33 excluding prepayment premiums in second quarter 2015).</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3.5% (or 2.9% when properties under redevelopment are excluded).</w:t>
      </w:r>
    </w:p>
    <w:p>
      <w:pPr>
        <w:spacing w:after="0" w:line="103" w:lineRule="exact"/>
        <w:rPr>
          <w:rFonts w:ascii="Arial" w:cs="Arial" w:eastAsia="Arial" w:hAnsi="Arial"/>
          <w:sz w:val="18"/>
          <w:szCs w:val="18"/>
          <w:color w:val="auto"/>
        </w:rPr>
      </w:pPr>
    </w:p>
    <w:p>
      <w:pPr>
        <w:ind w:left="660" w:righ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372,778 sf of comparable space at an average rent of $38.21 psf and achieved cash basis rollover growth on comparable spaces of 12%.</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Dan Guglielmone as Executive Vice President, Chief Financial Officer and Treasurer effective August 15, 2016.</w:t>
      </w:r>
    </w:p>
    <w:p>
      <w:pPr>
        <w:spacing w:after="0" w:line="47" w:lineRule="exact"/>
        <w:rPr>
          <w:rFonts w:ascii="Arial" w:cs="Arial" w:eastAsia="Arial" w:hAnsi="Arial"/>
          <w:sz w:val="18"/>
          <w:szCs w:val="18"/>
          <w:color w:val="auto"/>
        </w:rPr>
      </w:pPr>
    </w:p>
    <w:p>
      <w:pPr>
        <w:ind w:left="660" w:right="60" w:hanging="328"/>
        <w:spacing w:after="0" w:line="3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the regular quarterly dividend rate on common shares to $0.98 per share, representing the 49</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of common dividend increases.</w:t>
      </w:r>
    </w:p>
    <w:p>
      <w:pPr>
        <w:spacing w:after="0" w:line="14" w:lineRule="exact"/>
        <w:rPr>
          <w:rFonts w:ascii="Arial" w:cs="Arial" w:eastAsia="Arial" w:hAnsi="Arial"/>
          <w:sz w:val="18"/>
          <w:szCs w:val="18"/>
          <w:color w:val="auto"/>
        </w:rPr>
      </w:pPr>
    </w:p>
    <w:p>
      <w:pPr>
        <w:ind w:left="660" w:right="300" w:hanging="328"/>
        <w:spacing w:after="0" w:line="3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opportunistically issued $250 million aggregate principal amount of 3.625% senior unsecured notes due August 1, 2046.</w:t>
      </w:r>
    </w:p>
    <w:p>
      <w:pPr>
        <w:spacing w:after="0" w:line="197"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“We’re very pleased with our record second quarter results that continue to reflect the broad base of our business plan and strong progress in all of our business divisions and initiatives,” said Donald C. Wood, Federal Realty’s President and Chief Executive Officer. “Also particularly gratifying, was the opportunistic raise and strong execution of $250 million of 3.625% 30 year notes; the lowest coupon for a 30 year unsecured offering ever recorded by a REIT and again validating the cost of capital advantage that our company enjoys which, in turn, lowers the risk of our business plan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issuance of the unsecured notes referenced above, which were used to pay down our short term line of credit, will be dilutive to 2016 earnings relative to our previous expectations by three to four cents per share. Accordingly, we are adjusting our 2016 guidance of FFO per diluted share to $5.62 to $5.68, and updated our earnings per diluted share guidance to $3.43 to $3.49.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$55.8 million and earnings per diluted share was $0.78 for second quarter 2016 versus $43.5 million and $0.63, respectively, for second quarter 2015. Year-to-date Federal Realty reported net income available for common shareholders of $132.6 million and earnings per diluted share of $1.88. This compares to net income available for common shareholders of $89.5 million and earnings per diluted share of $1.30 for the six months ended June 30, 2015.</w:t>
      </w:r>
    </w:p>
    <w:p>
      <w:pPr>
        <w:spacing w:after="0" w:line="297"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In the second quarter 2016, Federal Realty generated funds from operations available for common shareholders (FFO) of $102.2 million, or $1.42 per diluted share. This compares to FFO of $73.9 million, or $1.06 per diluted share, in second quarter 2015. Excluding the early extinguishment of debt charge in second quarter 2015, FFO per diluted share was $1.33. Year-to-date, Federal Realty reported FFO of $199.8 million, or $2.80 per diluted share. This compares to FFO of $161.2 million, or $2.32 per diluted share for the six months ended June 30, 2015. Excluding the early extinguishment of debt charge in 2015, FFO per diluted share for the six months ended June 30, 2015 was $2.59.</w:t>
      </w:r>
    </w:p>
    <w:p>
      <w:pPr>
        <w:spacing w:after="0" w:line="298"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 in addition to Form 8-K that was filed.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In the second quarter 2016, same-center property operating income increased 3.5% including redevelopment and expansion properties, and 2.9% excluding redevelopment and expansion properties.</w:t>
      </w:r>
    </w:p>
    <w:p>
      <w:pPr>
        <w:spacing w:after="0" w:line="197"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94.5% leased as of June 30, 2016, compared to 94.1% on March 31, 2016 and 95.7% on June 30, 2015. Federal Realty’s same-center portfolio was 95.9% leased on June 30, 2016, compared to 95.6% on March 31, 2016 and 96.4% on June 30, 2015.</w:t>
      </w:r>
    </w:p>
    <w:p>
      <w:pPr>
        <w:spacing w:after="0" w:line="179"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During second quarter 2016, the Trust signed 103 leases for 467,364 square feet of retail space</w:t>
      </w:r>
      <w:r>
        <w:rPr>
          <w:rFonts w:ascii="Arial" w:cs="Arial" w:eastAsia="Arial" w:hAnsi="Arial"/>
          <w:sz w:val="18"/>
          <w:szCs w:val="18"/>
          <w:color w:val="FF0000"/>
        </w:rPr>
        <w:t>.</w:t>
      </w:r>
      <w:r>
        <w:rPr>
          <w:rFonts w:ascii="Arial" w:cs="Arial" w:eastAsia="Arial" w:hAnsi="Arial"/>
          <w:sz w:val="18"/>
          <w:szCs w:val="18"/>
          <w:color w:val="auto"/>
        </w:rPr>
        <w:t xml:space="preserv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372,778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12%. The average contractual rent on this comparable space for the first year of the new lease is $38.21 per square foot compared to the average contractual rent of $34.13 per square foot for the last year of the prior lease. The previous average contractual rent is calculated by including both the minimum rent and any percentage rent actually paid during the last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3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61" w:lineRule="exact"/>
        <w:rPr>
          <w:sz w:val="20"/>
          <w:szCs w:val="20"/>
          <w:color w:val="auto"/>
        </w:rPr>
      </w:pPr>
    </w:p>
    <w:p>
      <w:pPr>
        <w:spacing w:after="0" w:line="392" w:lineRule="auto"/>
        <w:rPr>
          <w:sz w:val="20"/>
          <w:szCs w:val="20"/>
          <w:color w:val="auto"/>
        </w:rPr>
      </w:pPr>
      <w:r>
        <w:rPr>
          <w:rFonts w:ascii="Arial" w:cs="Arial" w:eastAsia="Arial" w:hAnsi="Arial"/>
          <w:sz w:val="18"/>
          <w:szCs w:val="18"/>
          <w:color w:val="auto"/>
        </w:rPr>
        <w:t>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25% for second quarter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right="34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12, 2016 - Federal Realty closed on the public offering of $250 million aggregate principal amount of 3.625% senior unsecured notes due August 1, 2046. The notes were offered at 97.756% of the principal amount with a yield to maturity of 3.750%</w:t>
      </w:r>
    </w:p>
    <w:p>
      <w:pPr>
        <w:ind w:left="660" w:right="100" w:hanging="328"/>
        <w:spacing w:after="0" w:line="3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13, 2016 - Federal Realty announced the appointment of Dan Guglielmone to the position of Executive Vice President, Chief Financial Officer and Treasurer effective August 15, 2016. Mr. Guglielmone will be a member of the Firm's Executive and Investment Committees and will be responsible for all capital markets activity along with east coast acquisitions. In addition, he will be responsible for the oversight of the accounting, financial reporting and investor relations functions. Dan will be based at Federal's headquarters in Rockville, Md.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Federal Realty also announced today that its Board of Trustees increased the regular dividend rate on its common shares, declaring a regular quarterly cash dividend of $0.98 per share, resulting in an indicated annual rate of $3.92 per share. The regular common dividend will be payable on October 17, 2016, to common shareholders of record on September 22, 2016. This increase represents the 49</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that Federal Realty has increased its common dividend, the longest record of consecutive annual dividend increases in the REIT sector, and among the longest such records for publically traded companies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ind w:right="60"/>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second quarter 2016 earnings conference call, which is scheduled for August 5, 2016, at 11 a.m. Eastern Time. To participate, please call (877) 445-3230 five to ten minutes prior to the call start time and use the passcode 24393436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August 12, 2016 by dialing (855) 859-2056 and using the passcode 24393436.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ind w:right="60"/>
        <w:spacing w:after="0" w:line="364"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79" w:lineRule="exact"/>
        <w:rPr>
          <w:sz w:val="20"/>
          <w:szCs w:val="20"/>
          <w:color w:val="auto"/>
        </w:rPr>
      </w:pPr>
    </w:p>
    <w:p>
      <w:pPr>
        <w:ind w:right="280"/>
        <w:spacing w:after="0" w:line="364" w:lineRule="auto"/>
        <w:rPr>
          <w:sz w:val="20"/>
          <w:szCs w:val="20"/>
          <w:color w:val="auto"/>
        </w:rPr>
      </w:pPr>
      <w:r>
        <w:rPr>
          <w:rFonts w:ascii="Arial" w:cs="Arial" w:eastAsia="Arial" w:hAnsi="Arial"/>
          <w:sz w:val="18"/>
          <w:szCs w:val="18"/>
          <w:color w:val="auto"/>
        </w:rPr>
        <w:t>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96 properties include over 2,800 tenants, in approximately 22 million square feet, and over 1,800 residential units.</w:t>
      </w:r>
    </w:p>
    <w:p>
      <w:pPr>
        <w:spacing w:after="0" w:line="297" w:lineRule="exact"/>
        <w:rPr>
          <w:sz w:val="20"/>
          <w:szCs w:val="20"/>
          <w:color w:val="auto"/>
        </w:rPr>
      </w:pPr>
    </w:p>
    <w:p>
      <w:pPr>
        <w:ind w:right="160"/>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49 consecutive years, the longest record in the REIT industry. Federal Realty shares are traded on the NYSE under the symbol FRT. For additional information about Federal Realty and its properties, visit www.FederalRealty.com.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206"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84"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4"/>
                <w:szCs w:val="24"/>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357,050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197,981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181,461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396,325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366,253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32,623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74,062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41,061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84,655</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117,846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105,260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239,268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217,930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148,323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Early extinguishment of debt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real estate partnerships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110,448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82,367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change in control of interests and sale of real estate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58,898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137,961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93,876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55,941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43,632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132,896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89,818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7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55,806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43,497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132,625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89,547</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shd w:val="clear" w:color="auto" w:fill="CCEEFF"/>
              </w:rPr>
              <w:t>Gain on change in control of interests and sale of real estate, net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68,531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68,449</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change in control of interests and sale of real estate,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8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70,974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68,713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70,451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68,638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52"/>
        </w:trPr>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4"/>
          </w:tcPr>
          <w:p>
            <w:pPr>
              <w:jc w:val="right"/>
              <w:ind w:right="51"/>
              <w:spacing w:after="0" w:line="153" w:lineRule="exact"/>
              <w:rPr>
                <w:sz w:val="20"/>
                <w:szCs w:val="20"/>
                <w:color w:val="auto"/>
              </w:rPr>
            </w:pPr>
            <w:r>
              <w:rPr>
                <w:rFonts w:ascii="Arial" w:cs="Arial" w:eastAsia="Arial" w:hAnsi="Arial"/>
                <w:sz w:val="14"/>
                <w:szCs w:val="14"/>
                <w:b w:val="1"/>
                <w:bCs w:val="1"/>
                <w:color w:val="auto"/>
                <w:w w:val="90"/>
              </w:rPr>
              <w:t>(in thousands, except share and per share</w:t>
            </w:r>
          </w:p>
        </w:tc>
      </w:t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80" w:type="dxa"/>
            <w:vAlign w:val="bottom"/>
          </w:tcPr>
          <w:p>
            <w:pPr>
              <w:spacing w:after="0"/>
              <w:rPr>
                <w:sz w:val="16"/>
                <w:szCs w:val="16"/>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$1,206,112 and $1,192,336 of consolidated variable interest entities,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5,951,546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5,630,771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r>
      <w:tr>
        <w:trPr>
          <w:trHeight w:val="237"/>
        </w:trPr>
        <w:tc>
          <w:tcPr>
            <w:tcW w:w="8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6,458,389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6,064,406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Less accumulated depreciation and amortization (including $192,445 and $176,057 of consolidated variable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4,806,840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4,490,365</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114,431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110,402</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41,546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5,188,468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4,896,559</w:t>
            </w:r>
          </w:p>
        </w:tc>
      </w:tr>
      <w:tr>
        <w:trPr>
          <w:trHeight w:val="67"/>
        </w:trPr>
        <w:tc>
          <w:tcPr>
            <w:tcW w:w="85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Mortgages payable (including $443,766 and $448,315 of consolidated variable interest entities,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476,155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71,605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71,620</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Senior notes and debentures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1,733,611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1,732,551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146,532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67,931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66,338</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118,646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121,787</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2,977,312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71,417,253 and 69,493,392</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2,381,867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(724,701)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1,923,739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1,663,749</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118,182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2,022,986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1,781,931</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5,188,468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92"/>
              <w:spacing w:after="0"/>
              <w:rPr>
                <w:sz w:val="20"/>
                <w:szCs w:val="20"/>
                <w:color w:val="auto"/>
              </w:rPr>
            </w:pPr>
            <w:r>
              <w:rPr>
                <w:rFonts w:ascii="Arial" w:cs="Arial" w:eastAsia="Arial" w:hAnsi="Arial"/>
                <w:sz w:val="18"/>
                <w:szCs w:val="18"/>
                <w:color w:val="auto"/>
              </w:rPr>
              <w:t>58,898</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45,673</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137,961</w:t>
            </w: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93,876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(4,058)</w:t>
            </w: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Gain on change in control of interests and sale of real estate, net</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(26,427)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(11,509)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75,010</w:t>
            </w: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7,116</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160,435</w:t>
            </w: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1,641</w:t>
            </w: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(573)</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FFO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102,197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73,942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199,772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161,232</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58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71,816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69,647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71,327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69,581</w:t>
            </w:r>
          </w:p>
        </w:tc>
      </w:tr>
      <w:tr>
        <w:trPr>
          <w:trHeight w:val="251"/>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per diluted share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2.32</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165,221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128,628</w:t>
            </w:r>
          </w:p>
        </w:tc>
      </w:tr>
      <w:tr>
        <w:trPr>
          <w:trHeight w:val="243"/>
        </w:trPr>
        <w:tc>
          <w:tcPr>
            <w:tcW w:w="20" w:type="dxa"/>
            <w:vAlign w:val="bottom"/>
          </w:tcPr>
          <w:p>
            <w:pPr>
              <w:spacing w:after="0"/>
              <w:rPr>
                <w:sz w:val="21"/>
                <w:szCs w:val="21"/>
                <w:color w:val="auto"/>
              </w:rPr>
            </w:pPr>
          </w:p>
        </w:tc>
        <w:tc>
          <w:tcPr>
            <w:tcW w:w="582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6,475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10,786</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79,498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180,649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139,414</w:t>
            </w:r>
          </w:p>
        </w:tc>
      </w:tr>
      <w:tr>
        <w:trPr>
          <w:trHeight w:val="243"/>
        </w:trPr>
        <w:tc>
          <w:tcPr>
            <w:tcW w:w="20" w:type="dxa"/>
            <w:vAlign w:val="bottom"/>
          </w:tcPr>
          <w:p>
            <w:pPr>
              <w:spacing w:after="0"/>
              <w:rPr>
                <w:sz w:val="21"/>
                <w:szCs w:val="21"/>
                <w:color w:val="auto"/>
              </w:rPr>
            </w:pPr>
          </w:p>
        </w:tc>
        <w:tc>
          <w:tcPr>
            <w:tcW w:w="582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5,089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109,174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82,832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187,830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144,503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372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67,018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60,043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133,589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119,795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Dividend payout ratio as a percentage of FFO (2)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660" w:right="240" w:hanging="652"/>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$19.1 million early extinguishment of debt charge in 2015 was excluded, our FFO for the three and six months ended June 30, 2015 would have been $92.9 million and $180.2 million, respectively, and FFO per diluted share would have been $1.33 and $2.59, respectively. Additionally, the dividend payout ratio as a percentage of FFO for the three and six months ended June 30, 2015 would have been 65% and 66%,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72,186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70,055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128.09</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11,950,392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8,973,345</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11,960,392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8,983,345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2,664,953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2,525,859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14,625,345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11,509,204</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768,765 and 934,405 operating partnership units outstanding at June 30, 2016 and 2015,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16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debt issuance costs from our consolidated balance sheet. The June 30, 2016 and 2015 balances are net of debt issuance costs of $14.0 million and $13.6 million, respectively, reflecting our January 1, 2016 adoption of ASU 2015-03, "Simplifying the Presentation of Debt Issuance Costs." See Note 2 of our June 30, 2016 Form 10-Q for additional information regarding the adoption.</w:t>
      </w:r>
    </w:p>
    <w:p>
      <w:pPr>
        <w:spacing w:after="0" w:line="25"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137,432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125,688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w w:val="92"/>
              </w:rPr>
              <w:t>272,018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250,001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20,941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36,637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33,535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78,439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74,422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6,419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175,884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2"/>
              </w:rPr>
              <w:t>388,243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357,050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$2.7 million and $1.8 million for the three months ended June 30, 2016 and 2015, respectively, and $4.7 million and $3.1 million for the six months ended June 30, 2016 and 2015, respectively, to recognize minimum rents on a straight-line basis. In addition, minimum rents include $0.4 million and $0.6 million for the three months ended June 30, 2016 and 2015, respectively, and $0.7 million and $1.3 million for the six months ended June 30, 2016 and 2015,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June 30, 2016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Stated maturity date</w:t>
            </w:r>
          </w:p>
        </w:tc>
        <w:tc>
          <w:tcPr>
            <w:tcW w:w="12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280" w:type="dxa"/>
            <w:vAlign w:val="bottom"/>
            <w:gridSpan w:val="7"/>
            <w:shd w:val="clear" w:color="auto" w:fill="CCEEFF"/>
          </w:tcPr>
          <w:p>
            <w:pPr>
              <w:ind w:left="40"/>
              <w:spacing w:after="0"/>
              <w:rPr>
                <w:sz w:val="20"/>
                <w:szCs w:val="20"/>
                <w:color w:val="auto"/>
              </w:rPr>
            </w:pPr>
            <w:r>
              <w:rPr>
                <w:rFonts w:ascii="Arial" w:cs="Arial" w:eastAsia="Arial" w:hAnsi="Arial"/>
                <w:sz w:val="16"/>
                <w:szCs w:val="16"/>
                <w:color w:val="auto"/>
              </w:rPr>
              <w:t>Mortgages Payable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Plaza El Segundo</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8/5/2017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The Grove at Shrewsbury (East)</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2"/>
              </w:rPr>
              <w:t>10/1/2017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43,054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The Grove at Shrewsbury (West)</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3/1/2018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Rollingwood Apartments</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3"/>
              </w:rPr>
              <w:t>5/1/2019</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21,502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The Shops at Sunset Place</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9/1/2020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29th Place</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4,655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THE AVENUE at White Marsh</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1/1/2022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Montrose Crossing</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2"/>
              </w:rPr>
              <w:t>1/10/2022</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73,536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Brook 35</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7/1/2029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Chelsea</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6,723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469,187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6,968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476,155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4.49%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gridSpan w:val="7"/>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Term loan (1)</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center"/>
              <w:ind w:right="179"/>
              <w:spacing w:after="0"/>
              <w:rPr>
                <w:sz w:val="20"/>
                <w:szCs w:val="20"/>
                <w:color w:val="auto"/>
              </w:rPr>
            </w:pPr>
            <w:r>
              <w:rPr>
                <w:rFonts w:ascii="Arial" w:cs="Arial" w:eastAsia="Arial" w:hAnsi="Arial"/>
                <w:sz w:val="16"/>
                <w:szCs w:val="16"/>
                <w:color w:val="auto"/>
                <w:w w:val="94"/>
              </w:rPr>
              <w:t>LIBOR + 0.90%</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Various through 2028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variable rate</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Escondido (Municipal bonds) (2)</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2"/>
              </w:rPr>
              <w:t>10/1/2016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0.45%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Revolving credit facility (3)</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4/20/2020</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3"/>
            <w:shd w:val="clear" w:color="auto" w:fill="CCEEFF"/>
          </w:tcPr>
          <w:p>
            <w:pPr>
              <w:jc w:val="center"/>
              <w:ind w:right="199"/>
              <w:spacing w:after="0"/>
              <w:rPr>
                <w:sz w:val="20"/>
                <w:szCs w:val="20"/>
                <w:color w:val="auto"/>
              </w:rPr>
            </w:pPr>
            <w:r>
              <w:rPr>
                <w:rFonts w:ascii="Arial" w:cs="Arial" w:eastAsia="Arial" w:hAnsi="Arial"/>
                <w:sz w:val="16"/>
                <w:szCs w:val="16"/>
                <w:color w:val="auto"/>
                <w:w w:val="96"/>
              </w:rPr>
              <w:t>LIBOR + 0.825%</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384,949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notes payable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383,582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2.53%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gridSpan w:val="7"/>
          </w:tcPr>
          <w:p>
            <w:pPr>
              <w:ind w:left="40"/>
              <w:spacing w:after="0"/>
              <w:rPr>
                <w:sz w:val="20"/>
                <w:szCs w:val="20"/>
                <w:color w:val="auto"/>
              </w:rPr>
            </w:pPr>
            <w:r>
              <w:rPr>
                <w:rFonts w:ascii="Arial" w:cs="Arial" w:eastAsia="Arial" w:hAnsi="Arial"/>
                <w:sz w:val="16"/>
                <w:szCs w:val="16"/>
                <w:color w:val="auto"/>
              </w:rPr>
              <w:t>Senior notes and debentures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5.90% notes</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3"/>
              </w:rPr>
              <w:t>4/1/2020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2.55% notes</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1/15/2021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3.00% notes</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3"/>
              </w:rPr>
              <w:t>8/1/2022</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2.75% notes</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6/1/2023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3.95% notes</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2"/>
              </w:rPr>
              <w:t>1/15/2024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7.48% debentures</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6"/>
          </w:tcPr>
          <w:p>
            <w:pPr>
              <w:ind w:left="340"/>
              <w:spacing w:after="0"/>
              <w:rPr>
                <w:sz w:val="20"/>
                <w:szCs w:val="20"/>
                <w:color w:val="auto"/>
              </w:rPr>
            </w:pPr>
            <w:r>
              <w:rPr>
                <w:rFonts w:ascii="Arial" w:cs="Arial" w:eastAsia="Arial" w:hAnsi="Arial"/>
                <w:sz w:val="16"/>
                <w:szCs w:val="16"/>
                <w:color w:val="auto"/>
              </w:rPr>
              <w:t>6.82% medium term notes</w:t>
            </w:r>
          </w:p>
        </w:tc>
        <w:tc>
          <w:tcPr>
            <w:tcW w:w="1680" w:type="dxa"/>
            <w:vAlign w:val="bottom"/>
          </w:tcPr>
          <w:p>
            <w:pPr>
              <w:jc w:val="center"/>
              <w:ind w:right="59"/>
              <w:spacing w:after="0"/>
              <w:rPr>
                <w:sz w:val="20"/>
                <w:szCs w:val="20"/>
                <w:color w:val="auto"/>
              </w:rPr>
            </w:pPr>
            <w:r>
              <w:rPr>
                <w:rFonts w:ascii="Arial" w:cs="Arial" w:eastAsia="Arial" w:hAnsi="Arial"/>
                <w:sz w:val="16"/>
                <w:szCs w:val="16"/>
                <w:color w:val="auto"/>
                <w:w w:val="93"/>
              </w:rPr>
              <w:t>8/1/2027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4.50% notes</w:t>
            </w:r>
          </w:p>
        </w:tc>
        <w:tc>
          <w:tcPr>
            <w:tcW w:w="16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12/1/2044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1,744,200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senior notes and debentures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1,733,611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4.00%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gridSpan w:val="7"/>
          </w:tcPr>
          <w:p>
            <w:pPr>
              <w:ind w:left="40"/>
              <w:spacing w:after="0"/>
              <w:rPr>
                <w:sz w:val="20"/>
                <w:szCs w:val="20"/>
                <w:color w:val="auto"/>
              </w:rPr>
            </w:pPr>
            <w:r>
              <w:rPr>
                <w:rFonts w:ascii="Arial" w:cs="Arial" w:eastAsia="Arial" w:hAnsi="Arial"/>
                <w:sz w:val="16"/>
                <w:szCs w:val="16"/>
                <w:color w:val="auto"/>
              </w:rPr>
              <w:t>Capital lease obligations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71,605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80" w:type="dxa"/>
            <w:vAlign w:val="bottom"/>
            <w:tcBorders>
              <w:bottom w:val="single" w:sz="8" w:color="CCEEFF"/>
            </w:tcBorders>
            <w:gridSpan w:val="7"/>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2,664,953</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gridSpan w:val="7"/>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2,560,553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4.10%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4"/>
        </w:trPr>
        <w:tc>
          <w:tcPr>
            <w:tcW w:w="4280" w:type="dxa"/>
            <w:vAlign w:val="bottom"/>
            <w:gridSpan w:val="7"/>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2,664,953</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3.99%</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46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7" w:right="239" w:bottom="460" w:gutter="0" w:footer="0" w:header="0"/>
          <w:type w:val="continuous"/>
        </w:sectPr>
      </w:pPr>
    </w:p>
    <w:bookmarkStart w:id="15" w:name="page16"/>
    <w:bookmarkEnd w:id="15"/>
    <w:p>
      <w:pPr>
        <w:jc w:val="center"/>
        <w:ind w:left="79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1183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9" w:lineRule="exact"/>
        <w:rPr>
          <w:sz w:val="20"/>
          <w:szCs w:val="20"/>
          <w:color w:val="auto"/>
        </w:rPr>
      </w:pPr>
    </w:p>
    <w:p>
      <w:pPr>
        <w:ind w:left="8000"/>
        <w:spacing w:after="0"/>
        <w:tabs>
          <w:tab w:leader="none" w:pos="89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3"/>
          <w:szCs w:val="13"/>
          <w:b w:val="1"/>
          <w:bCs w:val="1"/>
          <w:color w:val="auto"/>
        </w:rPr>
        <w:t>Six Months Ended</w:t>
      </w:r>
    </w:p>
    <w:p>
      <w:pPr>
        <w:spacing w:after="0" w:line="12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23495</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48" w:lineRule="exact"/>
        <w:rPr>
          <w:sz w:val="20"/>
          <w:szCs w:val="20"/>
          <w:color w:val="auto"/>
        </w:rPr>
      </w:pPr>
    </w:p>
    <w:p>
      <w:pPr>
        <w:sectPr>
          <w:pgSz w:w="11900" w:h="16838" w:orient="portrait"/>
          <w:cols w:equalWidth="0" w:num="2">
            <w:col w:w="9260" w:space="680"/>
            <w:col w:w="1480"/>
          </w:cols>
          <w:pgMar w:left="240" w:top="806" w:right="239" w:bottom="1440" w:gutter="0" w:footer="0" w:header="0"/>
        </w:sectPr>
      </w:pPr>
    </w:p>
    <w:tbl>
      <w:tblPr>
        <w:tblLayout w:type="fixed"/>
        <w:tblInd w:w="20" w:type="dxa"/>
        <w:tblCellMar>
          <w:top w:w="0" w:type="dxa"/>
          <w:left w:w="0" w:type="dxa"/>
          <w:bottom w:w="0" w:type="dxa"/>
          <w:right w:w="0" w:type="dxa"/>
        </w:tblCellMar>
      </w:tblPr>
      <w:tr>
        <w:trPr>
          <w:trHeight w:val="256"/>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62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7"/>
        </w:trPr>
        <w:tc>
          <w:tcPr>
            <w:tcW w:w="7640" w:type="dxa"/>
            <w:vAlign w:val="bottom"/>
            <w:gridSpan w:val="3"/>
          </w:tcPr>
          <w:p>
            <w:pPr>
              <w:ind w:left="20"/>
              <w:spacing w:after="0"/>
              <w:rPr>
                <w:sz w:val="20"/>
                <w:szCs w:val="20"/>
                <w:color w:val="auto"/>
              </w:rPr>
            </w:pPr>
            <w:r>
              <w:rPr>
                <w:rFonts w:ascii="Arial" w:cs="Arial" w:eastAsia="Arial" w:hAnsi="Arial"/>
                <w:sz w:val="16"/>
                <w:szCs w:val="16"/>
                <w:color w:val="auto"/>
              </w:rPr>
              <w:t>Excluding early extinguishment of debt:</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(6)(7)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(6)(7)</w:t>
            </w:r>
          </w:p>
        </w:tc>
        <w:tc>
          <w:tcPr>
            <w:tcW w:w="660" w:type="dxa"/>
            <w:vAlign w:val="bottom"/>
          </w:tcPr>
          <w:p>
            <w:pPr>
              <w:jc w:val="right"/>
              <w:spacing w:after="0"/>
              <w:rPr>
                <w:sz w:val="20"/>
                <w:szCs w:val="20"/>
                <w:color w:val="auto"/>
              </w:rPr>
            </w:pPr>
            <w:r>
              <w:rPr>
                <w:rFonts w:ascii="Arial" w:cs="Arial" w:eastAsia="Arial" w:hAnsi="Arial"/>
                <w:sz w:val="16"/>
                <w:szCs w:val="16"/>
                <w:color w:val="auto"/>
              </w:rPr>
              <w:t>4.63</w:t>
            </w:r>
          </w:p>
        </w:tc>
        <w:tc>
          <w:tcPr>
            <w:tcW w:w="360" w:type="dxa"/>
            <w:vAlign w:val="bottom"/>
          </w:tcPr>
          <w:p>
            <w:pPr>
              <w:ind w:left="6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4.17</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4.55</w:t>
            </w:r>
          </w:p>
        </w:tc>
        <w:tc>
          <w:tcPr>
            <w:tcW w:w="340" w:type="dxa"/>
            <w:vAlign w:val="bottom"/>
          </w:tcPr>
          <w:p>
            <w:pPr>
              <w:ind w:left="8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4.03</w:t>
            </w:r>
          </w:p>
        </w:tc>
        <w:tc>
          <w:tcPr>
            <w:tcW w:w="26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Including early extinguishment of debt:</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(6)</w:t>
            </w:r>
          </w:p>
        </w:tc>
        <w:tc>
          <w:tcPr>
            <w:tcW w:w="660" w:type="dxa"/>
            <w:vAlign w:val="bottom"/>
          </w:tcPr>
          <w:p>
            <w:pPr>
              <w:jc w:val="right"/>
              <w:spacing w:after="0"/>
              <w:rPr>
                <w:sz w:val="20"/>
                <w:szCs w:val="20"/>
                <w:color w:val="auto"/>
              </w:rPr>
            </w:pPr>
            <w:r>
              <w:rPr>
                <w:rFonts w:ascii="Arial" w:cs="Arial" w:eastAsia="Arial" w:hAnsi="Arial"/>
                <w:sz w:val="16"/>
                <w:szCs w:val="16"/>
                <w:color w:val="auto"/>
              </w:rPr>
              <w:t>4.70</w:t>
            </w:r>
          </w:p>
        </w:tc>
        <w:tc>
          <w:tcPr>
            <w:tcW w:w="360" w:type="dxa"/>
            <w:vAlign w:val="bottom"/>
          </w:tcPr>
          <w:p>
            <w:pPr>
              <w:ind w:left="6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2.74</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5.04</w:t>
            </w:r>
          </w:p>
        </w:tc>
        <w:tc>
          <w:tcPr>
            <w:tcW w:w="340" w:type="dxa"/>
            <w:vAlign w:val="bottom"/>
          </w:tcPr>
          <w:p>
            <w:pPr>
              <w:ind w:left="8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3.18</w:t>
            </w:r>
          </w:p>
        </w:tc>
        <w:tc>
          <w:tcPr>
            <w:tcW w:w="26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1" w:lineRule="exact"/>
        <w:rPr>
          <w:rFonts w:ascii="Arial" w:cs="Arial" w:eastAsia="Arial" w:hAnsi="Arial"/>
          <w:sz w:val="14"/>
          <w:szCs w:val="14"/>
          <w:color w:val="auto"/>
        </w:rPr>
      </w:pPr>
    </w:p>
    <w:p>
      <w:pPr>
        <w:ind w:left="660" w:right="120" w:hanging="652"/>
        <w:spacing w:after="0" w:line="252"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six months ended June 30, 2016 was $171.0 million and $251.5 million, respectively. The weighted average interest rate on borrowings under our revolving credit facility, before amortization of debt fees, for the three and six months ending June 30, 2016, was 1.26% and 1.29%, respectively. On April 20, 2016, we upsized our existing $600.0 million revolving credit facility to $800.0 million and extended the maturity date to April 20, 2020. We also lowered the spread over LIBOR to 82.5 basis points, from 90 basis points.</w:t>
      </w:r>
    </w:p>
    <w:p>
      <w:pPr>
        <w:spacing w:after="0" w:line="26" w:lineRule="exact"/>
        <w:rPr>
          <w:rFonts w:ascii="Arial" w:cs="Arial" w:eastAsia="Arial" w:hAnsi="Arial"/>
          <w:sz w:val="14"/>
          <w:szCs w:val="14"/>
          <w:color w:val="auto"/>
        </w:rPr>
      </w:pPr>
    </w:p>
    <w:p>
      <w:pPr>
        <w:ind w:left="660" w:right="1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and debt issuance costs, if applicable, except as described in Note 6.</w:t>
      </w:r>
    </w:p>
    <w:p>
      <w:pPr>
        <w:spacing w:after="0" w:line="11" w:lineRule="exact"/>
        <w:rPr>
          <w:rFonts w:ascii="Arial" w:cs="Arial" w:eastAsia="Arial" w:hAnsi="Arial"/>
          <w:sz w:val="14"/>
          <w:szCs w:val="14"/>
          <w:color w:val="auto"/>
        </w:rPr>
      </w:pPr>
    </w:p>
    <w:p>
      <w:pPr>
        <w:ind w:left="660" w:right="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 which had a $95.0 million balance on June 30, 2016. In addition, the weighted average effective interest rate is calculated using the fixed rate on our term loan of 2.62% as the result of the interest rate swap agreements discussed in Note 1.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52"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gain on the sale of real estate of $1.8 million for the three months ended June 30, 2016, and a gain on change in control of interests and sale of real estate of $27.5 million for the six months ended June 30, 2016. For the three and six months ended June 30, 2015, EBITDA includes a gain on sale of real estate of $11.5 million. Adjusted EBITDA is reconciled to net income in the Glossary of Terms.</w:t>
      </w:r>
    </w:p>
    <w:p>
      <w:pPr>
        <w:spacing w:after="0" w:line="26"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for the three and six months ended June 30, 2015 exclude the $19.1 million early extinguishment of debt charge related to the make-whole premium paid as part of the early redemption of the 6.20%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9,400</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6,228</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216,732</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222,960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5,519</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285,502</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291,021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5,449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20,160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25,609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4,763</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305,593</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310,356</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3,101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253,625</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256,726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41.9%</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367,551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1,253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68.1%</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301,054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79.4%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19,623</w:t>
            </w:r>
          </w:p>
        </w:tc>
        <w:tc>
          <w:tcPr>
            <w:tcW w:w="5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530,700</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550,323</w:t>
            </w:r>
          </w:p>
        </w:tc>
        <w:tc>
          <w:tcPr>
            <w:tcW w:w="34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51,896</w:t>
            </w:r>
          </w:p>
        </w:tc>
        <w:tc>
          <w:tcPr>
            <w:tcW w:w="5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2,618,045</w:t>
            </w:r>
          </w:p>
        </w:tc>
        <w:tc>
          <w:tcPr>
            <w:tcW w:w="5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9" w:lineRule="exact"/>
              <w:rPr>
                <w:sz w:val="20"/>
                <w:szCs w:val="20"/>
                <w:color w:val="auto"/>
              </w:rPr>
            </w:pPr>
            <w:r>
              <w:rPr>
                <w:rFonts w:ascii="Arial" w:cs="Arial" w:eastAsia="Arial" w:hAnsi="Arial"/>
                <w:sz w:val="18"/>
                <w:szCs w:val="18"/>
                <w:color w:val="auto"/>
              </w:rPr>
              <w:t xml:space="preserve">2,669,941  </w:t>
            </w:r>
            <w:r>
              <w:rPr>
                <w:rFonts w:ascii="Arial" w:cs="Arial" w:eastAsia="Arial" w:hAnsi="Arial"/>
                <w:sz w:val="28"/>
                <w:szCs w:val="28"/>
                <w:color w:val="auto"/>
                <w:vertAlign w:val="sub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June 30, 2016, there was $95.0 million outstanding on our $800.0 million revolving credit facility.</w:t>
      </w:r>
    </w:p>
    <w:p>
      <w:pPr>
        <w:spacing w:after="0" w:line="59" w:lineRule="exact"/>
        <w:rPr>
          <w:rFonts w:ascii="Arial" w:cs="Arial" w:eastAsia="Arial" w:hAnsi="Arial"/>
          <w:sz w:val="16"/>
          <w:szCs w:val="16"/>
          <w:color w:val="auto"/>
        </w:rPr>
      </w:pPr>
    </w:p>
    <w:p>
      <w:pPr>
        <w:ind w:left="660" w:right="3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and debt issuance costs on certain mortgage loans, notes payable, and senior notes as of June 30, 2016.</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$0.6 million in quarterly financing fees and quarterly debt fee amortization on our revolving credit facility.</w:t>
      </w:r>
    </w:p>
    <w:p>
      <w:pPr>
        <w:spacing w:after="0" w:line="59"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12, 2016, we issued $250.0 million of fixed rate senior notes that mature on August 1, 2046 and bear interest at 3.625%. The net proceeds from this note offering were used to repay the outstanding balance on our revolving credit facility, as well as other general expenses.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2016</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4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8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9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11</w:t>
            </w:r>
          </w:p>
        </w:tc>
        <w:tc>
          <w:tcPr>
            <w:tcW w:w="14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San Jose, CA</w:t>
            </w:r>
          </w:p>
        </w:tc>
        <w:tc>
          <w:tcPr>
            <w:tcW w:w="49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Addition of 6-story building with 234,500 square feet of office space, and 670</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w w:val="98"/>
              </w:rPr>
              <w:t>$110 - $115</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parking spaces</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400" w:type="dxa"/>
            <w:vAlign w:val="bottom"/>
          </w:tcPr>
          <w:p>
            <w:pPr>
              <w:ind w:left="120"/>
              <w:spacing w:after="0"/>
              <w:rPr>
                <w:sz w:val="20"/>
                <w:szCs w:val="20"/>
                <w:color w:val="auto"/>
              </w:rPr>
            </w:pPr>
            <w:r>
              <w:rPr>
                <w:rFonts w:ascii="Arial" w:cs="Arial" w:eastAsia="Arial" w:hAnsi="Arial"/>
                <w:sz w:val="14"/>
                <w:szCs w:val="14"/>
                <w:color w:val="auto"/>
              </w:rPr>
              <w:t>El Segundo, CA</w:t>
            </w:r>
          </w:p>
        </w:tc>
        <w:tc>
          <w:tcPr>
            <w:tcW w:w="4980" w:type="dxa"/>
            <w:vAlign w:val="bottom"/>
          </w:tcPr>
          <w:p>
            <w:pPr>
              <w:ind w:left="200"/>
              <w:spacing w:after="0"/>
              <w:rPr>
                <w:sz w:val="20"/>
                <w:szCs w:val="20"/>
                <w:color w:val="auto"/>
              </w:rPr>
            </w:pPr>
            <w:r>
              <w:rPr>
                <w:rFonts w:ascii="Arial" w:cs="Arial" w:eastAsia="Arial" w:hAnsi="Arial"/>
                <w:sz w:val="14"/>
                <w:szCs w:val="14"/>
                <w:color w:val="auto"/>
                <w:w w:val="99"/>
              </w:rPr>
              <w:t>Addition of 90,000 square feet of retail and 25,000 square feet of office space</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4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Rockville, MD</w:t>
            </w:r>
          </w:p>
        </w:tc>
        <w:tc>
          <w:tcPr>
            <w:tcW w:w="49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w w:val="95"/>
              </w:rPr>
              <w:t>New 48 unit rental apartment building and conversion of office space into 39,000</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$23</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square feet of retail anchor space to accommodate new tenant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Westgate Center</w:t>
            </w:r>
          </w:p>
        </w:tc>
        <w:tc>
          <w:tcPr>
            <w:tcW w:w="1400" w:type="dxa"/>
            <w:vAlign w:val="bottom"/>
          </w:tcPr>
          <w:p>
            <w:pPr>
              <w:ind w:left="120"/>
              <w:spacing w:after="0"/>
              <w:rPr>
                <w:sz w:val="20"/>
                <w:szCs w:val="20"/>
                <w:color w:val="auto"/>
              </w:rPr>
            </w:pPr>
            <w:r>
              <w:rPr>
                <w:rFonts w:ascii="Arial" w:cs="Arial" w:eastAsia="Arial" w:hAnsi="Arial"/>
                <w:sz w:val="14"/>
                <w:szCs w:val="14"/>
                <w:color w:val="auto"/>
              </w:rPr>
              <w:t>San Jose, CA</w:t>
            </w:r>
          </w:p>
        </w:tc>
        <w:tc>
          <w:tcPr>
            <w:tcW w:w="4980" w:type="dxa"/>
            <w:vAlign w:val="bottom"/>
          </w:tcPr>
          <w:p>
            <w:pPr>
              <w:ind w:left="20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Towson Residential</w:t>
            </w:r>
          </w:p>
        </w:tc>
        <w:tc>
          <w:tcPr>
            <w:tcW w:w="1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Towson, MD</w:t>
            </w: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New 105 unit 5-story apartment building with above grade parking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15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49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400" w:type="dxa"/>
            <w:vAlign w:val="bottom"/>
          </w:tcPr>
          <w:p>
            <w:pPr>
              <w:ind w:left="120"/>
              <w:spacing w:after="0" w:line="157" w:lineRule="exact"/>
              <w:rPr>
                <w:sz w:val="20"/>
                <w:szCs w:val="20"/>
                <w:color w:val="auto"/>
              </w:rPr>
            </w:pPr>
            <w:r>
              <w:rPr>
                <w:rFonts w:ascii="Arial" w:cs="Arial" w:eastAsia="Arial" w:hAnsi="Arial"/>
                <w:sz w:val="14"/>
                <w:szCs w:val="14"/>
                <w:color w:val="auto"/>
              </w:rPr>
              <w:t>Silver Spring, MD</w:t>
            </w:r>
          </w:p>
        </w:tc>
        <w:tc>
          <w:tcPr>
            <w:tcW w:w="4980" w:type="dxa"/>
            <w:vAlign w:val="bottom"/>
          </w:tcPr>
          <w:p>
            <w:pPr>
              <w:ind w:left="200"/>
              <w:spacing w:after="0" w:line="157" w:lineRule="exact"/>
              <w:rPr>
                <w:sz w:val="20"/>
                <w:szCs w:val="20"/>
                <w:color w:val="auto"/>
              </w:rPr>
            </w:pPr>
            <w:r>
              <w:rPr>
                <w:rFonts w:ascii="Arial" w:cs="Arial" w:eastAsia="Arial" w:hAnsi="Arial"/>
                <w:sz w:val="14"/>
                <w:szCs w:val="14"/>
                <w:color w:val="auto"/>
                <w:w w:val="97"/>
              </w:rPr>
              <w:t>Demolition of former grocery anchor space to construct spaces for new grocery</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$16</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980" w:type="dxa"/>
            <w:vAlign w:val="bottom"/>
          </w:tcPr>
          <w:p>
            <w:pPr>
              <w:ind w:left="200"/>
              <w:spacing w:after="0"/>
              <w:rPr>
                <w:sz w:val="20"/>
                <w:szCs w:val="20"/>
                <w:color w:val="auto"/>
              </w:rPr>
            </w:pPr>
            <w:r>
              <w:rPr>
                <w:rFonts w:ascii="Arial" w:cs="Arial" w:eastAsia="Arial" w:hAnsi="Arial"/>
                <w:sz w:val="14"/>
                <w:szCs w:val="14"/>
                <w:color w:val="auto"/>
              </w:rPr>
              <w:t>anchor and fitness center tenants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1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Davie, FL</w:t>
            </w: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49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Melville Mall</w:t>
            </w:r>
          </w:p>
        </w:tc>
        <w:tc>
          <w:tcPr>
            <w:tcW w:w="1400" w:type="dxa"/>
            <w:vAlign w:val="bottom"/>
          </w:tcPr>
          <w:p>
            <w:pPr>
              <w:ind w:left="120"/>
              <w:spacing w:after="0" w:line="157" w:lineRule="exact"/>
              <w:rPr>
                <w:sz w:val="20"/>
                <w:szCs w:val="20"/>
                <w:color w:val="auto"/>
              </w:rPr>
            </w:pPr>
            <w:r>
              <w:rPr>
                <w:rFonts w:ascii="Arial" w:cs="Arial" w:eastAsia="Arial" w:hAnsi="Arial"/>
                <w:sz w:val="14"/>
                <w:szCs w:val="14"/>
                <w:color w:val="auto"/>
              </w:rPr>
              <w:t>Huntington, NY</w:t>
            </w:r>
          </w:p>
        </w:tc>
        <w:tc>
          <w:tcPr>
            <w:tcW w:w="4980" w:type="dxa"/>
            <w:vAlign w:val="bottom"/>
          </w:tcPr>
          <w:p>
            <w:pPr>
              <w:ind w:left="200"/>
              <w:spacing w:after="0" w:line="157" w:lineRule="exact"/>
              <w:rPr>
                <w:sz w:val="20"/>
                <w:szCs w:val="20"/>
                <w:color w:val="auto"/>
              </w:rPr>
            </w:pPr>
            <w:r>
              <w:rPr>
                <w:rFonts w:ascii="Arial" w:cs="Arial" w:eastAsia="Arial" w:hAnsi="Arial"/>
                <w:sz w:val="14"/>
                <w:szCs w:val="14"/>
                <w:color w:val="auto"/>
                <w:w w:val="98"/>
              </w:rPr>
              <w:t>Redevelopment of 92,000 square foot vacant anchor space to convert into two</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$15</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w w:val="93"/>
              </w:rPr>
              <w:t>anchor spaces for a value retailer and a sporting goods tenant and revamp current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980" w:type="dxa"/>
            <w:vAlign w:val="bottom"/>
          </w:tcPr>
          <w:p>
            <w:pPr>
              <w:ind w:left="200"/>
              <w:spacing w:after="0"/>
              <w:rPr>
                <w:sz w:val="20"/>
                <w:szCs w:val="20"/>
                <w:color w:val="auto"/>
              </w:rPr>
            </w:pPr>
            <w:r>
              <w:rPr>
                <w:rFonts w:ascii="Arial" w:cs="Arial" w:eastAsia="Arial" w:hAnsi="Arial"/>
                <w:sz w:val="14"/>
                <w:szCs w:val="14"/>
                <w:color w:val="auto"/>
              </w:rPr>
              <w:t>anchor space</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 Mar Village</w:t>
            </w:r>
          </w:p>
        </w:tc>
        <w:tc>
          <w:tcPr>
            <w:tcW w:w="1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Boca Raton, FL</w:t>
            </w: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Demolition of small shop spaces and relocation of tenants to accommodate new</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37,000 square foot fitness center tenant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Santana Row</w:t>
            </w:r>
          </w:p>
        </w:tc>
        <w:tc>
          <w:tcPr>
            <w:tcW w:w="1400" w:type="dxa"/>
            <w:vAlign w:val="bottom"/>
          </w:tcPr>
          <w:p>
            <w:pPr>
              <w:ind w:left="120"/>
              <w:spacing w:after="0"/>
              <w:rPr>
                <w:sz w:val="20"/>
                <w:szCs w:val="20"/>
                <w:color w:val="auto"/>
              </w:rPr>
            </w:pPr>
            <w:r>
              <w:rPr>
                <w:rFonts w:ascii="Arial" w:cs="Arial" w:eastAsia="Arial" w:hAnsi="Arial"/>
                <w:sz w:val="14"/>
                <w:szCs w:val="14"/>
                <w:color w:val="auto"/>
              </w:rPr>
              <w:t>San Jose, CA</w:t>
            </w:r>
          </w:p>
        </w:tc>
        <w:tc>
          <w:tcPr>
            <w:tcW w:w="4980" w:type="dxa"/>
            <w:vAlign w:val="bottom"/>
          </w:tcPr>
          <w:p>
            <w:pPr>
              <w:ind w:left="200"/>
              <w:spacing w:after="0"/>
              <w:rPr>
                <w:sz w:val="20"/>
                <w:szCs w:val="20"/>
                <w:color w:val="auto"/>
              </w:rPr>
            </w:pPr>
            <w:r>
              <w:rPr>
                <w:rFonts w:ascii="Arial" w:cs="Arial" w:eastAsia="Arial" w:hAnsi="Arial"/>
                <w:sz w:val="14"/>
                <w:szCs w:val="14"/>
                <w:color w:val="auto"/>
              </w:rPr>
              <w:t>Addition of two retail kiosks and open air plaza upgrades</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14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White Marsh, MD</w:t>
            </w:r>
          </w:p>
        </w:tc>
        <w:tc>
          <w:tcPr>
            <w:tcW w:w="49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w w:val="98"/>
              </w:rPr>
              <w:t>Addition of two new pad sites totaling 13,000 square feet, a new 3,600 square</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w:t>
            </w:r>
          </w:p>
        </w:tc>
        <w:tc>
          <w:tcPr>
            <w:tcW w:w="1400" w:type="dxa"/>
            <w:vAlign w:val="bottom"/>
            <w:shd w:val="clear" w:color="auto" w:fill="CCEEFF"/>
          </w:tcPr>
          <w:p>
            <w:pPr>
              <w:spacing w:after="0"/>
              <w:rPr>
                <w:sz w:val="16"/>
                <w:szCs w:val="16"/>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foot restaurant building, and a drive up ATM</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Willow Lawn</w:t>
            </w:r>
          </w:p>
        </w:tc>
        <w:tc>
          <w:tcPr>
            <w:tcW w:w="1400" w:type="dxa"/>
            <w:vAlign w:val="bottom"/>
          </w:tcPr>
          <w:p>
            <w:pPr>
              <w:ind w:left="120"/>
              <w:spacing w:after="0"/>
              <w:rPr>
                <w:sz w:val="20"/>
                <w:szCs w:val="20"/>
                <w:color w:val="auto"/>
              </w:rPr>
            </w:pPr>
            <w:r>
              <w:rPr>
                <w:rFonts w:ascii="Arial" w:cs="Arial" w:eastAsia="Arial" w:hAnsi="Arial"/>
                <w:sz w:val="14"/>
                <w:szCs w:val="14"/>
                <w:color w:val="auto"/>
              </w:rPr>
              <w:t>Richmond, VA</w:t>
            </w:r>
          </w:p>
        </w:tc>
        <w:tc>
          <w:tcPr>
            <w:tcW w:w="4980" w:type="dxa"/>
            <w:vAlign w:val="bottom"/>
          </w:tcPr>
          <w:p>
            <w:pPr>
              <w:ind w:left="200"/>
              <w:spacing w:after="0"/>
              <w:rPr>
                <w:sz w:val="20"/>
                <w:szCs w:val="20"/>
                <w:color w:val="auto"/>
              </w:rPr>
            </w:pPr>
            <w:r>
              <w:rPr>
                <w:rFonts w:ascii="Arial" w:cs="Arial" w:eastAsia="Arial" w:hAnsi="Arial"/>
                <w:sz w:val="14"/>
                <w:szCs w:val="14"/>
                <w:color w:val="auto"/>
              </w:rPr>
              <w:t>Construction of two new in-line retail spaces totaling 17,400 square feet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Eastgate Crossing</w:t>
            </w:r>
          </w:p>
        </w:tc>
        <w:tc>
          <w:tcPr>
            <w:tcW w:w="1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Chapel Hill, NC</w:t>
            </w:r>
          </w:p>
        </w:tc>
        <w:tc>
          <w:tcPr>
            <w:tcW w:w="498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8"/>
              </w:rPr>
              <w:t>New 7,400 square foot multi-tenant pad building on site of existing gas station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5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4980" w:type="dxa"/>
            <w:vAlign w:val="bottom"/>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Free State Shopping</w:t>
            </w:r>
          </w:p>
        </w:tc>
        <w:tc>
          <w:tcPr>
            <w:tcW w:w="1400" w:type="dxa"/>
            <w:vAlign w:val="bottom"/>
          </w:tcPr>
          <w:p>
            <w:pPr>
              <w:ind w:left="120"/>
              <w:spacing w:after="0" w:line="157" w:lineRule="exact"/>
              <w:rPr>
                <w:sz w:val="20"/>
                <w:szCs w:val="20"/>
                <w:color w:val="auto"/>
              </w:rPr>
            </w:pPr>
            <w:r>
              <w:rPr>
                <w:rFonts w:ascii="Arial" w:cs="Arial" w:eastAsia="Arial" w:hAnsi="Arial"/>
                <w:sz w:val="14"/>
                <w:szCs w:val="14"/>
                <w:color w:val="auto"/>
              </w:rPr>
              <w:t>Bowie, MD</w:t>
            </w:r>
          </w:p>
        </w:tc>
        <w:tc>
          <w:tcPr>
            <w:tcW w:w="4980" w:type="dxa"/>
            <w:vAlign w:val="bottom"/>
          </w:tcPr>
          <w:p>
            <w:pPr>
              <w:ind w:left="200"/>
              <w:spacing w:after="0" w:line="157" w:lineRule="exact"/>
              <w:rPr>
                <w:sz w:val="20"/>
                <w:szCs w:val="20"/>
                <w:color w:val="auto"/>
              </w:rPr>
            </w:pPr>
            <w:r>
              <w:rPr>
                <w:rFonts w:ascii="Arial" w:cs="Arial" w:eastAsia="Arial" w:hAnsi="Arial"/>
                <w:sz w:val="14"/>
                <w:szCs w:val="14"/>
                <w:color w:val="auto"/>
                <w:w w:val="96"/>
              </w:rPr>
              <w:t>Demolition of 26,000 square foot vacant building to allow for construction of new</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$4</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520" w:type="dxa"/>
            <w:vAlign w:val="bottom"/>
          </w:tcPr>
          <w:p>
            <w:pPr>
              <w:ind w:left="40"/>
              <w:spacing w:after="0"/>
              <w:rPr>
                <w:sz w:val="20"/>
                <w:szCs w:val="20"/>
                <w:color w:val="auto"/>
              </w:rPr>
            </w:pPr>
            <w:r>
              <w:rPr>
                <w:rFonts w:ascii="Arial" w:cs="Arial" w:eastAsia="Arial" w:hAnsi="Arial"/>
                <w:sz w:val="14"/>
                <w:szCs w:val="14"/>
                <w:color w:val="auto"/>
              </w:rPr>
              <w:t>Center</w:t>
            </w:r>
          </w:p>
        </w:tc>
        <w:tc>
          <w:tcPr>
            <w:tcW w:w="1400" w:type="dxa"/>
            <w:vAlign w:val="bottom"/>
          </w:tcPr>
          <w:p>
            <w:pPr>
              <w:spacing w:after="0"/>
              <w:rPr>
                <w:sz w:val="16"/>
                <w:szCs w:val="16"/>
                <w:color w:val="auto"/>
              </w:rPr>
            </w:pPr>
          </w:p>
        </w:tc>
        <w:tc>
          <w:tcPr>
            <w:tcW w:w="4980" w:type="dxa"/>
            <w:vAlign w:val="bottom"/>
          </w:tcPr>
          <w:p>
            <w:pPr>
              <w:ind w:left="200"/>
              <w:spacing w:after="0"/>
              <w:rPr>
                <w:sz w:val="20"/>
                <w:szCs w:val="20"/>
                <w:color w:val="auto"/>
              </w:rPr>
            </w:pPr>
            <w:r>
              <w:rPr>
                <w:rFonts w:ascii="Arial" w:cs="Arial" w:eastAsia="Arial" w:hAnsi="Arial"/>
                <w:sz w:val="14"/>
                <w:szCs w:val="14"/>
                <w:color w:val="auto"/>
              </w:rPr>
              <w:t>12,500 square foot pad building for new daycare tenant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Lawrenceville, NJ</w:t>
            </w: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Demolition of existing 3,000 square foot pad building to allow for construction of</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 multi-restaurant pad building totaling 5,600 square feet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Wynnewood</w:t>
            </w:r>
          </w:p>
        </w:tc>
        <w:tc>
          <w:tcPr>
            <w:tcW w:w="1400" w:type="dxa"/>
            <w:vAlign w:val="bottom"/>
          </w:tcPr>
          <w:p>
            <w:pPr>
              <w:ind w:left="120"/>
              <w:spacing w:after="0"/>
              <w:rPr>
                <w:sz w:val="20"/>
                <w:szCs w:val="20"/>
                <w:color w:val="auto"/>
              </w:rPr>
            </w:pPr>
            <w:r>
              <w:rPr>
                <w:rFonts w:ascii="Arial" w:cs="Arial" w:eastAsia="Arial" w:hAnsi="Arial"/>
                <w:sz w:val="14"/>
                <w:szCs w:val="14"/>
                <w:color w:val="auto"/>
              </w:rPr>
              <w:t>Wynnewood, PA</w:t>
            </w:r>
          </w:p>
        </w:tc>
        <w:tc>
          <w:tcPr>
            <w:tcW w:w="4980" w:type="dxa"/>
            <w:vAlign w:val="bottom"/>
          </w:tcPr>
          <w:p>
            <w:pPr>
              <w:ind w:left="200"/>
              <w:spacing w:after="0"/>
              <w:rPr>
                <w:sz w:val="20"/>
                <w:szCs w:val="20"/>
                <w:color w:val="auto"/>
              </w:rPr>
            </w:pPr>
            <w:r>
              <w:rPr>
                <w:rFonts w:ascii="Arial" w:cs="Arial" w:eastAsia="Arial" w:hAnsi="Arial"/>
                <w:sz w:val="14"/>
                <w:szCs w:val="14"/>
                <w:color w:val="auto"/>
              </w:rPr>
              <w:t>Conversion of obsolete 2nd floor office space to residential</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2920" w:type="dxa"/>
            <w:vAlign w:val="bottom"/>
            <w:tcBorders>
              <w:bottom w:val="single" w:sz="8" w:color="CCEEFF"/>
            </w:tcBorders>
            <w:gridSpan w:val="2"/>
          </w:tcPr>
          <w:p>
            <w:pPr>
              <w:spacing w:after="0"/>
              <w:rPr>
                <w:sz w:val="6"/>
                <w:szCs w:val="6"/>
                <w:color w:val="auto"/>
              </w:rPr>
            </w:pPr>
          </w:p>
        </w:tc>
        <w:tc>
          <w:tcPr>
            <w:tcW w:w="498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Active Redevelopment projects (4)</w:t>
            </w:r>
          </w:p>
        </w:tc>
        <w:tc>
          <w:tcPr>
            <w:tcW w:w="49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$346 - $351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2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498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generally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7"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Location</w:t>
            </w:r>
          </w:p>
        </w:tc>
        <w:tc>
          <w:tcPr>
            <w:tcW w:w="2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Opportunity</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2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Total Cost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(3)</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Stabilization Expected Opening Timeframe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Phases delivered</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58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w:t>
            </w:r>
          </w:p>
        </w:tc>
        <w:tc>
          <w:tcPr>
            <w:tcW w:w="11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w w:val="98"/>
              </w:rPr>
              <w:t>Phase I consists of 493 residential units,</w:t>
            </w:r>
          </w:p>
        </w:tc>
        <w:tc>
          <w:tcPr>
            <w:tcW w:w="6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8"/>
              </w:rPr>
              <w:t xml:space="preserve">$265 - $270 </w:t>
            </w:r>
            <w:r>
              <w:rPr>
                <w:rFonts w:ascii="Arial" w:cs="Arial" w:eastAsia="Arial" w:hAnsi="Arial"/>
                <w:sz w:val="14"/>
                <w:szCs w:val="14"/>
                <w:b w:val="1"/>
                <w:bCs w:val="1"/>
                <w:color w:val="auto"/>
                <w:w w:val="98"/>
              </w:rPr>
              <w:t>(4)</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$260</w:t>
            </w:r>
          </w:p>
        </w:tc>
        <w:tc>
          <w:tcPr>
            <w:tcW w:w="2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w w:val="93"/>
              </w:rPr>
              <w:t>(4)</w:t>
            </w:r>
          </w:p>
        </w:tc>
        <w:tc>
          <w:tcPr>
            <w:tcW w:w="8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2015/2016</w:t>
            </w:r>
          </w:p>
        </w:tc>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•174 unit residential building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159,000 square feet of retail, and 80,000</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late June 2014 and achieved stabilized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square feet of office space.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occupancy in Q1 2015.</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•Retail and office space 100%</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occupied.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•319 unit residential building</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delivered.</w:t>
            </w:r>
          </w:p>
        </w:tc>
        <w:tc>
          <w:tcPr>
            <w:tcW w:w="0" w:type="dxa"/>
            <w:vAlign w:val="bottom"/>
          </w:tcPr>
          <w:p>
            <w:pPr>
              <w:spacing w:after="0"/>
              <w:rPr>
                <w:sz w:val="1"/>
                <w:szCs w:val="1"/>
                <w:color w:val="auto"/>
              </w:rPr>
            </w:pPr>
          </w:p>
        </w:tc>
      </w:tr>
      <w:tr>
        <w:trPr>
          <w:trHeight w:val="458"/>
        </w:trPr>
        <w:tc>
          <w:tcPr>
            <w:tcW w:w="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9"/>
              </w:rPr>
              <w:t>Assembly Row - Phase I</w:t>
            </w:r>
          </w:p>
        </w:tc>
        <w:tc>
          <w:tcPr>
            <w:tcW w:w="11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Somerville, MA</w:t>
            </w:r>
          </w:p>
        </w:tc>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Initial phase consists of 445 residential</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5 - 6%</w:t>
            </w:r>
          </w:p>
        </w:tc>
        <w:tc>
          <w:tcPr>
            <w:tcW w:w="2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w:t>
            </w:r>
          </w:p>
        </w:tc>
        <w:tc>
          <w:tcPr>
            <w:tcW w:w="1020" w:type="dxa"/>
            <w:vAlign w:val="bottom"/>
          </w:tcPr>
          <w:p>
            <w:pPr>
              <w:jc w:val="center"/>
              <w:ind w:right="148"/>
              <w:spacing w:after="0" w:line="157" w:lineRule="exact"/>
              <w:rPr>
                <w:sz w:val="20"/>
                <w:szCs w:val="20"/>
                <w:color w:val="auto"/>
              </w:rPr>
            </w:pPr>
            <w:r>
              <w:rPr>
                <w:rFonts w:ascii="Arial" w:cs="Arial" w:eastAsia="Arial" w:hAnsi="Arial"/>
                <w:sz w:val="14"/>
                <w:szCs w:val="14"/>
                <w:color w:val="auto"/>
                <w:w w:val="89"/>
              </w:rPr>
              <w:t>$196</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$196</w:t>
            </w:r>
          </w:p>
        </w:tc>
        <w:tc>
          <w:tcPr>
            <w:tcW w:w="2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3"/>
              </w:rPr>
              <w:t>(5)</w:t>
            </w:r>
          </w:p>
        </w:tc>
        <w:tc>
          <w:tcPr>
            <w:tcW w:w="8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2015/2016</w:t>
            </w:r>
          </w:p>
        </w:tc>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•Project is 100% occupied.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units (by AvalonBay), in addition to</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5"/>
              </w:rPr>
              <w:t>•T Station opened in September 2014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98,000 square feet of office space and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approximately 331,000 square feet of</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retail space (including a restaurant pad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4"/>
              </w:rPr>
              <w:t>site). A new Orange Line T-Stop has been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3"/>
              </w:rPr>
              <w:t>constructed by Massachusetts Bay Transit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Authority, as part of Phase I.</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Phases delivered</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6 - 7%</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w w:val="90"/>
              </w:rPr>
              <w:t>$461 - $466</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$456</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00" w:type="dxa"/>
            <w:vAlign w:val="bottom"/>
            <w:gridSpan w:val="2"/>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Phases under construction</w:t>
            </w:r>
          </w:p>
        </w:tc>
        <w:tc>
          <w:tcPr>
            <w:tcW w:w="2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23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II</w:t>
            </w:r>
          </w:p>
        </w:tc>
        <w:tc>
          <w:tcPr>
            <w:tcW w:w="11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w w:val="92"/>
              </w:rPr>
              <w:t>Ground up mixed use development. Phase</w:t>
            </w:r>
          </w:p>
        </w:tc>
        <w:tc>
          <w:tcPr>
            <w:tcW w:w="6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148"/>
              <w:spacing w:after="0" w:line="157" w:lineRule="exact"/>
              <w:rPr>
                <w:sz w:val="20"/>
                <w:szCs w:val="20"/>
                <w:color w:val="auto"/>
              </w:rPr>
            </w:pPr>
            <w:r>
              <w:rPr>
                <w:rFonts w:ascii="Arial" w:cs="Arial" w:eastAsia="Arial" w:hAnsi="Arial"/>
                <w:sz w:val="14"/>
                <w:szCs w:val="14"/>
                <w:color w:val="auto"/>
                <w:w w:val="90"/>
              </w:rPr>
              <w:t>$200 - $207</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2018/2019</w:t>
            </w:r>
          </w:p>
        </w:tc>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Projected opening - late 2017/2018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II consists of 190,000 square feet of retail,</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272 residential units, and a 177 room</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hotel. Added pre-leased auto dealership</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building.</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104 for-sale condominium units</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(6)</w:t>
            </w:r>
          </w:p>
        </w:tc>
        <w:tc>
          <w:tcPr>
            <w:tcW w:w="1020" w:type="dxa"/>
            <w:vAlign w:val="bottom"/>
          </w:tcPr>
          <w:p>
            <w:pPr>
              <w:jc w:val="center"/>
              <w:ind w:right="148"/>
              <w:spacing w:after="0" w:line="157" w:lineRule="exact"/>
              <w:rPr>
                <w:sz w:val="20"/>
                <w:szCs w:val="20"/>
                <w:color w:val="auto"/>
              </w:rPr>
            </w:pPr>
            <w:r>
              <w:rPr>
                <w:rFonts w:ascii="Arial" w:cs="Arial" w:eastAsia="Arial" w:hAnsi="Arial"/>
                <w:sz w:val="14"/>
                <w:szCs w:val="14"/>
                <w:color w:val="auto"/>
                <w:w w:val="94"/>
              </w:rPr>
              <w:t>$53 - $58</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MD</w:t>
            </w:r>
          </w:p>
        </w:tc>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Assembly Row - Phase II</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Somerville, MA</w:t>
            </w: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Second phase of development consists of</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02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0"/>
              </w:rPr>
              <w:t>$270 - $285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2018/2019</w:t>
            </w:r>
          </w:p>
        </w:tc>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Projected opening - late 2017/2018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167,000 square feet of retail, 447</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residential units, and a 160 room boutique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hotel. Additionally, there will be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approximately 700,000 square feet of</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office space constructed by Partners</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HealthCare.</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Somerville, MA</w:t>
            </w:r>
          </w:p>
        </w:tc>
        <w:tc>
          <w:tcPr>
            <w:tcW w:w="2620" w:type="dxa"/>
            <w:vAlign w:val="bottom"/>
          </w:tcPr>
          <w:p>
            <w:pPr>
              <w:ind w:left="140"/>
              <w:spacing w:after="0"/>
              <w:rPr>
                <w:sz w:val="20"/>
                <w:szCs w:val="20"/>
                <w:color w:val="auto"/>
              </w:rPr>
            </w:pPr>
            <w:r>
              <w:rPr>
                <w:rFonts w:ascii="Arial" w:cs="Arial" w:eastAsia="Arial" w:hAnsi="Arial"/>
                <w:sz w:val="14"/>
                <w:szCs w:val="14"/>
                <w:color w:val="auto"/>
              </w:rPr>
              <w:t>134 for-sale condominium units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20" w:type="dxa"/>
            <w:vAlign w:val="bottom"/>
          </w:tcPr>
          <w:p>
            <w:pPr>
              <w:jc w:val="center"/>
              <w:ind w:right="148"/>
              <w:spacing w:after="0"/>
              <w:rPr>
                <w:sz w:val="20"/>
                <w:szCs w:val="20"/>
                <w:color w:val="auto"/>
              </w:rPr>
            </w:pPr>
            <w:r>
              <w:rPr>
                <w:rFonts w:ascii="Arial" w:cs="Arial" w:eastAsia="Arial" w:hAnsi="Arial"/>
                <w:sz w:val="14"/>
                <w:szCs w:val="14"/>
                <w:color w:val="auto"/>
                <w:w w:val="94"/>
              </w:rPr>
              <w:t>$70 - $75</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26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Phases under construction</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20" w:type="dxa"/>
            <w:vAlign w:val="bottom"/>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w w:val="90"/>
              </w:rPr>
              <w:t>$593 - $625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$225</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500" w:right="200" w:hanging="465"/>
        <w:spacing w:after="0" w:line="23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approximately $4 million of costs incurred to date of which we have claims for recovery against 3rd parties.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Costs are net of expected reimbursement by third parties and land sale proceeds from expected exercise of option. Phase II total costs include our 50% share of the costs of our investment</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hotel.</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Condominiums shown at cost; the projected ROI for Phase II does not assume any incremental profit on the sale of condominium units; condominiums are assumed to be sold at cost.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2016</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Melville Mall</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Huntington,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auto"/>
              </w:rPr>
              <w:t>Mercer Mall</w:t>
            </w:r>
          </w:p>
        </w:tc>
        <w:tc>
          <w:tcPr>
            <w:tcW w:w="4460" w:type="dxa"/>
            <w:vAlign w:val="bottom"/>
          </w:tcPr>
          <w:p>
            <w:pPr>
              <w:ind w:left="860"/>
              <w:spacing w:after="0"/>
              <w:rPr>
                <w:sz w:val="20"/>
                <w:szCs w:val="20"/>
                <w:color w:val="auto"/>
              </w:rPr>
            </w:pPr>
            <w:r>
              <w:rPr>
                <w:rFonts w:ascii="Arial" w:cs="Arial" w:eastAsia="Arial" w:hAnsi="Arial"/>
                <w:sz w:val="16"/>
                <w:szCs w:val="16"/>
                <w:color w:val="auto"/>
              </w:rPr>
              <w:t>Lawrenceville, NJ</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Escondido, CA</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Pan Am</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Fairfax, VA</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Rockville, MD</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auto"/>
              </w:rPr>
              <w:t>Pike 7</w:t>
            </w:r>
          </w:p>
        </w:tc>
        <w:tc>
          <w:tcPr>
            <w:tcW w:w="4460" w:type="dxa"/>
            <w:vAlign w:val="bottom"/>
          </w:tcPr>
          <w:p>
            <w:pPr>
              <w:ind w:left="860"/>
              <w:spacing w:after="0"/>
              <w:rPr>
                <w:sz w:val="20"/>
                <w:szCs w:val="20"/>
                <w:color w:val="auto"/>
              </w:rPr>
            </w:pPr>
            <w:r>
              <w:rPr>
                <w:rFonts w:ascii="Arial" w:cs="Arial" w:eastAsia="Arial" w:hAnsi="Arial"/>
                <w:sz w:val="16"/>
                <w:szCs w:val="16"/>
                <w:color w:val="auto"/>
              </w:rPr>
              <w:t>Vienna, VA</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Flourtown, PA</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Wildwood</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Bethesda, MD</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120" w:type="dxa"/>
            <w:vAlign w:val="bottom"/>
          </w:tcPr>
          <w:p>
            <w:pPr>
              <w:ind w:left="480"/>
              <w:spacing w:after="0"/>
              <w:rPr>
                <w:sz w:val="20"/>
                <w:szCs w:val="20"/>
                <w:color w:val="auto"/>
              </w:rPr>
            </w:pPr>
            <w:r>
              <w:rPr>
                <w:rFonts w:ascii="Arial" w:cs="Arial" w:eastAsia="Arial" w:hAnsi="Arial"/>
                <w:sz w:val="16"/>
                <w:szCs w:val="16"/>
                <w:color w:val="auto"/>
              </w:rPr>
              <w:t>Queens, NY</w:t>
            </w:r>
          </w:p>
        </w:tc>
        <w:tc>
          <w:tcPr>
            <w:tcW w:w="24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70"/>
        </w:trPr>
        <w:tc>
          <w:tcPr>
            <w:tcW w:w="242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Somerville, MA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Fresh Meadows</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Queens, NY</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520" w:type="dxa"/>
            <w:vAlign w:val="bottom"/>
          </w:tcPr>
          <w:p>
            <w:pPr>
              <w:ind w:left="74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20" w:type="dxa"/>
            <w:vAlign w:val="bottom"/>
          </w:tcPr>
          <w:p>
            <w:pPr>
              <w:ind w:left="420"/>
              <w:spacing w:after="0"/>
              <w:rPr>
                <w:sz w:val="20"/>
                <w:szCs w:val="20"/>
                <w:color w:val="auto"/>
              </w:rPr>
            </w:pPr>
            <w:r>
              <w:rPr>
                <w:rFonts w:ascii="Arial" w:cs="Arial" w:eastAsia="Arial" w:hAnsi="Arial"/>
                <w:sz w:val="16"/>
                <w:szCs w:val="16"/>
                <w:color w:val="auto"/>
              </w:rPr>
              <w:t>Rockville, MD</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Bethesda, MD</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Northeast</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Philadelphia, PA</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Brick</w:t>
            </w:r>
          </w:p>
        </w:tc>
        <w:tc>
          <w:tcPr>
            <w:tcW w:w="2520" w:type="dxa"/>
            <w:vAlign w:val="bottom"/>
          </w:tcPr>
          <w:p>
            <w:pPr>
              <w:ind w:left="740"/>
              <w:spacing w:after="0"/>
              <w:rPr>
                <w:sz w:val="20"/>
                <w:szCs w:val="20"/>
                <w:color w:val="auto"/>
              </w:rPr>
            </w:pPr>
            <w:r>
              <w:rPr>
                <w:rFonts w:ascii="Arial" w:cs="Arial" w:eastAsia="Arial" w:hAnsi="Arial"/>
                <w:sz w:val="16"/>
                <w:szCs w:val="16"/>
                <w:color w:val="auto"/>
              </w:rPr>
              <w:t>Brick, NJ</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02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CocoWalk</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Coconut Grove, FL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520" w:type="dxa"/>
            <w:vAlign w:val="bottom"/>
          </w:tcPr>
          <w:p>
            <w:pPr>
              <w:ind w:left="740"/>
              <w:spacing w:after="0"/>
              <w:rPr>
                <w:sz w:val="20"/>
                <w:szCs w:val="20"/>
                <w:color w:val="auto"/>
              </w:rPr>
            </w:pPr>
            <w:r>
              <w:rPr>
                <w:rFonts w:ascii="Arial" w:cs="Arial" w:eastAsia="Arial" w:hAnsi="Arial"/>
                <w:sz w:val="16"/>
                <w:szCs w:val="16"/>
                <w:color w:val="auto"/>
              </w:rPr>
              <w:t>Highland Park, IL</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02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37"/>
        </w:trPr>
        <w:tc>
          <w:tcPr>
            <w:tcW w:w="21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5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Darien, CT</w:t>
            </w:r>
          </w:p>
        </w:tc>
        <w:tc>
          <w:tcPr>
            <w:tcW w:w="272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1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Graham Park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Falls Church, VA</w:t>
            </w:r>
          </w:p>
        </w:tc>
        <w:tc>
          <w:tcPr>
            <w:tcW w:w="30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7"/>
        </w:trPr>
        <w:tc>
          <w:tcPr>
            <w:tcW w:w="2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Pr>
          <w:p>
            <w:pPr>
              <w:ind w:left="10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834 residential units.</w:t>
            </w: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736 residential units.</w:t>
            </w:r>
          </w:p>
        </w:tc>
      </w:tr>
      <w:tr>
        <w:trPr>
          <w:trHeight w:val="191"/>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include approximately 634,000 square feet of commercial space and 395 residential units.</w:t>
            </w:r>
          </w:p>
        </w:tc>
      </w:tr>
      <w:tr>
        <w:trPr>
          <w:trHeight w:val="471"/>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Arial" w:cs="Arial" w:eastAsia="Arial" w:hAnsi="Arial"/>
                <w:sz w:val="18"/>
                <w:szCs w:val="18"/>
                <w:color w:val="auto"/>
              </w:rPr>
              <w:t>17</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2016 Significant Acquisitions and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2016 Significant Acquisitions</w:t>
      </w:r>
    </w:p>
    <w:p>
      <w:pPr>
        <w:spacing w:after="0" w:line="185" w:lineRule="exact"/>
        <w:rPr>
          <w:sz w:val="20"/>
          <w:szCs w:val="20"/>
          <w:color w:val="auto"/>
        </w:rPr>
      </w:pPr>
    </w:p>
    <w:p>
      <w:pPr>
        <w:ind w:left="40" w:right="240"/>
        <w:spacing w:after="0" w:line="255" w:lineRule="auto"/>
        <w:rPr>
          <w:sz w:val="20"/>
          <w:szCs w:val="20"/>
          <w:color w:val="auto"/>
        </w:rPr>
      </w:pPr>
      <w:r>
        <w:rPr>
          <w:rFonts w:ascii="Arial" w:cs="Arial" w:eastAsia="Arial" w:hAnsi="Arial"/>
          <w:sz w:val="17"/>
          <w:szCs w:val="17"/>
          <w:color w:val="auto"/>
        </w:rPr>
        <w:t>On January 13, 2016, we acquired our partner's 70% interest in our joint venture arrangement (the "Partnership") with affiliates of a discretionary fund created and advised by Clarion Partners ("Clarion") for $153.7 million, which included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w:t>
            </w:r>
          </w:p>
        </w:tc>
        <w:tc>
          <w:tcPr>
            <w:tcW w:w="24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City/State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5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2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Atlantic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North Reading,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Barcroft Plaza</w:t>
            </w:r>
          </w:p>
        </w:tc>
        <w:tc>
          <w:tcPr>
            <w:tcW w:w="2460" w:type="dxa"/>
            <w:vAlign w:val="bottom"/>
          </w:tcPr>
          <w:p>
            <w:pPr>
              <w:ind w:left="420"/>
              <w:spacing w:after="0"/>
              <w:rPr>
                <w:sz w:val="20"/>
                <w:szCs w:val="20"/>
                <w:color w:val="auto"/>
              </w:rPr>
            </w:pPr>
            <w:r>
              <w:rPr>
                <w:rFonts w:ascii="Arial" w:cs="Arial" w:eastAsia="Arial" w:hAnsi="Arial"/>
                <w:sz w:val="16"/>
                <w:szCs w:val="16"/>
                <w:color w:val="auto"/>
              </w:rPr>
              <w:t>Falls Church, VA</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100,000</w:t>
            </w:r>
          </w:p>
        </w:tc>
        <w:tc>
          <w:tcPr>
            <w:tcW w:w="5240" w:type="dxa"/>
            <w:vAlign w:val="bottom"/>
          </w:tcPr>
          <w:p>
            <w:pPr>
              <w:ind w:left="140"/>
              <w:spacing w:after="0"/>
              <w:rPr>
                <w:sz w:val="20"/>
                <w:szCs w:val="20"/>
                <w:color w:val="auto"/>
              </w:rPr>
            </w:pPr>
            <w:r>
              <w:rPr>
                <w:rFonts w:ascii="Arial" w:cs="Arial" w:eastAsia="Arial" w:hAnsi="Arial"/>
                <w:sz w:val="16"/>
                <w:szCs w:val="16"/>
                <w:color w:val="auto"/>
              </w:rPr>
              <w:t>Harris Teeter / Bank of America</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Campus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Bridgewater,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Roche Bros. / Burlington Coat Factory</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Free State Shopping Center</w:t>
            </w:r>
          </w:p>
        </w:tc>
        <w:tc>
          <w:tcPr>
            <w:tcW w:w="2460" w:type="dxa"/>
            <w:vAlign w:val="bottom"/>
          </w:tcPr>
          <w:p>
            <w:pPr>
              <w:ind w:left="420"/>
              <w:spacing w:after="0"/>
              <w:rPr>
                <w:sz w:val="20"/>
                <w:szCs w:val="20"/>
                <w:color w:val="auto"/>
              </w:rPr>
            </w:pPr>
            <w:r>
              <w:rPr>
                <w:rFonts w:ascii="Arial" w:cs="Arial" w:eastAsia="Arial" w:hAnsi="Arial"/>
                <w:sz w:val="16"/>
                <w:szCs w:val="16"/>
                <w:color w:val="auto"/>
              </w:rPr>
              <w:t>Bowie, MD</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265,000</w:t>
            </w:r>
          </w:p>
        </w:tc>
        <w:tc>
          <w:tcPr>
            <w:tcW w:w="5240" w:type="dxa"/>
            <w:vAlign w:val="bottom"/>
          </w:tcPr>
          <w:p>
            <w:pPr>
              <w:ind w:left="140"/>
              <w:spacing w:after="0"/>
              <w:rPr>
                <w:sz w:val="20"/>
                <w:szCs w:val="20"/>
                <w:color w:val="auto"/>
              </w:rPr>
            </w:pPr>
            <w:r>
              <w:rPr>
                <w:rFonts w:ascii="Arial" w:cs="Arial" w:eastAsia="Arial" w:hAnsi="Arial"/>
                <w:sz w:val="16"/>
                <w:szCs w:val="16"/>
                <w:color w:val="auto"/>
              </w:rPr>
              <w:t>Giant Food / TJ Maxx / Ross Dress For Less / Office Depot</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Greenlawn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Greenlawn, NY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Greenlawn Farms / Tuesday Morning</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Plaza del Mercado</w:t>
            </w:r>
          </w:p>
        </w:tc>
        <w:tc>
          <w:tcPr>
            <w:tcW w:w="2460" w:type="dxa"/>
            <w:vAlign w:val="bottom"/>
          </w:tcPr>
          <w:p>
            <w:pPr>
              <w:ind w:left="420"/>
              <w:spacing w:after="0"/>
              <w:rPr>
                <w:sz w:val="20"/>
                <w:szCs w:val="20"/>
                <w:color w:val="auto"/>
              </w:rPr>
            </w:pPr>
            <w:r>
              <w:rPr>
                <w:rFonts w:ascii="Arial" w:cs="Arial" w:eastAsia="Arial" w:hAnsi="Arial"/>
                <w:sz w:val="16"/>
                <w:szCs w:val="16"/>
                <w:color w:val="auto"/>
              </w:rPr>
              <w:t>Silver Spring, MD</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96,000</w:t>
            </w:r>
          </w:p>
        </w:tc>
        <w:tc>
          <w:tcPr>
            <w:tcW w:w="5240" w:type="dxa"/>
            <w:vAlign w:val="bottom"/>
          </w:tcPr>
          <w:p>
            <w:pPr>
              <w:ind w:left="140"/>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vMerge w:val="restart"/>
          </w:tcPr>
          <w:p>
            <w:pPr>
              <w:ind w:left="1700"/>
              <w:spacing w:after="0"/>
              <w:rPr>
                <w:sz w:val="20"/>
                <w:szCs w:val="20"/>
                <w:color w:val="auto"/>
              </w:rPr>
            </w:pPr>
            <w:r>
              <w:rPr>
                <w:rFonts w:ascii="Arial" w:cs="Arial" w:eastAsia="Arial" w:hAnsi="Arial"/>
                <w:sz w:val="16"/>
                <w:szCs w:val="16"/>
                <w:b w:val="1"/>
                <w:bCs w:val="1"/>
                <w:color w:val="auto"/>
                <w:w w:val="96"/>
              </w:rPr>
              <w:t>Total GLA</w:t>
            </w:r>
          </w:p>
        </w:tc>
        <w:tc>
          <w:tcPr>
            <w:tcW w:w="1480" w:type="dxa"/>
            <w:vAlign w:val="bottom"/>
            <w:tcBorders>
              <w:bottom w:val="single" w:sz="8" w:color="auto"/>
            </w:tcBorders>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806,000</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Disposition</w:t>
      </w:r>
    </w:p>
    <w:p>
      <w:pPr>
        <w:spacing w:after="0" w:line="158"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On May 12, 2016, an unconsolidated joint venture that we hold an interest in, sold a building in Coconut Grove, Florida. Our share of the gain, net of noncontrolling interests, was $0.7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Year Acquired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gridSpan w:val="11"/>
          </w:tcPr>
          <w:p>
            <w:pPr>
              <w:ind w:left="6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380" w:type="dxa"/>
            <w:vAlign w:val="bottom"/>
            <w:tcBorders>
              <w:top w:val="single" w:sz="8" w:color="CCEEFF"/>
            </w:tcBorders>
            <w:gridSpan w:val="3"/>
          </w:tcPr>
          <w:p>
            <w:pPr>
              <w:ind w:left="20"/>
              <w:spacing w:after="0"/>
              <w:rPr>
                <w:sz w:val="20"/>
                <w:szCs w:val="20"/>
                <w:color w:val="auto"/>
              </w:rPr>
            </w:pPr>
            <w:r>
              <w:rPr>
                <w:rFonts w:ascii="Arial" w:cs="Arial" w:eastAsia="Arial" w:hAnsi="Arial"/>
                <w:sz w:val="13"/>
                <w:szCs w:val="13"/>
                <w:color w:val="auto"/>
              </w:rPr>
              <w:t>Barcroft Plaza</w:t>
            </w:r>
          </w:p>
        </w:tc>
        <w:tc>
          <w:tcPr>
            <w:tcW w:w="380" w:type="dxa"/>
            <w:vAlign w:val="bottom"/>
            <w:tcBorders>
              <w:top w:val="single" w:sz="8" w:color="CCEEFF"/>
            </w:tcBorders>
          </w:tcPr>
          <w:p>
            <w:pPr>
              <w:jc w:val="right"/>
              <w:ind w:right="77"/>
              <w:spacing w:after="0"/>
              <w:rPr>
                <w:sz w:val="20"/>
                <w:szCs w:val="20"/>
                <w:color w:val="auto"/>
              </w:rPr>
            </w:pPr>
            <w:r>
              <w:rPr>
                <w:rFonts w:ascii="Arial" w:cs="Arial" w:eastAsia="Arial" w:hAnsi="Arial"/>
                <w:sz w:val="13"/>
                <w:szCs w:val="13"/>
                <w:color w:val="auto"/>
              </w:rPr>
              <w:t>(8)</w:t>
            </w:r>
          </w:p>
        </w:tc>
        <w:tc>
          <w:tcPr>
            <w:tcW w:w="1600" w:type="dxa"/>
            <w:vAlign w:val="bottom"/>
            <w:tcBorders>
              <w:top w:val="single" w:sz="8" w:color="CCEEFF"/>
            </w:tcBorders>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2006-2007</w:t>
            </w:r>
          </w:p>
        </w:tc>
        <w:tc>
          <w:tcPr>
            <w:tcW w:w="680" w:type="dxa"/>
            <w:vAlign w:val="bottom"/>
            <w:tcBorders>
              <w:top w:val="single" w:sz="8" w:color="CCEEFF"/>
            </w:tcBorders>
          </w:tcPr>
          <w:p>
            <w:pPr>
              <w:jc w:val="right"/>
              <w:ind w:right="57"/>
              <w:spacing w:after="0"/>
              <w:rPr>
                <w:sz w:val="20"/>
                <w:szCs w:val="20"/>
                <w:color w:val="auto"/>
              </w:rPr>
            </w:pPr>
            <w:r>
              <w:rPr>
                <w:rFonts w:ascii="Arial" w:cs="Arial" w:eastAsia="Arial" w:hAnsi="Arial"/>
                <w:sz w:val="13"/>
                <w:szCs w:val="13"/>
                <w:color w:val="auto"/>
                <w:w w:val="99"/>
              </w:rPr>
              <w:t>$  37,163</w:t>
            </w:r>
          </w:p>
        </w:tc>
        <w:tc>
          <w:tcPr>
            <w:tcW w:w="6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ind w:right="17"/>
              <w:spacing w:after="0"/>
              <w:rPr>
                <w:sz w:val="20"/>
                <w:szCs w:val="20"/>
                <w:color w:val="auto"/>
              </w:rPr>
            </w:pPr>
            <w:r>
              <w:rPr>
                <w:rFonts w:ascii="Arial" w:cs="Arial" w:eastAsia="Arial" w:hAnsi="Arial"/>
                <w:sz w:val="13"/>
                <w:szCs w:val="13"/>
                <w:color w:val="auto"/>
              </w:rPr>
              <w:t>100,000</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82%</w:t>
            </w:r>
          </w:p>
        </w:tc>
        <w:tc>
          <w:tcPr>
            <w:tcW w:w="600" w:type="dxa"/>
            <w:vAlign w:val="bottom"/>
            <w:tcBorders>
              <w:top w:val="single" w:sz="8" w:color="CCEEFF"/>
            </w:tcBorders>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tcBorders>
              <w:top w:val="single" w:sz="8" w:color="CCEEFF"/>
            </w:tcBorders>
            <w:gridSpan w:val="4"/>
          </w:tcPr>
          <w:p>
            <w:pPr>
              <w:ind w:left="80"/>
              <w:spacing w:after="0"/>
              <w:rPr>
                <w:sz w:val="20"/>
                <w:szCs w:val="20"/>
                <w:color w:val="auto"/>
              </w:rPr>
            </w:pPr>
            <w:r>
              <w:rPr>
                <w:rFonts w:ascii="Arial" w:cs="Arial" w:eastAsia="Arial" w:hAnsi="Arial"/>
                <w:sz w:val="13"/>
                <w:szCs w:val="13"/>
                <w:color w:val="auto"/>
                <w:w w:val="94"/>
              </w:rPr>
              <w:t>Harris Teeter</w:t>
            </w:r>
          </w:p>
        </w:tc>
        <w:tc>
          <w:tcPr>
            <w:tcW w:w="3280" w:type="dxa"/>
            <w:vAlign w:val="bottom"/>
            <w:tcBorders>
              <w:top w:val="single" w:sz="8" w:color="CCEEFF"/>
            </w:tcBorders>
            <w:gridSpan w:val="11"/>
          </w:tcPr>
          <w:p>
            <w:pPr>
              <w:ind w:left="60"/>
              <w:spacing w:after="0"/>
              <w:rPr>
                <w:sz w:val="20"/>
                <w:szCs w:val="20"/>
                <w:color w:val="auto"/>
              </w:rPr>
            </w:pPr>
            <w:r>
              <w:rPr>
                <w:rFonts w:ascii="Arial" w:cs="Arial" w:eastAsia="Arial" w:hAnsi="Arial"/>
                <w:sz w:val="13"/>
                <w:szCs w:val="13"/>
                <w:color w:val="auto"/>
              </w:rPr>
              <w:t>Bank of America</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Bethesda Row</w:t>
            </w:r>
          </w:p>
        </w:tc>
        <w:tc>
          <w:tcPr>
            <w:tcW w:w="380" w:type="dxa"/>
            <w:vAlign w:val="bottom"/>
            <w:shd w:val="clear" w:color="auto" w:fill="CCEEFF"/>
          </w:tcPr>
          <w:p>
            <w:pPr>
              <w:spacing w:after="0"/>
              <w:rPr>
                <w:sz w:val="12"/>
                <w:szCs w:val="12"/>
                <w:color w:val="auto"/>
              </w:rPr>
            </w:pPr>
          </w:p>
        </w:tc>
        <w:tc>
          <w:tcPr>
            <w:tcW w:w="16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shd w:val="clear" w:color="auto" w:fill="CCEEFF"/>
              </w:rPr>
              <w:t>Washington, DC-MD-VA</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1993-</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223,606</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40,000</w:t>
            </w:r>
          </w:p>
        </w:tc>
        <w:tc>
          <w:tcPr>
            <w:tcW w:w="820" w:type="dxa"/>
            <w:vAlign w:val="bottom"/>
            <w:gridSpan w:val="4"/>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3280" w:type="dxa"/>
            <w:vAlign w:val="bottom"/>
            <w:gridSpan w:val="11"/>
            <w:shd w:val="clear" w:color="auto" w:fill="CCEEFF"/>
          </w:tcPr>
          <w:p>
            <w:pPr>
              <w:ind w:left="60"/>
              <w:spacing w:after="0" w:line="148" w:lineRule="exact"/>
              <w:rPr>
                <w:sz w:val="20"/>
                <w:szCs w:val="20"/>
                <w:color w:val="auto"/>
              </w:rPr>
            </w:pPr>
            <w:r>
              <w:rPr>
                <w:rFonts w:ascii="Arial" w:cs="Arial" w:eastAsia="Arial" w:hAnsi="Arial"/>
                <w:sz w:val="13"/>
                <w:szCs w:val="13"/>
                <w:color w:val="auto"/>
                <w:w w:val="99"/>
              </w:rPr>
              <w:t>Apple Computer / Barnes &amp; Noble / Equinox / Landmark</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shd w:val="clear" w:color="auto" w:fill="CCEEFF"/>
              </w:rPr>
              <w:t>2006/2008/2010</w:t>
            </w: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gridSpan w:val="11"/>
            <w:shd w:val="clear" w:color="auto" w:fill="CCEEFF"/>
          </w:tcPr>
          <w:p>
            <w:pPr>
              <w:ind w:left="60"/>
              <w:spacing w:after="0"/>
              <w:rPr>
                <w:sz w:val="20"/>
                <w:szCs w:val="20"/>
                <w:color w:val="auto"/>
              </w:rPr>
            </w:pPr>
            <w:r>
              <w:rPr>
                <w:rFonts w:ascii="Arial" w:cs="Arial" w:eastAsia="Arial" w:hAnsi="Arial"/>
                <w:sz w:val="13"/>
                <w:szCs w:val="13"/>
                <w:color w:val="auto"/>
              </w:rPr>
              <w:t>Theater</w:t>
            </w: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Congressional Plaza</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1965</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96,304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The Fresh</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w w:val="91"/>
              </w:rPr>
              <w:t>Buy Buy Baby / Container Store / Last Call Studio by Neiman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Marcus</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Courthouse Center</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4,848</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9"/>
              </w:rPr>
              <w:t>Falls Plaza/Falls Plaza-</w:t>
            </w: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1967/1972</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13,182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51,000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Giant Food</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East</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Federal Plaza</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65,858</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14,000</w:t>
            </w:r>
          </w:p>
        </w:tc>
        <w:tc>
          <w:tcPr>
            <w:tcW w:w="82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280" w:type="dxa"/>
            <w:vAlign w:val="bottom"/>
            <w:gridSpan w:val="11"/>
            <w:shd w:val="clear" w:color="auto" w:fill="CCEEFF"/>
          </w:tcPr>
          <w:p>
            <w:pPr>
              <w:ind w:left="60"/>
              <w:spacing w:after="0"/>
              <w:rPr>
                <w:sz w:val="20"/>
                <w:szCs w:val="20"/>
                <w:color w:val="auto"/>
              </w:rPr>
            </w:pPr>
            <w:r>
              <w:rPr>
                <w:rFonts w:ascii="Arial" w:cs="Arial" w:eastAsia="Arial" w:hAnsi="Arial"/>
                <w:sz w:val="13"/>
                <w:szCs w:val="13"/>
                <w:color w:val="auto"/>
              </w:rPr>
              <w:t>TJ Maxx / Micro Center / Ross Dress For Less</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Free State Shopping</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(8)</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61,593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73,000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Giant Food</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TJ Maxx / Ross Dress For Less / Office Depot</w:t>
            </w: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Center</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500" w:type="dxa"/>
            <w:vAlign w:val="bottom"/>
            <w:gridSpan w:val="8"/>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DSW / Maggiano's / Nordstrom Rack / Marshalls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2500" w:type="dxa"/>
            <w:vAlign w:val="bottom"/>
            <w:tcBorders>
              <w:bottom w:val="single" w:sz="8" w:color="CCEEFF"/>
            </w:tcBorders>
            <w:gridSpan w:val="8"/>
            <w:vMerge w:val="continue"/>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Gaithersburg Square</w:t>
            </w: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26,690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w w:val="90"/>
              </w:rPr>
              <w:t>Bed, Bath &amp; Beyond / Ross Dress For Less / Ashley Furniture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HomeStore</w:t>
            </w: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Graham Park Plaza</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34,551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58,000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5"/>
                <w:szCs w:val="15"/>
                <w:color w:val="auto"/>
              </w:rPr>
            </w:pPr>
          </w:p>
        </w:tc>
        <w:tc>
          <w:tcPr>
            <w:tcW w:w="124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Fitness / Stein Mart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gridSpan w:val="3"/>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Idylwood Plaza</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1994</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16,763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30,000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w w:val="93"/>
              </w:rPr>
              <w:t>Whole Foods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Laurel</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55,484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61,000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Fitness / Marshalls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80" w:type="dxa"/>
            <w:vAlign w:val="bottom"/>
            <w:tcBorders>
              <w:bottom w:val="single" w:sz="8" w:color="CCEEFF"/>
            </w:tcBorders>
            <w:gridSpan w:val="2"/>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Leesburg Plaza</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1998</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35,885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55,000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Giant Food</w:t>
            </w: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Petsmart / Pier 1 Imports / Office Depot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Montrose Crossing</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2011/2013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153,755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73,536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Giant Food</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60" w:type="dxa"/>
            <w:vAlign w:val="bottom"/>
            <w:gridSpan w:val="9"/>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Marshalls / Sports Authority / Barnes &amp; Noble / A.C. Moore</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060" w:type="dxa"/>
            <w:vAlign w:val="bottom"/>
            <w:tcBorders>
              <w:bottom w:val="single" w:sz="8" w:color="CCEEFF"/>
            </w:tcBorders>
            <w:gridSpan w:val="9"/>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(5)</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83,343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62,000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Shoppers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Valley/7770 Richmond</w:t>
            </w: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Food</w:t>
            </w:r>
          </w:p>
        </w:tc>
        <w:tc>
          <w:tcPr>
            <w:tcW w:w="3280" w:type="dxa"/>
            <w:vAlign w:val="bottom"/>
            <w:gridSpan w:val="11"/>
          </w:tcPr>
          <w:p>
            <w:pPr>
              <w:ind w:left="60"/>
              <w:spacing w:after="0" w:line="135" w:lineRule="exact"/>
              <w:rPr>
                <w:sz w:val="20"/>
                <w:szCs w:val="20"/>
                <w:color w:val="auto"/>
              </w:rPr>
            </w:pPr>
            <w:r>
              <w:rPr>
                <w:rFonts w:ascii="Arial" w:cs="Arial" w:eastAsia="Arial" w:hAnsi="Arial"/>
                <w:sz w:val="13"/>
                <w:szCs w:val="13"/>
                <w:color w:val="auto"/>
                <w:w w:val="96"/>
              </w:rPr>
              <w:t>Bed, Bath &amp; Beyond / Michaels / Home Depot / TJ Maxx /</w:t>
            </w: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Hwy</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rPr>
              <w:t>Warehouse</w:t>
            </w: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Gold's Gym / Staples / DSW</w:t>
            </w: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Old Keene Mill</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6,434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3"/>
                <w:shd w:val="clear" w:color="auto" w:fill="CCEEFF"/>
              </w:rPr>
              <w:t>Walgreens</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vMerge w:val="continue"/>
            <w:shd w:val="clear" w:color="auto" w:fill="CCEEFF"/>
          </w:tcPr>
          <w:p>
            <w:pPr>
              <w:spacing w:after="0"/>
              <w:rPr>
                <w:sz w:val="6"/>
                <w:szCs w:val="6"/>
                <w:color w:val="auto"/>
              </w:rPr>
            </w:pPr>
          </w:p>
        </w:tc>
        <w:tc>
          <w:tcPr>
            <w:tcW w:w="740" w:type="dxa"/>
            <w:vAlign w:val="bottom"/>
            <w:tcBorders>
              <w:bottom w:val="single" w:sz="8" w:color="CCEEFF"/>
            </w:tcBorders>
            <w:gridSpan w:val="3"/>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Pan Am</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1993</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28,739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65,000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Safeway</w:t>
            </w: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96,770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60" w:type="dxa"/>
            <w:vAlign w:val="bottom"/>
            <w:shd w:val="clear" w:color="auto" w:fill="CCEEFF"/>
          </w:tcPr>
          <w:p>
            <w:pPr>
              <w:spacing w:after="0"/>
              <w:rPr>
                <w:sz w:val="15"/>
                <w:szCs w:val="15"/>
                <w:color w:val="auto"/>
              </w:rPr>
            </w:pPr>
          </w:p>
        </w:tc>
        <w:tc>
          <w:tcPr>
            <w:tcW w:w="14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Bed, Bath &amp; Beyond / DSW</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gridSpan w:val="5"/>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Pike &amp; Rose</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w w:val="87"/>
              </w:rPr>
              <w:t>1982/2007/2012</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406,511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iPic Theater / Sport &amp; Health / Gap / Gap Kids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 Plaza</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1997/2015</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41,949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DSW / Staples / TJ Maxx</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gridSpan w:val="4"/>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Plaza del Mercado</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(8)</w:t>
            </w: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2004</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35,194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Quince Orchard</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37,163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60" w:type="dxa"/>
            <w:vAlign w:val="bottom"/>
            <w:shd w:val="clear" w:color="auto" w:fill="CCEEFF"/>
          </w:tcPr>
          <w:p>
            <w:pPr>
              <w:spacing w:after="0"/>
              <w:rPr>
                <w:sz w:val="15"/>
                <w:szCs w:val="15"/>
                <w:color w:val="auto"/>
              </w:rPr>
            </w:pPr>
          </w:p>
        </w:tc>
        <w:tc>
          <w:tcPr>
            <w:tcW w:w="1820" w:type="dxa"/>
            <w:vAlign w:val="bottom"/>
            <w:gridSpan w:val="7"/>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Fitness / HomeGoods / Staples</w:t>
            </w: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820" w:type="dxa"/>
            <w:vAlign w:val="bottom"/>
            <w:tcBorders>
              <w:bottom w:val="single" w:sz="8" w:color="CCEEFF"/>
            </w:tcBorders>
            <w:gridSpan w:val="7"/>
            <w:vMerge w:val="continue"/>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Rockville Town Square</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2006-2007</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50,713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4,483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187,000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Dawson's</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CVS / Gold's Gym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rPr>
              <w:t>Market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Rollingwood</w:t>
            </w: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10,350</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21,502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Apartments</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Sam's Park &amp; Shop</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1995</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12,700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7"/>
              </w:rPr>
              <w:t>Tower Shopping Center</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21,472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26,000</w:t>
            </w:r>
          </w:p>
        </w:tc>
        <w:tc>
          <w:tcPr>
            <w:tcW w:w="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L.A. Mart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Talbots / Total Wine &amp; More</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gridSpan w:val="2"/>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gridSpan w:val="5"/>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gridSpan w:val="2"/>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Tyson's Station</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1978</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4,595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11,000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Trader Joe's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Village at Shirlington</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63,101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6,565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60" w:type="dxa"/>
            <w:vAlign w:val="bottom"/>
            <w:shd w:val="clear" w:color="auto" w:fill="CCEEFF"/>
          </w:tcPr>
          <w:p>
            <w:pPr>
              <w:spacing w:after="0"/>
              <w:rPr>
                <w:sz w:val="15"/>
                <w:szCs w:val="15"/>
                <w:color w:val="auto"/>
              </w:rPr>
            </w:pPr>
          </w:p>
        </w:tc>
        <w:tc>
          <w:tcPr>
            <w:tcW w:w="1740" w:type="dxa"/>
            <w:vAlign w:val="bottom"/>
            <w:gridSpan w:val="6"/>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AMC Loews / Carlyle Grand Café</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740" w:type="dxa"/>
            <w:vAlign w:val="bottom"/>
            <w:tcBorders>
              <w:bottom w:val="single" w:sz="8" w:color="CCEEFF"/>
            </w:tcBorders>
            <w:gridSpan w:val="6"/>
            <w:vMerge w:val="continue"/>
            <w:shd w:val="clear" w:color="auto" w:fill="CCEEFF"/>
          </w:tcPr>
          <w:p>
            <w:pPr>
              <w:spacing w:after="0"/>
              <w:rPr>
                <w:sz w:val="6"/>
                <w:szCs w:val="6"/>
                <w:color w:val="auto"/>
              </w:rPr>
            </w:pPr>
          </w:p>
        </w:tc>
        <w:tc>
          <w:tcPr>
            <w:tcW w:w="760" w:type="dxa"/>
            <w:vAlign w:val="bottom"/>
            <w:tcBorders>
              <w:bottom w:val="single" w:sz="8" w:color="CCEEFF"/>
            </w:tcBorders>
            <w:gridSpan w:val="2"/>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Wildwood</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1969</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19,180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83,000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20,000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Balducci's</w:t>
            </w: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1"/>
        </w:trPr>
        <w:tc>
          <w:tcPr>
            <w:tcW w:w="2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740" w:type="dxa"/>
            <w:vAlign w:val="bottom"/>
            <w:tcBorders>
              <w:bottom w:val="single" w:sz="8" w:color="CCEEFF"/>
            </w:tcBorders>
          </w:tcPr>
          <w:p>
            <w:pPr>
              <w:spacing w:after="0"/>
              <w:rPr>
                <w:sz w:val="7"/>
                <w:szCs w:val="7"/>
                <w:color w:val="auto"/>
              </w:rPr>
            </w:pPr>
          </w:p>
        </w:tc>
        <w:tc>
          <w:tcPr>
            <w:tcW w:w="380" w:type="dxa"/>
            <w:vAlign w:val="bottom"/>
            <w:tcBorders>
              <w:bottom w:val="single" w:sz="8" w:color="CCEEFF"/>
            </w:tcBorders>
          </w:tcPr>
          <w:p>
            <w:pPr>
              <w:spacing w:after="0"/>
              <w:rPr>
                <w:sz w:val="7"/>
                <w:szCs w:val="7"/>
                <w:color w:val="auto"/>
              </w:rPr>
            </w:pPr>
          </w:p>
        </w:tc>
        <w:tc>
          <w:tcPr>
            <w:tcW w:w="160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820" w:type="dxa"/>
            <w:vAlign w:val="bottom"/>
            <w:tcBorders>
              <w:bottom w:val="single" w:sz="8" w:color="CCEEFF"/>
            </w:tcBorders>
            <w:gridSpan w:val="4"/>
            <w:vMerge w:val="continue"/>
          </w:tcPr>
          <w:p>
            <w:pPr>
              <w:spacing w:after="0"/>
              <w:rPr>
                <w:sz w:val="7"/>
                <w:szCs w:val="7"/>
                <w:color w:val="auto"/>
              </w:rPr>
            </w:pPr>
          </w:p>
        </w:tc>
        <w:tc>
          <w:tcPr>
            <w:tcW w:w="3280" w:type="dxa"/>
            <w:vAlign w:val="bottom"/>
            <w:tcBorders>
              <w:bottom w:val="single" w:sz="8" w:color="CCEEFF"/>
            </w:tcBorders>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Washington Metropolitan Area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1,781,415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6,011,000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shd w:val="clear" w:color="auto" w:fill="CCEEFF"/>
              </w:rPr>
              <w:t>California</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ind w:left="40"/>
              <w:spacing w:after="0" w:line="148" w:lineRule="exact"/>
              <w:rPr>
                <w:sz w:val="20"/>
                <w:szCs w:val="20"/>
                <w:color w:val="auto"/>
              </w:rPr>
            </w:pPr>
            <w:r>
              <w:rPr>
                <w:rFonts w:ascii="Arial" w:cs="Arial" w:eastAsia="Arial" w:hAnsi="Arial"/>
                <w:sz w:val="13"/>
                <w:szCs w:val="13"/>
                <w:color w:val="auto"/>
              </w:rPr>
              <w:t>Los Angeles-Long Beach,</w:t>
            </w:r>
          </w:p>
        </w:tc>
        <w:tc>
          <w:tcPr>
            <w:tcW w:w="8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Colorado Blvd</w:t>
            </w: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CA</w:t>
            </w:r>
          </w:p>
        </w:tc>
        <w:tc>
          <w:tcPr>
            <w:tcW w:w="860" w:type="dxa"/>
            <w:vAlign w:val="bottom"/>
          </w:tcPr>
          <w:p>
            <w:pPr>
              <w:jc w:val="right"/>
              <w:spacing w:after="0"/>
              <w:rPr>
                <w:sz w:val="20"/>
                <w:szCs w:val="20"/>
                <w:color w:val="auto"/>
              </w:rPr>
            </w:pPr>
            <w:r>
              <w:rPr>
                <w:rFonts w:ascii="Arial" w:cs="Arial" w:eastAsia="Arial" w:hAnsi="Arial"/>
                <w:sz w:val="13"/>
                <w:szCs w:val="13"/>
                <w:color w:val="auto"/>
              </w:rPr>
              <w:t>1996/1998</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18,311</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Pottery Barn / Banana Republic</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Crow Canyon Commons</w:t>
            </w:r>
          </w:p>
        </w:tc>
        <w:tc>
          <w:tcPr>
            <w:tcW w:w="3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San Ramon, 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87,472</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32,000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Sprouts</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3"/>
                <w:szCs w:val="13"/>
                <w:color w:val="auto"/>
                <w:shd w:val="clear" w:color="auto" w:fill="CCEEFF"/>
              </w:rPr>
              <w:t>Orchard Supply Hardware / Rite Aid</w:t>
            </w: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 Bay Bridge</w:t>
            </w: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San Francisco-Oakland-</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2012</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177,031</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59,000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Pak-N-Save</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Home Depot / Michaels / Target / Nordstrom Rack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Fremont, CA</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60" w:type="dxa"/>
            <w:vAlign w:val="bottom"/>
            <w:gridSpan w:val="9"/>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TJ Maxx / Toys R Us / Dick’s Sporting Goods / Ross Dress</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Escondido Promenade</w:t>
            </w:r>
          </w:p>
        </w:tc>
        <w:tc>
          <w:tcPr>
            <w:tcW w:w="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San Diego, 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46,967</w:t>
            </w: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For Less</w:t>
            </w:r>
          </w:p>
        </w:tc>
        <w:tc>
          <w:tcPr>
            <w:tcW w:w="1960" w:type="dxa"/>
            <w:vAlign w:val="bottom"/>
            <w:tcBorders>
              <w:bottom w:val="single" w:sz="8" w:color="CCEEFF"/>
            </w:tcBorders>
            <w:gridSpan w:val="7"/>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Los Angeles-Long Beach,</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Hermosa Avenue</w:t>
            </w: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CA</w:t>
            </w:r>
          </w:p>
        </w:tc>
        <w:tc>
          <w:tcPr>
            <w:tcW w:w="860" w:type="dxa"/>
            <w:vAlign w:val="bottom"/>
          </w:tcPr>
          <w:p>
            <w:pPr>
              <w:jc w:val="right"/>
              <w:spacing w:after="0"/>
              <w:rPr>
                <w:sz w:val="20"/>
                <w:szCs w:val="20"/>
                <w:color w:val="auto"/>
              </w:rPr>
            </w:pPr>
            <w:r>
              <w:rPr>
                <w:rFonts w:ascii="Arial" w:cs="Arial" w:eastAsia="Arial" w:hAnsi="Arial"/>
                <w:sz w:val="13"/>
                <w:szCs w:val="13"/>
                <w:color w:val="auto"/>
              </w:rPr>
              <w:t>1997</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5,854</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Los Angeles-Long Beach,</w:t>
            </w: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Hollywood Blvd</w:t>
            </w: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46,640</w:t>
            </w: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DSW / L.A. Fitness / Marshalls / La La Land</w:t>
            </w:r>
          </w:p>
        </w:tc>
        <w:tc>
          <w:tcPr>
            <w:tcW w:w="72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Kings Court</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(5)</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11,626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w w:val="92"/>
              </w:rPr>
              <w:t>Super Market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Old Town Center</w:t>
            </w:r>
          </w:p>
        </w:tc>
        <w:tc>
          <w:tcPr>
            <w:tcW w:w="380" w:type="dxa"/>
            <w:vAlign w:val="bottom"/>
            <w:shd w:val="clear" w:color="auto" w:fill="CCEEFF"/>
          </w:tcPr>
          <w:p>
            <w:pPr>
              <w:spacing w:after="0"/>
              <w:rPr>
                <w:sz w:val="21"/>
                <w:szCs w:val="21"/>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San Jose, CA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37,830</w:t>
            </w: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500" w:type="dxa"/>
            <w:vAlign w:val="bottom"/>
            <w:gridSpan w:val="8"/>
            <w:shd w:val="clear" w:color="auto" w:fill="CCEEFF"/>
          </w:tcPr>
          <w:p>
            <w:pPr>
              <w:spacing w:after="0"/>
              <w:rPr>
                <w:sz w:val="20"/>
                <w:szCs w:val="20"/>
                <w:color w:val="auto"/>
              </w:rPr>
            </w:pPr>
            <w:r>
              <w:rPr>
                <w:rFonts w:ascii="Arial" w:cs="Arial" w:eastAsia="Arial" w:hAnsi="Arial"/>
                <w:sz w:val="13"/>
                <w:szCs w:val="13"/>
                <w:color w:val="auto"/>
                <w:shd w:val="clear" w:color="auto" w:fill="CCEEFF"/>
              </w:rPr>
              <w:t>Anthropologie / Banana Republic / Gap</w:t>
            </w:r>
          </w:p>
        </w:tc>
        <w:tc>
          <w:tcPr>
            <w:tcW w:w="72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60" w:top="747" w:right="23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00" w:type="dxa"/>
            <w:vAlign w:val="bottom"/>
          </w:tcPr>
          <w:p>
            <w:pPr>
              <w:spacing w:after="0"/>
              <w:rPr>
                <w:sz w:val="11"/>
                <w:szCs w:val="11"/>
                <w:color w:val="auto"/>
              </w:rPr>
            </w:pPr>
          </w:p>
        </w:tc>
      </w:tr>
      <w:tr>
        <w:trPr>
          <w:trHeight w:val="174"/>
        </w:trPr>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w w:val="96"/>
              </w:rPr>
              <w:t>Plaza El Segundo / The</w:t>
            </w:r>
          </w:p>
        </w:tc>
        <w:tc>
          <w:tcPr>
            <w:tcW w:w="440" w:type="dxa"/>
            <w:vAlign w:val="bottom"/>
          </w:tcPr>
          <w:p>
            <w:pPr>
              <w:jc w:val="center"/>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w w:val="92"/>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2011/2015</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275,020</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175,000</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466,000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66,000</w:t>
            </w:r>
          </w:p>
        </w:tc>
        <w:tc>
          <w:tcPr>
            <w:tcW w:w="860" w:type="dxa"/>
            <w:vAlign w:val="bottom"/>
          </w:tcPr>
          <w:p>
            <w:pPr>
              <w:ind w:left="80"/>
              <w:spacing w:after="0"/>
              <w:rPr>
                <w:sz w:val="20"/>
                <w:szCs w:val="20"/>
                <w:color w:val="auto"/>
              </w:rPr>
            </w:pPr>
            <w:r>
              <w:rPr>
                <w:rFonts w:ascii="Arial" w:cs="Arial" w:eastAsia="Arial" w:hAnsi="Arial"/>
                <w:sz w:val="13"/>
                <w:szCs w:val="13"/>
                <w:color w:val="auto"/>
                <w:w w:val="99"/>
              </w:rPr>
              <w:t>Whole Foods</w:t>
            </w:r>
          </w:p>
        </w:tc>
        <w:tc>
          <w:tcPr>
            <w:tcW w:w="3300" w:type="dxa"/>
            <w:vAlign w:val="bottom"/>
          </w:tcPr>
          <w:p>
            <w:pPr>
              <w:ind w:left="20"/>
              <w:spacing w:after="0"/>
              <w:rPr>
                <w:sz w:val="20"/>
                <w:szCs w:val="20"/>
                <w:color w:val="auto"/>
              </w:rPr>
            </w:pPr>
            <w:r>
              <w:rPr>
                <w:rFonts w:ascii="Arial" w:cs="Arial" w:eastAsia="Arial" w:hAnsi="Arial"/>
                <w:sz w:val="13"/>
                <w:szCs w:val="13"/>
                <w:color w:val="auto"/>
                <w:w w:val="95"/>
              </w:rPr>
              <w:t>Anthropologie / Best Buy / Container Store / Dick's Sporting</w:t>
            </w:r>
          </w:p>
        </w:tc>
      </w:tr>
      <w:tr>
        <w:trPr>
          <w:trHeight w:val="168"/>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Point</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Arial" w:cs="Arial" w:eastAsia="Arial" w:hAnsi="Arial"/>
                <w:sz w:val="13"/>
                <w:szCs w:val="13"/>
                <w:color w:val="auto"/>
              </w:rPr>
              <w:t>Goods / H&amp;M / HomeGoods</w:t>
            </w:r>
          </w:p>
        </w:tc>
      </w:tr>
      <w:tr>
        <w:trPr>
          <w:trHeight w:val="156"/>
        </w:trPr>
        <w:tc>
          <w:tcPr>
            <w:tcW w:w="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Santana Row</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766,910</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shd w:val="clear" w:color="auto" w:fill="CCEEFF"/>
              </w:rPr>
              <w:t>Crate &amp; Barrel / Container Store / Best Buy / CineArts Theatre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Hotel Valencia / H&amp;M</w:t>
            </w: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San Antonio Center</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w w:val="96"/>
              </w:rPr>
              <w:t>San Francisco-Oakland-San</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73,013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11,000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Kohl's / Wal-mart / 24 Hour Fitness / Jo-Ann Stores</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Jose, 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Third Street Promenade</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2"/>
                <w:shd w:val="clear" w:color="auto" w:fill="CCEEFF"/>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1996-2000</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79,180</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3"/>
                <w:shd w:val="clear" w:color="auto" w:fill="CCEEFF"/>
              </w:rPr>
              <w:t>J. Crew / Banana Republic / Old Navy / Abercrombie &amp; Fitch</w:t>
            </w: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Westgate Center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147,696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Target / Burlington Coat Factory / Ross Dress For Less /</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3"/>
                <w:szCs w:val="13"/>
                <w:color w:val="auto"/>
                <w:w w:val="93"/>
              </w:rPr>
              <w:t>Neighborhood</w:t>
            </w:r>
          </w:p>
        </w:tc>
        <w:tc>
          <w:tcPr>
            <w:tcW w:w="3300" w:type="dxa"/>
            <w:vAlign w:val="bottom"/>
          </w:tcPr>
          <w:p>
            <w:pPr>
              <w:ind w:left="20"/>
              <w:spacing w:after="0" w:line="135" w:lineRule="exact"/>
              <w:rPr>
                <w:sz w:val="20"/>
                <w:szCs w:val="20"/>
                <w:color w:val="auto"/>
              </w:rPr>
            </w:pPr>
            <w:r>
              <w:rPr>
                <w:rFonts w:ascii="Arial" w:cs="Arial" w:eastAsia="Arial" w:hAnsi="Arial"/>
                <w:sz w:val="13"/>
                <w:szCs w:val="13"/>
                <w:color w:val="auto"/>
                <w:w w:val="98"/>
              </w:rPr>
              <w:t>Michaels / Nordstrom Rack / Nike Factory / J. Crew / Gap</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w:t>
            </w:r>
          </w:p>
        </w:tc>
        <w:tc>
          <w:tcPr>
            <w:tcW w:w="3300" w:type="dxa"/>
            <w:vAlign w:val="bottom"/>
          </w:tcPr>
          <w:p>
            <w:pPr>
              <w:ind w:left="20"/>
              <w:spacing w:after="0"/>
              <w:rPr>
                <w:sz w:val="20"/>
                <w:szCs w:val="20"/>
                <w:color w:val="auto"/>
              </w:rPr>
            </w:pPr>
            <w:r>
              <w:rPr>
                <w:rFonts w:ascii="Arial" w:cs="Arial" w:eastAsia="Arial" w:hAnsi="Arial"/>
                <w:sz w:val="13"/>
                <w:szCs w:val="13"/>
                <w:color w:val="auto"/>
              </w:rPr>
              <w:t>Factory Store</w:t>
            </w:r>
          </w:p>
        </w:tc>
      </w:tr>
      <w:tr>
        <w:trPr>
          <w:trHeight w:val="278"/>
        </w:trPr>
        <w:tc>
          <w:tcPr>
            <w:tcW w:w="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150 Post Street</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San Francisco,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35,455</w:t>
            </w:r>
          </w:p>
        </w:tc>
        <w:tc>
          <w:tcPr>
            <w:tcW w:w="6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shd w:val="clear" w:color="auto" w:fill="CCEEFF"/>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21"/>
                <w:szCs w:val="21"/>
                <w:color w:val="auto"/>
              </w:rPr>
            </w:pPr>
          </w:p>
        </w:tc>
        <w:tc>
          <w:tcPr>
            <w:tcW w:w="7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93"/>
              </w:rPr>
              <w:t>1,809,005</w:t>
            </w:r>
          </w:p>
        </w:tc>
        <w:tc>
          <w:tcPr>
            <w:tcW w:w="660" w:type="dxa"/>
            <w:vAlign w:val="bottom"/>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3"/>
              </w:rPr>
              <w:t>3,873,000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NY Metro/New Jersey</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Brick Plaza</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Monmouth-Ocean, 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65,052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AMC Loews / Barnes &amp; Noble / Sports Authority</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Brook 35</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46,875</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w w:val="97"/>
              </w:rPr>
              <w:t>Ann Taylor / Banana Republic / Coach / Williams-Sonoma</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Arial" w:cs="Arial" w:eastAsia="Arial" w:hAnsi="Arial"/>
                <w:sz w:val="13"/>
                <w:szCs w:val="13"/>
                <w:color w:val="auto"/>
                <w:w w:val="98"/>
              </w:rPr>
              <w:t>Jersey-Long Island, NY-NJ-</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Darien</w:t>
            </w: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48,648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w:t>
            </w: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Fresh Meadows</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83,311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15,000</w:t>
            </w:r>
          </w:p>
        </w:tc>
        <w:tc>
          <w:tcPr>
            <w:tcW w:w="860" w:type="dxa"/>
            <w:vAlign w:val="bottom"/>
          </w:tcPr>
          <w:p>
            <w:pPr>
              <w:ind w:left="80"/>
              <w:spacing w:after="0"/>
              <w:rPr>
                <w:sz w:val="20"/>
                <w:szCs w:val="20"/>
                <w:color w:val="auto"/>
              </w:rPr>
            </w:pPr>
            <w:r>
              <w:rPr>
                <w:rFonts w:ascii="Arial" w:cs="Arial" w:eastAsia="Arial" w:hAnsi="Arial"/>
                <w:sz w:val="13"/>
                <w:szCs w:val="13"/>
                <w:color w:val="auto"/>
                <w:w w:val="94"/>
              </w:rPr>
              <w:t>Island of Gold</w:t>
            </w:r>
          </w:p>
        </w:tc>
        <w:tc>
          <w:tcPr>
            <w:tcW w:w="3300" w:type="dxa"/>
            <w:vAlign w:val="bottom"/>
          </w:tcPr>
          <w:p>
            <w:pPr>
              <w:ind w:left="20"/>
              <w:spacing w:after="0"/>
              <w:rPr>
                <w:sz w:val="20"/>
                <w:szCs w:val="20"/>
                <w:color w:val="auto"/>
              </w:rPr>
            </w:pPr>
            <w:r>
              <w:rPr>
                <w:rFonts w:ascii="Arial" w:cs="Arial" w:eastAsia="Arial" w:hAnsi="Arial"/>
                <w:sz w:val="13"/>
                <w:szCs w:val="13"/>
                <w:color w:val="auto"/>
              </w:rPr>
              <w:t>AMC Loews / Kohl's / Michaels / Modell's</w:t>
            </w:r>
          </w:p>
        </w:tc>
      </w:tr>
      <w:tr>
        <w:trPr>
          <w:trHeight w:val="97"/>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6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31,680</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106,000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Greenlawn</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Tuesday Morning</w:t>
            </w: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Farms</w:t>
            </w:r>
          </w:p>
        </w:tc>
        <w:tc>
          <w:tcPr>
            <w:tcW w:w="3300" w:type="dxa"/>
            <w:vAlign w:val="bottom"/>
            <w:shd w:val="clear" w:color="auto" w:fill="CCEEFF"/>
          </w:tcPr>
          <w:p>
            <w:pPr>
              <w:spacing w:after="0"/>
              <w:rPr>
                <w:sz w:val="15"/>
                <w:szCs w:val="15"/>
                <w:color w:val="auto"/>
              </w:rPr>
            </w:pP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Greenwich Avenue</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14,127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Hauppauge</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28,688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61,000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 Moore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43,922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w w:val="94"/>
              </w:rPr>
              <w:t>Buy Buy Baby / Bed, Bath &amp; Beyond / Michaels / Nordstrom</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Arial" w:cs="Arial" w:eastAsia="Arial" w:hAnsi="Arial"/>
                <w:sz w:val="13"/>
                <w:szCs w:val="13"/>
                <w:color w:val="auto"/>
              </w:rPr>
              <w:t>Rack</w:t>
            </w: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Huntington Square</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13,620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Melville Mall</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77,903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Pr>
          <w:p>
            <w:pPr>
              <w:jc w:val="right"/>
              <w:spacing w:after="0"/>
              <w:rPr>
                <w:sz w:val="20"/>
                <w:szCs w:val="20"/>
                <w:color w:val="auto"/>
              </w:rPr>
            </w:pPr>
            <w:r>
              <w:rPr>
                <w:rFonts w:ascii="Arial" w:cs="Arial" w:eastAsia="Arial" w:hAnsi="Arial"/>
                <w:sz w:val="13"/>
                <w:szCs w:val="13"/>
                <w:color w:val="auto"/>
              </w:rPr>
              <w:t>73%</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00" w:type="dxa"/>
            <w:vAlign w:val="bottom"/>
          </w:tcPr>
          <w:p>
            <w:pPr>
              <w:ind w:left="20"/>
              <w:spacing w:after="0"/>
              <w:rPr>
                <w:sz w:val="20"/>
                <w:szCs w:val="20"/>
                <w:color w:val="auto"/>
              </w:rPr>
            </w:pPr>
            <w:r>
              <w:rPr>
                <w:rFonts w:ascii="Arial" w:cs="Arial" w:eastAsia="Arial" w:hAnsi="Arial"/>
                <w:sz w:val="13"/>
                <w:szCs w:val="13"/>
                <w:color w:val="auto"/>
              </w:rPr>
              <w:t>Dick’s Sporting Goods / Marshalls / Macy's Backstage</w:t>
            </w:r>
          </w:p>
        </w:tc>
      </w:tr>
      <w:tr>
        <w:trPr>
          <w:trHeight w:val="97"/>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6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Mercer Mall</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119,602</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55,650</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528,000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75,000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1"/>
              </w:rPr>
              <w:t>Bed, Bath &amp; Beyond / DSW / TJ Maxx / Raymour &amp; Flanigan /</w:t>
            </w: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Nordstrom Rack / REI</w:t>
            </w: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89"/>
              </w:rPr>
              <w:t>The Grove at Shrewsbury</w:t>
            </w:r>
          </w:p>
        </w:tc>
        <w:tc>
          <w:tcPr>
            <w:tcW w:w="4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5"/>
              </w:rPr>
              <w:t>(3) (5)</w:t>
            </w: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123,395</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53,964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w w:val="90"/>
              </w:rPr>
              <w:t>Lululemon / Brooks Brothers / Anthropologie / Pottery Barn / J.</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Arial" w:cs="Arial" w:eastAsia="Arial" w:hAnsi="Arial"/>
                <w:sz w:val="13"/>
                <w:szCs w:val="13"/>
                <w:color w:val="auto"/>
                <w:w w:val="98"/>
              </w:rPr>
              <w:t>Jersey-Long Island, NY-NJ-</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ind w:left="20"/>
              <w:spacing w:after="0" w:line="135" w:lineRule="exact"/>
              <w:rPr>
                <w:sz w:val="20"/>
                <w:szCs w:val="20"/>
                <w:color w:val="auto"/>
              </w:rPr>
            </w:pPr>
            <w:r>
              <w:rPr>
                <w:rFonts w:ascii="Arial" w:cs="Arial" w:eastAsia="Arial" w:hAnsi="Arial"/>
                <w:sz w:val="13"/>
                <w:szCs w:val="13"/>
                <w:color w:val="auto"/>
              </w:rPr>
              <w:t>Crew / Banana Republic / Williams-Sonoma</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Troy</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Newark, 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34,966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Fitness</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b w:val="1"/>
                <w:bCs w:val="1"/>
                <w:color w:val="auto"/>
                <w:w w:val="94"/>
              </w:rPr>
              <w:t>Total NY Metro/New Jersey</w:t>
            </w:r>
          </w:p>
        </w:tc>
        <w:tc>
          <w:tcPr>
            <w:tcW w:w="6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731,789</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2,826,000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820" w:type="dxa"/>
            <w:vAlign w:val="bottom"/>
            <w:gridSpan w:val="4"/>
          </w:tcPr>
          <w:p>
            <w:pPr>
              <w:ind w:left="60"/>
              <w:spacing w:after="0"/>
              <w:rPr>
                <w:sz w:val="20"/>
                <w:szCs w:val="20"/>
                <w:color w:val="auto"/>
              </w:rPr>
            </w:pPr>
            <w:r>
              <w:rPr>
                <w:rFonts w:ascii="Arial" w:cs="Arial" w:eastAsia="Arial" w:hAnsi="Arial"/>
                <w:sz w:val="13"/>
                <w:szCs w:val="13"/>
                <w:b w:val="1"/>
                <w:bCs w:val="1"/>
                <w:color w:val="auto"/>
                <w:w w:val="91"/>
              </w:rPr>
              <w:t>Philadelphia Metropolitan Area</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6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Andorra</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25,738</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24,000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Acme</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Kohl's / Staples / L.A. Fitness</w:t>
            </w: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3300" w:type="dxa"/>
            <w:vAlign w:val="bottom"/>
            <w:shd w:val="clear" w:color="auto" w:fill="CCEEFF"/>
          </w:tcPr>
          <w:p>
            <w:pPr>
              <w:spacing w:after="0"/>
              <w:rPr>
                <w:sz w:val="15"/>
                <w:szCs w:val="15"/>
                <w:color w:val="auto"/>
              </w:rPr>
            </w:pP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Bala Cynwyd</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41,592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45,000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Lord &amp; Taylor / L.A. Fitness / Michaels</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Markets</w:t>
            </w: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Ellisburg</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47,000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Whole Foods</w:t>
            </w: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Flourtown</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16,816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156,000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00" w:type="dxa"/>
            <w:vAlign w:val="bottom"/>
          </w:tcPr>
          <w:p>
            <w:pPr>
              <w:ind w:left="20"/>
              <w:spacing w:after="0"/>
              <w:rPr>
                <w:sz w:val="20"/>
                <w:szCs w:val="20"/>
                <w:color w:val="auto"/>
              </w:rPr>
            </w:pPr>
            <w:r>
              <w:rPr>
                <w:rFonts w:ascii="Arial" w:cs="Arial" w:eastAsia="Arial" w:hAnsi="Arial"/>
                <w:sz w:val="13"/>
                <w:szCs w:val="13"/>
                <w:color w:val="auto"/>
              </w:rPr>
              <w:t>Movie Tavern</w:t>
            </w:r>
          </w:p>
        </w:tc>
      </w:tr>
      <w:tr>
        <w:trPr>
          <w:trHeight w:val="97"/>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6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21,881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55,000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Redner's</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3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Mkts.</w:t>
            </w:r>
          </w:p>
        </w:tc>
        <w:tc>
          <w:tcPr>
            <w:tcW w:w="3300" w:type="dxa"/>
            <w:vAlign w:val="bottom"/>
            <w:shd w:val="clear" w:color="auto" w:fill="CCEEFF"/>
          </w:tcPr>
          <w:p>
            <w:pPr>
              <w:spacing w:after="0"/>
              <w:rPr>
                <w:sz w:val="15"/>
                <w:szCs w:val="15"/>
                <w:color w:val="auto"/>
              </w:rPr>
            </w:pP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Lawrence Park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1980</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32,317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53,000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Brightwood Career Institute / TJ Maxx / HomeGoods</w:t>
            </w: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Markets</w:t>
            </w: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Northeast</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25,841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3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Town Center of New</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14,990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36,000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Rite Aid</w:t>
            </w:r>
          </w:p>
        </w:tc>
      </w:tr>
      <w:tr>
        <w:trPr>
          <w:trHeight w:val="168"/>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Britain</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Willow Grove</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30,007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Wynnewood</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42,278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98,000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00" w:type="dxa"/>
            <w:vAlign w:val="bottom"/>
          </w:tcPr>
          <w:p>
            <w:pPr>
              <w:ind w:left="2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20" w:type="dxa"/>
            <w:vAlign w:val="bottom"/>
            <w:tcBorders>
              <w:bottom w:val="single" w:sz="8" w:color="CCEEFF"/>
            </w:tcBorders>
          </w:tcPr>
          <w:p>
            <w:pPr>
              <w:spacing w:after="0"/>
              <w:rPr>
                <w:sz w:val="8"/>
                <w:szCs w:val="8"/>
                <w:color w:val="auto"/>
              </w:rPr>
            </w:pPr>
          </w:p>
        </w:tc>
        <w:tc>
          <w:tcPr>
            <w:tcW w:w="12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30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Philadelphia Metropolitan Area</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286,379</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2,440,000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60" w:top="747" w:right="2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40" w:type="dxa"/>
            <w:vAlign w:val="bottom"/>
          </w:tcPr>
          <w:p>
            <w:pPr>
              <w:spacing w:after="0"/>
              <w:rPr>
                <w:sz w:val="11"/>
                <w:szCs w:val="11"/>
                <w:color w:val="auto"/>
              </w:rPr>
            </w:pPr>
          </w:p>
        </w:tc>
      </w:tr>
      <w:tr>
        <w:trPr>
          <w:trHeight w:val="174"/>
        </w:trPr>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60"/>
              <w:spacing w:after="0"/>
              <w:rPr>
                <w:sz w:val="20"/>
                <w:szCs w:val="20"/>
                <w:color w:val="auto"/>
              </w:rPr>
            </w:pPr>
            <w:r>
              <w:rPr>
                <w:rFonts w:ascii="Arial" w:cs="Arial" w:eastAsia="Arial" w:hAnsi="Arial"/>
                <w:sz w:val="13"/>
                <w:szCs w:val="13"/>
                <w:b w:val="1"/>
                <w:bCs w:val="1"/>
                <w:color w:val="auto"/>
              </w:rPr>
              <w:t>New England</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Assembly Row /</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(4)</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2005-2011,</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527,832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761,000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AMC Theatres / LEGOLAND Discovery Center / Saks Fifth</w:t>
            </w:r>
          </w:p>
        </w:tc>
      </w:tr>
      <w:tr>
        <w:trPr>
          <w:trHeight w:val="135"/>
        </w:trPr>
        <w:tc>
          <w:tcPr>
            <w:tcW w:w="136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3"/>
                <w:szCs w:val="13"/>
                <w:color w:val="auto"/>
              </w:rPr>
              <w:t>Assembly Square</w:t>
            </w:r>
          </w:p>
        </w:tc>
        <w:tc>
          <w:tcPr>
            <w:tcW w:w="460" w:type="dxa"/>
            <w:vAlign w:val="bottom"/>
            <w:shd w:val="clear" w:color="auto" w:fill="CCEEFF"/>
          </w:tcPr>
          <w:p>
            <w:pPr>
              <w:spacing w:after="0"/>
              <w:rPr>
                <w:sz w:val="11"/>
                <w:szCs w:val="11"/>
                <w:color w:val="auto"/>
              </w:rPr>
            </w:pPr>
          </w:p>
        </w:tc>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2013</w:t>
            </w: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Avenue Off 5th / J. Crew / Nike Factory / Bed, Bath &amp; Beyond</w:t>
            </w:r>
          </w:p>
        </w:tc>
      </w:tr>
      <w:tr>
        <w:trPr>
          <w:trHeight w:val="17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TJ Maxx / Legal on the Mystic</w:t>
            </w: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Atlantic Plaza</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(8)</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89"/>
              </w:rPr>
              <w:t>Boston-Worcester-Lawrence-</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24,031</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33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Lowell-Brockton, MA</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Campus Plaza</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Boston-Worcester-Lawrence-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30,128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Lowell-Brockton, MA</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Chelsea Commons</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42,841</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6,723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Dedham Plaza</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35,388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34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Linden Square</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147,756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North Dartmouth</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9,367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334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Queen Anne Plaza</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18,310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Saugus Plaza</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15,256</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34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New England</w:t>
            </w:r>
          </w:p>
        </w:tc>
        <w:tc>
          <w:tcPr>
            <w:tcW w:w="7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850,909</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2,052,000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40" w:type="dxa"/>
            <w:vAlign w:val="bottom"/>
          </w:tcPr>
          <w:p>
            <w:pPr>
              <w:spacing w:after="0"/>
              <w:rPr>
                <w:sz w:val="7"/>
                <w:szCs w:val="7"/>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Cocowalk</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 (7)</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99,642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Cinepolis Theaters / Gap / Youfit Health Club</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Del Mar Village</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740" w:type="dxa"/>
            <w:vAlign w:val="bottom"/>
          </w:tcPr>
          <w:p>
            <w:pPr>
              <w:jc w:val="right"/>
              <w:spacing w:after="0"/>
              <w:rPr>
                <w:sz w:val="20"/>
                <w:szCs w:val="20"/>
                <w:color w:val="auto"/>
              </w:rPr>
            </w:pPr>
            <w:r>
              <w:rPr>
                <w:rFonts w:ascii="Arial" w:cs="Arial" w:eastAsia="Arial" w:hAnsi="Arial"/>
                <w:sz w:val="13"/>
                <w:szCs w:val="13"/>
                <w:color w:val="auto"/>
              </w:rPr>
              <w:t>2008/2014</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61,547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196,000</w:t>
            </w:r>
          </w:p>
        </w:tc>
        <w:tc>
          <w:tcPr>
            <w:tcW w:w="500" w:type="dxa"/>
            <w:vAlign w:val="bottom"/>
          </w:tcPr>
          <w:p>
            <w:pPr>
              <w:jc w:val="right"/>
              <w:spacing w:after="0"/>
              <w:rPr>
                <w:sz w:val="20"/>
                <w:szCs w:val="20"/>
                <w:color w:val="auto"/>
              </w:rPr>
            </w:pPr>
            <w:r>
              <w:rPr>
                <w:rFonts w:ascii="Arial" w:cs="Arial" w:eastAsia="Arial" w:hAnsi="Arial"/>
                <w:sz w:val="13"/>
                <w:szCs w:val="13"/>
                <w:color w:val="auto"/>
              </w:rPr>
              <w:t>85%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34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The Shops at Sunset</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2015</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117,759</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69,602</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515,000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88%</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AMC Theatres / L.A. Fitness / Barnes &amp; Noble / GameTime</w:t>
            </w:r>
          </w:p>
        </w:tc>
      </w:tr>
      <w:tr>
        <w:trPr>
          <w:trHeight w:val="17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Place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Tower Shops</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2011/2014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94,822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w w:val="91"/>
              </w:rPr>
              <w:t>Best Buy / DSW / Old Navy / Ross Dress For Less / TJ Maxx /</w:t>
            </w:r>
          </w:p>
        </w:tc>
      </w:tr>
      <w:tr>
        <w:trPr>
          <w:trHeight w:val="170"/>
        </w:trPr>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Ulta</w:t>
            </w: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373,770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1,321,000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49"/>
        </w:trPr>
        <w:tc>
          <w:tcPr>
            <w:tcW w:w="20" w:type="dxa"/>
            <w:vAlign w:val="bottom"/>
            <w:shd w:val="clear" w:color="auto" w:fill="CCEEFF"/>
          </w:tcPr>
          <w:p>
            <w:pPr>
              <w:spacing w:after="0"/>
              <w:rPr>
                <w:sz w:val="12"/>
                <w:szCs w:val="12"/>
                <w:color w:val="auto"/>
              </w:rPr>
            </w:pPr>
          </w:p>
        </w:tc>
        <w:tc>
          <w:tcPr>
            <w:tcW w:w="13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40" w:type="dxa"/>
            <w:vAlign w:val="bottom"/>
            <w:tcBorders>
              <w:top w:val="single" w:sz="8" w:color="CCEEFF"/>
            </w:tcBorders>
            <w:shd w:val="clear" w:color="auto" w:fill="CCEEFF"/>
          </w:tcPr>
          <w:p>
            <w:pPr>
              <w:spacing w:after="0"/>
              <w:rPr>
                <w:sz w:val="8"/>
                <w:szCs w:val="8"/>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Governor Plaza</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rPr>
                <w:sz w:val="20"/>
                <w:szCs w:val="20"/>
                <w:color w:val="auto"/>
              </w:rPr>
            </w:pPr>
            <w:r>
              <w:rPr>
                <w:rFonts w:ascii="Arial" w:cs="Arial" w:eastAsia="Arial" w:hAnsi="Arial"/>
                <w:sz w:val="13"/>
                <w:szCs w:val="13"/>
                <w:color w:val="auto"/>
              </w:rPr>
              <w:t>1985</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27,172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3340" w:type="dxa"/>
            <w:vAlign w:val="bottom"/>
          </w:tcPr>
          <w:p>
            <w:pPr>
              <w:ind w:left="60"/>
              <w:spacing w:after="0"/>
              <w:rPr>
                <w:sz w:val="20"/>
                <w:szCs w:val="20"/>
                <w:color w:val="auto"/>
              </w:rPr>
            </w:pPr>
            <w:r>
              <w:rPr>
                <w:rFonts w:ascii="Arial" w:cs="Arial" w:eastAsia="Arial" w:hAnsi="Arial"/>
                <w:sz w:val="13"/>
                <w:szCs w:val="13"/>
                <w:color w:val="auto"/>
              </w:rPr>
              <w:t>Dick’s Sporting Goods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Perring Plaza</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30,731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1"/>
              </w:rPr>
              <w:t>Home Depot / Burlington Coat Factory / Jo-Ann Stores / Micro</w:t>
            </w: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3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Center</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w w:val="98"/>
              </w:rPr>
              <w:t>THE AVENUE at White</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100,758</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52,705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305,000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AMC Loews / Old Navy / Barnes &amp; Noble / A.C. Moore</w:t>
            </w:r>
          </w:p>
        </w:tc>
      </w:tr>
      <w:tr>
        <w:trPr>
          <w:trHeight w:val="168"/>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Marsh</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The Shoppes at</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17,455</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r>
      <w:tr>
        <w:trPr>
          <w:trHeight w:val="17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Nottingham Square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White Marsh Plaza</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rPr>
                <w:sz w:val="20"/>
                <w:szCs w:val="20"/>
                <w:color w:val="auto"/>
              </w:rPr>
            </w:pPr>
            <w:r>
              <w:rPr>
                <w:rFonts w:ascii="Arial" w:cs="Arial" w:eastAsia="Arial" w:hAnsi="Arial"/>
                <w:sz w:val="13"/>
                <w:szCs w:val="13"/>
                <w:color w:val="auto"/>
              </w:rPr>
              <w:t>2007</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25,157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54,000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4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White Marsh Other</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38,414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239,687</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1,128,000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40" w:type="dxa"/>
            <w:vAlign w:val="bottom"/>
          </w:tcPr>
          <w:p>
            <w:pPr>
              <w:spacing w:after="0"/>
              <w:rPr>
                <w:sz w:val="7"/>
                <w:szCs w:val="7"/>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Crossroads</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32,236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Finley Square</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Chicago, IL</w:t>
            </w:r>
          </w:p>
        </w:tc>
        <w:tc>
          <w:tcPr>
            <w:tcW w:w="740" w:type="dxa"/>
            <w:vAlign w:val="bottom"/>
          </w:tcPr>
          <w:p>
            <w:pPr>
              <w:jc w:val="right"/>
              <w:spacing w:after="0"/>
              <w:rPr>
                <w:sz w:val="20"/>
                <w:szCs w:val="20"/>
                <w:color w:val="auto"/>
              </w:rPr>
            </w:pPr>
            <w:r>
              <w:rPr>
                <w:rFonts w:ascii="Arial" w:cs="Arial" w:eastAsia="Arial" w:hAnsi="Arial"/>
                <w:sz w:val="13"/>
                <w:szCs w:val="13"/>
                <w:color w:val="auto"/>
              </w:rPr>
              <w:t>1995</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34,972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316,000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w w:val="97"/>
              </w:rPr>
              <w:t>Bed, Bath &amp; Beyond / Buy Buy Baby / Petsmart / Michaels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Garden Market</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13,105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63,000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Mariano's</w:t>
            </w: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3340" w:type="dxa"/>
            <w:vAlign w:val="bottom"/>
            <w:shd w:val="clear" w:color="auto" w:fill="CCEEFF"/>
          </w:tcPr>
          <w:p>
            <w:pPr>
              <w:spacing w:after="0"/>
              <w:rPr>
                <w:sz w:val="15"/>
                <w:szCs w:val="15"/>
                <w:color w:val="auto"/>
              </w:rPr>
            </w:pPr>
          </w:p>
        </w:tc>
      </w:tr>
      <w:tr>
        <w:trPr>
          <w:trHeight w:val="264"/>
        </w:trPr>
        <w:tc>
          <w:tcPr>
            <w:tcW w:w="1360" w:type="dxa"/>
            <w:vAlign w:val="bottom"/>
            <w:tcBorders>
              <w:bottom w:val="single" w:sz="8" w:color="CCEEFF"/>
            </w:tcBorders>
            <w:gridSpan w:val="6"/>
          </w:tcPr>
          <w:p>
            <w:pPr>
              <w:ind w:left="20"/>
              <w:spacing w:after="0"/>
              <w:rPr>
                <w:sz w:val="20"/>
                <w:szCs w:val="20"/>
                <w:color w:val="auto"/>
              </w:rPr>
            </w:pPr>
            <w:r>
              <w:rPr>
                <w:rFonts w:ascii="Arial" w:cs="Arial" w:eastAsia="Arial" w:hAnsi="Arial"/>
                <w:sz w:val="13"/>
                <w:szCs w:val="13"/>
                <w:color w:val="auto"/>
              </w:rPr>
              <w:t>North Lake Commons</w:t>
            </w:r>
          </w:p>
        </w:tc>
        <w:tc>
          <w:tcPr>
            <w:tcW w:w="46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Chicago, IL</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1994</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16,485</w:t>
            </w:r>
          </w:p>
        </w:tc>
        <w:tc>
          <w:tcPr>
            <w:tcW w:w="66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129,000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5"/>
              </w:rPr>
              <w:t>77,000</w:t>
            </w: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Jewel Osco</w:t>
            </w:r>
          </w:p>
        </w:tc>
        <w:tc>
          <w:tcPr>
            <w:tcW w:w="3340" w:type="dxa"/>
            <w:vAlign w:val="bottom"/>
            <w:tcBorders>
              <w:bottom w:val="single" w:sz="8" w:color="CCEEFF"/>
            </w:tcBorders>
          </w:tcPr>
          <w:p>
            <w:pPr>
              <w:spacing w:after="0"/>
              <w:rPr>
                <w:sz w:val="22"/>
                <w:szCs w:val="22"/>
                <w:color w:val="auto"/>
              </w:rPr>
            </w:pP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96,798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747" w:right="2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40" w:type="dxa"/>
            <w:vAlign w:val="bottom"/>
          </w:tcPr>
          <w:p>
            <w:pPr>
              <w:spacing w:after="0"/>
              <w:rPr>
                <w:sz w:val="11"/>
                <w:szCs w:val="11"/>
                <w:color w:val="auto"/>
              </w:rPr>
            </w:pPr>
          </w:p>
        </w:tc>
      </w:tr>
      <w:tr>
        <w:trPr>
          <w:trHeight w:val="174"/>
        </w:trPr>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218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2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1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40" w:type="dxa"/>
            <w:vAlign w:val="bottom"/>
            <w:tcBorders>
              <w:top w:val="single" w:sz="8" w:color="CCEEFF"/>
            </w:tcBorders>
            <w:shd w:val="clear" w:color="auto" w:fill="CCEEFF"/>
          </w:tcPr>
          <w:p>
            <w:pPr>
              <w:spacing w:after="0"/>
              <w:rPr>
                <w:sz w:val="8"/>
                <w:szCs w:val="8"/>
                <w:color w:val="auto"/>
              </w:rPr>
            </w:pPr>
          </w:p>
        </w:tc>
      </w:tr>
      <w:tr>
        <w:trPr>
          <w:trHeight w:val="148"/>
        </w:trPr>
        <w:tc>
          <w:tcPr>
            <w:tcW w:w="12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Barracks Road</w:t>
            </w:r>
          </w:p>
        </w:tc>
        <w:tc>
          <w:tcPr>
            <w:tcW w:w="2180" w:type="dxa"/>
            <w:vAlign w:val="bottom"/>
          </w:tcPr>
          <w:p>
            <w:pPr>
              <w:ind w:left="600"/>
              <w:spacing w:after="0" w:line="148" w:lineRule="exact"/>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63,295</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498,000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99,000</w:t>
            </w:r>
          </w:p>
        </w:tc>
        <w:tc>
          <w:tcPr>
            <w:tcW w:w="416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4"/>
              </w:rPr>
              <w:t>Harris Teeter / Anthropologie / Bed, Bath &amp; Beyond / Barnes &amp; Noble / Old</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34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181"/>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Bristol Plaza</w:t>
            </w:r>
          </w:p>
        </w:tc>
        <w:tc>
          <w:tcPr>
            <w:tcW w:w="21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Hartford, CT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30,090</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48"/>
        </w:trPr>
        <w:tc>
          <w:tcPr>
            <w:tcW w:w="12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Eastgate Crossing</w:t>
            </w:r>
          </w:p>
        </w:tc>
        <w:tc>
          <w:tcPr>
            <w:tcW w:w="2180" w:type="dxa"/>
            <w:vAlign w:val="bottom"/>
          </w:tcPr>
          <w:p>
            <w:pPr>
              <w:ind w:left="600"/>
              <w:spacing w:after="0" w:line="148" w:lineRule="exact"/>
              <w:rPr>
                <w:sz w:val="20"/>
                <w:szCs w:val="20"/>
                <w:color w:val="auto"/>
              </w:rPr>
            </w:pPr>
            <w:r>
              <w:rPr>
                <w:rFonts w:ascii="Arial" w:cs="Arial" w:eastAsia="Arial" w:hAnsi="Arial"/>
                <w:sz w:val="13"/>
                <w:szCs w:val="13"/>
                <w:color w:val="auto"/>
                <w:w w:val="94"/>
              </w:rPr>
              <w:t>Raleigh-Durham-Chapel Hill,</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28,324</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ind w:left="600"/>
              <w:spacing w:after="0"/>
              <w:rPr>
                <w:sz w:val="20"/>
                <w:szCs w:val="20"/>
                <w:color w:val="auto"/>
              </w:rPr>
            </w:pPr>
            <w:r>
              <w:rPr>
                <w:rFonts w:ascii="Arial" w:cs="Arial" w:eastAsia="Arial" w:hAnsi="Arial"/>
                <w:sz w:val="13"/>
                <w:szCs w:val="13"/>
                <w:color w:val="auto"/>
              </w:rPr>
              <w:t>NC</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81"/>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Gratiot Plaza</w:t>
            </w:r>
          </w:p>
        </w:tc>
        <w:tc>
          <w:tcPr>
            <w:tcW w:w="21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Detroit, MI</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19,572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200" w:type="dxa"/>
            <w:vAlign w:val="bottom"/>
            <w:gridSpan w:val="3"/>
          </w:tcPr>
          <w:p>
            <w:pPr>
              <w:ind w:left="20"/>
              <w:spacing w:after="0"/>
              <w:rPr>
                <w:sz w:val="20"/>
                <w:szCs w:val="20"/>
                <w:color w:val="auto"/>
              </w:rPr>
            </w:pPr>
            <w:r>
              <w:rPr>
                <w:rFonts w:ascii="Arial" w:cs="Arial" w:eastAsia="Arial" w:hAnsi="Arial"/>
                <w:sz w:val="13"/>
                <w:szCs w:val="13"/>
                <w:color w:val="auto"/>
              </w:rPr>
              <w:t>Lancaster</w:t>
            </w:r>
          </w:p>
        </w:tc>
        <w:tc>
          <w:tcPr>
            <w:tcW w:w="2180" w:type="dxa"/>
            <w:vAlign w:val="bottom"/>
          </w:tcPr>
          <w:p>
            <w:pPr>
              <w:ind w:left="280"/>
              <w:spacing w:after="0"/>
              <w:rPr>
                <w:sz w:val="20"/>
                <w:szCs w:val="20"/>
                <w:color w:val="auto"/>
              </w:rPr>
            </w:pPr>
            <w:r>
              <w:rPr>
                <w:rFonts w:ascii="Arial" w:cs="Arial" w:eastAsia="Arial" w:hAnsi="Arial"/>
                <w:sz w:val="13"/>
                <w:szCs w:val="13"/>
                <w:color w:val="auto"/>
              </w:rPr>
              <w:t>(6)   Lancaster, PA</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13,623</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4,907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4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29th Place</w:t>
            </w:r>
          </w:p>
        </w:tc>
        <w:tc>
          <w:tcPr>
            <w:tcW w:w="21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40,597</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4,655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200" w:type="dxa"/>
            <w:vAlign w:val="bottom"/>
            <w:gridSpan w:val="3"/>
          </w:tcPr>
          <w:p>
            <w:pPr>
              <w:ind w:left="20"/>
              <w:spacing w:after="0"/>
              <w:rPr>
                <w:sz w:val="20"/>
                <w:szCs w:val="20"/>
                <w:color w:val="auto"/>
              </w:rPr>
            </w:pPr>
            <w:r>
              <w:rPr>
                <w:rFonts w:ascii="Arial" w:cs="Arial" w:eastAsia="Arial" w:hAnsi="Arial"/>
                <w:sz w:val="13"/>
                <w:szCs w:val="13"/>
                <w:color w:val="auto"/>
              </w:rPr>
              <w:t>Willow Lawn</w:t>
            </w:r>
          </w:p>
        </w:tc>
        <w:tc>
          <w:tcPr>
            <w:tcW w:w="2180" w:type="dxa"/>
            <w:vAlign w:val="bottom"/>
          </w:tcPr>
          <w:p>
            <w:pPr>
              <w:ind w:left="600"/>
              <w:spacing w:after="0"/>
              <w:rPr>
                <w:sz w:val="20"/>
                <w:szCs w:val="20"/>
                <w:color w:val="auto"/>
              </w:rPr>
            </w:pPr>
            <w:r>
              <w:rPr>
                <w:rFonts w:ascii="Arial" w:cs="Arial" w:eastAsia="Arial" w:hAnsi="Arial"/>
                <w:sz w:val="13"/>
                <w:szCs w:val="13"/>
                <w:color w:val="auto"/>
              </w:rPr>
              <w:t>Richmond-Petersburg, VA</w:t>
            </w:r>
          </w:p>
        </w:tc>
        <w:tc>
          <w:tcPr>
            <w:tcW w:w="68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93,136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460,000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66,000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340" w:type="dxa"/>
            <w:vAlign w:val="bottom"/>
          </w:tcPr>
          <w:p>
            <w:pPr>
              <w:ind w:left="60"/>
              <w:spacing w:after="0"/>
              <w:rPr>
                <w:sz w:val="20"/>
                <w:szCs w:val="20"/>
                <w:color w:val="auto"/>
              </w:rPr>
            </w:pPr>
            <w:r>
              <w:rPr>
                <w:rFonts w:ascii="Arial" w:cs="Arial" w:eastAsia="Arial" w:hAnsi="Arial"/>
                <w:sz w:val="13"/>
                <w:szCs w:val="13"/>
                <w:color w:val="auto"/>
              </w:rPr>
              <w:t>DSW / Old Navy / Staples / Ross Dress For Less</w:t>
            </w: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218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180" w:type="dxa"/>
            <w:vAlign w:val="bottom"/>
            <w:shd w:val="clear" w:color="auto" w:fill="CCEEFF"/>
          </w:tcPr>
          <w:p>
            <w:pPr>
              <w:ind w:left="600"/>
              <w:spacing w:after="0"/>
              <w:rPr>
                <w:sz w:val="20"/>
                <w:szCs w:val="20"/>
                <w:color w:val="auto"/>
              </w:rPr>
            </w:pPr>
            <w:r>
              <w:rPr>
                <w:rFonts w:ascii="Arial" w:cs="Arial" w:eastAsia="Arial" w:hAnsi="Arial"/>
                <w:sz w:val="13"/>
                <w:szCs w:val="13"/>
                <w:b w:val="1"/>
                <w:bCs w:val="1"/>
                <w:color w:val="auto"/>
              </w:rPr>
              <w:t>Total Other</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288,637</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1,890,000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r>
      <w:tr>
        <w:trPr>
          <w:trHeight w:val="167"/>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Grand Total</w:t>
            </w:r>
          </w:p>
        </w:tc>
        <w:tc>
          <w:tcPr>
            <w:tcW w:w="2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84"/>
              </w:rPr>
              <w:t>$ 6,458,389</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w w:val="89"/>
              </w:rPr>
              <w:t>$ 540,792</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22,294,000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r>
      <w:tr>
        <w:trPr>
          <w:trHeight w:val="97"/>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21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3340" w:type="dxa"/>
            <w:vAlign w:val="bottom"/>
            <w:tcBorders>
              <w:bottom w:val="single" w:sz="8" w:color="auto"/>
            </w:tcBorders>
            <w:shd w:val="clear" w:color="auto" w:fill="CCEEFF"/>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60" w:right="180" w:hanging="1338"/>
        <w:spacing w:after="0" w:line="237" w:lineRule="auto"/>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mortgage or capital lease obligations differ from the total reported on the consolidated balance sheet due to the unamortized discount, premium, and/or debt issuance costs on certain mortgage payables.</w:t>
      </w:r>
    </w:p>
    <w:p>
      <w:pPr>
        <w:spacing w:after="0" w:line="28" w:lineRule="exact"/>
        <w:rPr>
          <w:rFonts w:ascii="Arial" w:cs="Arial" w:eastAsia="Arial" w:hAnsi="Arial"/>
          <w:sz w:val="13"/>
          <w:szCs w:val="13"/>
          <w:color w:val="auto"/>
        </w:rPr>
      </w:pPr>
    </w:p>
    <w:p>
      <w:pPr>
        <w:ind w:left="1360" w:hanging="1338"/>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60" w:hanging="1338"/>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60" w:hanging="1338"/>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Pike &amp; Rose and Assembly Row schedule.</w:t>
      </w:r>
    </w:p>
    <w:p>
      <w:pPr>
        <w:spacing w:after="0" w:line="39" w:lineRule="exact"/>
        <w:rPr>
          <w:rFonts w:ascii="Arial" w:cs="Arial" w:eastAsia="Arial" w:hAnsi="Arial"/>
          <w:sz w:val="13"/>
          <w:szCs w:val="13"/>
          <w:color w:val="auto"/>
        </w:rPr>
      </w:pPr>
    </w:p>
    <w:p>
      <w:pPr>
        <w:ind w:left="1360" w:right="560" w:hanging="1338"/>
        <w:spacing w:after="0" w:line="237" w:lineRule="auto"/>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60" w:hanging="1338"/>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ind w:left="1360" w:hanging="1338"/>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This property includes partial interests in eight buildings in addition to our initial acquisition.</w:t>
      </w:r>
    </w:p>
    <w:p>
      <w:pPr>
        <w:spacing w:after="0" w:line="39" w:lineRule="exact"/>
        <w:rPr>
          <w:rFonts w:ascii="Arial" w:cs="Arial" w:eastAsia="Arial" w:hAnsi="Arial"/>
          <w:sz w:val="13"/>
          <w:szCs w:val="13"/>
          <w:color w:val="auto"/>
        </w:rPr>
      </w:pPr>
    </w:p>
    <w:p>
      <w:pPr>
        <w:ind w:left="1360" w:right="280" w:hanging="1338"/>
        <w:spacing w:after="0" w:line="237" w:lineRule="auto"/>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January 13, 2016, we acquired the 70% controlling interest in these properties and now own the properties 100%. The year acquired reflects the year we first acquired an equity interest in the property.</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747" w:right="2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372,778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38.21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1,522,734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8,100,475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21.73</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398,820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33.53</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$ 29.67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1,541,181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12,405,156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31.10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380,714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2,238,079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16,261,721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42.71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478,411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26.98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$ 22.69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2,051,021</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10,113,482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21.14</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1,630,723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32.29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7,353,015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46,880,834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28.75</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105,307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43.13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858,882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7,235,818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68.71</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154,121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31.02</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$ 25.57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838,752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8,590,661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55.74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191,931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30.57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1,810,518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14,704,178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76.61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106,574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47.91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$ 42.13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615,619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6,248,270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58.63</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557,933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36.37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$ 28.98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4,123,771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36,778,927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65.92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267,471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36.28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663,852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864,657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3.23</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244,699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702,429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3,814,495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15.59</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188,783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427,561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1,557,543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8.25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371,837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20.98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$ 17.12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1,435,402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3,865,212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10.39</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1,072,790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3,229,244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10,101,907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9.42</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467,364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9,864,863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21.11</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419,781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33.45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14,483,247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34.50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439,061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31.87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17,663,207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40.23</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560,884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28.92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12,254,941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21.85</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1,887,090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32.28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54,266,258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28.76</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right="60" w:hanging="1251"/>
        <w:spacing w:after="0" w:line="254"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Approximately $5.2 million ($8.22 per square foot) in 1st Quarter 2016, $10.2 million ($21.74 per square foot) in 4th Quarter 2015, and $0.5 million ($0.72 per square foot) in 3rd Quarter 2015 of the Tenant Improvements &amp; Incentives are for properties under active redevelopment (e.g. Brick Plaza, Congressional Plaza, Del Mar Village, Melville Mall, Mercer Mall, Quince Orchard Shopping Center, Westgate Center) and are included in the Projected Cost for those projects on the Summary of Redevelopment Opportunities.</w:t>
      </w:r>
    </w:p>
    <w:p>
      <w:pPr>
        <w:spacing w:after="0" w:line="21" w:lineRule="exact"/>
        <w:rPr>
          <w:rFonts w:ascii="Arial" w:cs="Arial" w:eastAsia="Arial" w:hAnsi="Arial"/>
          <w:sz w:val="12"/>
          <w:szCs w:val="12"/>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60" w:top="976" w:right="25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1,027,000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18.97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1,049,000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36.55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2,076,000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27.85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1,837,000</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18.99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914,000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37.30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2,751,000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1,501,000</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19.34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956,000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39.10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2,457,000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27.02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410,000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21.65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537,000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947,000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745,000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21.43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600,000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36.84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1,344,000</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20.43</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12,386,000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18.50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8,279,000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20,665,000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187,000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36.94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453,000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21.16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1,021,000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360,000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21.39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561,000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41.90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33.87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825,000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278,000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18.94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531,000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36.95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809,000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9,744,000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12,673,000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12,386,000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18.50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8,279,000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20,665,000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retail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June 30, 2016.</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2016.</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2016</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2015</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22,294,000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21,078,000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20,825,000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19,930,000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95.7%</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97.2%</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2016</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16,242,000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15,569,000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16,208,000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15,625,000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96.4%</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97.5%</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June 30, 2016 leased percentage was 97.4% for anchor tenants and 90.5% for small shop tenants.</w:t>
      </w:r>
    </w:p>
    <w:p>
      <w:pPr>
        <w:spacing w:after="0" w:line="72" w:lineRule="exact"/>
        <w:rPr>
          <w:rFonts w:ascii="Arial" w:cs="Arial" w:eastAsia="Arial" w:hAnsi="Arial"/>
          <w:sz w:val="16"/>
          <w:szCs w:val="16"/>
          <w:color w:val="auto"/>
        </w:rPr>
      </w:pPr>
    </w:p>
    <w:p>
      <w:pPr>
        <w:ind w:left="840" w:right="4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92.9% and 94.9% at June 30, 2016 and 2015, respectively, and same center occupied percentage was 94.8% and 95.8% at June 30, 2016 and 2015, respectively.</w:t>
      </w:r>
    </w:p>
    <w:p>
      <w:pPr>
        <w:spacing w:after="0" w:line="9" w:lineRule="exact"/>
        <w:rPr>
          <w:rFonts w:ascii="Arial" w:cs="Arial" w:eastAsia="Arial" w:hAnsi="Arial"/>
          <w:sz w:val="16"/>
          <w:szCs w:val="16"/>
          <w:color w:val="auto"/>
        </w:rPr>
      </w:pPr>
    </w:p>
    <w:p>
      <w:pPr>
        <w:ind w:left="840" w:right="24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 Excludes the six properties discussed on page 18 under significant acquisitions as we did not consolidate the properties in 2015.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(3)</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(3)</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TJX Companies,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13,648,000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2.50%</w:t>
            </w:r>
          </w:p>
        </w:tc>
        <w:tc>
          <w:tcPr>
            <w:tcW w:w="980" w:type="dxa"/>
            <w:vAlign w:val="bottom"/>
          </w:tcPr>
          <w:p>
            <w:pPr>
              <w:jc w:val="right"/>
              <w:spacing w:after="0"/>
              <w:rPr>
                <w:sz w:val="20"/>
                <w:szCs w:val="20"/>
                <w:color w:val="auto"/>
              </w:rPr>
            </w:pPr>
            <w:r>
              <w:rPr>
                <w:rFonts w:ascii="Arial" w:cs="Arial" w:eastAsia="Arial" w:hAnsi="Arial"/>
                <w:sz w:val="16"/>
                <w:szCs w:val="16"/>
                <w:color w:val="auto"/>
              </w:rPr>
              <w:t>795,000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12,296,000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2.25%</w:t>
            </w:r>
          </w:p>
        </w:tc>
        <w:tc>
          <w:tcPr>
            <w:tcW w:w="980" w:type="dxa"/>
            <w:vAlign w:val="bottom"/>
          </w:tcPr>
          <w:p>
            <w:pPr>
              <w:jc w:val="right"/>
              <w:spacing w:after="0"/>
              <w:rPr>
                <w:sz w:val="20"/>
                <w:szCs w:val="20"/>
                <w:color w:val="auto"/>
              </w:rPr>
            </w:pPr>
            <w:r>
              <w:rPr>
                <w:rFonts w:ascii="Arial" w:cs="Arial" w:eastAsia="Arial" w:hAnsi="Arial"/>
                <w:sz w:val="16"/>
                <w:szCs w:val="16"/>
                <w:color w:val="auto"/>
              </w:rPr>
              <w:t>354,000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40" w:type="dxa"/>
            <w:vAlign w:val="bottom"/>
            <w:shd w:val="clear" w:color="auto" w:fill="CCEEFF"/>
          </w:tcPr>
          <w:p>
            <w:pPr>
              <w:spacing w:after="0"/>
              <w:rPr>
                <w:sz w:val="19"/>
                <w:szCs w:val="19"/>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Ascena Retail Group, Inc. (Dress Barn, Loft, Lou &amp; Grey, Ann Taylor,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Catherine's, Justice, Lane Bryant)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218,000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6,572,000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1.20%</w:t>
            </w:r>
          </w:p>
        </w:tc>
        <w:tc>
          <w:tcPr>
            <w:tcW w:w="980" w:type="dxa"/>
            <w:vAlign w:val="bottom"/>
          </w:tcPr>
          <w:p>
            <w:pPr>
              <w:jc w:val="right"/>
              <w:spacing w:after="0"/>
              <w:rPr>
                <w:sz w:val="20"/>
                <w:szCs w:val="20"/>
                <w:color w:val="auto"/>
              </w:rPr>
            </w:pPr>
            <w:r>
              <w:rPr>
                <w:rFonts w:ascii="Arial" w:cs="Arial" w:eastAsia="Arial" w:hAnsi="Arial"/>
                <w:sz w:val="16"/>
                <w:szCs w:val="16"/>
                <w:color w:val="auto"/>
              </w:rPr>
              <w:t>317,000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5,587,000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1.02%</w:t>
            </w:r>
          </w:p>
        </w:tc>
        <w:tc>
          <w:tcPr>
            <w:tcW w:w="980" w:type="dxa"/>
            <w:vAlign w:val="bottom"/>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5,410,000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0.99%</w:t>
            </w:r>
          </w:p>
        </w:tc>
        <w:tc>
          <w:tcPr>
            <w:tcW w:w="980" w:type="dxa"/>
            <w:vAlign w:val="bottom"/>
          </w:tcPr>
          <w:p>
            <w:pPr>
              <w:jc w:val="right"/>
              <w:spacing w:after="0"/>
              <w:rPr>
                <w:sz w:val="20"/>
                <w:szCs w:val="20"/>
                <w:color w:val="auto"/>
              </w:rPr>
            </w:pPr>
            <w:r>
              <w:rPr>
                <w:rFonts w:ascii="Arial" w:cs="Arial" w:eastAsia="Arial" w:hAnsi="Arial"/>
                <w:sz w:val="16"/>
                <w:szCs w:val="16"/>
                <w:color w:val="auto"/>
              </w:rPr>
              <w:t>186,000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0.92%</w:t>
            </w:r>
          </w:p>
        </w:tc>
        <w:tc>
          <w:tcPr>
            <w:tcW w:w="980" w:type="dxa"/>
            <w:vAlign w:val="bottom"/>
          </w:tcPr>
          <w:p>
            <w:pPr>
              <w:jc w:val="right"/>
              <w:spacing w:after="0"/>
              <w:rPr>
                <w:sz w:val="20"/>
                <w:szCs w:val="20"/>
                <w:color w:val="auto"/>
              </w:rPr>
            </w:pPr>
            <w:r>
              <w:rPr>
                <w:rFonts w:ascii="Arial" w:cs="Arial" w:eastAsia="Arial" w:hAnsi="Arial"/>
                <w:sz w:val="16"/>
                <w:szCs w:val="16"/>
                <w:color w:val="auto"/>
              </w:rPr>
              <w:t>97,000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Pr>
          <w:p>
            <w:pPr>
              <w:jc w:val="right"/>
              <w:spacing w:after="0"/>
              <w:rPr>
                <w:sz w:val="20"/>
                <w:szCs w:val="20"/>
                <w:color w:val="auto"/>
              </w:rPr>
            </w:pPr>
            <w:r>
              <w:rPr>
                <w:rFonts w:ascii="Arial" w:cs="Arial" w:eastAsia="Arial" w:hAnsi="Arial"/>
                <w:sz w:val="16"/>
                <w:szCs w:val="16"/>
                <w:color w:val="auto"/>
              </w:rPr>
              <w:t>238,000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3,844,000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AB Acquisition LLC (Acme, Safeway)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Starbucks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3,649,000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163,120,000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29.84%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7,719,000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34.62%</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546,575,000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22,294,000</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2,840</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right="200" w:hanging="685"/>
        <w:spacing w:after="0" w:line="293"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June 30, 2016.</w:t>
      </w:r>
    </w:p>
    <w:p>
      <w:pPr>
        <w:spacing w:after="0" w:line="9" w:lineRule="exact"/>
        <w:rPr>
          <w:rFonts w:ascii="Arial" w:cs="Arial" w:eastAsia="Arial" w:hAnsi="Arial"/>
          <w:sz w:val="16"/>
          <w:szCs w:val="16"/>
          <w:color w:val="auto"/>
        </w:rPr>
      </w:pPr>
    </w:p>
    <w:p>
      <w:pPr>
        <w:ind w:left="720" w:hanging="685"/>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99" w:lineRule="exact"/>
        <w:rPr>
          <w:rFonts w:ascii="Arial" w:cs="Arial" w:eastAsia="Arial" w:hAnsi="Arial"/>
          <w:sz w:val="16"/>
          <w:szCs w:val="16"/>
          <w:color w:val="auto"/>
        </w:rPr>
      </w:pPr>
    </w:p>
    <w:p>
      <w:pPr>
        <w:ind w:left="720" w:hanging="685"/>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June 30, 2016</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177165</wp:posOffset>
            </wp:positionV>
            <wp:extent cx="1724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3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Full Year 2016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23495</wp:posOffset>
            </wp:positionV>
            <wp:extent cx="1724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3.49</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Gain on change in control of interests and sale of real estate,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depreciation and amortization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Estimated amortization of initial direct costs of leases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0.23</w:t>
            </w:r>
          </w:p>
        </w:tc>
      </w:tr>
      <w:tr>
        <w:trPr>
          <w:trHeight w:val="27"/>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FFO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2"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2016 and 2015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180" w:type="dxa"/>
            <w:vAlign w:val="bottom"/>
            <w:gridSpan w:val="4"/>
          </w:tcPr>
          <w:p>
            <w:pPr>
              <w:jc w:val="center"/>
              <w:ind w:right="312"/>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48,435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42,671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96,234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84,655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19,072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130,357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130,787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280,845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245,113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change in control of interests and sale of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128,570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119,278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253,332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233,604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and consolidated in reporting period.</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operated, and consolidated for the entirety</w:t>
      </w:r>
      <w:r>
        <w:rPr>
          <w:rFonts w:ascii="Arial" w:cs="Arial" w:eastAsia="Arial" w:hAnsi="Arial"/>
          <w:sz w:val="17"/>
          <w:szCs w:val="17"/>
          <w:b w:val="1"/>
          <w:bCs w:val="1"/>
          <w:color w:val="auto"/>
        </w:rPr>
        <w:t xml:space="preserve"> </w:t>
      </w:r>
      <w:r>
        <w:rPr>
          <w:rFonts w:ascii="Arial" w:cs="Arial" w:eastAsia="Arial" w:hAnsi="Arial"/>
          <w:sz w:val="17"/>
          <w:szCs w:val="17"/>
          <w:color w:val="auto"/>
        </w:rPr>
        <w:t>of both periods being compared, excludes properties that were redeveloped, expanded or under development, unconsolidated properties, and properties purchased or sold at any time during the periods being compared. Same Center growth statistics are calculated on a GAAP basis.</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2019-12-29T11:29:32Z</dcterms:created>
  <dcterms:modified xsi:type="dcterms:W3CDTF">2019-12-29T11:29:32Z</dcterms:modified>
</cp:coreProperties>
</file>