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2940" w:type="dxa"/>
            <w:vAlign w:val="bottom"/>
          </w:tcPr>
          <w:p>
            <w:pPr>
              <w:spacing w:after="0"/>
              <w:rPr>
                <w:sz w:val="24"/>
                <w:szCs w:val="24"/>
                <w:color w:val="auto"/>
              </w:rPr>
            </w:pPr>
          </w:p>
        </w:tc>
        <w:tc>
          <w:tcPr>
            <w:tcW w:w="8260" w:type="dxa"/>
            <w:vAlign w:val="bottom"/>
          </w:tcPr>
          <w:p>
            <w:pPr>
              <w:jc w:val="center"/>
              <w:ind w:right="2613"/>
              <w:spacing w:after="0"/>
              <w:rPr>
                <w:sz w:val="20"/>
                <w:szCs w:val="20"/>
                <w:color w:val="auto"/>
              </w:rPr>
            </w:pPr>
            <w:r>
              <w:rPr>
                <w:rFonts w:ascii="Arial" w:cs="Arial" w:eastAsia="Arial" w:hAnsi="Arial"/>
                <w:sz w:val="32"/>
                <w:szCs w:val="32"/>
                <w:b w:val="1"/>
                <w:bCs w:val="1"/>
                <w:color w:val="auto"/>
                <w:w w:val="99"/>
              </w:rPr>
              <w:t>SCHEDULE 14A</w:t>
            </w:r>
          </w:p>
        </w:tc>
      </w:tr>
      <w:tr>
        <w:trPr>
          <w:trHeight w:val="363"/>
        </w:trPr>
        <w:tc>
          <w:tcPr>
            <w:tcW w:w="2940" w:type="dxa"/>
            <w:vAlign w:val="bottom"/>
          </w:tcPr>
          <w:p>
            <w:pPr>
              <w:spacing w:after="0"/>
              <w:rPr>
                <w:sz w:val="24"/>
                <w:szCs w:val="24"/>
                <w:color w:val="auto"/>
              </w:rPr>
            </w:pPr>
          </w:p>
        </w:tc>
        <w:tc>
          <w:tcPr>
            <w:tcW w:w="8260" w:type="dxa"/>
            <w:vAlign w:val="bottom"/>
          </w:tcPr>
          <w:p>
            <w:pPr>
              <w:jc w:val="center"/>
              <w:ind w:right="2593"/>
              <w:spacing w:after="0"/>
              <w:rPr>
                <w:sz w:val="20"/>
                <w:szCs w:val="20"/>
                <w:color w:val="auto"/>
              </w:rPr>
            </w:pPr>
            <w:r>
              <w:rPr>
                <w:rFonts w:ascii="Arial" w:cs="Arial" w:eastAsia="Arial" w:hAnsi="Arial"/>
                <w:sz w:val="22"/>
                <w:szCs w:val="22"/>
                <w:b w:val="1"/>
                <w:bCs w:val="1"/>
                <w:color w:val="auto"/>
                <w:w w:val="88"/>
              </w:rPr>
              <w:t>Proxy Statement Pursuant to Section 14(a)</w:t>
            </w:r>
          </w:p>
        </w:tc>
      </w:tr>
      <w:tr>
        <w:trPr>
          <w:trHeight w:val="243"/>
        </w:trPr>
        <w:tc>
          <w:tcPr>
            <w:tcW w:w="2940" w:type="dxa"/>
            <w:vAlign w:val="bottom"/>
          </w:tcPr>
          <w:p>
            <w:pPr>
              <w:spacing w:after="0"/>
              <w:rPr>
                <w:sz w:val="21"/>
                <w:szCs w:val="21"/>
                <w:color w:val="auto"/>
              </w:rPr>
            </w:pPr>
          </w:p>
        </w:tc>
        <w:tc>
          <w:tcPr>
            <w:tcW w:w="8260" w:type="dxa"/>
            <w:vAlign w:val="bottom"/>
          </w:tcPr>
          <w:p>
            <w:pPr>
              <w:jc w:val="center"/>
              <w:ind w:right="2613"/>
              <w:spacing w:after="0" w:line="243" w:lineRule="exact"/>
              <w:rPr>
                <w:sz w:val="20"/>
                <w:szCs w:val="20"/>
                <w:color w:val="auto"/>
              </w:rPr>
            </w:pPr>
            <w:r>
              <w:rPr>
                <w:rFonts w:ascii="Arial" w:cs="Arial" w:eastAsia="Arial" w:hAnsi="Arial"/>
                <w:sz w:val="22"/>
                <w:szCs w:val="22"/>
                <w:b w:val="1"/>
                <w:bCs w:val="1"/>
                <w:color w:val="auto"/>
                <w:w w:val="87"/>
              </w:rPr>
              <w:t>of the Securities Exchange Act of 1934</w:t>
            </w:r>
          </w:p>
        </w:tc>
      </w:tr>
      <w:tr>
        <w:trPr>
          <w:trHeight w:val="281"/>
        </w:trPr>
        <w:tc>
          <w:tcPr>
            <w:tcW w:w="2940" w:type="dxa"/>
            <w:vAlign w:val="bottom"/>
          </w:tcPr>
          <w:p>
            <w:pPr>
              <w:spacing w:after="0"/>
              <w:rPr>
                <w:sz w:val="24"/>
                <w:szCs w:val="24"/>
                <w:color w:val="auto"/>
              </w:rPr>
            </w:pPr>
          </w:p>
        </w:tc>
        <w:tc>
          <w:tcPr>
            <w:tcW w:w="8260" w:type="dxa"/>
            <w:vAlign w:val="bottom"/>
          </w:tcPr>
          <w:p>
            <w:pPr>
              <w:jc w:val="center"/>
              <w:ind w:right="2593"/>
              <w:spacing w:after="0"/>
              <w:rPr>
                <w:sz w:val="20"/>
                <w:szCs w:val="20"/>
                <w:color w:val="auto"/>
              </w:rPr>
            </w:pPr>
            <w:r>
              <w:rPr>
                <w:rFonts w:ascii="Arial" w:cs="Arial" w:eastAsia="Arial" w:hAnsi="Arial"/>
                <w:sz w:val="22"/>
                <w:szCs w:val="22"/>
                <w:b w:val="1"/>
                <w:bCs w:val="1"/>
                <w:color w:val="auto"/>
                <w:w w:val="95"/>
              </w:rPr>
              <w:t>(Amendment No.   )</w:t>
            </w:r>
          </w:p>
        </w:tc>
      </w:tr>
      <w:tr>
        <w:trPr>
          <w:trHeight w:val="386"/>
        </w:trPr>
        <w:tc>
          <w:tcPr>
            <w:tcW w:w="294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8260" w:type="dxa"/>
            <w:vAlign w:val="bottom"/>
          </w:tcPr>
          <w:p>
            <w:pPr>
              <w:spacing w:after="0"/>
              <w:rPr>
                <w:sz w:val="24"/>
                <w:szCs w:val="24"/>
                <w:color w:val="auto"/>
              </w:rPr>
            </w:pPr>
          </w:p>
        </w:tc>
      </w:tr>
      <w:tr>
        <w:trPr>
          <w:trHeight w:val="378"/>
        </w:trPr>
        <w:tc>
          <w:tcPr>
            <w:tcW w:w="2940" w:type="dxa"/>
            <w:vAlign w:val="bottom"/>
          </w:tcPr>
          <w:p>
            <w:pPr>
              <w:spacing w:after="0"/>
              <w:rPr>
                <w:sz w:val="20"/>
                <w:szCs w:val="20"/>
                <w:color w:val="auto"/>
              </w:rPr>
            </w:pPr>
            <w:r>
              <w:rPr>
                <w:rFonts w:ascii="Arial" w:cs="Arial" w:eastAsia="Arial" w:hAnsi="Arial"/>
                <w:sz w:val="18"/>
                <w:szCs w:val="18"/>
                <w:color w:val="auto"/>
                <w:w w:val="88"/>
              </w:rPr>
              <w:t>Filed by a Party other than the Registrant</w:t>
            </w:r>
          </w:p>
        </w:tc>
        <w:tc>
          <w:tcPr>
            <w:tcW w:w="82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58"/>
        </w:trPr>
        <w:tc>
          <w:tcPr>
            <w:tcW w:w="294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8260" w:type="dxa"/>
            <w:vAlign w:val="bottom"/>
          </w:tcPr>
          <w:p>
            <w:pPr>
              <w:spacing w:after="0"/>
              <w:rPr>
                <w:sz w:val="24"/>
                <w:szCs w:val="24"/>
                <w:color w:val="auto"/>
              </w:rPr>
            </w:pPr>
          </w:p>
        </w:tc>
      </w:tr>
      <w:tr>
        <w:trPr>
          <w:trHeight w:val="258"/>
        </w:trPr>
        <w:tc>
          <w:tcPr>
            <w:tcW w:w="29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Preliminary Proxy Statement</w:t>
            </w:r>
          </w:p>
        </w:tc>
        <w:tc>
          <w:tcPr>
            <w:tcW w:w="8260" w:type="dxa"/>
            <w:vAlign w:val="bottom"/>
          </w:tcPr>
          <w:p>
            <w:pPr>
              <w:ind w:left="290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b w:val="1"/>
                <w:bCs w:val="1"/>
                <w:color w:val="auto"/>
                <w:w w:val="89"/>
              </w:rPr>
              <w:t xml:space="preserve"> Confidential, for Use of the Commission Only (as permitted by Rule</w:t>
            </w:r>
          </w:p>
        </w:tc>
      </w:tr>
      <w:tr>
        <w:trPr>
          <w:trHeight w:val="216"/>
        </w:trPr>
        <w:tc>
          <w:tcPr>
            <w:tcW w:w="29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tc>
        <w:tc>
          <w:tcPr>
            <w:tcW w:w="8260" w:type="dxa"/>
            <w:vAlign w:val="bottom"/>
          </w:tcPr>
          <w:p>
            <w:pPr>
              <w:ind w:left="3180"/>
              <w:spacing w:after="0"/>
              <w:rPr>
                <w:sz w:val="20"/>
                <w:szCs w:val="20"/>
                <w:color w:val="auto"/>
              </w:rPr>
            </w:pPr>
            <w:r>
              <w:rPr>
                <w:rFonts w:ascii="Arial" w:cs="Arial" w:eastAsia="Arial" w:hAnsi="Arial"/>
                <w:sz w:val="18"/>
                <w:szCs w:val="18"/>
                <w:b w:val="1"/>
                <w:bCs w:val="1"/>
                <w:color w:val="auto"/>
              </w:rPr>
              <w:t>14a-6(e)(2))</w:t>
            </w:r>
          </w:p>
        </w:tc>
      </w:tr>
      <w:tr>
        <w:trPr>
          <w:trHeight w:val="256"/>
        </w:trPr>
        <w:tc>
          <w:tcPr>
            <w:tcW w:w="29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tc>
        <w:tc>
          <w:tcPr>
            <w:tcW w:w="8260" w:type="dxa"/>
            <w:vAlign w:val="bottom"/>
          </w:tcPr>
          <w:p>
            <w:pPr>
              <w:spacing w:after="0"/>
              <w:rPr>
                <w:sz w:val="22"/>
                <w:szCs w:val="22"/>
                <w:color w:val="auto"/>
              </w:rPr>
            </w:pPr>
          </w:p>
        </w:tc>
      </w:tr>
    </w:tbl>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FEDERAL REALTY INVESTMENT TRUST</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0"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-4782185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-4233545</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-3547110</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-2998470</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-2449830</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-1334770</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-786130</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-236855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311150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20"/>
          </w:cols>
          <w:pgMar w:left="240" w:top="206"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978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5"/>
          </w:tcPr>
          <w:p>
            <w:pPr>
              <w:spacing w:after="0"/>
              <w:rPr>
                <w:sz w:val="20"/>
                <w:szCs w:val="20"/>
                <w:color w:val="auto"/>
              </w:rPr>
            </w:pPr>
            <w:r>
              <w:rPr>
                <w:rFonts w:ascii="Arial" w:cs="Arial" w:eastAsia="Arial" w:hAnsi="Arial"/>
                <w:sz w:val="14"/>
                <w:szCs w:val="14"/>
                <w:color w:val="FFFFFF"/>
              </w:rPr>
              <w:t>FEDERAL REALTY INVESTMENT TRUST</w:t>
            </w:r>
          </w:p>
        </w:tc>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40" w:type="dxa"/>
            <w:vAlign w:val="bottom"/>
            <w:gridSpan w:val="2"/>
          </w:tcPr>
          <w:p>
            <w:pPr>
              <w:spacing w:after="0"/>
              <w:rPr>
                <w:sz w:val="20"/>
                <w:szCs w:val="20"/>
                <w:color w:val="auto"/>
              </w:rPr>
            </w:pPr>
            <w:r>
              <w:rPr>
                <w:rFonts w:ascii="Arial" w:cs="Arial" w:eastAsia="Arial" w:hAnsi="Arial"/>
                <w:sz w:val="3"/>
                <w:szCs w:val="3"/>
                <w:color w:val="FFFFFF"/>
              </w:rPr>
              <w:t>** IMPORT</w:t>
            </w:r>
          </w:p>
        </w:tc>
        <w:tc>
          <w:tcPr>
            <w:tcW w:w="5860" w:type="dxa"/>
            <w:vAlign w:val="bottom"/>
            <w:gridSpan w:val="3"/>
          </w:tcPr>
          <w:p>
            <w:pPr>
              <w:jc w:val="right"/>
              <w:ind w:right="5118"/>
              <w:spacing w:after="0"/>
              <w:rPr>
                <w:sz w:val="20"/>
                <w:szCs w:val="20"/>
                <w:color w:val="auto"/>
              </w:rPr>
            </w:pPr>
            <w:r>
              <w:rPr>
                <w:rFonts w:ascii="Arial" w:cs="Arial" w:eastAsia="Arial" w:hAnsi="Arial"/>
                <w:sz w:val="3"/>
                <w:szCs w:val="3"/>
                <w:color w:val="FFFFFF"/>
              </w:rPr>
              <w:t>NOTICE **</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Regarding theANTvailability of Proxy Material</w:t>
            </w:r>
          </w:p>
        </w:tc>
        <w:tc>
          <w:tcPr>
            <w:tcW w:w="80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you cast</w:t>
            </w:r>
          </w:p>
        </w:tc>
        <w:tc>
          <w:tcPr>
            <w:tcW w:w="3720" w:type="dxa"/>
            <w:vAlign w:val="bottom"/>
            <w:vMerge w:val="restart"/>
          </w:tcPr>
          <w:p>
            <w:pPr>
              <w:ind w:left="160"/>
              <w:spacing w:after="0" w:line="81" w:lineRule="exact"/>
              <w:rPr>
                <w:sz w:val="20"/>
                <w:szCs w:val="20"/>
                <w:color w:val="auto"/>
              </w:rPr>
            </w:pPr>
            <w:r>
              <w:rPr>
                <w:rFonts w:ascii="Arial" w:cs="Arial" w:eastAsia="Arial" w:hAnsi="Arial"/>
                <w:sz w:val="9"/>
                <w:szCs w:val="9"/>
                <w:color w:val="FFFFFF"/>
              </w:rPr>
              <w:t>vote is now available.</w:t>
            </w: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You are receiving this communication because you hold shares in the above company, and the material you should review</w:t>
            </w:r>
          </w:p>
        </w:tc>
        <w:tc>
          <w:tcPr>
            <w:tcW w:w="800" w:type="dxa"/>
            <w:vAlign w:val="bottom"/>
            <w:vMerge w:val="continue"/>
          </w:tcPr>
          <w:p>
            <w:pPr>
              <w:spacing w:after="0"/>
              <w:rPr>
                <w:sz w:val="3"/>
                <w:szCs w:val="3"/>
                <w:color w:val="auto"/>
              </w:rPr>
            </w:pPr>
          </w:p>
        </w:tc>
        <w:tc>
          <w:tcPr>
            <w:tcW w:w="3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7"/>
          </w:tcPr>
          <w:p>
            <w:pPr>
              <w:spacing w:after="0"/>
              <w:rPr>
                <w:sz w:val="20"/>
                <w:szCs w:val="20"/>
                <w:color w:val="auto"/>
              </w:rPr>
            </w:pPr>
            <w:r>
              <w:rPr>
                <w:rFonts w:ascii="Arial" w:cs="Arial" w:eastAsia="Arial" w:hAnsi="Arial"/>
                <w:sz w:val="3"/>
                <w:szCs w:val="3"/>
                <w:color w:val="FFFFFF"/>
              </w:rPr>
              <w:t>This communication presents only an overview of the more complete proxy material that is available to you on the Internet.beforeWencourageyour to access and review all of the important information contained in</w:t>
            </w: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the proxy material before voting.</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80" w:type="dxa"/>
            <w:vAlign w:val="bottom"/>
            <w:gridSpan w:val="4"/>
          </w:tcPr>
          <w:p>
            <w:pPr>
              <w:spacing w:after="0"/>
              <w:rPr>
                <w:sz w:val="20"/>
                <w:szCs w:val="20"/>
                <w:color w:val="auto"/>
              </w:rPr>
            </w:pPr>
            <w:r>
              <w:rPr>
                <w:rFonts w:ascii="Arial" w:cs="Arial" w:eastAsia="Arial" w:hAnsi="Arial"/>
                <w:sz w:val="3"/>
                <w:szCs w:val="3"/>
                <w:color w:val="FFFFFF"/>
              </w:rPr>
              <w:t>BROKER LOGO HERE</w:t>
            </w: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jc w:val="right"/>
              <w:spacing w:after="0"/>
              <w:rPr>
                <w:sz w:val="20"/>
                <w:szCs w:val="20"/>
                <w:color w:val="auto"/>
              </w:rPr>
            </w:pPr>
            <w:r>
              <w:rPr>
                <w:rFonts w:ascii="Arial" w:cs="Arial" w:eastAsia="Arial" w:hAnsi="Arial"/>
                <w:sz w:val="3"/>
                <w:szCs w:val="3"/>
                <w:color w:val="FFFFFF"/>
              </w:rPr>
              <w:t>1</w:t>
            </w: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jc w:val="right"/>
              <w:spacing w:after="0"/>
              <w:rPr>
                <w:sz w:val="20"/>
                <w:szCs w:val="20"/>
                <w:color w:val="auto"/>
              </w:rPr>
            </w:pPr>
            <w:r>
              <w:rPr>
                <w:rFonts w:ascii="Arial" w:cs="Arial" w:eastAsia="Arial" w:hAnsi="Arial"/>
                <w:sz w:val="3"/>
                <w:szCs w:val="3"/>
                <w:color w:val="FFFFFF"/>
              </w:rPr>
              <w:t>2</w:t>
            </w: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gridSpan w:val="3"/>
          </w:tcPr>
          <w:p>
            <w:pPr>
              <w:spacing w:after="0"/>
              <w:rPr>
                <w:sz w:val="20"/>
                <w:szCs w:val="20"/>
                <w:color w:val="auto"/>
              </w:rPr>
            </w:pPr>
            <w:r>
              <w:rPr>
                <w:rFonts w:ascii="Arial" w:cs="Arial" w:eastAsia="Arial" w:hAnsi="Arial"/>
                <w:sz w:val="3"/>
                <w:szCs w:val="3"/>
                <w:color w:val="FFFFFF"/>
              </w:rPr>
              <w:t>Return Address Line 3</w:t>
            </w: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gridSpan w:val="3"/>
          </w:tcPr>
          <w:p>
            <w:pPr>
              <w:spacing w:after="0"/>
              <w:rPr>
                <w:sz w:val="20"/>
                <w:szCs w:val="20"/>
                <w:color w:val="auto"/>
              </w:rPr>
            </w:pPr>
            <w:r>
              <w:rPr>
                <w:rFonts w:ascii="Arial" w:cs="Arial" w:eastAsia="Arial" w:hAnsi="Arial"/>
                <w:sz w:val="3"/>
                <w:szCs w:val="3"/>
                <w:color w:val="FFFFFF"/>
              </w:rPr>
              <w:t>51 MERCEDES WAY</w:t>
            </w: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800" w:type="dxa"/>
            <w:vAlign w:val="bottom"/>
            <w:gridSpan w:val="5"/>
          </w:tcPr>
          <w:p>
            <w:pPr>
              <w:spacing w:after="0" w:line="81" w:lineRule="exact"/>
              <w:rPr>
                <w:sz w:val="20"/>
                <w:szCs w:val="20"/>
                <w:color w:val="auto"/>
              </w:rPr>
            </w:pPr>
            <w:r>
              <w:rPr>
                <w:rFonts w:ascii="Arial" w:cs="Arial" w:eastAsia="Arial" w:hAnsi="Arial"/>
                <w:sz w:val="7"/>
                <w:szCs w:val="7"/>
                <w:color w:val="FFFFFF"/>
              </w:rPr>
              <w:t>EDGEWOOD NY 1</w:t>
            </w:r>
            <w:r>
              <w:rPr>
                <w:rFonts w:ascii="Arial" w:cs="Arial" w:eastAsia="Arial" w:hAnsi="Arial"/>
                <w:sz w:val="9"/>
                <w:szCs w:val="9"/>
                <w:color w:val="FFFFFF"/>
                <w:vertAlign w:val="subscript"/>
              </w:rPr>
              <w:t>1717</w:t>
            </w:r>
          </w:p>
        </w:tc>
        <w:tc>
          <w:tcPr>
            <w:tcW w:w="8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jc w:val="right"/>
              <w:ind w:right="63"/>
              <w:spacing w:after="0"/>
              <w:rPr>
                <w:sz w:val="20"/>
                <w:szCs w:val="20"/>
                <w:color w:val="auto"/>
              </w:rPr>
            </w:pPr>
            <w:r>
              <w:rPr>
                <w:rFonts w:ascii="Arial" w:cs="Arial" w:eastAsia="Arial" w:hAnsi="Arial"/>
                <w:sz w:val="3"/>
                <w:szCs w:val="3"/>
                <w:color w:val="FFFFFF"/>
              </w:rPr>
              <w:t>2</w:t>
            </w: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jc w:val="right"/>
              <w:ind w:right="63"/>
              <w:spacing w:after="0"/>
              <w:rPr>
                <w:sz w:val="20"/>
                <w:szCs w:val="20"/>
                <w:color w:val="auto"/>
              </w:rPr>
            </w:pPr>
            <w:r>
              <w:rPr>
                <w:rFonts w:ascii="Arial" w:cs="Arial" w:eastAsia="Arial" w:hAnsi="Arial"/>
                <w:sz w:val="3"/>
                <w:szCs w:val="3"/>
                <w:color w:val="FFFFFF"/>
              </w:rPr>
              <w:t>3</w:t>
            </w: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gridSpan w:val="3"/>
            <w:vMerge w:val="restart"/>
          </w:tcPr>
          <w:p>
            <w:pPr>
              <w:spacing w:after="0" w:line="81" w:lineRule="exact"/>
              <w:rPr>
                <w:sz w:val="20"/>
                <w:szCs w:val="20"/>
                <w:color w:val="auto"/>
              </w:rPr>
            </w:pPr>
            <w:r>
              <w:rPr>
                <w:rFonts w:ascii="Arial" w:cs="Arial" w:eastAsia="Arial" w:hAnsi="Arial"/>
                <w:sz w:val="9"/>
                <w:szCs w:val="9"/>
                <w:color w:val="FFFFFF"/>
              </w:rPr>
              <w:t>Investor Address Line</w:t>
            </w:r>
          </w:p>
        </w:tc>
        <w:tc>
          <w:tcPr>
            <w:tcW w:w="140" w:type="dxa"/>
            <w:vAlign w:val="bottom"/>
          </w:tcPr>
          <w:p>
            <w:pPr>
              <w:jc w:val="right"/>
              <w:ind w:right="63"/>
              <w:spacing w:after="0"/>
              <w:rPr>
                <w:sz w:val="20"/>
                <w:szCs w:val="20"/>
                <w:color w:val="auto"/>
              </w:rPr>
            </w:pPr>
            <w:r>
              <w:rPr>
                <w:rFonts w:ascii="Arial" w:cs="Arial" w:eastAsia="Arial" w:hAnsi="Arial"/>
                <w:sz w:val="3"/>
                <w:szCs w:val="3"/>
                <w:color w:val="FFFFFF"/>
              </w:rPr>
              <w:t>4</w:t>
            </w: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gridSpan w:val="3"/>
            <w:vMerge w:val="continue"/>
          </w:tcPr>
          <w:p>
            <w:pPr>
              <w:spacing w:after="0"/>
              <w:rPr>
                <w:sz w:val="3"/>
                <w:szCs w:val="3"/>
                <w:color w:val="auto"/>
              </w:rPr>
            </w:pPr>
          </w:p>
        </w:tc>
        <w:tc>
          <w:tcPr>
            <w:tcW w:w="140" w:type="dxa"/>
            <w:vAlign w:val="bottom"/>
          </w:tcPr>
          <w:p>
            <w:pPr>
              <w:jc w:val="right"/>
              <w:ind w:right="63"/>
              <w:spacing w:after="0"/>
              <w:rPr>
                <w:sz w:val="20"/>
                <w:szCs w:val="20"/>
                <w:color w:val="auto"/>
              </w:rPr>
            </w:pPr>
            <w:r>
              <w:rPr>
                <w:rFonts w:ascii="Arial" w:cs="Arial" w:eastAsia="Arial" w:hAnsi="Arial"/>
                <w:sz w:val="3"/>
                <w:szCs w:val="3"/>
                <w:color w:val="FFFFFF"/>
              </w:rPr>
              <w:t>5</w:t>
            </w: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0" w:type="dxa"/>
            <w:vAlign w:val="bottom"/>
            <w:gridSpan w:val="2"/>
          </w:tcPr>
          <w:p>
            <w:pPr>
              <w:spacing w:after="0"/>
              <w:rPr>
                <w:sz w:val="20"/>
                <w:szCs w:val="20"/>
                <w:color w:val="auto"/>
              </w:rPr>
            </w:pPr>
            <w:r>
              <w:rPr>
                <w:rFonts w:ascii="Arial" w:cs="Arial" w:eastAsia="Arial" w:hAnsi="Arial"/>
                <w:sz w:val="3"/>
                <w:szCs w:val="3"/>
                <w:color w:val="FFFFFF"/>
              </w:rPr>
              <w:t>John Sample</w:t>
            </w: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1234 ANYWHERE STREET</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ANY CITY, ON A1A 1A1</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ind w:left="80"/>
              <w:spacing w:after="0" w:line="41" w:lineRule="exact"/>
              <w:rPr>
                <w:sz w:val="20"/>
                <w:szCs w:val="20"/>
                <w:color w:val="auto"/>
              </w:rPr>
            </w:pPr>
            <w:r>
              <w:rPr>
                <w:rFonts w:ascii="Arial" w:cs="Arial" w:eastAsia="Arial" w:hAnsi="Arial"/>
                <w:sz w:val="4"/>
                <w:szCs w:val="4"/>
                <w:color w:val="FFFFFF"/>
                <w:vertAlign w:val="subscript"/>
              </w:rPr>
              <w:t>2</w:t>
            </w:r>
            <w:r>
              <w:rPr>
                <w:rFonts w:ascii="Arial" w:cs="Arial" w:eastAsia="Arial" w:hAnsi="Arial"/>
                <w:sz w:val="2"/>
                <w:szCs w:val="2"/>
                <w:color w:val="FFFFFF"/>
              </w:rPr>
              <w:t>OF 2</w:t>
            </w: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line="81" w:lineRule="exact"/>
              <w:rPr>
                <w:sz w:val="20"/>
                <w:szCs w:val="20"/>
                <w:color w:val="auto"/>
              </w:rPr>
            </w:pPr>
            <w:r>
              <w:rPr>
                <w:rFonts w:ascii="Arial" w:cs="Arial" w:eastAsia="Arial" w:hAnsi="Arial"/>
                <w:sz w:val="9"/>
                <w:szCs w:val="9"/>
                <w:color w:val="FFFFFF"/>
              </w:rPr>
              <w:t>15</w:t>
            </w: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Shareholder Meeting to be held on May 07, 2008</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80" w:type="dxa"/>
            <w:vAlign w:val="bottom"/>
            <w:gridSpan w:val="4"/>
          </w:tcPr>
          <w:p>
            <w:pPr>
              <w:spacing w:after="0"/>
              <w:rPr>
                <w:sz w:val="20"/>
                <w:szCs w:val="20"/>
                <w:color w:val="auto"/>
              </w:rPr>
            </w:pPr>
            <w:r>
              <w:rPr>
                <w:rFonts w:ascii="Arial" w:cs="Arial" w:eastAsia="Arial" w:hAnsi="Arial"/>
                <w:sz w:val="3"/>
                <w:szCs w:val="3"/>
                <w:color w:val="FFFFFF"/>
              </w:rPr>
              <w:t>Proxy Material Available</w:t>
            </w: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gridSpan w:val="3"/>
          </w:tcPr>
          <w:p>
            <w:pPr>
              <w:spacing w:after="0"/>
              <w:rPr>
                <w:sz w:val="20"/>
                <w:szCs w:val="20"/>
                <w:color w:val="auto"/>
              </w:rPr>
            </w:pPr>
            <w:r>
              <w:rPr>
                <w:rFonts w:ascii="Arial" w:cs="Arial" w:eastAsia="Arial" w:hAnsi="Arial"/>
                <w:sz w:val="3"/>
                <w:szCs w:val="3"/>
                <w:color w:val="FFFFFF"/>
              </w:rPr>
              <w:t>1 Proxy Statement</w:t>
            </w: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2 Annual Report 10k Wrap</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3"/>
                <w:szCs w:val="3"/>
                <w:color w:val="auto"/>
              </w:rPr>
            </w:pPr>
          </w:p>
        </w:tc>
        <w:tc>
          <w:tcPr>
            <w:tcW w:w="6340" w:type="dxa"/>
            <w:vAlign w:val="bottom"/>
            <w:gridSpan w:val="4"/>
          </w:tcPr>
          <w:p>
            <w:pPr>
              <w:jc w:val="right"/>
              <w:ind w:right="4278"/>
              <w:spacing w:after="0"/>
              <w:rPr>
                <w:sz w:val="20"/>
                <w:szCs w:val="20"/>
                <w:color w:val="auto"/>
              </w:rPr>
            </w:pPr>
            <w:r>
              <w:rPr>
                <w:rFonts w:ascii="Arial" w:cs="Arial" w:eastAsia="Arial" w:hAnsi="Arial"/>
                <w:sz w:val="3"/>
                <w:szCs w:val="3"/>
                <w:color w:val="FFFFFF"/>
              </w:rPr>
              <w:t>MATERIAL - VIEW OR RECEIVE</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7"/>
          </w:tcPr>
          <w:p>
            <w:pPr>
              <w:spacing w:after="0"/>
              <w:rPr>
                <w:sz w:val="20"/>
                <w:szCs w:val="20"/>
                <w:color w:val="auto"/>
              </w:rPr>
            </w:pPr>
            <w:r>
              <w:rPr>
                <w:rFonts w:ascii="Arial" w:cs="Arial" w:eastAsia="Arial" w:hAnsi="Arial"/>
                <w:sz w:val="3"/>
                <w:szCs w:val="3"/>
                <w:color w:val="FFFFFF"/>
              </w:rPr>
              <w:t>PROXYoucan choose to view the material online or receive a paper or e-mail copy. There is NO charge for requesting a copy. Requests, instructions and other inquiries will NOT be forwarded to your investment</w:t>
            </w:r>
          </w:p>
        </w:tc>
        <w:tc>
          <w:tcPr>
            <w:tcW w:w="0" w:type="dxa"/>
            <w:vAlign w:val="bottom"/>
          </w:tcPr>
          <w:p>
            <w:pPr>
              <w:spacing w:after="0"/>
              <w:rPr>
                <w:sz w:val="1"/>
                <w:szCs w:val="1"/>
                <w:color w:val="auto"/>
              </w:rPr>
            </w:pPr>
          </w:p>
        </w:tc>
      </w:tr>
      <w:tr>
        <w:trPr>
          <w:trHeight w:val="41"/>
        </w:trPr>
        <w:tc>
          <w:tcPr>
            <w:tcW w:w="460" w:type="dxa"/>
            <w:vAlign w:val="bottom"/>
          </w:tcPr>
          <w:p>
            <w:pPr>
              <w:ind w:left="400"/>
              <w:spacing w:after="0"/>
              <w:rPr>
                <w:sz w:val="20"/>
                <w:szCs w:val="20"/>
                <w:color w:val="auto"/>
              </w:rPr>
            </w:pPr>
            <w:r>
              <w:rPr>
                <w:rFonts w:ascii="Arial" w:cs="Arial" w:eastAsia="Arial" w:hAnsi="Arial"/>
                <w:sz w:val="3"/>
                <w:szCs w:val="3"/>
                <w:color w:val="FFFFFF"/>
              </w:rPr>
              <w:t>.</w:t>
            </w: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advisorTfacilitate timely delivery please make the request as instructed below on or before April 24, 2008</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5"/>
          </w:tcPr>
          <w:p>
            <w:pPr>
              <w:ind w:left="360"/>
              <w:spacing w:after="0"/>
              <w:rPr>
                <w:sz w:val="20"/>
                <w:szCs w:val="20"/>
                <w:color w:val="auto"/>
              </w:rPr>
            </w:pPr>
            <w:r>
              <w:rPr>
                <w:rFonts w:ascii="Arial" w:cs="Arial" w:eastAsia="Arial" w:hAnsi="Arial"/>
                <w:sz w:val="3"/>
                <w:szCs w:val="3"/>
                <w:color w:val="FFFFFF"/>
              </w:rPr>
              <w:t>TO VIEW MATERIAL VIA THE INTERNET</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5"/>
          </w:tcPr>
          <w:p>
            <w:pPr>
              <w:ind w:left="100"/>
              <w:spacing w:after="0"/>
              <w:rPr>
                <w:sz w:val="20"/>
                <w:szCs w:val="20"/>
                <w:color w:val="auto"/>
              </w:rPr>
            </w:pPr>
            <w:r>
              <w:rPr>
                <w:rFonts w:ascii="Arial" w:cs="Arial" w:eastAsia="Arial" w:hAnsi="Arial"/>
                <w:sz w:val="3"/>
                <w:szCs w:val="3"/>
                <w:color w:val="FFFFFF"/>
              </w:rPr>
              <w:t>ave the 12 Digit Control Number(s) available and visit: www.proxyvote.com</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HOW TO REQUEST A COPY OF MATERIAL</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gridSpan w:val="3"/>
          </w:tcPr>
          <w:p>
            <w:pPr>
              <w:spacing w:after="0"/>
              <w:rPr>
                <w:sz w:val="20"/>
                <w:szCs w:val="20"/>
                <w:color w:val="auto"/>
              </w:rPr>
            </w:pPr>
            <w:r>
              <w:rPr>
                <w:rFonts w:ascii="Arial" w:cs="Arial" w:eastAsia="Arial" w:hAnsi="Arial"/>
                <w:sz w:val="3"/>
                <w:szCs w:val="3"/>
                <w:color w:val="FFFFFF"/>
              </w:rPr>
              <w:t>1) BY INTERNET -</w:t>
            </w: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gridSpan w:val="3"/>
          </w:tcPr>
          <w:p>
            <w:pPr>
              <w:spacing w:after="0"/>
              <w:rPr>
                <w:sz w:val="20"/>
                <w:szCs w:val="20"/>
                <w:color w:val="auto"/>
              </w:rPr>
            </w:pPr>
            <w:r>
              <w:rPr>
                <w:rFonts w:ascii="Arial" w:cs="Arial" w:eastAsia="Arial" w:hAnsi="Arial"/>
                <w:sz w:val="3"/>
                <w:szCs w:val="3"/>
                <w:color w:val="FFFFFF"/>
              </w:rPr>
              <w:t>www.proxyvote.com</w:t>
            </w: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gridSpan w:val="3"/>
          </w:tcPr>
          <w:p>
            <w:pPr>
              <w:spacing w:after="0"/>
              <w:rPr>
                <w:sz w:val="20"/>
                <w:szCs w:val="20"/>
                <w:color w:val="auto"/>
              </w:rPr>
            </w:pPr>
            <w:r>
              <w:rPr>
                <w:rFonts w:ascii="Arial" w:cs="Arial" w:eastAsia="Arial" w:hAnsi="Arial"/>
                <w:sz w:val="3"/>
                <w:szCs w:val="3"/>
                <w:color w:val="FFFFFF"/>
              </w:rPr>
              <w:t>2) BY TELEPHONE -</w:t>
            </w: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0" w:type="dxa"/>
            <w:vAlign w:val="bottom"/>
            <w:gridSpan w:val="2"/>
          </w:tcPr>
          <w:p>
            <w:pPr>
              <w:spacing w:after="0"/>
              <w:rPr>
                <w:sz w:val="20"/>
                <w:szCs w:val="20"/>
                <w:color w:val="auto"/>
              </w:rPr>
            </w:pPr>
            <w:r>
              <w:rPr>
                <w:rFonts w:ascii="Arial" w:cs="Arial" w:eastAsia="Arial" w:hAnsi="Arial"/>
                <w:sz w:val="3"/>
                <w:szCs w:val="3"/>
                <w:color w:val="FFFFFF"/>
              </w:rPr>
              <w:t>1-800-579-1639</w:t>
            </w: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20" w:type="dxa"/>
            <w:vAlign w:val="bottom"/>
            <w:vMerge w:val="restart"/>
          </w:tcPr>
          <w:p>
            <w:pPr>
              <w:jc w:val="right"/>
              <w:ind w:right="5118"/>
              <w:spacing w:after="0" w:line="122" w:lineRule="exact"/>
              <w:rPr>
                <w:sz w:val="20"/>
                <w:szCs w:val="20"/>
                <w:color w:val="auto"/>
              </w:rPr>
            </w:pPr>
            <w:r>
              <w:rPr>
                <w:rFonts w:ascii="Arial" w:cs="Arial" w:eastAsia="Arial" w:hAnsi="Arial"/>
                <w:sz w:val="14"/>
                <w:szCs w:val="14"/>
                <w:color w:val="FFFFFF"/>
                <w:w w:val="78"/>
              </w:rPr>
              <w:t>.com</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240" w:type="dxa"/>
            <w:vAlign w:val="bottom"/>
            <w:gridSpan w:val="3"/>
          </w:tcPr>
          <w:p>
            <w:pPr>
              <w:spacing w:after="0" w:line="81" w:lineRule="exact"/>
              <w:rPr>
                <w:sz w:val="20"/>
                <w:szCs w:val="20"/>
                <w:color w:val="auto"/>
              </w:rPr>
            </w:pPr>
            <w:r>
              <w:rPr>
                <w:rFonts w:ascii="Arial" w:cs="Arial" w:eastAsia="Arial" w:hAnsi="Arial"/>
                <w:sz w:val="9"/>
                <w:szCs w:val="9"/>
                <w:color w:val="FFFFFF"/>
              </w:rPr>
              <w:t>3) BY E-MAIL* -</w:t>
            </w:r>
          </w:p>
        </w:tc>
        <w:tc>
          <w:tcPr>
            <w:tcW w:w="140" w:type="dxa"/>
            <w:vAlign w:val="bottom"/>
          </w:tcPr>
          <w:p>
            <w:pPr>
              <w:spacing w:after="0"/>
              <w:rPr>
                <w:sz w:val="7"/>
                <w:szCs w:val="7"/>
                <w:color w:val="auto"/>
              </w:rPr>
            </w:pPr>
          </w:p>
        </w:tc>
        <w:tc>
          <w:tcPr>
            <w:tcW w:w="54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320" w:type="dxa"/>
            <w:vAlign w:val="bottom"/>
            <w:gridSpan w:val="7"/>
          </w:tcPr>
          <w:p>
            <w:pPr>
              <w:spacing w:after="0"/>
              <w:rPr>
                <w:sz w:val="20"/>
                <w:szCs w:val="20"/>
                <w:color w:val="auto"/>
              </w:rPr>
            </w:pPr>
            <w:r>
              <w:rPr>
                <w:rFonts w:ascii="Arial" w:cs="Arial" w:eastAsia="Arial" w:hAnsi="Arial"/>
                <w:sz w:val="3"/>
                <w:szCs w:val="3"/>
                <w:color w:val="FFFFFF"/>
              </w:rPr>
              <w:t>sendmaterial@proxyvote*lfrequestingby  -mail, please send a blank e-mail with the 12 Digit Control Number (located on the following page) in the subject line.</w:t>
            </w:r>
          </w:p>
        </w:tc>
        <w:tc>
          <w:tcPr>
            <w:tcW w:w="0" w:type="dxa"/>
            <w:vAlign w:val="bottom"/>
          </w:tcPr>
          <w:p>
            <w:pPr>
              <w:spacing w:after="0"/>
              <w:rPr>
                <w:sz w:val="1"/>
                <w:szCs w:val="1"/>
                <w:color w:val="auto"/>
              </w:rPr>
            </w:pPr>
          </w:p>
        </w:tc>
      </w:tr>
      <w:tr>
        <w:trPr>
          <w:trHeight w:val="41"/>
        </w:trPr>
        <w:tc>
          <w:tcPr>
            <w:tcW w:w="1380" w:type="dxa"/>
            <w:vAlign w:val="bottom"/>
            <w:gridSpan w:val="4"/>
          </w:tcPr>
          <w:p>
            <w:pPr>
              <w:spacing w:after="0"/>
              <w:rPr>
                <w:sz w:val="20"/>
                <w:szCs w:val="20"/>
                <w:color w:val="auto"/>
              </w:rPr>
            </w:pPr>
            <w:r>
              <w:rPr>
                <w:rFonts w:ascii="Arial" w:cs="Arial" w:eastAsia="Arial" w:hAnsi="Arial"/>
                <w:sz w:val="3"/>
                <w:szCs w:val="3"/>
                <w:color w:val="FFFFFF"/>
              </w:rPr>
              <w:t>See the Reverse Side for</w:t>
            </w:r>
          </w:p>
        </w:tc>
        <w:tc>
          <w:tcPr>
            <w:tcW w:w="5420" w:type="dxa"/>
            <w:vAlign w:val="bottom"/>
          </w:tcPr>
          <w:p>
            <w:pPr>
              <w:jc w:val="right"/>
              <w:ind w:right="2478"/>
              <w:spacing w:after="0"/>
              <w:rPr>
                <w:sz w:val="20"/>
                <w:szCs w:val="20"/>
                <w:color w:val="auto"/>
              </w:rPr>
            </w:pPr>
            <w:r>
              <w:rPr>
                <w:rFonts w:ascii="Arial" w:cs="Arial" w:eastAsia="Arial" w:hAnsi="Arial"/>
                <w:sz w:val="3"/>
                <w:szCs w:val="3"/>
                <w:color w:val="FFFFFF"/>
              </w:rPr>
              <w:t>Meeting Information and Instructions on How to Vote</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5"/>
          </w:tcPr>
          <w:p>
            <w:pPr>
              <w:spacing w:after="0"/>
              <w:rPr>
                <w:sz w:val="20"/>
                <w:szCs w:val="20"/>
                <w:color w:val="auto"/>
              </w:rPr>
            </w:pPr>
            <w:r>
              <w:rPr>
                <w:rFonts w:ascii="Arial" w:cs="Arial" w:eastAsia="Arial" w:hAnsi="Arial"/>
                <w:sz w:val="3"/>
                <w:szCs w:val="3"/>
                <w:color w:val="FFFFFF"/>
              </w:rPr>
              <w:t>Broadridge Internal Use Only</w:t>
            </w: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rPr>
                <w:sz w:val="20"/>
                <w:szCs w:val="20"/>
                <w:color w:val="auto"/>
              </w:rPr>
            </w:pPr>
            <w:r>
              <w:rPr>
                <w:rFonts w:ascii="Arial" w:cs="Arial" w:eastAsia="Arial" w:hAnsi="Arial"/>
                <w:sz w:val="3"/>
                <w:szCs w:val="3"/>
                <w:color w:val="FFFFFF"/>
              </w:rPr>
              <w:t>Job #</w:t>
            </w: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940" w:type="dxa"/>
            <w:vAlign w:val="bottom"/>
            <w:gridSpan w:val="2"/>
          </w:tcPr>
          <w:p>
            <w:pPr>
              <w:spacing w:after="0"/>
              <w:rPr>
                <w:sz w:val="20"/>
                <w:szCs w:val="20"/>
                <w:color w:val="auto"/>
              </w:rPr>
            </w:pPr>
            <w:r>
              <w:rPr>
                <w:rFonts w:ascii="Arial" w:cs="Arial" w:eastAsia="Arial" w:hAnsi="Arial"/>
                <w:sz w:val="14"/>
                <w:szCs w:val="14"/>
                <w:color w:val="FFFFFF"/>
              </w:rPr>
              <w:t>Envelope #</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Sequence #</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FFFFFF"/>
        </w:rPr>
        <w:t># of # Sequence #</w:t>
      </w:r>
    </w:p>
    <w:p>
      <w:pPr>
        <w:sectPr>
          <w:pgSz w:w="11900" w:h="16838" w:orient="portrait"/>
          <w:cols w:equalWidth="0" w:num="1">
            <w:col w:w="11320"/>
          </w:cols>
          <w:pgMar w:left="24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96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69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0"/>
        <w:spacing w:after="0"/>
        <w:rPr>
          <w:sz w:val="20"/>
          <w:szCs w:val="20"/>
          <w:color w:val="auto"/>
        </w:rPr>
      </w:pPr>
      <w:r>
        <w:rPr>
          <w:rFonts w:ascii="Arial" w:cs="Arial" w:eastAsia="Arial" w:hAnsi="Arial"/>
          <w:sz w:val="14"/>
          <w:szCs w:val="14"/>
          <w:color w:val="FFFFFF"/>
        </w:rPr>
        <w:t>Information</w:t>
      </w:r>
    </w:p>
    <w:p>
      <w:pPr>
        <w:spacing w:after="0" w:line="211" w:lineRule="auto"/>
        <w:rPr>
          <w:sz w:val="20"/>
          <w:szCs w:val="20"/>
          <w:color w:val="auto"/>
        </w:rPr>
      </w:pPr>
      <w:r>
        <w:rPr>
          <w:rFonts w:ascii="Arial" w:cs="Arial" w:eastAsia="Arial" w:hAnsi="Arial"/>
          <w:sz w:val="4"/>
          <w:szCs w:val="4"/>
          <w:color w:val="FFFFFF"/>
          <w:vertAlign w:val="subscript"/>
        </w:rPr>
        <w:t>Meeting</w:t>
      </w:r>
      <w:r>
        <w:rPr>
          <w:rFonts w:ascii="Arial" w:cs="Arial" w:eastAsia="Arial" w:hAnsi="Arial"/>
          <w:sz w:val="2"/>
          <w:szCs w:val="2"/>
          <w:color w:val="FFFFFF"/>
        </w:rPr>
        <w:t xml:space="preserve"> Date:Type: MayAnnual07,Meeting2008</w:t>
      </w:r>
    </w:p>
    <w:p>
      <w:pPr>
        <w:ind w:left="500"/>
        <w:spacing w:after="0" w:line="188" w:lineRule="auto"/>
        <w:rPr>
          <w:sz w:val="20"/>
          <w:szCs w:val="20"/>
          <w:color w:val="auto"/>
        </w:rPr>
      </w:pPr>
      <w:r>
        <w:rPr>
          <w:rFonts w:ascii="Arial" w:cs="Arial" w:eastAsia="Arial" w:hAnsi="Arial"/>
          <w:sz w:val="9"/>
          <w:szCs w:val="9"/>
          <w:color w:val="FFFFFF"/>
        </w:rPr>
        <w:t>Time: 10:00 AM EDT</w:t>
      </w:r>
    </w:p>
    <w:p>
      <w:pPr>
        <w:spacing w:after="0"/>
        <w:rPr>
          <w:sz w:val="20"/>
          <w:szCs w:val="20"/>
          <w:color w:val="auto"/>
        </w:rPr>
      </w:pPr>
      <w:r>
        <w:rPr>
          <w:rFonts w:ascii="Arial" w:cs="Arial" w:eastAsia="Arial" w:hAnsi="Arial"/>
          <w:sz w:val="3"/>
          <w:szCs w:val="3"/>
          <w:color w:val="FFFFFF"/>
        </w:rPr>
        <w:t>MeetingForholdersLocation:asof:March 19, 2008</w:t>
      </w:r>
    </w:p>
    <w:p>
      <w:pPr>
        <w:spacing w:after="0" w:line="194" w:lineRule="auto"/>
        <w:rPr>
          <w:sz w:val="20"/>
          <w:szCs w:val="20"/>
          <w:color w:val="auto"/>
        </w:rPr>
      </w:pPr>
      <w:r>
        <w:rPr>
          <w:rFonts w:ascii="Arial" w:cs="Arial" w:eastAsia="Arial" w:hAnsi="Arial"/>
          <w:sz w:val="5"/>
          <w:szCs w:val="5"/>
          <w:color w:val="FFFFFF"/>
        </w:rPr>
        <w:t>Woodmont Country Club</w:t>
      </w:r>
    </w:p>
    <w:p>
      <w:pPr>
        <w:spacing w:after="0"/>
        <w:rPr>
          <w:sz w:val="20"/>
          <w:szCs w:val="20"/>
          <w:color w:val="auto"/>
        </w:rPr>
      </w:pPr>
      <w:r>
        <w:rPr>
          <w:rFonts w:ascii="Arial" w:cs="Arial" w:eastAsia="Arial" w:hAnsi="Arial"/>
          <w:sz w:val="3"/>
          <w:szCs w:val="3"/>
          <w:color w:val="FFFFFF"/>
        </w:rPr>
        <w:t>1201 Rockville Pike</w:t>
      </w:r>
    </w:p>
    <w:p>
      <w:pPr>
        <w:spacing w:after="0" w:line="194" w:lineRule="auto"/>
        <w:rPr>
          <w:sz w:val="20"/>
          <w:szCs w:val="20"/>
          <w:color w:val="auto"/>
        </w:rPr>
      </w:pPr>
      <w:r>
        <w:rPr>
          <w:rFonts w:ascii="Arial" w:cs="Arial" w:eastAsia="Arial" w:hAnsi="Arial"/>
          <w:sz w:val="3"/>
          <w:szCs w:val="3"/>
          <w:color w:val="FFFFFF"/>
        </w:rPr>
        <w:t xml:space="preserve">Rockville, </w:t>
      </w:r>
      <w:r>
        <w:rPr>
          <w:rFonts w:ascii="Arial" w:cs="Arial" w:eastAsia="Arial" w:hAnsi="Arial"/>
          <w:sz w:val="5"/>
          <w:szCs w:val="5"/>
          <w:color w:val="FFFFFF"/>
          <w:vertAlign w:val="superscript"/>
        </w:rPr>
        <w:t>MD 20852</w:t>
      </w:r>
    </w:p>
    <w:p>
      <w:pPr>
        <w:spacing w:after="0"/>
        <w:rPr>
          <w:sz w:val="20"/>
          <w:szCs w:val="20"/>
          <w:color w:val="auto"/>
        </w:rPr>
      </w:pPr>
      <w:r>
        <w:rPr>
          <w:rFonts w:ascii="Arial" w:cs="Arial" w:eastAsia="Arial" w:hAnsi="Arial"/>
          <w:sz w:val="3"/>
          <w:szCs w:val="3"/>
          <w:color w:val="FFFFFF"/>
        </w:rPr>
        <w:t>How T  Vote</w:t>
      </w:r>
    </w:p>
    <w:p>
      <w:pPr>
        <w:spacing w:after="0" w:line="194" w:lineRule="auto"/>
        <w:rPr>
          <w:sz w:val="20"/>
          <w:szCs w:val="20"/>
          <w:color w:val="auto"/>
        </w:rPr>
      </w:pPr>
      <w:r>
        <w:rPr>
          <w:rFonts w:ascii="Arial" w:cs="Arial" w:eastAsia="Arial" w:hAnsi="Arial"/>
          <w:sz w:val="5"/>
          <w:szCs w:val="5"/>
          <w:color w:val="FFFFFF"/>
        </w:rPr>
        <w:t>Vote In Person</w:t>
      </w:r>
    </w:p>
    <w:p>
      <w:pPr>
        <w:spacing w:after="0" w:line="211" w:lineRule="auto"/>
        <w:rPr>
          <w:sz w:val="20"/>
          <w:szCs w:val="20"/>
          <w:color w:val="auto"/>
        </w:rPr>
      </w:pPr>
      <w:r>
        <w:rPr>
          <w:rFonts w:ascii="Arial" w:cs="Arial" w:eastAsia="Arial" w:hAnsi="Arial"/>
          <w:sz w:val="2"/>
          <w:szCs w:val="2"/>
          <w:color w:val="FFFFFF"/>
        </w:rPr>
        <w:t>Should you choose to vote these shares in person</w:t>
      </w:r>
      <w:r>
        <w:rPr>
          <w:rFonts w:ascii="Arial" w:cs="Arial" w:eastAsia="Arial" w:hAnsi="Arial"/>
          <w:sz w:val="4"/>
          <w:szCs w:val="4"/>
          <w:color w:val="FFFFFF"/>
          <w:vertAlign w:val="subscript"/>
        </w:rPr>
        <w:t>attendance</w:t>
      </w:r>
      <w:r>
        <w:rPr>
          <w:rFonts w:ascii="Arial" w:cs="Arial" w:eastAsia="Arial" w:hAnsi="Arial"/>
          <w:sz w:val="2"/>
          <w:szCs w:val="2"/>
          <w:color w:val="FFFFFF"/>
        </w:rPr>
        <w:t>the meeting you must request a “legal proxy”. To request a legal proxy please follow the instructions at www.proxyvote.com or request a paper copy of the</w:t>
      </w:r>
    </w:p>
    <w:p>
      <w:pPr>
        <w:spacing w:after="0" w:line="187" w:lineRule="auto"/>
        <w:rPr>
          <w:sz w:val="20"/>
          <w:szCs w:val="20"/>
          <w:color w:val="auto"/>
        </w:rPr>
      </w:pPr>
      <w:r>
        <w:rPr>
          <w:rFonts w:ascii="Arial" w:cs="Arial" w:eastAsia="Arial" w:hAnsi="Arial"/>
          <w:sz w:val="9"/>
          <w:szCs w:val="9"/>
          <w:color w:val="FFFFFF"/>
        </w:rPr>
        <w:t>material. Many shareholder meetings have requirements including, but not limited to, the possession of an attendance ticket issued by the entity holding the meeting. Please check the meeting material for any special requirements for meeting attendance.</w:t>
      </w:r>
    </w:p>
    <w:p>
      <w:pPr>
        <w:spacing w:after="0"/>
        <w:rPr>
          <w:sz w:val="20"/>
          <w:szCs w:val="20"/>
          <w:color w:val="auto"/>
        </w:rPr>
      </w:pPr>
      <w:r>
        <w:rPr>
          <w:rFonts w:ascii="Arial" w:cs="Arial" w:eastAsia="Arial" w:hAnsi="Arial"/>
          <w:sz w:val="3"/>
          <w:szCs w:val="3"/>
          <w:color w:val="FFFFFF"/>
        </w:rPr>
        <w:t>Vote By Internet</w:t>
      </w:r>
    </w:p>
    <w:p>
      <w:pPr>
        <w:spacing w:after="0" w:line="181" w:lineRule="auto"/>
        <w:rPr>
          <w:sz w:val="20"/>
          <w:szCs w:val="20"/>
          <w:color w:val="auto"/>
        </w:rPr>
      </w:pPr>
      <w:r>
        <w:rPr>
          <w:rFonts w:ascii="Arial" w:cs="Arial" w:eastAsia="Arial" w:hAnsi="Arial"/>
          <w:sz w:val="10"/>
          <w:szCs w:val="10"/>
          <w:color w:val="FFFFFF"/>
        </w:rPr>
        <w:t>To vote now by Internet, go to WWW.PROXYVOTE.COM.</w:t>
      </w:r>
    </w:p>
    <w:p>
      <w:pPr>
        <w:spacing w:after="0"/>
        <w:rPr>
          <w:sz w:val="20"/>
          <w:szCs w:val="20"/>
          <w:color w:val="auto"/>
        </w:rPr>
      </w:pPr>
      <w:r>
        <w:rPr>
          <w:rFonts w:ascii="Arial" w:cs="Arial" w:eastAsia="Arial" w:hAnsi="Arial"/>
          <w:sz w:val="3"/>
          <w:szCs w:val="3"/>
          <w:color w:val="FFFFFF"/>
        </w:rPr>
        <w:t>BroadridgePleaserefer InternaltotheproposalsUseOnlyand follow the instructions.</w:t>
      </w:r>
    </w:p>
    <w:p>
      <w:pPr>
        <w:spacing w:after="0" w:line="194" w:lineRule="auto"/>
        <w:rPr>
          <w:sz w:val="20"/>
          <w:szCs w:val="20"/>
          <w:color w:val="auto"/>
        </w:rPr>
      </w:pPr>
      <w:r>
        <w:rPr>
          <w:rFonts w:ascii="Arial" w:cs="Arial" w:eastAsia="Arial" w:hAnsi="Arial"/>
          <w:sz w:val="5"/>
          <w:szCs w:val="5"/>
          <w:color w:val="FFFFFF"/>
        </w:rPr>
        <w:t>Job #</w:t>
      </w:r>
    </w:p>
    <w:p>
      <w:pPr>
        <w:spacing w:after="0"/>
        <w:rPr>
          <w:sz w:val="20"/>
          <w:szCs w:val="20"/>
          <w:color w:val="auto"/>
        </w:rPr>
      </w:pPr>
      <w:r>
        <w:rPr>
          <w:rFonts w:ascii="Arial" w:cs="Arial" w:eastAsia="Arial" w:hAnsi="Arial"/>
          <w:sz w:val="3"/>
          <w:szCs w:val="3"/>
          <w:color w:val="FFFFFF"/>
        </w:rPr>
        <w:t>Envelope #</w:t>
      </w:r>
    </w:p>
    <w:p>
      <w:pPr>
        <w:spacing w:after="0" w:line="194" w:lineRule="auto"/>
        <w:rPr>
          <w:sz w:val="20"/>
          <w:szCs w:val="20"/>
          <w:color w:val="auto"/>
        </w:rPr>
      </w:pPr>
      <w:r>
        <w:rPr>
          <w:rFonts w:ascii="Arial" w:cs="Arial" w:eastAsia="Arial" w:hAnsi="Arial"/>
          <w:sz w:val="5"/>
          <w:szCs w:val="5"/>
          <w:color w:val="FFFFFF"/>
        </w:rPr>
        <w:t>Sequence #</w:t>
      </w:r>
    </w:p>
    <w:p>
      <w:pPr>
        <w:spacing w:after="0"/>
        <w:rPr>
          <w:sz w:val="20"/>
          <w:szCs w:val="20"/>
          <w:color w:val="auto"/>
        </w:rPr>
      </w:pPr>
      <w:r>
        <w:rPr>
          <w:rFonts w:ascii="Arial" w:cs="Arial" w:eastAsia="Arial" w:hAnsi="Arial"/>
          <w:sz w:val="14"/>
          <w:szCs w:val="14"/>
          <w:color w:val="FFFFFF"/>
        </w:rPr>
        <w:t># of # Sequence #</w:t>
      </w:r>
    </w:p>
    <w:p>
      <w:pPr>
        <w:sectPr>
          <w:pgSz w:w="11900" w:h="16838" w:orient="portrait"/>
          <w:cols w:equalWidth="0" w:num="1">
            <w:col w:w="11400"/>
          </w:cols>
          <w:pgMar w:left="240" w:top="1440" w:right="2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82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2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The Board of Trustees recommends you vote FOR the following proposal(s).</w:t>
      </w:r>
    </w:p>
    <w:p>
      <w:pPr>
        <w:spacing w:after="0"/>
        <w:rPr>
          <w:sz w:val="20"/>
          <w:szCs w:val="20"/>
          <w:color w:val="auto"/>
        </w:rPr>
      </w:pPr>
      <w:r>
        <w:rPr>
          <w:rFonts w:ascii="Arial" w:cs="Arial" w:eastAsia="Arial" w:hAnsi="Arial"/>
          <w:sz w:val="3"/>
          <w:szCs w:val="3"/>
          <w:color w:val="FFFFFF"/>
        </w:rPr>
        <w:t>Nominees1Election of Trustees</w:t>
      </w:r>
    </w:p>
    <w:p>
      <w:pPr>
        <w:spacing w:after="0" w:line="194" w:lineRule="auto"/>
        <w:rPr>
          <w:sz w:val="20"/>
          <w:szCs w:val="20"/>
          <w:color w:val="auto"/>
        </w:rPr>
      </w:pPr>
      <w:r>
        <w:rPr>
          <w:rFonts w:ascii="Arial" w:cs="Arial" w:eastAsia="Arial" w:hAnsi="Arial"/>
          <w:sz w:val="5"/>
          <w:szCs w:val="5"/>
          <w:color w:val="FFFFFF"/>
          <w:vertAlign w:val="superscript"/>
        </w:rPr>
        <w:t>1b</w:t>
      </w:r>
      <w:r>
        <w:rPr>
          <w:rFonts w:ascii="Arial" w:cs="Arial" w:eastAsia="Arial" w:hAnsi="Arial"/>
          <w:sz w:val="3"/>
          <w:szCs w:val="3"/>
          <w:color w:val="FFFFFF"/>
        </w:rPr>
        <w:t>a Warren M. Thompson</w:t>
      </w:r>
    </w:p>
    <w:p>
      <w:pPr>
        <w:ind w:left="180"/>
        <w:spacing w:after="0" w:line="211" w:lineRule="auto"/>
        <w:rPr>
          <w:sz w:val="20"/>
          <w:szCs w:val="20"/>
          <w:color w:val="auto"/>
        </w:rPr>
      </w:pPr>
      <w:r>
        <w:rPr>
          <w:rFonts w:ascii="Arial" w:cs="Arial" w:eastAsia="Arial" w:hAnsi="Arial"/>
          <w:sz w:val="2"/>
          <w:szCs w:val="2"/>
          <w:color w:val="FFFFFF"/>
        </w:rPr>
        <w:t>Don</w:t>
      </w:r>
      <w:r>
        <w:rPr>
          <w:rFonts w:ascii="Arial" w:cs="Arial" w:eastAsia="Arial" w:hAnsi="Arial"/>
          <w:sz w:val="4"/>
          <w:szCs w:val="4"/>
          <w:color w:val="FFFFFF"/>
          <w:vertAlign w:val="subscript"/>
        </w:rPr>
        <w:t>Board</w:t>
      </w:r>
      <w:r>
        <w:rPr>
          <w:rFonts w:ascii="Arial" w:cs="Arial" w:eastAsia="Arial" w:hAnsi="Arial"/>
          <w:sz w:val="2"/>
          <w:szCs w:val="2"/>
          <w:color w:val="FFFFFF"/>
        </w:rPr>
        <w:t>ld C. Wood</w:t>
      </w:r>
    </w:p>
    <w:p>
      <w:pPr>
        <w:spacing w:after="0" w:line="188" w:lineRule="auto"/>
        <w:tabs>
          <w:tab w:leader="none" w:pos="600" w:val="left"/>
        </w:tabs>
        <w:rPr>
          <w:sz w:val="20"/>
          <w:szCs w:val="20"/>
          <w:color w:val="auto"/>
        </w:rPr>
      </w:pPr>
      <w:r>
        <w:rPr>
          <w:rFonts w:ascii="Arial" w:cs="Arial" w:eastAsia="Arial" w:hAnsi="Arial"/>
          <w:sz w:val="9"/>
          <w:szCs w:val="9"/>
          <w:color w:val="FFFFFF"/>
          <w:vertAlign w:val="superscript"/>
        </w:rPr>
        <w:t>The</w:t>
      </w:r>
      <w:r>
        <w:rPr>
          <w:sz w:val="20"/>
          <w:szCs w:val="20"/>
          <w:color w:val="auto"/>
        </w:rPr>
        <w:tab/>
      </w:r>
      <w:r>
        <w:rPr>
          <w:rFonts w:ascii="Arial" w:cs="Arial" w:eastAsia="Arial" w:hAnsi="Arial"/>
          <w:sz w:val="7"/>
          <w:szCs w:val="7"/>
          <w:color w:val="FFFFFF"/>
        </w:rPr>
        <w:t>of Trustees recommends you vote FOR the following proposal(s).</w:t>
      </w:r>
    </w:p>
    <w:p>
      <w:pPr>
        <w:spacing w:after="0"/>
        <w:tabs>
          <w:tab w:leader="none" w:pos="160" w:val="left"/>
        </w:tabs>
        <w:rPr>
          <w:sz w:val="20"/>
          <w:szCs w:val="20"/>
          <w:color w:val="auto"/>
        </w:rPr>
      </w:pPr>
      <w:r>
        <w:rPr>
          <w:rFonts w:ascii="Arial" w:cs="Arial" w:eastAsia="Arial" w:hAnsi="Arial"/>
          <w:sz w:val="3"/>
          <w:szCs w:val="3"/>
          <w:color w:val="FFFFFF"/>
        </w:rPr>
        <w:t>2</w:t>
      </w:r>
      <w:r>
        <w:rPr>
          <w:sz w:val="20"/>
          <w:szCs w:val="20"/>
          <w:color w:val="auto"/>
        </w:rPr>
        <w:tab/>
      </w:r>
      <w:r>
        <w:rPr>
          <w:rFonts w:ascii="Arial" w:cs="Arial" w:eastAsia="Arial" w:hAnsi="Arial"/>
          <w:sz w:val="3"/>
          <w:szCs w:val="3"/>
          <w:color w:val="FFFFFF"/>
        </w:rPr>
        <w:t>o Boardratify theofTrusteesappointmentrecommendsofGrant youThorntonvoteAGAINSTLLPasthetheTrust’sfollowingindependentproposal(s)registered. public accounting firm for the fiscal year ending December 31, 2008.</w:t>
      </w:r>
    </w:p>
    <w:p>
      <w:pPr>
        <w:spacing w:after="0" w:line="6" w:lineRule="exact"/>
        <w:rPr>
          <w:sz w:val="20"/>
          <w:szCs w:val="20"/>
          <w:color w:val="auto"/>
        </w:rPr>
      </w:pPr>
    </w:p>
    <w:p>
      <w:pPr>
        <w:ind w:left="720" w:hanging="715"/>
        <w:spacing w:after="0" w:line="181" w:lineRule="auto"/>
        <w:rPr>
          <w:sz w:val="20"/>
          <w:szCs w:val="20"/>
          <w:color w:val="auto"/>
        </w:rPr>
      </w:pPr>
      <w:r>
        <w:rPr>
          <w:rFonts w:ascii="Arial" w:cs="Arial" w:eastAsia="Arial" w:hAnsi="Arial"/>
          <w:sz w:val="14"/>
          <w:szCs w:val="14"/>
          <w:color w:val="FFFFFF"/>
          <w:vertAlign w:val="subscript"/>
        </w:rPr>
        <w:t>adjournment</w:t>
      </w:r>
      <w:r>
        <w:rPr>
          <w:rFonts w:ascii="Arial" w:cs="Arial" w:eastAsia="Arial" w:hAnsi="Arial"/>
          <w:sz w:val="9"/>
          <w:szCs w:val="9"/>
          <w:color w:val="FFFFFF"/>
        </w:rPr>
        <w:t>3consider a shareholder proposal to request that our Board of Trustees take the actions necessary to declassify our Board of Trustees if properly coming before the meeting or any postponement or thereof.</w:t>
      </w:r>
    </w:p>
    <w:p>
      <w:pPr>
        <w:spacing w:after="0" w:line="188" w:lineRule="auto"/>
        <w:rPr>
          <w:sz w:val="20"/>
          <w:szCs w:val="20"/>
          <w:color w:val="auto"/>
        </w:rPr>
      </w:pPr>
      <w:r>
        <w:rPr>
          <w:rFonts w:ascii="Arial" w:cs="Arial" w:eastAsia="Arial" w:hAnsi="Arial"/>
          <w:sz w:val="9"/>
          <w:szCs w:val="9"/>
          <w:color w:val="FFFFFF"/>
        </w:rPr>
        <w:t>CONTROL#NOTE:Such other0000 0000business0000as may properly come before the meeting or any adjournment thereof.</w:t>
      </w:r>
    </w:p>
    <w:p>
      <w:pPr>
        <w:spacing w:after="0"/>
        <w:rPr>
          <w:sz w:val="20"/>
          <w:szCs w:val="20"/>
          <w:color w:val="auto"/>
        </w:rPr>
      </w:pPr>
      <w:r>
        <w:rPr>
          <w:rFonts w:ascii="Arial" w:cs="Arial" w:eastAsia="Arial" w:hAnsi="Arial"/>
          <w:sz w:val="3"/>
          <w:szCs w:val="3"/>
          <w:color w:val="FFFFFF"/>
        </w:rPr>
        <w:t>AcctBroadridge# Internal Use Only</w:t>
      </w:r>
    </w:p>
    <w:p>
      <w:pPr>
        <w:spacing w:after="0" w:line="194" w:lineRule="auto"/>
        <w:rPr>
          <w:sz w:val="20"/>
          <w:szCs w:val="20"/>
          <w:color w:val="auto"/>
        </w:rPr>
      </w:pPr>
      <w:r>
        <w:rPr>
          <w:rFonts w:ascii="Arial" w:cs="Arial" w:eastAsia="Arial" w:hAnsi="Arial"/>
          <w:sz w:val="5"/>
          <w:szCs w:val="5"/>
          <w:color w:val="FFFFFF"/>
        </w:rPr>
        <w:t>Shares</w:t>
      </w:r>
    </w:p>
    <w:p>
      <w:pPr>
        <w:spacing w:after="0"/>
        <w:rPr>
          <w:sz w:val="20"/>
          <w:szCs w:val="20"/>
          <w:color w:val="auto"/>
        </w:rPr>
      </w:pPr>
      <w:r>
        <w:rPr>
          <w:rFonts w:ascii="Arial" w:cs="Arial" w:eastAsia="Arial" w:hAnsi="Arial"/>
          <w:sz w:val="3"/>
          <w:szCs w:val="3"/>
          <w:color w:val="FFFFFF"/>
        </w:rPr>
        <w:t>Cusip</w:t>
      </w:r>
    </w:p>
    <w:p>
      <w:pPr>
        <w:spacing w:after="0" w:line="194" w:lineRule="auto"/>
        <w:rPr>
          <w:sz w:val="20"/>
          <w:szCs w:val="20"/>
          <w:color w:val="auto"/>
        </w:rPr>
      </w:pPr>
      <w:r>
        <w:rPr>
          <w:rFonts w:ascii="Arial" w:cs="Arial" w:eastAsia="Arial" w:hAnsi="Arial"/>
          <w:sz w:val="5"/>
          <w:szCs w:val="5"/>
          <w:color w:val="FFFFFF"/>
        </w:rPr>
        <w:t>Job #</w:t>
      </w:r>
    </w:p>
    <w:p>
      <w:pPr>
        <w:spacing w:after="0"/>
        <w:rPr>
          <w:sz w:val="20"/>
          <w:szCs w:val="20"/>
          <w:color w:val="auto"/>
        </w:rPr>
      </w:pPr>
      <w:r>
        <w:rPr>
          <w:rFonts w:ascii="Arial" w:cs="Arial" w:eastAsia="Arial" w:hAnsi="Arial"/>
          <w:sz w:val="3"/>
          <w:szCs w:val="3"/>
          <w:color w:val="FFFFFF"/>
        </w:rPr>
        <w:t>Envelope #</w:t>
      </w:r>
    </w:p>
    <w:p>
      <w:pPr>
        <w:spacing w:after="0" w:line="194" w:lineRule="auto"/>
        <w:rPr>
          <w:sz w:val="20"/>
          <w:szCs w:val="20"/>
          <w:color w:val="auto"/>
        </w:rPr>
      </w:pPr>
      <w:r>
        <w:rPr>
          <w:rFonts w:ascii="Arial" w:cs="Arial" w:eastAsia="Arial" w:hAnsi="Arial"/>
          <w:sz w:val="5"/>
          <w:szCs w:val="5"/>
          <w:color w:val="FFFFFF"/>
        </w:rPr>
        <w:t>Sequence #</w:t>
      </w:r>
    </w:p>
    <w:p>
      <w:pPr>
        <w:spacing w:after="0"/>
        <w:rPr>
          <w:sz w:val="20"/>
          <w:szCs w:val="20"/>
          <w:color w:val="auto"/>
        </w:rPr>
      </w:pPr>
      <w:r>
        <w:rPr>
          <w:rFonts w:ascii="Arial" w:cs="Arial" w:eastAsia="Arial" w:hAnsi="Arial"/>
          <w:sz w:val="3"/>
          <w:szCs w:val="3"/>
          <w:color w:val="FFFFFF"/>
        </w:rPr>
        <w:t># of # Sequence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BARCODE</w:t>
      </w:r>
    </w:p>
    <w:p>
      <w:pPr>
        <w:sectPr>
          <w:pgSz w:w="11900" w:h="16838" w:orient="portrait"/>
          <w:cols w:equalWidth="0" w:num="1">
            <w:col w:w="10760"/>
          </w:cols>
          <w:pgMar w:left="240" w:top="1440" w:right="8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910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FFFFFF"/>
        </w:rPr>
        <w:t>VotingReservedInstructionsforBroadridge Internal Control Information</w:t>
      </w:r>
    </w:p>
    <w:p>
      <w:pPr>
        <w:spacing w:after="0"/>
        <w:rPr>
          <w:sz w:val="20"/>
          <w:szCs w:val="20"/>
          <w:color w:val="auto"/>
        </w:rPr>
      </w:pPr>
      <w:r>
        <w:rPr>
          <w:rFonts w:ascii="Arial" w:cs="Arial" w:eastAsia="Arial" w:hAnsi="Arial"/>
          <w:sz w:val="3"/>
          <w:szCs w:val="3"/>
          <w:color w:val="FFFFFF"/>
        </w:rPr>
        <w:t>BANKSTHISSPACEANDRESERVEDBROKERS FOR LANGUAGE PERTAINING TO</w:t>
      </w:r>
    </w:p>
    <w:p>
      <w:pPr>
        <w:spacing w:after="0" w:line="181" w:lineRule="auto"/>
        <w:rPr>
          <w:sz w:val="20"/>
          <w:szCs w:val="20"/>
          <w:color w:val="auto"/>
        </w:rPr>
      </w:pPr>
      <w:r>
        <w:rPr>
          <w:rFonts w:ascii="Arial" w:cs="Arial" w:eastAsia="Arial" w:hAnsi="Arial"/>
          <w:sz w:val="10"/>
          <w:szCs w:val="10"/>
          <w:color w:val="FFFFFF"/>
        </w:rPr>
        <w:t>AS REQUIRED BY THE NEW YORK STOCK EXCHANGE</w:t>
      </w:r>
    </w:p>
    <w:p>
      <w:pPr>
        <w:spacing w:after="0"/>
        <w:rPr>
          <w:sz w:val="20"/>
          <w:szCs w:val="20"/>
          <w:color w:val="auto"/>
        </w:rPr>
      </w:pPr>
      <w:r>
        <w:rPr>
          <w:rFonts w:ascii="Arial" w:cs="Arial" w:eastAsia="Arial" w:hAnsi="Arial"/>
          <w:sz w:val="3"/>
          <w:szCs w:val="3"/>
          <w:color w:val="FFFFFF"/>
        </w:rPr>
        <w:t>BroadridgeTHISSPACEInternalRESERVEDUseOnlyFOR SIGNATURES IF APPLICABLE</w:t>
      </w:r>
    </w:p>
    <w:p>
      <w:pPr>
        <w:spacing w:after="0" w:line="194" w:lineRule="auto"/>
        <w:rPr>
          <w:sz w:val="20"/>
          <w:szCs w:val="20"/>
          <w:color w:val="auto"/>
        </w:rPr>
      </w:pPr>
      <w:r>
        <w:rPr>
          <w:rFonts w:ascii="Arial" w:cs="Arial" w:eastAsia="Arial" w:hAnsi="Arial"/>
          <w:sz w:val="5"/>
          <w:szCs w:val="5"/>
          <w:color w:val="FFFFFF"/>
        </w:rPr>
        <w:t>Job #</w:t>
      </w:r>
    </w:p>
    <w:p>
      <w:pPr>
        <w:spacing w:after="0"/>
        <w:rPr>
          <w:sz w:val="20"/>
          <w:szCs w:val="20"/>
          <w:color w:val="auto"/>
        </w:rPr>
      </w:pPr>
      <w:r>
        <w:rPr>
          <w:rFonts w:ascii="Arial" w:cs="Arial" w:eastAsia="Arial" w:hAnsi="Arial"/>
          <w:sz w:val="3"/>
          <w:szCs w:val="3"/>
          <w:color w:val="FFFFFF"/>
        </w:rPr>
        <w:t>Envelope #</w:t>
      </w:r>
    </w:p>
    <w:p>
      <w:pPr>
        <w:spacing w:after="0" w:line="194" w:lineRule="auto"/>
        <w:rPr>
          <w:sz w:val="20"/>
          <w:szCs w:val="20"/>
          <w:color w:val="auto"/>
        </w:rPr>
      </w:pPr>
      <w:r>
        <w:rPr>
          <w:rFonts w:ascii="Arial" w:cs="Arial" w:eastAsia="Arial" w:hAnsi="Arial"/>
          <w:sz w:val="5"/>
          <w:szCs w:val="5"/>
          <w:color w:val="FFFFFF"/>
        </w:rPr>
        <w:t>Sequence #</w:t>
      </w:r>
    </w:p>
    <w:p>
      <w:pPr>
        <w:spacing w:after="0"/>
        <w:rPr>
          <w:sz w:val="20"/>
          <w:szCs w:val="20"/>
          <w:color w:val="auto"/>
        </w:rPr>
      </w:pPr>
      <w:r>
        <w:rPr>
          <w:rFonts w:ascii="Arial" w:cs="Arial" w:eastAsia="Arial" w:hAnsi="Arial"/>
          <w:sz w:val="14"/>
          <w:szCs w:val="14"/>
          <w:color w:val="FFFFFF"/>
        </w:rPr>
        <w:t># of # Sequence #</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2019-12-11T12:16:19Z</dcterms:created>
  <dcterms:modified xsi:type="dcterms:W3CDTF">2019-12-11T12:16:19Z</dcterms:modified>
</cp:coreProperties>
</file>