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 [NO FEE REQUIRED, EFFECTIVE OCTOBER 7, 1996].</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 [NO</w:t>
      </w:r>
    </w:p>
    <w:p>
      <w:pPr>
        <w:spacing w:after="0" w:line="25" w:lineRule="exact"/>
        <w:rPr>
          <w:rFonts w:ascii="MS PGothic" w:cs="MS PGothic" w:eastAsia="MS PGothic" w:hAnsi="MS PGothic"/>
          <w:sz w:val="21"/>
          <w:szCs w:val="21"/>
          <w:color w:val="auto"/>
        </w:rPr>
      </w:pPr>
    </w:p>
    <w:p>
      <w:pPr>
        <w:ind w:left="58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FEES REQUIRED].</w:t>
      </w:r>
    </w:p>
    <w:p>
      <w:pPr>
        <w:spacing w:after="0" w:line="128" w:lineRule="exact"/>
        <w:rPr>
          <w:sz w:val="24"/>
          <w:szCs w:val="24"/>
          <w:color w:val="auto"/>
        </w:rPr>
      </w:pPr>
    </w:p>
    <w:p>
      <w:pPr>
        <w:ind w:left="58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1808480</wp:posOffset>
            </wp:positionH>
            <wp:positionV relativeFrom="paragraph">
              <wp:posOffset>-10160</wp:posOffset>
            </wp:positionV>
            <wp:extent cx="1263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 Full title of the plan and the address of the plan, if different from that of the issuer named below:</w:t>
      </w:r>
    </w:p>
    <w:p>
      <w:pPr>
        <w:spacing w:after="0" w:line="129" w:lineRule="exact"/>
        <w:rPr>
          <w:sz w:val="24"/>
          <w:szCs w:val="24"/>
          <w:color w:val="auto"/>
        </w:rPr>
      </w:pPr>
    </w:p>
    <w:p>
      <w:pPr>
        <w:jc w:val="center"/>
        <w:ind w:left="260" w:right="460"/>
        <w:spacing w:after="0" w:line="276" w:lineRule="auto"/>
        <w:rPr>
          <w:sz w:val="20"/>
          <w:szCs w:val="20"/>
          <w:color w:val="auto"/>
        </w:rPr>
      </w:pPr>
      <w:r>
        <w:rPr>
          <w:rFonts w:ascii="Arial" w:cs="Arial" w:eastAsia="Arial" w:hAnsi="Arial"/>
          <w:sz w:val="43"/>
          <w:szCs w:val="43"/>
          <w:b w:val="1"/>
          <w:bCs w:val="1"/>
          <w:color w:val="auto"/>
        </w:rPr>
        <w:t>FEDERAL REALTY INVESTMENT TRUST SAVINGS AND RETIREMENT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102870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B. Name of issuer of the securities held pursuant to the plan and the address of its principal executive office: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ROCKVILLE, MARYLAND 20852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Information</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Financial statements and schedules for the Federal Realty Investment Trust Savings And Retirement 401(k) Plan, prepared in accordance with the financial reporting requirements of the Employee Retirement Income Security Act of 1974, are contained in this Annual Report on Form 11-K.</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is listed in the Index to Exhibits.</w:t>
      </w:r>
    </w:p>
    <w:p>
      <w:pPr>
        <w:sectPr>
          <w:pgSz w:w="11900" w:h="16838" w:orient="portrait"/>
          <w:cols w:equalWidth="0" w:num="1">
            <w:col w:w="11360"/>
          </w:cols>
          <w:pgMar w:left="240" w:top="274" w:right="29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Statements and Report 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Independent Certified Public Accountants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Realty Investment Trust Savings and Retirement 401(k) Plan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2004</w:t>
      </w:r>
    </w:p>
    <w:p>
      <w:pPr>
        <w:sectPr>
          <w:pgSz w:w="11900" w:h="16838" w:orient="portrait"/>
          <w:cols w:equalWidth="0" w:num="1">
            <w:col w:w="10219"/>
          </w:cols>
          <w:pgMar w:left="240" w:top="28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180" w:type="dxa"/>
            <w:vAlign w:val="bottom"/>
            <w:gridSpan w:val="7"/>
          </w:tcPr>
          <w:p>
            <w:pPr>
              <w:spacing w:after="0"/>
              <w:rPr>
                <w:sz w:val="20"/>
                <w:szCs w:val="20"/>
                <w:color w:val="auto"/>
              </w:rPr>
            </w:pPr>
            <w:r>
              <w:rPr>
                <w:rFonts w:ascii="Arial" w:cs="Arial" w:eastAsia="Arial" w:hAnsi="Arial"/>
                <w:sz w:val="18"/>
                <w:szCs w:val="18"/>
                <w:b w:val="1"/>
                <w:bCs w:val="1"/>
                <w:color w:val="auto"/>
              </w:rPr>
              <w:t>Federal Realty Investment Trust Savings and Retirement 401(k) Plan</w:t>
            </w:r>
          </w:p>
        </w:tc>
        <w:tc>
          <w:tcPr>
            <w:tcW w:w="3240" w:type="dxa"/>
            <w:vAlign w:val="bottom"/>
          </w:tcPr>
          <w:p>
            <w:pPr>
              <w:spacing w:after="0"/>
              <w:rPr>
                <w:sz w:val="19"/>
                <w:szCs w:val="19"/>
                <w:color w:val="auto"/>
              </w:rPr>
            </w:pPr>
          </w:p>
        </w:tc>
      </w:tr>
      <w:tr>
        <w:trPr>
          <w:trHeight w:val="365"/>
        </w:trPr>
        <w:tc>
          <w:tcPr>
            <w:tcW w:w="8180" w:type="dxa"/>
            <w:vAlign w:val="bottom"/>
            <w:gridSpan w:val="7"/>
          </w:tcPr>
          <w:p>
            <w:pPr>
              <w:ind w:left="20"/>
              <w:spacing w:after="0"/>
              <w:rPr>
                <w:sz w:val="20"/>
                <w:szCs w:val="20"/>
                <w:color w:val="auto"/>
              </w:rPr>
            </w:pPr>
            <w:r>
              <w:rPr>
                <w:rFonts w:ascii="Arial" w:cs="Arial" w:eastAsia="Arial" w:hAnsi="Arial"/>
                <w:sz w:val="18"/>
                <w:szCs w:val="18"/>
                <w:color w:val="auto"/>
              </w:rPr>
              <w:t>Contents</w:t>
            </w:r>
          </w:p>
        </w:tc>
        <w:tc>
          <w:tcPr>
            <w:tcW w:w="3240" w:type="dxa"/>
            <w:vAlign w:val="bottom"/>
          </w:tcPr>
          <w:p>
            <w:pPr>
              <w:spacing w:after="0"/>
              <w:rPr>
                <w:sz w:val="24"/>
                <w:szCs w:val="24"/>
                <w:color w:val="auto"/>
              </w:rPr>
            </w:pPr>
          </w:p>
        </w:tc>
      </w:tr>
      <w:tr>
        <w:trPr>
          <w:trHeight w:val="326"/>
        </w:trPr>
        <w:tc>
          <w:tcPr>
            <w:tcW w:w="818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Report of Independent Registered Public Accounting Firm</w:t>
              </w:r>
            </w:hyperlink>
          </w:p>
        </w:tc>
        <w:tc>
          <w:tcPr>
            <w:tcW w:w="3240" w:type="dxa"/>
            <w:vAlign w:val="bottom"/>
          </w:tcPr>
          <w:p>
            <w:pPr>
              <w:jc w:val="center"/>
              <w:ind w:left="2872"/>
              <w:spacing w:after="0"/>
              <w:rPr>
                <w:sz w:val="20"/>
                <w:szCs w:val="20"/>
                <w:color w:val="auto"/>
              </w:rPr>
            </w:pPr>
            <w:r>
              <w:rPr>
                <w:rFonts w:ascii="Arial" w:cs="Arial" w:eastAsia="Arial" w:hAnsi="Arial"/>
                <w:sz w:val="18"/>
                <w:szCs w:val="18"/>
                <w:color w:val="auto"/>
                <w:w w:val="79"/>
              </w:rPr>
              <w:t>3</w:t>
            </w:r>
          </w:p>
        </w:tc>
      </w:tr>
      <w:tr>
        <w:trPr>
          <w:trHeight w:val="343"/>
        </w:trPr>
        <w:tc>
          <w:tcPr>
            <w:tcW w:w="440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Financial Statements</w:t>
            </w:r>
          </w:p>
        </w:tc>
        <w:tc>
          <w:tcPr>
            <w:tcW w:w="3780" w:type="dxa"/>
            <w:vAlign w:val="bottom"/>
            <w:gridSpan w:val="2"/>
          </w:tcPr>
          <w:p>
            <w:pPr>
              <w:spacing w:after="0"/>
              <w:rPr>
                <w:sz w:val="24"/>
                <w:szCs w:val="24"/>
                <w:color w:val="auto"/>
              </w:rPr>
            </w:pPr>
          </w:p>
        </w:tc>
        <w:tc>
          <w:tcPr>
            <w:tcW w:w="324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774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Plan Benefits</w:t>
              </w:r>
            </w:hyperlink>
          </w:p>
        </w:tc>
        <w:tc>
          <w:tcPr>
            <w:tcW w:w="3240" w:type="dxa"/>
            <w:vAlign w:val="bottom"/>
          </w:tcPr>
          <w:p>
            <w:pPr>
              <w:jc w:val="center"/>
              <w:ind w:left="2872"/>
              <w:spacing w:after="0"/>
              <w:rPr>
                <w:sz w:val="20"/>
                <w:szCs w:val="20"/>
                <w:color w:val="auto"/>
              </w:rPr>
            </w:pPr>
            <w:r>
              <w:rPr>
                <w:rFonts w:ascii="Arial" w:cs="Arial" w:eastAsia="Arial" w:hAnsi="Arial"/>
                <w:sz w:val="18"/>
                <w:szCs w:val="18"/>
                <w:color w:val="auto"/>
                <w:w w:val="79"/>
              </w:rPr>
              <w:t>4</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74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 of Changes in Net Assets Available for Plan Benefits</w:t>
              </w:r>
            </w:hyperlink>
          </w:p>
        </w:tc>
        <w:tc>
          <w:tcPr>
            <w:tcW w:w="3240" w:type="dxa"/>
            <w:vAlign w:val="bottom"/>
          </w:tcPr>
          <w:p>
            <w:pPr>
              <w:jc w:val="center"/>
              <w:ind w:left="2872"/>
              <w:spacing w:after="0"/>
              <w:rPr>
                <w:sz w:val="20"/>
                <w:szCs w:val="20"/>
                <w:color w:val="auto"/>
              </w:rPr>
            </w:pPr>
            <w:r>
              <w:rPr>
                <w:rFonts w:ascii="Arial" w:cs="Arial" w:eastAsia="Arial" w:hAnsi="Arial"/>
                <w:sz w:val="18"/>
                <w:szCs w:val="18"/>
                <w:color w:val="auto"/>
                <w:w w:val="79"/>
              </w:rPr>
              <w:t>5</w:t>
            </w:r>
          </w:p>
        </w:tc>
      </w:tr>
      <w:tr>
        <w:trPr>
          <w:trHeight w:val="304"/>
        </w:trPr>
        <w:tc>
          <w:tcPr>
            <w:tcW w:w="440" w:type="dxa"/>
            <w:vAlign w:val="bottom"/>
          </w:tcPr>
          <w:p>
            <w:pPr>
              <w:spacing w:after="0"/>
              <w:rPr>
                <w:sz w:val="24"/>
                <w:szCs w:val="24"/>
                <w:color w:val="auto"/>
              </w:rPr>
            </w:pPr>
          </w:p>
        </w:tc>
        <w:tc>
          <w:tcPr>
            <w:tcW w:w="4460" w:type="dxa"/>
            <w:vAlign w:val="bottom"/>
            <w:tcBorders>
              <w:top w:val="single" w:sz="8" w:color="0000EE"/>
            </w:tcBorders>
            <w:gridSpan w:val="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280" w:type="dxa"/>
            <w:vAlign w:val="bottom"/>
          </w:tcPr>
          <w:p>
            <w:pPr>
              <w:spacing w:after="0"/>
              <w:rPr>
                <w:sz w:val="24"/>
                <w:szCs w:val="24"/>
                <w:color w:val="auto"/>
              </w:rPr>
            </w:pPr>
          </w:p>
        </w:tc>
        <w:tc>
          <w:tcPr>
            <w:tcW w:w="3240" w:type="dxa"/>
            <w:vAlign w:val="bottom"/>
          </w:tcPr>
          <w:p>
            <w:pPr>
              <w:jc w:val="center"/>
              <w:ind w:left="2892"/>
              <w:spacing w:after="0"/>
              <w:rPr>
                <w:sz w:val="20"/>
                <w:szCs w:val="20"/>
                <w:color w:val="auto"/>
              </w:rPr>
            </w:pPr>
            <w:r>
              <w:rPr>
                <w:rFonts w:ascii="Arial" w:cs="Arial" w:eastAsia="Arial" w:hAnsi="Arial"/>
                <w:sz w:val="18"/>
                <w:szCs w:val="18"/>
                <w:color w:val="auto"/>
                <w:w w:val="86"/>
              </w:rPr>
              <w:t>6–9</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43"/>
        </w:trPr>
        <w:tc>
          <w:tcPr>
            <w:tcW w:w="8180" w:type="dxa"/>
            <w:vAlign w:val="bottom"/>
            <w:gridSpan w:val="7"/>
          </w:tcPr>
          <w:p>
            <w:pPr>
              <w:spacing w:after="0"/>
              <w:rPr>
                <w:sz w:val="20"/>
                <w:szCs w:val="20"/>
                <w:color w:val="auto"/>
              </w:rPr>
            </w:pPr>
            <w:r>
              <w:rPr>
                <w:rFonts w:ascii="Arial" w:cs="Arial" w:eastAsia="Arial" w:hAnsi="Arial"/>
                <w:sz w:val="18"/>
                <w:szCs w:val="18"/>
                <w:b w:val="1"/>
                <w:bCs w:val="1"/>
                <w:color w:val="auto"/>
              </w:rPr>
              <w:t>Supplemental Information</w:t>
            </w:r>
          </w:p>
        </w:tc>
        <w:tc>
          <w:tcPr>
            <w:tcW w:w="324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34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Schedule of Assets Held for Investment Purposes</w:t>
              </w:r>
            </w:hyperlink>
          </w:p>
        </w:tc>
        <w:tc>
          <w:tcPr>
            <w:tcW w:w="4260" w:type="dxa"/>
            <w:vAlign w:val="bottom"/>
            <w:gridSpan w:val="4"/>
          </w:tcPr>
          <w:p>
            <w:pPr>
              <w:spacing w:after="0"/>
              <w:rPr>
                <w:sz w:val="24"/>
                <w:szCs w:val="24"/>
                <w:color w:val="auto"/>
              </w:rPr>
            </w:pPr>
          </w:p>
        </w:tc>
        <w:tc>
          <w:tcPr>
            <w:tcW w:w="3240" w:type="dxa"/>
            <w:vAlign w:val="bottom"/>
          </w:tcPr>
          <w:p>
            <w:pPr>
              <w:jc w:val="center"/>
              <w:ind w:left="2872"/>
              <w:spacing w:after="0"/>
              <w:rPr>
                <w:sz w:val="20"/>
                <w:szCs w:val="20"/>
                <w:color w:val="auto"/>
              </w:rPr>
            </w:pPr>
            <w:r>
              <w:rPr>
                <w:rFonts w:ascii="Arial" w:cs="Arial" w:eastAsia="Arial" w:hAnsi="Arial"/>
                <w:sz w:val="18"/>
                <w:szCs w:val="18"/>
                <w:color w:val="auto"/>
                <w:w w:val="79"/>
              </w:rPr>
              <w:t>11</w:t>
            </w:r>
          </w:p>
        </w:tc>
      </w:tr>
    </w:tbl>
    <w:p>
      <w:pPr>
        <w:jc w:val="center"/>
        <w:ind w:left="2872"/>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 Savings and Retirement 401(k) Plan</w:t>
      </w:r>
    </w:p>
    <w:p>
      <w:pPr>
        <w:spacing w:after="0" w:line="70"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We have audited the accompanying statements of net assets available for plan benefits of Federal Realty Investment Trust (the Trust) Savings and Retirement 401(k) Plan (the Plan) as of December 31, 2004 and 2003, the related statement of changes in net assets available for plan benefits for the year ended December 31, 2004, and the supplemental schedule of assets held for investment purposes as of December 31, 2004. These financial statements and the schedule referred to below are the responsibility of the Plan’s management. Our responsibility is to express an opinion on these financial statements based on our audits.</w:t>
      </w:r>
    </w:p>
    <w:p>
      <w:pPr>
        <w:spacing w:after="0" w:line="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as established by the Public Company Accounting Oversight Board (United States). Those standards require that we plan and perform the audits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Trust’s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net assets available for plan benefits of the Federal Realty Investment Trust Savings and Retirement 401(k) Plan as of December 31, 2004 and 2003, and the changes in net assets available for plan benefits for the year ended December 31, 2004, in conformity with accounting principles generally accepted in the United States of America.</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 of the Plan’s financial statements as of December 31, 2004 and 2003, and for the year ended December 31, 2004, was conducted for the purpose of forming an opinion on the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 of the basic financial statements for the year ended December 31, 2004 and, in our opinion, is fairly stated in all material respects in relation to the basic financial statements taken as a whole.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18,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Statements of Net Assets Available for Plan Benefits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40" w:type="dxa"/>
            <w:vAlign w:val="bottom"/>
            <w:gridSpan w:val="3"/>
          </w:tcPr>
          <w:p>
            <w:pPr>
              <w:spacing w:after="0"/>
              <w:rPr>
                <w:sz w:val="20"/>
                <w:szCs w:val="20"/>
                <w:color w:val="auto"/>
              </w:rPr>
            </w:pPr>
            <w:r>
              <w:rPr>
                <w:rFonts w:ascii="Arial" w:cs="Arial" w:eastAsia="Arial" w:hAnsi="Arial"/>
                <w:sz w:val="14"/>
                <w:szCs w:val="14"/>
                <w:i w:val="1"/>
                <w:iCs w:val="1"/>
                <w:color w:val="auto"/>
              </w:rPr>
              <w:t>December 31,</w:t>
            </w:r>
          </w:p>
        </w:tc>
        <w:tc>
          <w:tcPr>
            <w:tcW w:w="4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Investments, at fair value</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$ 11,927,943</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$ 9,677,310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to participants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$ 12,031,404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$ 9,754,803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Changes in Net Assets Available for Plan Benefits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Year ended December 31, 2004</w:t>
            </w: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Additions to Net Assets Attributed to:</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contributions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Employer contributions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 contributions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contributions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1,410,292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 income</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2,107,326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Additions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3,517,618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Deductions from Net Assets Attributed to:</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1,238,281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Deductions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1,241,017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2,276,601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Assets Available for Plan Benefits, </w:t>
            </w:r>
            <w:r>
              <w:rPr>
                <w:rFonts w:ascii="Arial" w:cs="Arial" w:eastAsia="Arial" w:hAnsi="Arial"/>
                <w:sz w:val="18"/>
                <w:szCs w:val="18"/>
                <w:color w:val="auto"/>
              </w:rPr>
              <w:t>beginning of year</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9,754,803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Assets Available for Plan Benefits, </w:t>
            </w:r>
            <w:r>
              <w:rPr>
                <w:rFonts w:ascii="Arial" w:cs="Arial" w:eastAsia="Arial" w:hAnsi="Arial"/>
                <w:sz w:val="18"/>
                <w:szCs w:val="18"/>
                <w:color w:val="auto"/>
              </w:rPr>
              <w:t>end of year</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12,031,404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tes to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significant accounting policies of Federal Realty Investment Trust Savings and Retirement 401(k) Plan (the Plan) is as follows: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of the Plan were prepared under the accrual method of accounting.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Plan’s investments are stated at fair value. Fluctuations in fair value are charged to participants’ accounts.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Benefits are recorded when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PLAN</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agreement for a more comprehensive description of the Plan’s provisions.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The Plan is a defined contribution plan of Federal Realty Investment Trust (the Trust) in accordance with the provisions of the Employee Retirement Income Security Act of 1974 (ERISA) and of Section 401(k) of the Internal Revenue Code of 1986, as amended. The Plan was established on January 1, 1985, restated effective January 1, 1997, and was most recently amended effective January 1, 2005.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p>
    <w:p>
      <w:pPr>
        <w:spacing w:after="0" w:line="7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All employees, except members of collective bargaining units, may participate in the elective deferrals portion of the Plan immediately upon employment. There are no members of a collective bargaining unit as of December 31, 2004. Effective August 1, 2003, employees must work 1,000 hours or more in a Plan year to be eligible for employer contributions.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Statements—Continued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PLAN—Continued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Contributions</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Participants make contributions to the Plan by means of a salary deferral agreement. Participants may defer between 1 percent and 20 percent of their compensation. The dollar value of participant contributions may not exceed $13,000 for calendar year 2004. Certain participants meeting age requirements may contribute an additional $3,000 “catch-up contribution” for calendar year 2004.</w:t>
      </w:r>
    </w:p>
    <w:p>
      <w:pPr>
        <w:spacing w:after="0" w:line="46"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The Trust will make employer-matching contributions to the Plan on behalf of all qualified participants. The amount of employer matching contributions for each eligible participant will be 50 percent of elective deferrals up to 5 percent of earnings. Prior to January 1, 2005 employer matching and discretionary contributions were made after one year of service was rendered with 1,000 or more hours completed by the participant, or if the participant retired, died, or became disabled during the Plan year. Effective as of January 1, 2005, employees are eligible to receive matching contributions immediately upon their participation; however, these matching payments will not vest until their first anniversary of employment.</w:t>
      </w:r>
    </w:p>
    <w:p>
      <w:pPr>
        <w:spacing w:after="0" w:line="2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Additionally, the Plan allows for discretionary contributions to be made at the end of the Plan year in an amount to be determined by the Trust. There were no such contributions made for the year ended December 31,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w:t>
      </w:r>
    </w:p>
    <w:p>
      <w:pPr>
        <w:spacing w:after="0" w:line="7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Participants are always vested in elective deferral, employer matching, and rollover contributions. Discretionary employer contributions are vested based on years of service, with 100 percent vesting after five years of credited service.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Participant Loans</w:t>
      </w:r>
    </w:p>
    <w:p>
      <w:pPr>
        <w:spacing w:after="0" w:line="7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Participants may borrow from their accounts a maximum amount equal to the lesser of $50,000 or 50 percent of their vested account balances. Loan transactions are treated as a transfer to (from) the investment fund from (to) the Participant Loan Fund. Loan terms range from one to five years or up to a reasonable time for the purchase of a principal residence. The loans are secured by 50 percent of the vested balance in the participant’s account and bear interest at a rate determined by the Trust based on prevailing market conditions. At December 31, 2004, interest rates ranged from 5.0 percent to 10.5 percent.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7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Upon termination of services for reasons other than death, retirement, or disability, a participant will receive the vested percentage of his or her account balance plus earnings. The distribution can be a lump-sum distribution or may be in the form of an annuity beginning at retirement age if requested by the participant.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Participants should refer to their summary plan description for more information regarding payment of benefits.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pays the majority of the administrative expenses associated with the Plan.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Statements—Continued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PLAN—Continued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Prudential Retirement Services (Prudential) is the trustee for the Plan portfolio. All investments are self-directed by participants.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77"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Participants may select from 17 different investment options offered by Prudential. In 2004, the Plan Administrator discontinued the Plan’s investment in Federal Realty Investment Trust shares (Trust shares). Also in 2004, one new investment option, the Strategic Partners Real Estate Fund A, was added to the Plan. Participants had the opportunity to move their investment in Trust shares to the investment option of their choice. Effective June 25, 2004, all remaining assets in and contributions to Trust shares were transferred to the Strategic Partners Real Estate Fund 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December 31, 2004 and 2003, the fair market values of individual investments that represent 5 percent or more of the Plan’s net assets were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40" w:type="dxa"/>
            <w:vAlign w:val="bottom"/>
            <w:gridSpan w:val="3"/>
          </w:tcPr>
          <w:p>
            <w:pPr>
              <w:spacing w:after="0"/>
              <w:rPr>
                <w:sz w:val="20"/>
                <w:szCs w:val="20"/>
                <w:color w:val="auto"/>
              </w:rPr>
            </w:pPr>
            <w:r>
              <w:rPr>
                <w:rFonts w:ascii="Arial" w:cs="Arial" w:eastAsia="Arial" w:hAnsi="Arial"/>
                <w:sz w:val="14"/>
                <w:szCs w:val="14"/>
                <w:i w:val="1"/>
                <w:iCs w:val="1"/>
                <w:color w:val="auto"/>
              </w:rPr>
              <w:t>December 31,</w:t>
            </w:r>
          </w:p>
        </w:tc>
        <w:tc>
          <w:tcPr>
            <w:tcW w:w="3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Partners Real Estate Fund A</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$3,188,654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Van Kampen Growth &amp; Income Fund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2,002,633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1,726,315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1,564,588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AIM Mid Cap Equity Fund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1,490,484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1,411,221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 Pacific Growth Fund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1,274,423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Prudential Stable Value Fund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655,313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Dryden Government Income Fund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620,110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Shares of Federal Realty Investment Trust</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2,467,345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Less than 5% of net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C—TAX STATUS</w:t>
      </w:r>
    </w:p>
    <w:p>
      <w:pPr>
        <w:spacing w:after="0" w:line="8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The Plan obtained a determination letter on November 4, 1994, in which the Internal Revenue Service stated that the Plan, as designed, was in compliance with the applicable requirements of the Internal Revenue Code (IRC) under Section 401(a). The Plan has been amended since receiving its determination letter. The Plan’s trustees believe that the Plan is currently designed and operated in compliance with IRC and ERISA requirements.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Statements—Continued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D—PARTY-IN-INTEREST TRANSACTIONS</w:t>
      </w:r>
    </w:p>
    <w:p>
      <w:pPr>
        <w:spacing w:after="0" w:line="83"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Party-in-interest transactions include those with fiduciaries or employees of the Plan, any person who provided services to the Plan, an employer whose employees were covered by the Plan, an employee organization whose members were covered by the Plan, a person who owned 50 percent or more of such an employer or employee association, or relatives of such persons.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invests in funds managed by Prudential; therefore, these transactions qualify as party-in-interest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E—PLAN TERMINATION</w:t>
      </w:r>
    </w:p>
    <w:p>
      <w:pPr>
        <w:spacing w:after="0" w:line="83"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Although it has not expressed any intent to do so, the Trust has the right under the Plan to discontinue its contributions at any time and to terminate the Plan subject to the provisions of ERISA. In the event of Plan termination, participants will become 100 percent vested in their accounts.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left="8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Information</w:t>
      </w:r>
    </w:p>
    <w:p>
      <w:pPr>
        <w:sectPr>
          <w:pgSz w:w="11900" w:h="16838" w:orient="portrait"/>
          <w:cols w:equalWidth="0" w:num="1">
            <w:col w:w="10220"/>
          </w:cols>
          <w:pgMar w:left="14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Schedule of Assets Held for Investment Purposes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5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Strategic Partners Real Estate Fund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3,188,654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Van Kampen Growth &amp; Income Fund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2,002,633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1,564,588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AIM Mid Cap Equity Fund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1,490,484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 Pacific Growth Fund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1,274,423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*Prudential Stable Value Fund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Dryden Government Income Fund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Lord Abbett Mid Cap Value Fund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AIM Small Growth Fund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*Prudential Dryden Stock Index Fund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Small Cap Value Fund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*Prudential Jennison Health Sciences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Dryden Total Return Bond Fund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Self Directed Brokerage Account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Jennison Natural Resources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*Prudential Jennison Utility Fund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Jennison Technology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*Participant Loans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12,031,404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-172720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-172720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Denotes party-in-interest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SAVINGS AND RETIREMENT 401(k) PLAN</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the requirements of the Securities Exchange Act of 1934, the trustees (or other persons who administer the employee benefit plans) have duly caused this annual report to be signed on its behalf by the undersigned thereunto duly authorized, on the 29th day of June, 2005.</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T</w:t>
      </w:r>
      <w:r>
        <w:rPr>
          <w:rFonts w:ascii="Arial" w:cs="Arial" w:eastAsia="Arial" w:hAnsi="Arial"/>
          <w:sz w:val="14"/>
          <w:szCs w:val="14"/>
          <w:color w:val="auto"/>
        </w:rPr>
        <w:t>RUST</w:t>
      </w:r>
      <w:r>
        <w:rPr>
          <w:rFonts w:ascii="Arial" w:cs="Arial" w:eastAsia="Arial" w:hAnsi="Arial"/>
          <w:sz w:val="18"/>
          <w:szCs w:val="18"/>
          <w:color w:val="auto"/>
        </w:rPr>
        <w:t xml:space="preserve"> S</w:t>
      </w:r>
      <w:r>
        <w:rPr>
          <w:rFonts w:ascii="Arial" w:cs="Arial" w:eastAsia="Arial" w:hAnsi="Arial"/>
          <w:sz w:val="14"/>
          <w:szCs w:val="14"/>
          <w:color w:val="auto"/>
        </w:rPr>
        <w:t>AVINGS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ETIREMENT</w:t>
      </w:r>
      <w:r>
        <w:rPr>
          <w:rFonts w:ascii="Arial" w:cs="Arial" w:eastAsia="Arial" w:hAnsi="Arial"/>
          <w:sz w:val="18"/>
          <w:szCs w:val="18"/>
          <w:color w:val="auto"/>
        </w:rPr>
        <w:t xml:space="preserve"> 401(</w:t>
      </w:r>
      <w:r>
        <w:rPr>
          <w:rFonts w:ascii="Arial" w:cs="Arial" w:eastAsia="Arial" w:hAnsi="Arial"/>
          <w:sz w:val="14"/>
          <w:szCs w:val="14"/>
          <w:color w:val="auto"/>
        </w:rPr>
        <w:t>K</w:t>
      </w:r>
      <w:r>
        <w:rPr>
          <w:rFonts w:ascii="Arial" w:cs="Arial" w:eastAsia="Arial" w:hAnsi="Arial"/>
          <w:sz w:val="18"/>
          <w:szCs w:val="18"/>
          <w:color w:val="auto"/>
        </w:rPr>
        <w:t>) P</w:t>
      </w:r>
      <w:r>
        <w:rPr>
          <w:rFonts w:ascii="Arial" w:cs="Arial" w:eastAsia="Arial" w:hAnsi="Arial"/>
          <w:sz w:val="14"/>
          <w:szCs w:val="14"/>
          <w:color w:val="auto"/>
        </w:rPr>
        <w:t>LAN</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4"/>
          <w:szCs w:val="14"/>
          <w:b w:val="1"/>
          <w:bCs w:val="1"/>
          <w:color w:val="auto"/>
        </w:rPr>
        <w:t>Larry E. Finger,</w:t>
      </w:r>
    </w:p>
    <w:p>
      <w:pPr>
        <w:ind w:left="7360"/>
        <w:spacing w:after="0" w:line="223" w:lineRule="auto"/>
        <w:rPr>
          <w:sz w:val="20"/>
          <w:szCs w:val="20"/>
          <w:color w:val="auto"/>
        </w:rPr>
      </w:pPr>
      <w:r>
        <w:rPr>
          <w:rFonts w:ascii="Arial" w:cs="Arial" w:eastAsia="Arial" w:hAnsi="Arial"/>
          <w:sz w:val="14"/>
          <w:szCs w:val="14"/>
          <w:b w:val="1"/>
          <w:bCs w:val="1"/>
          <w:color w:val="auto"/>
        </w:rPr>
        <w:t>Senior Vice President, Chief Financial Officer</w:t>
      </w:r>
    </w:p>
    <w:p>
      <w:pPr>
        <w:ind w:left="7360"/>
        <w:spacing w:after="0"/>
        <w:rPr>
          <w:sz w:val="20"/>
          <w:szCs w:val="20"/>
          <w:color w:val="auto"/>
        </w:rPr>
      </w:pPr>
      <w:r>
        <w:rPr>
          <w:rFonts w:ascii="Arial" w:cs="Arial" w:eastAsia="Arial" w:hAnsi="Arial"/>
          <w:sz w:val="14"/>
          <w:szCs w:val="14"/>
          <w:b w:val="1"/>
          <w:bCs w:val="1"/>
          <w:color w:val="auto"/>
        </w:rPr>
        <w:t>and Treasurer, Federal Realty Investment Trust</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274" w:right="399" w:bottom="1440" w:gutter="0" w:footer="0" w:header="0"/>
        </w:sectPr>
      </w:pPr>
    </w:p>
    <w:bookmarkStart w:id="14" w:name="page15"/>
    <w:bookmarkEnd w:id="14"/>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60325</wp:posOffset>
            </wp:positionV>
            <wp:extent cx="394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60325</wp:posOffset>
            </wp:positionV>
            <wp:extent cx="5746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13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ectPr>
          <w:pgSz w:w="11900" w:h="16838" w:orient="portrait"/>
          <w:cols w:equalWidth="0" w:num="1">
            <w:col w:w="10139"/>
          </w:cols>
          <w:pgMar w:left="320" w:top="274"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issued our report dated May 18, 2005, accompanying the financial statements and schedule incorporated by reference in the Annual Report of Federal Realty Investment Trust Savings and Retirement 401(k) Plan on Form 11-K for the year ended December 31, 2004. We hereby consent to the incorporation by reference of said report in the Registration Statement of Federal Realty Investment Trust Savings and Retirement 401(k) Plan on Form S-8 (File No. 333-63986, effective June 27, 2001).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2019-12-13T01:00:07Z</dcterms:created>
  <dcterms:modified xsi:type="dcterms:W3CDTF">2019-12-13T01:00:07Z</dcterms:modified>
</cp:coreProperties>
</file>