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Courier New" w:cs="Courier New" w:eastAsia="Courier New" w:hAnsi="Courier New"/>
          <w:sz w:val="16"/>
          <w:szCs w:val="16"/>
          <w:color w:val="auto"/>
        </w:rPr>
        <w:t>Filed Pursuant to Rule 424(B)(3)</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Registration No. 333-97945</w:t>
      </w:r>
    </w:p>
    <w:p>
      <w:pPr>
        <w:spacing w:after="0" w:line="8" w:lineRule="exact"/>
        <w:rPr>
          <w:sz w:val="24"/>
          <w:szCs w:val="24"/>
          <w:color w:val="auto"/>
        </w:rPr>
      </w:pPr>
    </w:p>
    <w:p>
      <w:pPr>
        <w:ind w:left="5220"/>
        <w:spacing w:after="0"/>
        <w:rPr>
          <w:sz w:val="20"/>
          <w:szCs w:val="20"/>
          <w:color w:val="auto"/>
        </w:rPr>
      </w:pPr>
      <w:r>
        <w:rPr>
          <w:rFonts w:ascii="Courier New" w:cs="Courier New" w:eastAsia="Courier New" w:hAnsi="Courier New"/>
          <w:sz w:val="16"/>
          <w:szCs w:val="16"/>
          <w:color w:val="auto"/>
        </w:rPr>
        <w:t>Registration No. 333-63619</w:t>
      </w:r>
    </w:p>
    <w:p>
      <w:pPr>
        <w:spacing w:after="0" w:line="8" w:lineRule="exact"/>
        <w:rPr>
          <w:sz w:val="24"/>
          <w:szCs w:val="24"/>
          <w:color w:val="auto"/>
        </w:rPr>
      </w:pPr>
    </w:p>
    <w:p>
      <w:pPr>
        <w:ind w:right="2519"/>
        <w:spacing w:after="0" w:line="252" w:lineRule="auto"/>
        <w:rPr>
          <w:sz w:val="20"/>
          <w:szCs w:val="20"/>
          <w:color w:val="auto"/>
        </w:rPr>
      </w:pPr>
      <w:r>
        <w:rPr>
          <w:rFonts w:ascii="Courier New" w:cs="Courier New" w:eastAsia="Courier New" w:hAnsi="Courier New"/>
          <w:sz w:val="16"/>
          <w:szCs w:val="16"/>
          <w:color w:val="auto"/>
        </w:rPr>
        <w:t>The information in this prospectus supplement and the accompanying prospectus is not complete and may be changed. This prospectus supplement and the accompanying prospectus are not an offer to sell these securities and are not soliciting an offer to buy these securities in any state where the offer or sale is not permitted.</w:t>
      </w:r>
    </w:p>
    <w:p>
      <w:pPr>
        <w:spacing w:after="0" w:line="186"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Subject to Completion</w:t>
      </w:r>
    </w:p>
    <w:p>
      <w:pPr>
        <w:spacing w:after="0" w:line="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Preliminary Prospectus Supplement dated August 12, 2002</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PROSPECTUS SUPPLEMENT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 prospectus dated September 30, 1998)</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$150,000,000</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[LOGO] FEDERAL REALTY</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INVESTMENT TRUST</w:t>
      </w:r>
    </w:p>
    <w:p>
      <w:pPr>
        <w:sectPr>
          <w:pgSz w:w="11900" w:h="16838" w:orient="portrait"/>
          <w:cols w:equalWidth="0" w:num="1">
            <w:col w:w="10219"/>
          </w:cols>
          <w:pgMar w:left="240" w:top="622" w:right="1440" w:bottom="1440" w:gutter="0" w:footer="0" w:header="0"/>
        </w:sectPr>
      </w:pPr>
    </w:p>
    <w:p>
      <w:pPr>
        <w:spacing w:after="0" w:line="19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 Notes due August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2007</w:t>
      </w:r>
    </w:p>
    <w:p>
      <w:pPr>
        <w:spacing w:after="0" w:line="198" w:lineRule="exact"/>
        <w:rPr>
          <w:sz w:val="24"/>
          <w:szCs w:val="24"/>
          <w:color w:val="auto"/>
        </w:rPr>
      </w:pPr>
    </w:p>
    <w:p>
      <w:pPr>
        <w:sectPr>
          <w:pgSz w:w="11900" w:h="16838" w:orient="portrait"/>
          <w:cols w:equalWidth="0" w:num="2">
            <w:col w:w="4240" w:space="400"/>
            <w:col w:w="5579"/>
          </w:cols>
          <w:pgMar w:left="240" w:top="622"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We will pay interest on the notes on March and September of each year, beginning March , 2003. Interest will accrue from August , 2002. We may redeem the notes in whole or in part at any time before maturity at the redemption price described in this prospectus supplement.</w:t>
      </w:r>
    </w:p>
    <w:p>
      <w:pPr>
        <w:sectPr>
          <w:pgSz w:w="11900" w:h="16838" w:orient="portrait"/>
          <w:cols w:equalWidth="0" w:num="1">
            <w:col w:w="10219"/>
          </w:cols>
          <w:pgMar w:left="240" w:top="622" w:right="1440" w:bottom="1440" w:gutter="0" w:footer="0" w:header="0"/>
          <w:type w:val="continuous"/>
        </w:sectPr>
      </w:pPr>
    </w:p>
    <w:p>
      <w:pPr>
        <w:spacing w:after="0" w:line="187" w:lineRule="exact"/>
        <w:rPr>
          <w:sz w:val="24"/>
          <w:szCs w:val="24"/>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The notes will be unsecured obligations and rank equally with our other unsecured senior indebtedness. The notes will be issued only in registered form in denominations of $1,000.</w:t>
      </w:r>
    </w:p>
    <w:p>
      <w:pPr>
        <w:spacing w:after="0" w:line="185" w:lineRule="exact"/>
        <w:rPr>
          <w:sz w:val="24"/>
          <w:szCs w:val="24"/>
          <w:color w:val="auto"/>
        </w:rPr>
      </w:pPr>
    </w:p>
    <w:p>
      <w:pPr>
        <w:ind w:right="2439" w:firstLine="394"/>
        <w:spacing w:after="0" w:line="252" w:lineRule="auto"/>
        <w:rPr>
          <w:sz w:val="20"/>
          <w:szCs w:val="20"/>
          <w:color w:val="auto"/>
        </w:rPr>
      </w:pPr>
      <w:r>
        <w:rPr>
          <w:rFonts w:ascii="Courier New" w:cs="Courier New" w:eastAsia="Courier New" w:hAnsi="Courier New"/>
          <w:sz w:val="16"/>
          <w:szCs w:val="16"/>
          <w:color w:val="auto"/>
        </w:rPr>
        <w:t>Investing in our notes involves risks that are described in the "Risk Factors" section beginning on page S-7 of this prospectus supplement and in our Annual Report on Form 10-K for the year ended December 31, 2001. -----------------</w:t>
      </w:r>
    </w:p>
    <w:p>
      <w:pPr>
        <w:spacing w:after="0" w:line="200" w:lineRule="exact"/>
        <w:rPr>
          <w:sz w:val="24"/>
          <w:szCs w:val="24"/>
          <w:color w:val="auto"/>
        </w:rPr>
      </w:pPr>
    </w:p>
    <w:p>
      <w:pPr>
        <w:spacing w:after="0" w:line="366" w:lineRule="exact"/>
        <w:rPr>
          <w:sz w:val="24"/>
          <w:szCs w:val="24"/>
          <w:color w:val="auto"/>
        </w:rPr>
      </w:pPr>
    </w:p>
    <w:p>
      <w:pPr>
        <w:ind w:left="5020"/>
        <w:spacing w:after="0"/>
        <w:rPr>
          <w:sz w:val="20"/>
          <w:szCs w:val="20"/>
          <w:color w:val="auto"/>
        </w:rPr>
      </w:pPr>
      <w:r>
        <w:rPr>
          <w:rFonts w:ascii="Courier New" w:cs="Courier New" w:eastAsia="Courier New" w:hAnsi="Courier New"/>
          <w:sz w:val="16"/>
          <w:szCs w:val="16"/>
          <w:color w:val="auto"/>
        </w:rPr>
        <w:t>Per Note Total</w:t>
      </w:r>
    </w:p>
    <w:p>
      <w:pPr>
        <w:spacing w:after="0" w:line="8" w:lineRule="exact"/>
        <w:rPr>
          <w:sz w:val="24"/>
          <w:szCs w:val="24"/>
          <w:color w:val="auto"/>
        </w:rPr>
      </w:pPr>
    </w:p>
    <w:p>
      <w:pPr>
        <w:ind w:left="502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22" w:right="1440" w:bottom="1440" w:gutter="0" w:footer="0" w:header="0"/>
          <w:type w:val="continuous"/>
        </w:sectPr>
      </w:pPr>
    </w:p>
    <w:p>
      <w:pPr>
        <w:spacing w:after="0" w:line="19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Public offering price (1)...........</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Underwriting discount...............</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Proceeds, before expenses, to us (1)</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sectPr>
          <w:pgSz w:w="11900" w:h="16838" w:orient="portrait"/>
          <w:cols w:equalWidth="0" w:num="3">
            <w:col w:w="4940" w:space="380"/>
            <w:col w:w="100" w:space="700"/>
            <w:col w:w="4099"/>
          </w:cols>
          <w:pgMar w:left="240" w:top="622" w:right="1440" w:bottom="1440" w:gutter="0" w:footer="0" w:header="0"/>
          <w:type w:val="continuous"/>
        </w:sectPr>
      </w:pPr>
    </w:p>
    <w:p>
      <w:pPr>
        <w:ind w:left="700" w:hanging="399"/>
        <w:spacing w:after="0" w:line="255" w:lineRule="auto"/>
        <w:tabs>
          <w:tab w:leader="none" w:pos="680" w:val="left"/>
        </w:tabs>
        <w:rPr>
          <w:sz w:val="20"/>
          <w:szCs w:val="20"/>
          <w:color w:val="auto"/>
        </w:rPr>
      </w:pPr>
      <w:r>
        <w:rPr>
          <w:rFonts w:ascii="Courier New" w:cs="Courier New" w:eastAsia="Courier New" w:hAnsi="Courier New"/>
          <w:sz w:val="16"/>
          <w:szCs w:val="16"/>
          <w:color w:val="auto"/>
        </w:rPr>
        <w:t>(1)</w:t>
        <w:tab/>
        <w:t>Plus accrued interest from August that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 2002, if settlement occurs after</w:t>
      </w:r>
    </w:p>
    <w:p>
      <w:pPr>
        <w:spacing w:after="0" w:line="387" w:lineRule="exact"/>
        <w:rPr>
          <w:sz w:val="24"/>
          <w:szCs w:val="24"/>
          <w:color w:val="auto"/>
        </w:rPr>
      </w:pPr>
    </w:p>
    <w:p>
      <w:pPr>
        <w:sectPr>
          <w:pgSz w:w="11900" w:h="16838" w:orient="portrait"/>
          <w:cols w:equalWidth="0" w:num="2">
            <w:col w:w="3940" w:space="300"/>
            <w:col w:w="5979"/>
          </w:cols>
          <w:pgMar w:left="240" w:top="622" w:right="1440" w:bottom="1440" w:gutter="0" w:footer="0" w:header="0"/>
          <w:type w:val="continuous"/>
        </w:sectPr>
      </w:pPr>
    </w:p>
    <w:p>
      <w:pPr>
        <w:ind w:right="2819" w:firstLine="296"/>
        <w:spacing w:after="0" w:line="252" w:lineRule="auto"/>
        <w:rPr>
          <w:sz w:val="20"/>
          <w:szCs w:val="20"/>
          <w:color w:val="auto"/>
        </w:rPr>
      </w:pPr>
      <w:r>
        <w:rPr>
          <w:rFonts w:ascii="Courier New" w:cs="Courier New" w:eastAsia="Courier New" w:hAnsi="Courier New"/>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87" w:lineRule="exact"/>
        <w:rPr>
          <w:sz w:val="24"/>
          <w:szCs w:val="24"/>
          <w:color w:val="auto"/>
        </w:rPr>
      </w:pPr>
    </w:p>
    <w:p>
      <w:pPr>
        <w:ind w:right="2819" w:firstLine="296"/>
        <w:spacing w:after="0" w:line="257" w:lineRule="auto"/>
        <w:rPr>
          <w:sz w:val="20"/>
          <w:szCs w:val="20"/>
          <w:color w:val="auto"/>
        </w:rPr>
      </w:pPr>
      <w:r>
        <w:rPr>
          <w:rFonts w:ascii="Courier New" w:cs="Courier New" w:eastAsia="Courier New" w:hAnsi="Courier New"/>
          <w:sz w:val="16"/>
          <w:szCs w:val="16"/>
          <w:color w:val="auto"/>
        </w:rPr>
        <w:t>The notes will be ready for delivery in book-entry form only through The Depository Trust Company on or about August , 2002. -----------------</w:t>
      </w:r>
    </w:p>
    <w:p>
      <w:pPr>
        <w:sectPr>
          <w:pgSz w:w="11900" w:h="16838" w:orient="portrait"/>
          <w:cols w:equalWidth="0" w:num="1">
            <w:col w:w="10219"/>
          </w:cols>
          <w:pgMar w:left="240" w:top="622"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Merrill Lynch &amp; Co.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360"/>
        <w:spacing w:after="0"/>
        <w:rPr>
          <w:sz w:val="20"/>
          <w:szCs w:val="20"/>
          <w:color w:val="auto"/>
        </w:rPr>
      </w:pPr>
      <w:r>
        <w:rPr>
          <w:rFonts w:ascii="Courier New" w:cs="Courier New" w:eastAsia="Courier New" w:hAnsi="Courier New"/>
          <w:sz w:val="16"/>
          <w:szCs w:val="16"/>
          <w:color w:val="auto"/>
        </w:rPr>
        <w:t>Salomon Smith Barney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Wachovia Securities</w:t>
      </w:r>
    </w:p>
    <w:p>
      <w:pPr>
        <w:spacing w:after="0" w:line="200" w:lineRule="exact"/>
        <w:rPr>
          <w:sz w:val="24"/>
          <w:szCs w:val="24"/>
          <w:color w:val="auto"/>
        </w:rPr>
      </w:pPr>
    </w:p>
    <w:p>
      <w:pPr>
        <w:sectPr>
          <w:pgSz w:w="11900" w:h="16838" w:orient="portrait"/>
          <w:cols w:equalWidth="0" w:num="3">
            <w:col w:w="2140" w:space="720"/>
            <w:col w:w="2340" w:space="720"/>
            <w:col w:w="4299"/>
          </w:cols>
          <w:pgMar w:left="240" w:top="622" w:right="1440" w:bottom="1440" w:gutter="0" w:footer="0" w:header="0"/>
          <w:type w:val="continuous"/>
        </w:sectPr>
      </w:pP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Commerzbank Securities</w:t>
      </w:r>
    </w:p>
    <w:p>
      <w:pPr>
        <w:spacing w:after="0" w:line="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Banc of America Securities LLC</w:t>
      </w:r>
    </w:p>
    <w:p>
      <w:pPr>
        <w:spacing w:after="0" w:line="8" w:lineRule="exact"/>
        <w:rPr>
          <w:sz w:val="24"/>
          <w:szCs w:val="24"/>
          <w:color w:val="auto"/>
        </w:rPr>
      </w:pPr>
    </w:p>
    <w:p>
      <w:pPr>
        <w:ind w:left="1680"/>
        <w:spacing w:after="0"/>
        <w:rPr>
          <w:sz w:val="20"/>
          <w:szCs w:val="20"/>
          <w:color w:val="auto"/>
        </w:rPr>
      </w:pPr>
      <w:r>
        <w:rPr>
          <w:rFonts w:ascii="Courier New" w:cs="Courier New" w:eastAsia="Courier New" w:hAnsi="Courier New"/>
          <w:sz w:val="16"/>
          <w:szCs w:val="16"/>
          <w:color w:val="auto"/>
        </w:rPr>
        <w:t>HVB Real Estate Capital</w:t>
      </w:r>
    </w:p>
    <w:p>
      <w:pPr>
        <w:spacing w:after="0" w:line="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Fleet Securities, Inc.</w:t>
      </w:r>
    </w:p>
    <w:p>
      <w:pPr>
        <w:spacing w:after="0" w:line="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PNC Capital Markets, Inc.</w:t>
      </w:r>
    </w:p>
    <w:p>
      <w:pPr>
        <w:spacing w:after="0" w:line="8" w:lineRule="exact"/>
        <w:rPr>
          <w:sz w:val="24"/>
          <w:szCs w:val="24"/>
          <w:color w:val="auto"/>
        </w:rPr>
      </w:pPr>
    </w:p>
    <w:p>
      <w:pPr>
        <w:ind w:left="4340"/>
        <w:spacing w:after="0"/>
        <w:rPr>
          <w:sz w:val="20"/>
          <w:szCs w:val="20"/>
          <w:color w:val="auto"/>
        </w:rPr>
      </w:pPr>
      <w:r>
        <w:rPr>
          <w:rFonts w:ascii="Courier New" w:cs="Courier New" w:eastAsia="Courier New" w:hAnsi="Courier New"/>
          <w:sz w:val="16"/>
          <w:szCs w:val="16"/>
          <w:color w:val="auto"/>
        </w:rPr>
        <w:t>Wells Fargo Brokerage Services, LLC</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22" w:right="1440" w:bottom="1440" w:gutter="0" w:footer="0" w:header="0"/>
          <w:type w:val="continuous"/>
        </w:sectPr>
      </w:pPr>
    </w:p>
    <w:p>
      <w:pPr>
        <w:spacing w:after="0" w:line="198" w:lineRule="exact"/>
        <w:rPr>
          <w:sz w:val="24"/>
          <w:szCs w:val="24"/>
          <w:color w:val="auto"/>
        </w:rPr>
      </w:pPr>
    </w:p>
    <w:p>
      <w:pPr>
        <w:ind w:left="1080"/>
        <w:spacing w:after="0"/>
        <w:rPr>
          <w:sz w:val="20"/>
          <w:szCs w:val="20"/>
          <w:color w:val="auto"/>
        </w:rPr>
      </w:pPr>
      <w:r>
        <w:rPr>
          <w:rFonts w:ascii="Courier New" w:cs="Courier New" w:eastAsia="Courier New" w:hAnsi="Courier New"/>
          <w:sz w:val="16"/>
          <w:szCs w:val="16"/>
          <w:color w:val="auto"/>
        </w:rPr>
        <w:t>The date of this prospectus supplement is August</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2002.</w:t>
      </w:r>
    </w:p>
    <w:p>
      <w:pPr>
        <w:sectPr>
          <w:pgSz w:w="11900" w:h="16838" w:orient="portrait"/>
          <w:cols w:equalWidth="0" w:num="2">
            <w:col w:w="5820" w:space="200"/>
            <w:col w:w="4199"/>
          </w:cols>
          <w:pgMar w:left="240" w:top="622" w:right="1440" w:bottom="1440" w:gutter="0" w:footer="0" w:header="0"/>
          <w:type w:val="continuous"/>
        </w:sectPr>
      </w:pPr>
    </w:p>
    <w:bookmarkStart w:id="1" w:name="page2"/>
    <w:bookmarkEnd w:id="1"/>
    <w:p>
      <w:pPr>
        <w:jc w:val="center"/>
        <w:ind w:right="2439"/>
        <w:spacing w:after="0"/>
        <w:rPr>
          <w:sz w:val="20"/>
          <w:szCs w:val="20"/>
          <w:color w:val="auto"/>
        </w:rPr>
      </w:pPr>
      <w:r>
        <w:rPr>
          <w:rFonts w:ascii="Courier New" w:cs="Courier New" w:eastAsia="Courier New" w:hAnsi="Courier New"/>
          <w:sz w:val="16"/>
          <w:szCs w:val="16"/>
          <w:color w:val="auto"/>
        </w:rPr>
        <w:t>TABLE OF CONTENTS</w:t>
      </w:r>
    </w:p>
    <w:p>
      <w:pPr>
        <w:spacing w:after="0" w:line="19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PROSPECTUS SUPPLEMENT</w:t>
      </w:r>
    </w:p>
    <w:p>
      <w:pPr>
        <w:spacing w:after="0" w:line="200" w:lineRule="exact"/>
        <w:rPr>
          <w:sz w:val="20"/>
          <w:szCs w:val="20"/>
          <w:color w:val="auto"/>
        </w:rPr>
      </w:pPr>
    </w:p>
    <w:p>
      <w:pPr>
        <w:spacing w:after="0" w:line="377" w:lineRule="exact"/>
        <w:rPr>
          <w:sz w:val="20"/>
          <w:szCs w:val="20"/>
          <w:color w:val="auto"/>
        </w:rPr>
      </w:pPr>
    </w:p>
    <w:tbl>
      <w:tblPr>
        <w:tblLayout w:type="fixed"/>
        <w:tblInd w:w="12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90"/>
        </w:trPr>
        <w:tc>
          <w:tcPr>
            <w:tcW w:w="48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4880" w:type="dxa"/>
            <w:vAlign w:val="bottom"/>
          </w:tcPr>
          <w:p>
            <w:pPr>
              <w:spacing w:after="0"/>
              <w:rPr>
                <w:sz w:val="20"/>
                <w:szCs w:val="20"/>
                <w:color w:val="auto"/>
              </w:rPr>
            </w:pPr>
            <w:r>
              <w:rPr>
                <w:rFonts w:ascii="Courier New" w:cs="Courier New" w:eastAsia="Courier New" w:hAnsi="Courier New"/>
                <w:sz w:val="16"/>
                <w:szCs w:val="16"/>
                <w:color w:val="auto"/>
              </w:rPr>
              <w:t>WHERE YOU CAN FIND MORE INFORMATION..............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S-1</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SPECIAL NOTE REGARDING FORWARD-LOOKING STATEMENTS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PROSPECTUS SUPPLEMENT SUMMARY....................</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RISK FACTORS.....................................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S-7</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SECOND QUARTER HIGHLIGHTS........................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S-7</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RATIOS OF EARNINGS TO FIXED CHARGES..............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S-9</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CAPITALIZATION...................................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S-10</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SELECTED CONSOLIDATED FINANCIAL DATA.............</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S-11</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DESCRIPTION OF NOTES.............................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S-13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UNDERWRITING.....................................</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S-19</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S-20</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S-20</w:t>
            </w:r>
          </w:p>
        </w:tc>
      </w:tr>
      <w:tr>
        <w:trPr>
          <w:trHeight w:val="379"/>
        </w:trPr>
        <w:tc>
          <w:tcPr>
            <w:tcW w:w="4880" w:type="dxa"/>
            <w:vAlign w:val="bottom"/>
          </w:tcPr>
          <w:p>
            <w:pPr>
              <w:ind w:left="2180"/>
              <w:spacing w:after="0"/>
              <w:rPr>
                <w:sz w:val="20"/>
                <w:szCs w:val="20"/>
                <w:color w:val="auto"/>
              </w:rPr>
            </w:pPr>
            <w:r>
              <w:rPr>
                <w:rFonts w:ascii="Courier New" w:cs="Courier New" w:eastAsia="Courier New" w:hAnsi="Courier New"/>
                <w:sz w:val="16"/>
                <w:szCs w:val="16"/>
                <w:color w:val="auto"/>
              </w:rPr>
              <w:t>PROSPECTUS</w:t>
            </w:r>
          </w:p>
        </w:tc>
        <w:tc>
          <w:tcPr>
            <w:tcW w:w="440" w:type="dxa"/>
            <w:vAlign w:val="bottom"/>
          </w:tcPr>
          <w:p>
            <w:pPr>
              <w:spacing w:after="0"/>
              <w:rPr>
                <w:sz w:val="24"/>
                <w:szCs w:val="24"/>
                <w:color w:val="auto"/>
              </w:rPr>
            </w:pP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Available Information............................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 Reference..</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The Trust........................................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Ratios of Earnings to Fixed Charges..............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Description of Debt Securities...................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Description of Preferred Shares..................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Description of Common Shares.....................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Federal Income Tax Considerations................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Plan of Distribution.............................</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Legal Opinions...................................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90"/>
        </w:trPr>
        <w:tc>
          <w:tcPr>
            <w:tcW w:w="488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pacing w:after="0" w:line="38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You should rely only on the information contained or incorporated by reference in this prospectus supplement and the accompanying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85" w:right="1440" w:bottom="1440" w:gutter="0" w:footer="0" w:header="0"/>
        </w:sectPr>
      </w:pPr>
    </w:p>
    <w:bookmarkStart w:id="2" w:name="page3"/>
    <w:bookmarkEnd w:id="2"/>
    <w:p>
      <w:pPr>
        <w:ind w:left="2180"/>
        <w:spacing w:after="0"/>
        <w:rPr>
          <w:sz w:val="20"/>
          <w:szCs w:val="20"/>
          <w:color w:val="auto"/>
        </w:rPr>
      </w:pPr>
      <w:r>
        <w:rPr>
          <w:rFonts w:ascii="Courier New" w:cs="Courier New" w:eastAsia="Courier New" w:hAnsi="Courier New"/>
          <w:sz w:val="16"/>
          <w:szCs w:val="16"/>
          <w:color w:val="auto"/>
        </w:rPr>
        <w:t>WHERE YOU CAN FIND MORE INFORMATION</w:t>
      </w:r>
    </w:p>
    <w:p>
      <w:pPr>
        <w:spacing w:after="0" w:line="198" w:lineRule="exact"/>
        <w:rPr>
          <w:sz w:val="20"/>
          <w:szCs w:val="20"/>
          <w:color w:val="auto"/>
        </w:rPr>
      </w:pPr>
    </w:p>
    <w:p>
      <w:pPr>
        <w:jc w:val="both"/>
        <w:ind w:right="2439" w:firstLine="296"/>
        <w:spacing w:after="0" w:line="253" w:lineRule="auto"/>
        <w:rPr>
          <w:sz w:val="20"/>
          <w:szCs w:val="20"/>
          <w:color w:val="auto"/>
        </w:rPr>
      </w:pPr>
      <w:r>
        <w:rPr>
          <w:rFonts w:ascii="Courier New" w:cs="Courier New" w:eastAsia="Courier New" w:hAnsi="Courier New"/>
          <w:sz w:val="16"/>
          <w:szCs w:val="16"/>
          <w:color w:val="auto"/>
        </w:rPr>
        <w:t>We file annual, quarterly and current reports and other information with the SEC. You may read and copy materials that we have filed with the SEC, including the registration statement, at the following location:</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Public Reference Room</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450 Fifth Street, N.W.</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Room 1024</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0"/>
          <w:szCs w:val="20"/>
          <w:color w:val="auto"/>
        </w:rPr>
      </w:pPr>
    </w:p>
    <w:p>
      <w:pPr>
        <w:ind w:right="2719" w:firstLine="296"/>
        <w:spacing w:after="0" w:line="255" w:lineRule="auto"/>
        <w:rPr>
          <w:sz w:val="20"/>
          <w:szCs w:val="20"/>
          <w:color w:val="auto"/>
        </w:rPr>
      </w:pPr>
      <w:r>
        <w:rPr>
          <w:rFonts w:ascii="Courier New" w:cs="Courier New" w:eastAsia="Courier New" w:hAnsi="Courier New"/>
          <w:sz w:val="16"/>
          <w:szCs w:val="16"/>
          <w:color w:val="auto"/>
        </w:rPr>
        <w:t>You may obtain information on the operation of the SEC's Public Reference Room by calling the SEC at (800) SEC-0330.</w:t>
      </w:r>
    </w:p>
    <w:p>
      <w:pPr>
        <w:spacing w:after="0" w:line="184"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SEC also maintains an Internet web site that contains reports, proxy statements and other information regarding issuers, including us, who file electronically with the SEC. The address of that site is www.sec.gov. Reports, proxy statements and other information concerning Federal Realty Investment Trust may also be inspected at the offices of the New York Stock Exchange, which are located at 20 Broad Street, New York, NY 10005.</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SEC allows us to "incorporate by reference" the information we file with it, which means that we can disclose important information to you by referring you to another document filed separately with the SEC. The information incorporated by reference is considered to be part of this prospectus supplement and the accompanying prospectus, and information we file later with the SEC will automatically update and supersede the information in this prospectus supplement, the accompanying prospectus and any document we previously filed with the SEC. In particular, the information appearing in the accompanying prospectus under "Description of Common Shares" has been superseded in its entirety, and the information appearing in the accompanying prospectus under the caption "Federal Income Tax Considerations" has been superseded in part, by information appearing in the filings listed below. We incorporate by reference the filings listed below, which we have previously filed with the SEC, and any future filings made with the SEC prior to the termination of this offering under Sections 13(a), 13(c), 14 or 15(d) of the Securities Exchange Act of 1934. All of these filings, which contain important information about us, are considered a part of this prospectus supplement and the accompanying prospectus.</w:t>
      </w:r>
    </w:p>
    <w:p>
      <w:pPr>
        <w:spacing w:after="0" w:line="380"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The file number for each of the listed documents is 1-07533.</w:t>
      </w:r>
    </w:p>
    <w:p>
      <w:pPr>
        <w:spacing w:after="0" w:line="198" w:lineRule="exact"/>
        <w:rPr>
          <w:sz w:val="20"/>
          <w:szCs w:val="20"/>
          <w:color w:val="auto"/>
        </w:rPr>
      </w:pPr>
    </w:p>
    <w:p>
      <w:pPr>
        <w:ind w:left="780" w:hanging="483"/>
        <w:spacing w:after="0"/>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Annual Report on Form 10-K for the fiscal year ended December 31,</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March 31, 2002.</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Quarterly Report on Form 10-Q for the quarter ended June 30, 2002.</w:t>
      </w:r>
    </w:p>
    <w:p>
      <w:pPr>
        <w:spacing w:after="0" w:line="197" w:lineRule="exact"/>
        <w:rPr>
          <w:rFonts w:ascii="Courier New" w:cs="Courier New" w:eastAsia="Courier New" w:hAnsi="Courier New"/>
          <w:sz w:val="16"/>
          <w:szCs w:val="16"/>
          <w:color w:val="auto"/>
        </w:rPr>
      </w:pPr>
    </w:p>
    <w:p>
      <w:pPr>
        <w:ind w:left="780" w:hanging="483"/>
        <w:spacing w:after="0"/>
        <w:tabs>
          <w:tab w:leader="none" w:pos="7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Current Reports on Form 8-K filed on the following dates:</w:t>
      </w:r>
    </w:p>
    <w:p>
      <w:pPr>
        <w:spacing w:after="0" w:line="198" w:lineRule="exact"/>
        <w:rPr>
          <w:sz w:val="20"/>
          <w:szCs w:val="20"/>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February 12, 2002;</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March 12, 2002;</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March 28, 2002;</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April 30, 2002.</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June 5, 2002;</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June 11, 2002; and</w:t>
      </w:r>
    </w:p>
    <w:p>
      <w:pPr>
        <w:spacing w:after="0" w:line="197" w:lineRule="exact"/>
        <w:rPr>
          <w:rFonts w:ascii="Courier New" w:cs="Courier New" w:eastAsia="Courier New" w:hAnsi="Courier New"/>
          <w:sz w:val="16"/>
          <w:szCs w:val="16"/>
          <w:color w:val="auto"/>
        </w:rPr>
      </w:pPr>
    </w:p>
    <w:p>
      <w:pPr>
        <w:ind w:left="780" w:hanging="187"/>
        <w:spacing w:after="0"/>
        <w:tabs>
          <w:tab w:leader="none" w:pos="7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August 12, 2002.</w:t>
      </w:r>
    </w:p>
    <w:p>
      <w:pPr>
        <w:spacing w:after="0" w:line="197" w:lineRule="exact"/>
        <w:rPr>
          <w:rFonts w:ascii="Courier New" w:cs="Courier New" w:eastAsia="Courier New" w:hAnsi="Courier New"/>
          <w:sz w:val="16"/>
          <w:szCs w:val="16"/>
          <w:color w:val="auto"/>
        </w:rPr>
      </w:pPr>
    </w:p>
    <w:p>
      <w:pPr>
        <w:ind w:right="2519" w:firstLine="297"/>
        <w:spacing w:after="0" w:line="255" w:lineRule="auto"/>
        <w:tabs>
          <w:tab w:leader="none" w:pos="6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shares included in our Registration Statement on Form 8-A/A filed on June 6, 2002.</w:t>
      </w:r>
    </w:p>
    <w:p>
      <w:pPr>
        <w:spacing w:after="0" w:line="183" w:lineRule="exact"/>
        <w:rPr>
          <w:rFonts w:ascii="Courier New" w:cs="Courier New" w:eastAsia="Courier New" w:hAnsi="Courier New"/>
          <w:sz w:val="16"/>
          <w:szCs w:val="16"/>
          <w:color w:val="auto"/>
        </w:rPr>
      </w:pPr>
    </w:p>
    <w:p>
      <w:pPr>
        <w:ind w:right="3319" w:firstLine="297"/>
        <w:spacing w:after="0" w:line="255" w:lineRule="auto"/>
        <w:tabs>
          <w:tab w:leader="none" w:pos="6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our Registration Statement on Form 8-A/A filed on March 11, 1999.</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S-1</w:t>
      </w:r>
    </w:p>
    <w:p>
      <w:pPr>
        <w:sectPr>
          <w:pgSz w:w="11900" w:h="16838" w:orient="portrait"/>
          <w:cols w:equalWidth="0" w:num="1">
            <w:col w:w="10219"/>
          </w:cols>
          <w:pgMar w:left="240" w:top="685" w:right="1440" w:bottom="1440" w:gutter="0" w:footer="0" w:header="0"/>
        </w:sectPr>
      </w:pPr>
    </w:p>
    <w:bookmarkStart w:id="3" w:name="page4"/>
    <w:bookmarkEnd w:id="3"/>
    <w:p>
      <w:pPr>
        <w:ind w:right="2519" w:firstLine="296"/>
        <w:spacing w:after="0" w:line="253" w:lineRule="auto"/>
        <w:rPr>
          <w:sz w:val="20"/>
          <w:szCs w:val="20"/>
          <w:color w:val="auto"/>
        </w:rPr>
      </w:pPr>
      <w:r>
        <w:rPr>
          <w:rFonts w:ascii="Courier New" w:cs="Courier New" w:eastAsia="Courier New" w:hAnsi="Courier New"/>
          <w:sz w:val="16"/>
          <w:szCs w:val="16"/>
          <w:color w:val="auto"/>
        </w:rPr>
        <w:t>You may obtain copies of documents incorporated by reference in this document, without charge, by writing us at the following address or calling us at the telephone number listed below:</w:t>
      </w:r>
    </w:p>
    <w:p>
      <w:pPr>
        <w:spacing w:after="0" w:line="185"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Andrew P. Blocher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Vice President, Investor Relations and Capital Markets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FEDERAL REALTY INVESTMENT TRUST</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1626 E. Jefferson Street</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Rockville, Maryland 20852</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(301) 998-8100 or (800) 658-8980</w:t>
      </w:r>
    </w:p>
    <w:p>
      <w:pPr>
        <w:spacing w:after="0" w:line="19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SPECIAL NOTE REGARDING FORWARD-LOOKING STATEMENTS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make forward-looking statements in this prospectus supplement and the accompanying prospectus, and in documents that are incorporated by reference in the prospectus supplement and the accompanying prospectus, that are subject to risks and uncertainties. Forward-looking statements include information concerning our possible or assumed future results of operations. Also, statements including words such as "believes," "expects," "anticipates," "intends," "plans," "estimates," or similar expressions are forward-looking statements. Many factors, some of which are discussed elsewhere in this prospectus supplement and the accompanying prospectus and in the documents incorporated by reference in the prospectus supplement and the accompanying prospectus, could affect our future financial results and could cause actual results to differ materially from those expressed in forward-looking statements contained or incorporated by reference in this prospectus supplement and the accompanying prospectus. Important factors that could cause actual results to differ materially from current expectations reflected in the forward-looking statements included and incorporated by reference in this prospectus supplement and the accompanying prospectus include, among others, the risk factors discussed in the filings made by us with the SEC that are identified above and incorporated by reference in this prospectus supplement and the accompanying prospectus.</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Forward-looking statements are not guarantees of performance. They involve risks, uncertainties and assumptions. Our future results and shareholder values may differ materially from those expressed in these forward-looking statements. Many of the factors that will determine these results and values are beyond our ability to control or predict. For those statements, we claim the protection of the safe harbor for forward-looking statements contained in the Private Securities Litigation Reform Act of 1995.</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S-2</w:t>
      </w:r>
    </w:p>
    <w:p>
      <w:pPr>
        <w:sectPr>
          <w:pgSz w:w="11900" w:h="16838" w:orient="portrait"/>
          <w:cols w:equalWidth="0" w:num="1">
            <w:col w:w="10219"/>
          </w:cols>
          <w:pgMar w:left="240" w:top="685" w:right="1440" w:bottom="1440" w:gutter="0" w:footer="0" w:header="0"/>
        </w:sectPr>
      </w:pPr>
    </w:p>
    <w:bookmarkStart w:id="4" w:name="page5"/>
    <w:bookmarkEnd w:id="4"/>
    <w:p>
      <w:pPr>
        <w:ind w:left="2460"/>
        <w:spacing w:after="0"/>
        <w:rPr>
          <w:sz w:val="20"/>
          <w:szCs w:val="20"/>
          <w:color w:val="auto"/>
        </w:rPr>
      </w:pPr>
      <w:r>
        <w:rPr>
          <w:rFonts w:ascii="Courier New" w:cs="Courier New" w:eastAsia="Courier New" w:hAnsi="Courier New"/>
          <w:sz w:val="16"/>
          <w:szCs w:val="16"/>
          <w:color w:val="auto"/>
        </w:rPr>
        <w:t>PROSPECTUS SUPPLEMENT SUMMARY</w:t>
      </w:r>
    </w:p>
    <w:p>
      <w:pPr>
        <w:spacing w:after="0" w:line="198" w:lineRule="exact"/>
        <w:rPr>
          <w:sz w:val="20"/>
          <w:szCs w:val="20"/>
          <w:color w:val="auto"/>
        </w:rPr>
      </w:pPr>
    </w:p>
    <w:p>
      <w:pPr>
        <w:ind w:left="200" w:right="2439" w:firstLine="296"/>
        <w:spacing w:after="0" w:line="252" w:lineRule="auto"/>
        <w:rPr>
          <w:sz w:val="20"/>
          <w:szCs w:val="20"/>
          <w:color w:val="auto"/>
        </w:rPr>
      </w:pPr>
      <w:r>
        <w:rPr>
          <w:rFonts w:ascii="Courier New" w:cs="Courier New" w:eastAsia="Courier New" w:hAnsi="Courier New"/>
          <w:sz w:val="16"/>
          <w:szCs w:val="16"/>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87"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The Trust</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Federal Realty Investment Trust is an equity real estate investment trust specializing in the ownership, management, development and redevelopment of high quality retail and mixed-use properties. As of June 30, 2002, we own or have an interest in 58 community and neighborhood shopping centers comprising over 12 million square feet, primarily located in densely populated and affluent communities throughout the Northeast and Mid-Atlantic United States. In addition, we own 56 urban retail and mixed-use properties comprising over 2 million square feet located in strategic metropolitan markets across the United States and one apartment complex.</w:t>
      </w:r>
    </w:p>
    <w:p>
      <w:pPr>
        <w:spacing w:after="0" w:line="190" w:lineRule="exact"/>
        <w:rPr>
          <w:sz w:val="20"/>
          <w:szCs w:val="20"/>
          <w:color w:val="auto"/>
        </w:rPr>
      </w:pPr>
    </w:p>
    <w:p>
      <w:pPr>
        <w:jc w:val="both"/>
        <w:ind w:right="2439" w:firstLine="296"/>
        <w:spacing w:after="0" w:line="251" w:lineRule="auto"/>
        <w:rPr>
          <w:sz w:val="20"/>
          <w:szCs w:val="20"/>
          <w:color w:val="auto"/>
        </w:rPr>
      </w:pPr>
      <w:r>
        <w:rPr>
          <w:rFonts w:ascii="Courier New" w:cs="Courier New" w:eastAsia="Courier New" w:hAnsi="Courier New"/>
          <w:sz w:val="16"/>
          <w:szCs w:val="16"/>
          <w:color w:val="auto"/>
        </w:rPr>
        <w:t>We operate in a manner intended to qualify as a real estate investment trust pursuant to provisions of the Internal Revenue Code. Our offices are located at 1626 East Jefferson Street, Rockville, Maryland 20852. Our telephone number is</w:t>
      </w:r>
    </w:p>
    <w:p>
      <w:pPr>
        <w:ind w:right="6959" w:firstLine="1"/>
        <w:spacing w:after="0" w:line="502" w:lineRule="auto"/>
        <w:tabs>
          <w:tab w:leader="none" w:pos="59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998-8100 or (800) 658-8980. Our Competitive Strengths</w:t>
      </w:r>
    </w:p>
    <w:p>
      <w:pPr>
        <w:ind w:right="2519" w:firstLine="296"/>
        <w:spacing w:after="0" w:line="255" w:lineRule="auto"/>
        <w:rPr>
          <w:sz w:val="20"/>
          <w:szCs w:val="20"/>
          <w:color w:val="auto"/>
        </w:rPr>
      </w:pPr>
      <w:r>
        <w:rPr>
          <w:rFonts w:ascii="Courier New" w:cs="Courier New" w:eastAsia="Courier New" w:hAnsi="Courier New"/>
          <w:sz w:val="16"/>
          <w:szCs w:val="16"/>
          <w:color w:val="auto"/>
        </w:rPr>
        <w:t>We believe that we distinguish ourselves from other owners and operators of retail and mixed-use properties in a number of ways, including by our:</w:t>
      </w:r>
    </w:p>
    <w:p>
      <w:pPr>
        <w:spacing w:after="0" w:line="184" w:lineRule="exact"/>
        <w:rPr>
          <w:sz w:val="20"/>
          <w:szCs w:val="20"/>
          <w:color w:val="auto"/>
        </w:rPr>
      </w:pPr>
    </w:p>
    <w:p>
      <w:pPr>
        <w:ind w:left="700" w:right="2719" w:hanging="305"/>
        <w:spacing w:after="0" w:line="252" w:lineRule="auto"/>
        <w:tabs>
          <w:tab w:leader="none" w:pos="7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Diverse tenant base. As of June 30, 2002, we had in excess of 2,100 tenants. No single tenant currently represents more than 2.6% of our annualized base rent and our top 10 tenants as a group only represent approximately 17% of our annualized base rent.</w:t>
      </w:r>
    </w:p>
    <w:p>
      <w:pPr>
        <w:spacing w:after="0" w:line="187" w:lineRule="exact"/>
        <w:rPr>
          <w:sz w:val="20"/>
          <w:szCs w:val="20"/>
          <w:color w:val="auto"/>
        </w:rPr>
      </w:pPr>
    </w:p>
    <w:p>
      <w:pPr>
        <w:ind w:left="700" w:right="2439" w:hanging="305"/>
        <w:spacing w:after="0" w:line="252"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Attractive locations with strong market demographics. Our core portfolio is located in some of the nation's strongest markets which are characterized by dense populations, affluent residents and limited land available for the development of competing properties.</w:t>
      </w:r>
    </w:p>
    <w:p>
      <w:pPr>
        <w:spacing w:after="0" w:line="187" w:lineRule="exact"/>
        <w:rPr>
          <w:sz w:val="20"/>
          <w:szCs w:val="20"/>
          <w:color w:val="auto"/>
        </w:rPr>
      </w:pPr>
    </w:p>
    <w:p>
      <w:pPr>
        <w:ind w:left="700" w:right="2439" w:hanging="305"/>
        <w:spacing w:after="0" w:line="252"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Seasoned management team. Our senior management team is comprised of executives with an average of approximately 14 years experience in the management, redevelopment, leasing, acquisition and construction of real estate.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Business and Growth Strategy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Our primary objective is to acquire and redevelop community and neighborhood shopping centers that are anchored by supermarkets, drug stores or high-volume, value-oriented retailers that provide consumer necessities. We evaluate each investment opportunity on its individual merits, allocating capital to those investments which we believe will contribute to increasing our cash flow over both the short and long term. The cornerstones of our business strategy include the following elements:</w:t>
      </w:r>
    </w:p>
    <w:p>
      <w:pPr>
        <w:spacing w:after="0" w:line="190" w:lineRule="exact"/>
        <w:rPr>
          <w:sz w:val="20"/>
          <w:szCs w:val="20"/>
          <w:color w:val="auto"/>
        </w:rPr>
      </w:pPr>
    </w:p>
    <w:p>
      <w:pPr>
        <w:ind w:left="700" w:right="2439" w:hanging="305"/>
        <w:spacing w:after="0" w:line="252" w:lineRule="auto"/>
        <w:tabs>
          <w:tab w:leader="none" w:pos="7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older, well-located shopping centers and retail buildings in densely populated and affluent areas with possibilities for enhancing their operating performance through renovation, expansion, reconfiguration and/or retenanting;</w:t>
      </w:r>
    </w:p>
    <w:p>
      <w:pPr>
        <w:spacing w:after="0" w:line="187" w:lineRule="exact"/>
        <w:rPr>
          <w:sz w:val="20"/>
          <w:szCs w:val="20"/>
          <w:color w:val="auto"/>
        </w:rPr>
      </w:pPr>
    </w:p>
    <w:p>
      <w:pPr>
        <w:ind w:left="700" w:right="2619" w:hanging="305"/>
        <w:spacing w:after="0" w:line="253" w:lineRule="auto"/>
        <w:tabs>
          <w:tab w:leader="none" w:pos="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Continual evaluation of our existing properties, including undeveloped or underdeveloped portions of Santana Row and Bethesda Row, for redevelopment, retenanting and expansion opportunities; and</w:t>
      </w:r>
    </w:p>
    <w:p>
      <w:pPr>
        <w:spacing w:after="0" w:line="185" w:lineRule="exact"/>
        <w:rPr>
          <w:sz w:val="20"/>
          <w:szCs w:val="20"/>
          <w:color w:val="auto"/>
        </w:rPr>
      </w:pPr>
    </w:p>
    <w:p>
      <w:pPr>
        <w:ind w:left="700" w:right="2619" w:hanging="305"/>
        <w:spacing w:after="0" w:line="253" w:lineRule="auto"/>
        <w:tabs>
          <w:tab w:leader="none" w:pos="7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Identification and acquisition of opportunities to develop ground-up grocery anchored shopping centers in and around our strongest existing markets.</w:t>
      </w:r>
    </w:p>
    <w:p>
      <w:pPr>
        <w:spacing w:after="0" w:line="37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S-3</w:t>
      </w:r>
    </w:p>
    <w:p>
      <w:pPr>
        <w:sectPr>
          <w:pgSz w:w="11900" w:h="16838" w:orient="portrait"/>
          <w:cols w:equalWidth="0" w:num="1">
            <w:col w:w="10219"/>
          </w:cols>
          <w:pgMar w:left="240" w:top="685" w:right="1440" w:bottom="1440" w:gutter="0" w:footer="0" w:header="0"/>
        </w:sectPr>
      </w:pPr>
    </w:p>
    <w:bookmarkStart w:id="5" w:name="page6"/>
    <w:bookmarkEnd w:id="5"/>
    <w:p>
      <w:pPr>
        <w:jc w:val="center"/>
        <w:ind w:right="2519"/>
        <w:spacing w:after="0"/>
        <w:rPr>
          <w:sz w:val="20"/>
          <w:szCs w:val="20"/>
          <w:color w:val="auto"/>
        </w:rPr>
      </w:pPr>
      <w:r>
        <w:rPr>
          <w:rFonts w:ascii="Courier New" w:cs="Courier New" w:eastAsia="Courier New" w:hAnsi="Courier New"/>
          <w:sz w:val="16"/>
          <w:szCs w:val="16"/>
          <w:color w:val="auto"/>
        </w:rPr>
        <w:t>The Offering</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186"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Securities Offered........ $150,000,000 aggregate</w:t>
      </w:r>
    </w:p>
    <w:p>
      <w:pPr>
        <w:spacing w:after="0" w:line="8" w:lineRule="exact"/>
        <w:rPr>
          <w:sz w:val="20"/>
          <w:szCs w:val="20"/>
          <w:color w:val="auto"/>
        </w:rPr>
      </w:pPr>
    </w:p>
    <w:p>
      <w:pPr>
        <w:ind w:left="3940"/>
        <w:spacing w:after="0"/>
        <w:tabs>
          <w:tab w:leader="none" w:pos="6100" w:val="left"/>
        </w:tabs>
        <w:rPr>
          <w:sz w:val="20"/>
          <w:szCs w:val="20"/>
          <w:color w:val="auto"/>
        </w:rPr>
      </w:pPr>
      <w:r>
        <w:rPr>
          <w:rFonts w:ascii="Courier New" w:cs="Courier New" w:eastAsia="Courier New" w:hAnsi="Courier New"/>
          <w:sz w:val="16"/>
          <w:szCs w:val="16"/>
          <w:color w:val="auto"/>
        </w:rPr>
        <w:t>principal amount of</w:t>
      </w:r>
      <w:r>
        <w:rPr>
          <w:sz w:val="20"/>
          <w:szCs w:val="20"/>
          <w:color w:val="auto"/>
        </w:rPr>
        <w:tab/>
      </w:r>
      <w:r>
        <w:rPr>
          <w:rFonts w:ascii="Courier New" w:cs="Courier New" w:eastAsia="Courier New" w:hAnsi="Courier New"/>
          <w:sz w:val="16"/>
          <w:szCs w:val="16"/>
          <w:color w:val="auto"/>
        </w:rPr>
        <w:t>%</w:t>
      </w:r>
    </w:p>
    <w:p>
      <w:pPr>
        <w:spacing w:after="0" w:line="8" w:lineRule="exact"/>
        <w:rPr>
          <w:sz w:val="20"/>
          <w:szCs w:val="20"/>
          <w:color w:val="auto"/>
        </w:rPr>
      </w:pPr>
    </w:p>
    <w:p>
      <w:pPr>
        <w:ind w:left="3940"/>
        <w:spacing w:after="0"/>
        <w:tabs>
          <w:tab w:leader="none" w:pos="5700" w:val="left"/>
        </w:tabs>
        <w:rPr>
          <w:sz w:val="20"/>
          <w:szCs w:val="20"/>
          <w:color w:val="auto"/>
        </w:rPr>
      </w:pPr>
      <w:r>
        <w:rPr>
          <w:rFonts w:ascii="Courier New" w:cs="Courier New" w:eastAsia="Courier New" w:hAnsi="Courier New"/>
          <w:sz w:val="16"/>
          <w:szCs w:val="16"/>
          <w:color w:val="auto"/>
        </w:rPr>
        <w:t>Notes due August</w:t>
        <w:tab/>
        <w:t>, 2007.</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Maturity.................. The notes will mature on</w:t>
      </w:r>
    </w:p>
    <w:p>
      <w:pPr>
        <w:spacing w:after="0" w:line="8" w:lineRule="exact"/>
        <w:rPr>
          <w:sz w:val="20"/>
          <w:szCs w:val="20"/>
          <w:color w:val="auto"/>
        </w:rPr>
      </w:pPr>
    </w:p>
    <w:p>
      <w:pPr>
        <w:ind w:left="3940"/>
        <w:spacing w:after="0"/>
        <w:tabs>
          <w:tab w:leader="none" w:pos="4720" w:val="left"/>
        </w:tabs>
        <w:rPr>
          <w:sz w:val="20"/>
          <w:szCs w:val="20"/>
          <w:color w:val="auto"/>
        </w:rPr>
      </w:pPr>
      <w:r>
        <w:rPr>
          <w:rFonts w:ascii="Courier New" w:cs="Courier New" w:eastAsia="Courier New" w:hAnsi="Courier New"/>
          <w:sz w:val="16"/>
          <w:szCs w:val="16"/>
          <w:color w:val="auto"/>
        </w:rPr>
        <w:t>August</w:t>
        <w:tab/>
        <w:t>, 2007.</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Interest Payment Dates.... Interest on the notes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will be payable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semi-annually in arrears</w:t>
      </w:r>
    </w:p>
    <w:p>
      <w:pPr>
        <w:spacing w:after="0" w:line="8" w:lineRule="exact"/>
        <w:rPr>
          <w:sz w:val="20"/>
          <w:szCs w:val="20"/>
          <w:color w:val="auto"/>
        </w:rPr>
      </w:pPr>
    </w:p>
    <w:p>
      <w:pPr>
        <w:ind w:left="3940"/>
        <w:spacing w:after="0"/>
        <w:tabs>
          <w:tab w:leader="none" w:pos="5100" w:val="left"/>
        </w:tabs>
        <w:rPr>
          <w:sz w:val="20"/>
          <w:szCs w:val="20"/>
          <w:color w:val="auto"/>
        </w:rPr>
      </w:pPr>
      <w:r>
        <w:rPr>
          <w:rFonts w:ascii="Courier New" w:cs="Courier New" w:eastAsia="Courier New" w:hAnsi="Courier New"/>
          <w:sz w:val="16"/>
          <w:szCs w:val="16"/>
          <w:color w:val="auto"/>
        </w:rPr>
        <w:t>on March</w:t>
      </w:r>
      <w:r>
        <w:rPr>
          <w:sz w:val="20"/>
          <w:szCs w:val="20"/>
          <w:color w:val="auto"/>
        </w:rPr>
        <w:tab/>
      </w:r>
      <w:r>
        <w:rPr>
          <w:rFonts w:ascii="Courier New" w:cs="Courier New" w:eastAsia="Courier New" w:hAnsi="Courier New"/>
          <w:sz w:val="16"/>
          <w:szCs w:val="16"/>
          <w:color w:val="auto"/>
        </w:rPr>
        <w:t>and September</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of each year,</w:t>
      </w:r>
    </w:p>
    <w:p>
      <w:pPr>
        <w:spacing w:after="0" w:line="8" w:lineRule="exact"/>
        <w:rPr>
          <w:sz w:val="20"/>
          <w:szCs w:val="20"/>
          <w:color w:val="auto"/>
        </w:rPr>
      </w:pPr>
    </w:p>
    <w:p>
      <w:pPr>
        <w:ind w:left="3940"/>
        <w:spacing w:after="0"/>
        <w:tabs>
          <w:tab w:leader="none" w:pos="5700" w:val="left"/>
        </w:tabs>
        <w:rPr>
          <w:sz w:val="20"/>
          <w:szCs w:val="20"/>
          <w:color w:val="auto"/>
        </w:rPr>
      </w:pPr>
      <w:r>
        <w:rPr>
          <w:rFonts w:ascii="Courier New" w:cs="Courier New" w:eastAsia="Courier New" w:hAnsi="Courier New"/>
          <w:sz w:val="16"/>
          <w:szCs w:val="16"/>
          <w:color w:val="auto"/>
        </w:rPr>
        <w:t>commencing March</w:t>
        <w:tab/>
        <w:t>, 2003,</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and at maturity.</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Ranking................... The notes will rank pari</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passu with all of our</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other unsecured and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unsubordinated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indebtedness, except that</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 notes will be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effectively subordinated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to the prior claims of</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each secured mortgage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lender to any specific</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property which secures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such lender's mortgage.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After giving effect to</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the use of proceeds from</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this offering, we will</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have outstanding</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approximately $291.8</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million of secured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indebtedness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collateralized by 14</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properties and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approximately $706.4</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million of unsecured</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indebtedness ranking pari</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passu with the notes.</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Use of Proceeds........... Our net proceeds from</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this offering are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estimated to be $148.6</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million after deducting</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underwriting discounts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and estimated expenses of</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this offering. We will</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use these net proceeds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for the repayment of</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outstanding indebtedness,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including amounts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outstanding under the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construction loan for the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Santana Row development</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in San Jose, California,</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and for other general</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corporate purposes. See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"Use of Proceeds"</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beginning on page S-9 for</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more information.</w:t>
      </w:r>
    </w:p>
    <w:p>
      <w:pPr>
        <w:spacing w:after="0" w:line="198" w:lineRule="exact"/>
        <w:rPr>
          <w:sz w:val="20"/>
          <w:szCs w:val="20"/>
          <w:color w:val="auto"/>
        </w:rPr>
      </w:pPr>
    </w:p>
    <w:p>
      <w:pPr>
        <w:ind w:left="1480" w:right="3819" w:hanging="196"/>
        <w:spacing w:after="0" w:line="251" w:lineRule="auto"/>
        <w:rPr>
          <w:sz w:val="20"/>
          <w:szCs w:val="20"/>
          <w:color w:val="auto"/>
        </w:rPr>
      </w:pPr>
      <w:r>
        <w:rPr>
          <w:rFonts w:ascii="Courier New" w:cs="Courier New" w:eastAsia="Courier New" w:hAnsi="Courier New"/>
          <w:sz w:val="16"/>
          <w:szCs w:val="16"/>
          <w:color w:val="auto"/>
        </w:rPr>
        <w:t>Limitations on Incurrence</w:t>
      </w:r>
      <w:r>
        <w:rPr>
          <w:sz w:val="20"/>
          <w:szCs w:val="20"/>
          <w:color w:val="auto"/>
        </w:rPr>
        <w:t xml:space="preserve"> </w:t>
      </w:r>
      <w:r>
        <w:rPr>
          <w:rFonts w:ascii="Courier New" w:cs="Courier New" w:eastAsia="Courier New" w:hAnsi="Courier New"/>
          <w:sz w:val="16"/>
          <w:szCs w:val="16"/>
          <w:color w:val="auto"/>
        </w:rPr>
        <w:t>The notes contain various of Debt................. covenants, including the</w:t>
      </w:r>
    </w:p>
    <w:p>
      <w:pPr>
        <w:ind w:left="3940"/>
        <w:spacing w:after="0"/>
        <w:rPr>
          <w:sz w:val="20"/>
          <w:szCs w:val="20"/>
          <w:color w:val="auto"/>
        </w:rPr>
      </w:pPr>
      <w:r>
        <w:rPr>
          <w:rFonts w:ascii="Courier New" w:cs="Courier New" w:eastAsia="Courier New" w:hAnsi="Courier New"/>
          <w:sz w:val="16"/>
          <w:szCs w:val="16"/>
          <w:color w:val="auto"/>
        </w:rPr>
        <w:t>following:</w:t>
      </w:r>
    </w:p>
    <w:p>
      <w:pPr>
        <w:spacing w:after="0" w:line="19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(1) we will not, and will</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not permit any subsidiary</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to, incur any Debt if,</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immediately after giving</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effect to the incurrence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of such Debt and the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application of the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proceeds thereof, the</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aggregate principal</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amount of all of our</w:t>
      </w:r>
    </w:p>
    <w:p>
      <w:pPr>
        <w:sectPr>
          <w:pgSz w:w="11900" w:h="16838" w:orient="portrait"/>
          <w:cols w:equalWidth="0" w:num="1">
            <w:col w:w="10219"/>
          </w:cols>
          <w:pgMar w:left="240" w:top="685" w:right="1440" w:bottom="0" w:gutter="0" w:footer="0" w:header="0"/>
        </w:sectPr>
      </w:pPr>
    </w:p>
    <w:bookmarkStart w:id="6" w:name="page7"/>
    <w:bookmarkEnd w:id="6"/>
    <w:p>
      <w:pPr>
        <w:ind w:left="2740"/>
        <w:spacing w:after="0"/>
        <w:rPr>
          <w:sz w:val="20"/>
          <w:szCs w:val="20"/>
          <w:color w:val="auto"/>
        </w:rPr>
      </w:pPr>
      <w:r>
        <w:rPr>
          <w:rFonts w:ascii="Courier New" w:cs="Courier New" w:eastAsia="Courier New" w:hAnsi="Courier New"/>
          <w:sz w:val="16"/>
          <w:szCs w:val="16"/>
          <w:color w:val="auto"/>
        </w:rPr>
        <w:t>outstanding Debt and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subsidiaries on a</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consolidated basis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determined in accordance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with generally accepted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accounting principles is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greater than 65% of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sum of (without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duplication) (a) Total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Assets as of the end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calendar quarter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covered in our Annual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Report on Form 10-K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Quarterly Report on Form</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10-Q, as the case may be,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most recently filed with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SEC (or, if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filing is not permitted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under the Securities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Exchange Act of</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S-4</w:t>
      </w:r>
    </w:p>
    <w:p>
      <w:pPr>
        <w:sectPr>
          <w:pgSz w:w="11900" w:h="16838" w:orient="portrait"/>
          <w:cols w:equalWidth="0" w:num="1">
            <w:col w:w="9019"/>
          </w:cols>
          <w:pgMar w:left="1440" w:top="142" w:right="1440" w:bottom="1440" w:gutter="0" w:footer="0" w:header="0"/>
        </w:sectPr>
      </w:pPr>
    </w:p>
    <w:bookmarkStart w:id="7" w:name="page8"/>
    <w:bookmarkEnd w:id="7"/>
    <w:p>
      <w:pPr>
        <w:ind w:left="2740"/>
        <w:spacing w:after="0"/>
        <w:rPr>
          <w:sz w:val="20"/>
          <w:szCs w:val="20"/>
          <w:color w:val="auto"/>
        </w:rPr>
      </w:pPr>
      <w:r>
        <w:rPr>
          <w:rFonts w:ascii="Courier New" w:cs="Courier New" w:eastAsia="Courier New" w:hAnsi="Courier New"/>
          <w:sz w:val="16"/>
          <w:szCs w:val="16"/>
          <w:color w:val="auto"/>
        </w:rPr>
        <w:t>1934, with the Trustee)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prior to the incurrence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of such additional Debt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and (b) the purchase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price of any real estate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assets or mortgages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receivable acquired, and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amount of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securities offering</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proceeds received (to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extent such proceeds were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not used to acquire real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estate assets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mortgages receivable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used to reduce Debt), by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us or any subsidiary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since the end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calendar quarter,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including those proceeds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obtained in connection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with the incurrence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such additional Debt;</w:t>
      </w:r>
    </w:p>
    <w:p>
      <w:pPr>
        <w:spacing w:after="0" w:line="198" w:lineRule="exact"/>
        <w:rPr>
          <w:sz w:val="20"/>
          <w:szCs w:val="20"/>
          <w:color w:val="auto"/>
        </w:rPr>
      </w:pPr>
    </w:p>
    <w:p>
      <w:pPr>
        <w:ind w:left="2740" w:right="3819" w:firstLine="5"/>
        <w:spacing w:after="0" w:line="251" w:lineRule="auto"/>
        <w:tabs>
          <w:tab w:leader="none" w:pos="313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w:t>
      </w:r>
    </w:p>
    <w:p>
      <w:pPr>
        <w:ind w:left="2740" w:right="381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10-K or Quarterly Report on Form 10-Q, as the case may be, most recently filed with the SEC (or, if such filing is not permitted under the Securities Exchange Act of 1934,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w:t>
      </w:r>
    </w:p>
    <w:p>
      <w:pPr>
        <w:sectPr>
          <w:pgSz w:w="11900" w:h="16838" w:orient="portrait"/>
          <w:cols w:equalWidth="0" w:num="1">
            <w:col w:w="9019"/>
          </w:cols>
          <w:pgMar w:left="1440" w:top="875" w:right="1440" w:bottom="0" w:gutter="0" w:footer="0" w:header="0"/>
        </w:sectPr>
      </w:pPr>
    </w:p>
    <w:bookmarkStart w:id="8" w:name="page9"/>
    <w:bookmarkEnd w:id="8"/>
    <w:p>
      <w:pPr>
        <w:ind w:left="2740"/>
        <w:spacing w:after="0"/>
        <w:rPr>
          <w:sz w:val="20"/>
          <w:szCs w:val="20"/>
          <w:color w:val="auto"/>
        </w:rPr>
      </w:pPr>
      <w:r>
        <w:rPr>
          <w:rFonts w:ascii="Courier New" w:cs="Courier New" w:eastAsia="Courier New" w:hAnsi="Courier New"/>
          <w:sz w:val="16"/>
          <w:szCs w:val="16"/>
          <w:color w:val="auto"/>
        </w:rPr>
        <w:t>such additional Debt;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provided that for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purposes of this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limitation, the amount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obligations under capital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leases shown as a</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liability on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consolidated balance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sheet shall be deducted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from Debt and from Total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Assets;</w:t>
      </w:r>
    </w:p>
    <w:p>
      <w:pPr>
        <w:spacing w:after="0" w:line="198" w:lineRule="exact"/>
        <w:rPr>
          <w:sz w:val="20"/>
          <w:szCs w:val="20"/>
          <w:color w:val="auto"/>
        </w:rPr>
      </w:pPr>
    </w:p>
    <w:p>
      <w:pPr>
        <w:ind w:left="2740" w:right="3819" w:firstLine="5"/>
        <w:spacing w:after="0" w:line="251" w:lineRule="auto"/>
        <w:tabs>
          <w:tab w:leader="none" w:pos="313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w:t>
      </w:r>
    </w:p>
    <w:p>
      <w:pPr>
        <w:spacing w:after="0" w:line="19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S-5</w:t>
      </w:r>
    </w:p>
    <w:p>
      <w:pPr>
        <w:sectPr>
          <w:pgSz w:w="11900" w:h="16838" w:orient="portrait"/>
          <w:cols w:equalWidth="0" w:num="1">
            <w:col w:w="9019"/>
          </w:cols>
          <w:pgMar w:left="1440" w:top="142" w:right="1440" w:bottom="1440" w:gutter="0" w:footer="0" w:header="0"/>
        </w:sectPr>
      </w:pPr>
    </w:p>
    <w:bookmarkStart w:id="9" w:name="page10"/>
    <w:bookmarkEnd w:id="9"/>
    <w:p>
      <w:pPr>
        <w:ind w:left="2740"/>
        <w:spacing w:after="0"/>
        <w:rPr>
          <w:sz w:val="20"/>
          <w:szCs w:val="20"/>
          <w:color w:val="auto"/>
        </w:rPr>
      </w:pPr>
      <w:r>
        <w:rPr>
          <w:rFonts w:ascii="Courier New" w:cs="Courier New" w:eastAsia="Courier New" w:hAnsi="Courier New"/>
          <w:sz w:val="16"/>
          <w:szCs w:val="16"/>
          <w:color w:val="auto"/>
        </w:rPr>
        <w:t>Debt incurred by us and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our subsidiaries since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first day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four-quarter period and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application of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proceeds therefrom,</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including to refinance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other Debt, had occurred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at the beginning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period; (b) the repayment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or retirement of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other Debt by us and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subsidiaries since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first day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four-quarter period had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been incurred, repaid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retired at the beginning</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of such period (except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that, in making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computation, the amount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of Debt under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revolving credit facility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shall be computed based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upon the average daily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balance of such Debt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during such period); (c)</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 the case of Acquired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Debt (as defined below)</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or Debt incurred in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connection with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acquisition since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first day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four-quarter period,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related acquisition had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occurred as of the first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day of such period with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appropriate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adjustments with respect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to such acquisition being</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included in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unaudited pro forma</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calculation; and (d) in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case of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acquisition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disposition by us or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subsidiaries of any asset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or group of assets since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first day of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four-quarter period,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whether by merger, stock</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purchase or sale,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asset purchase or sale,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such acquisition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disposition or any</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related repayment of Debt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had occurred as of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first day of such period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with the appropriate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adjustments with respect</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to such acquisition or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disposition being</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included in such</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unaudited pro forma</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calculation; and</w:t>
      </w:r>
    </w:p>
    <w:p>
      <w:pPr>
        <w:spacing w:after="0" w:line="19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(4) we, together with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subsidiaries, will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maintain an Unencumbered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Total Asset Value in an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amount not less than 125%</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of the aggregate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outstanding principal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amount of all of our and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our subsidiaries'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unsecured Debt.</w:t>
      </w:r>
    </w:p>
    <w:p>
      <w:pPr>
        <w:spacing w:after="0" w:line="198"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Optional Redemption....... The notes are redeemable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at any time at our</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option, in whole or in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part, at a redemption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price equal to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greater of (1) 100%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principal amount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the notes being redeemed,</w:t>
      </w:r>
    </w:p>
    <w:p>
      <w:pPr>
        <w:sectPr>
          <w:pgSz w:w="11900" w:h="16838" w:orient="portrait"/>
          <w:cols w:equalWidth="0" w:num="1">
            <w:col w:w="9019"/>
          </w:cols>
          <w:pgMar w:left="1440" w:top="685" w:right="1440" w:bottom="0" w:gutter="0" w:footer="0" w:header="0"/>
        </w:sectPr>
      </w:pPr>
    </w:p>
    <w:bookmarkStart w:id="10" w:name="page11"/>
    <w:bookmarkEnd w:id="10"/>
    <w:p>
      <w:pPr>
        <w:ind w:left="2740"/>
        <w:spacing w:after="0"/>
        <w:rPr>
          <w:sz w:val="20"/>
          <w:szCs w:val="20"/>
          <w:color w:val="auto"/>
        </w:rPr>
      </w:pPr>
      <w:r>
        <w:rPr>
          <w:rFonts w:ascii="Courier New" w:cs="Courier New" w:eastAsia="Courier New" w:hAnsi="Courier New"/>
          <w:sz w:val="16"/>
          <w:szCs w:val="16"/>
          <w:color w:val="auto"/>
        </w:rPr>
        <w:t>or (2) the sum of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present values of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remaining scheduled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payments of principal and</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interest thereon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discounted to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redemption date on a</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semi-annual basis at the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Adjusted Treasury Rate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plus 25 basis points</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plus, in each case,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accrued interest thereon</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to the redemption date.</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See "Description of</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Notes--Optional</w:t>
      </w:r>
    </w:p>
    <w:p>
      <w:pPr>
        <w:spacing w:after="0" w:line="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Redemption."</w:t>
      </w:r>
    </w:p>
    <w:p>
      <w:pPr>
        <w:spacing w:after="0" w:line="198"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S-6</w:t>
      </w:r>
    </w:p>
    <w:p>
      <w:pPr>
        <w:sectPr>
          <w:pgSz w:w="11900" w:h="16838" w:orient="portrait"/>
          <w:cols w:equalWidth="0" w:num="1">
            <w:col w:w="9019"/>
          </w:cols>
          <w:pgMar w:left="1440" w:top="142" w:right="1440" w:bottom="1440" w:gutter="0" w:footer="0" w:header="0"/>
        </w:sectPr>
      </w:pPr>
    </w:p>
    <w:bookmarkStart w:id="11" w:name="page12"/>
    <w:bookmarkEnd w:id="11"/>
    <w:p>
      <w:pPr>
        <w:ind w:left="3260"/>
        <w:spacing w:after="0"/>
        <w:rPr>
          <w:sz w:val="20"/>
          <w:szCs w:val="20"/>
          <w:color w:val="auto"/>
        </w:rPr>
      </w:pPr>
      <w:r>
        <w:rPr>
          <w:rFonts w:ascii="Courier New" w:cs="Courier New" w:eastAsia="Courier New" w:hAnsi="Courier New"/>
          <w:sz w:val="16"/>
          <w:szCs w:val="16"/>
          <w:color w:val="auto"/>
        </w:rPr>
        <w:t>RISK FACTORS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Investing in the notes involves risks. As with other publicly traded securities, the value of the notes will depend on various market conditions and other factors which may change from time to time. In particular, the market value of the notes may fluctuate depending on market interest rates relative to the interest rate on the notes, the extent of investor interest in us, our reputation and the reputation of REITs generally, and the market's perception of our growth potential and the value of our assets. Specific factors which could adversely affect our financial condition, our results of operations and the market's perception of us and hence the market value of the notes include the following:</w:t>
      </w:r>
    </w:p>
    <w:p>
      <w:pPr>
        <w:spacing w:after="0" w:line="379" w:lineRule="exact"/>
        <w:rPr>
          <w:sz w:val="20"/>
          <w:szCs w:val="20"/>
          <w:color w:val="auto"/>
        </w:rPr>
      </w:pPr>
    </w:p>
    <w:p>
      <w:pPr>
        <w:ind w:left="700" w:right="2439" w:hanging="305"/>
        <w:spacing w:after="0" w:line="251" w:lineRule="auto"/>
        <w:tabs>
          <w:tab w:leader="none" w:pos="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financial condition and results of operations are subject to all the risks normally associated with the real estate industry, including risks that we may be unable to renew leases or relet space at favorable rents as leases expire, that new acquisitions and our development, construction and renovation projects, including our Santana Row project, may fail to perform as expected, that competition for acquisitions could result in increased prices and, because real estate is illiquid, that we may not be able to sell properties when appropriate.</w:t>
      </w:r>
    </w:p>
    <w:p>
      <w:pPr>
        <w:spacing w:after="0" w:line="190" w:lineRule="exact"/>
        <w:rPr>
          <w:sz w:val="20"/>
          <w:szCs w:val="20"/>
          <w:color w:val="auto"/>
        </w:rPr>
      </w:pPr>
    </w:p>
    <w:p>
      <w:pPr>
        <w:ind w:left="700" w:right="2439" w:hanging="305"/>
        <w:spacing w:after="0" w:line="252" w:lineRule="auto"/>
        <w:tabs>
          <w:tab w:leader="none" w:pos="7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financial condition and results of operations are subject to the risks normally associated with debt financing, including the possibility of increases in interest rates that would result in increased interest expense and the possibility that we will not be able to refinance our debt on favorable terms.</w:t>
      </w:r>
    </w:p>
    <w:p>
      <w:pPr>
        <w:spacing w:after="0" w:line="186" w:lineRule="exact"/>
        <w:rPr>
          <w:sz w:val="20"/>
          <w:szCs w:val="20"/>
          <w:color w:val="auto"/>
        </w:rPr>
      </w:pPr>
    </w:p>
    <w:p>
      <w:pPr>
        <w:ind w:left="700" w:right="2439" w:hanging="305"/>
        <w:spacing w:after="0" w:line="252" w:lineRule="auto"/>
        <w:tabs>
          <w:tab w:leader="none" w:pos="7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qualify as a REIT, we have to distribute at least 90% of our net taxable income, excluding net capital gains. Consequently, to fund future growth and capital needs, we are dependent on third-party sources of capital, including future debt and equity offerings. This capital may not be available or may be available only on unfavorable terms.</w:t>
      </w:r>
    </w:p>
    <w:p>
      <w:pPr>
        <w:spacing w:after="0" w:line="186" w:lineRule="exact"/>
        <w:rPr>
          <w:sz w:val="20"/>
          <w:szCs w:val="20"/>
          <w:color w:val="auto"/>
        </w:rPr>
      </w:pPr>
    </w:p>
    <w:p>
      <w:pPr>
        <w:ind w:left="700" w:right="2619" w:hanging="305"/>
        <w:spacing w:after="0" w:line="252" w:lineRule="auto"/>
        <w:tabs>
          <w:tab w:leader="none" w:pos="7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status as a REIT is dependent on compliance with complex tax rules and regulations and various factual matters and circumstances that may not be totally within our control. Our failure to qualify as a REIT would likely have a significant adverse effect on the value of our outstanding securities, including the notes.</w:t>
      </w:r>
    </w:p>
    <w:p>
      <w:pPr>
        <w:spacing w:after="0" w:line="186" w:lineRule="exact"/>
        <w:rPr>
          <w:sz w:val="20"/>
          <w:szCs w:val="20"/>
          <w:color w:val="auto"/>
        </w:rPr>
      </w:pPr>
    </w:p>
    <w:p>
      <w:pPr>
        <w:ind w:left="700" w:right="2439" w:hanging="305"/>
        <w:spacing w:after="0" w:line="251" w:lineRule="auto"/>
        <w:tabs>
          <w:tab w:leader="none" w:pos="7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success of our Santana Row development project in San Jose, California, will depend on many factors which cannot be assured and are not entirely within our control. These factors include among others, the demand for retail and residential space, the cost of operations, including utilities and insurance, the availability and cost of capital and the general economy, particularly in the Silicon Valley market.</w:t>
      </w:r>
    </w:p>
    <w:p>
      <w:pPr>
        <w:spacing w:after="0" w:line="190"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For additional information about the foregoing risks and additional risk factors relevant to an investment in the notes, we refer you to the section captioned "Risk Factors" in our Annual Report on Form 10-K for the year ended December 31, 2001, which is incorporated by reference into this prospectus supplement.</w:t>
      </w:r>
    </w:p>
    <w:p>
      <w:pPr>
        <w:spacing w:after="0" w:line="186"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SECOND QUARTER HIGHLIGHTS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Second Quarter Results of Operations</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Financial Results. On August 12, 2002, we announced our results of operations for the quarter ended June 30, 2002. For the quarter ended June 30, 2002, our funds from operations, or "FFO," were $27.7 million, or $0.66 per diluted share. This compares to $27.3 million or $0.68 per diluted share reported for the same period in the prior year.</w:t>
      </w:r>
    </w:p>
    <w:p>
      <w:pPr>
        <w:spacing w:after="0" w:line="186"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Portfolio Results. Our rental income for the quarter ended June 30, 2002 (which excludes income from properties sold during the quarter) was $71.5 million. This represents an increase of 6.4% over the $67.2</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S-7</w:t>
      </w:r>
    </w:p>
    <w:p>
      <w:pPr>
        <w:sectPr>
          <w:pgSz w:w="11900" w:h="16838" w:orient="portrait"/>
          <w:cols w:equalWidth="0" w:num="1">
            <w:col w:w="10219"/>
          </w:cols>
          <w:pgMar w:left="240" w:top="685" w:right="1440" w:bottom="1440" w:gutter="0" w:footer="0" w:header="0"/>
        </w:sectPr>
      </w:pPr>
    </w:p>
    <w:bookmarkStart w:id="12" w:name="page13"/>
    <w:bookmarkEnd w:id="12"/>
    <w:p>
      <w:pPr>
        <w:ind w:right="2439"/>
        <w:spacing w:after="0" w:line="252" w:lineRule="auto"/>
        <w:rPr>
          <w:sz w:val="20"/>
          <w:szCs w:val="20"/>
          <w:color w:val="auto"/>
        </w:rPr>
      </w:pPr>
      <w:r>
        <w:rPr>
          <w:rFonts w:ascii="Courier New" w:cs="Courier New" w:eastAsia="Courier New" w:hAnsi="Courier New"/>
          <w:sz w:val="16"/>
          <w:szCs w:val="16"/>
          <w:color w:val="auto"/>
        </w:rPr>
        <w:t>million reported for the same period in the prior year. On a same-center basis, which excludes the impact of properties acquired, developed or sold during the analyzed periods, rental income increased 2.8% from $66.5 million to $68.4 million and net operating income increased 5.4% from $49.3 million to $52.0 million.</w:t>
      </w:r>
    </w:p>
    <w:p>
      <w:pPr>
        <w:spacing w:after="0" w:line="186"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At June 30, 2002, our occupancy improved to 95.9%, compared to 95.6% at June 30, 2001 and 95.5% at March 31, 2002. During the second quarter, we signed leases for over 440,000 square feet of retail space. On a comparable retail space basis, we leased over 416,000 square feet at an average increase in rent per square foot of 12%. The weighted-average new rent on these same space leases was $18.52 per square foot compared to the previous average rent of $16.51 per square foot.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Santana Row Update</w:t>
      </w:r>
    </w:p>
    <w:p>
      <w:pPr>
        <w:spacing w:after="0" w:line="198" w:lineRule="exact"/>
        <w:rPr>
          <w:sz w:val="20"/>
          <w:szCs w:val="20"/>
          <w:color w:val="auto"/>
        </w:rPr>
      </w:pPr>
    </w:p>
    <w:p>
      <w:pPr>
        <w:ind w:right="2339" w:firstLine="296"/>
        <w:spacing w:after="0" w:line="251" w:lineRule="auto"/>
        <w:rPr>
          <w:sz w:val="20"/>
          <w:szCs w:val="20"/>
          <w:color w:val="auto"/>
        </w:rPr>
      </w:pPr>
      <w:r>
        <w:rPr>
          <w:rFonts w:ascii="Courier New" w:cs="Courier New" w:eastAsia="Courier New" w:hAnsi="Courier New"/>
          <w:sz w:val="16"/>
          <w:szCs w:val="16"/>
          <w:color w:val="auto"/>
        </w:rPr>
        <w:t>Santana Row is our multi-phase, mixed-use project being built on 42 acres in San Jose, California in the heart of Silicon Valley. Phase I of the project includes Santana Row, the "1,500 foot long main street" and nine buildings which will contain approximately 538,000 square feet of retail space, 501 residential units (comprised of lofts, townhomes, executive villas and traditional apartments), a boutique hotel with approximately 214 guest rooms and the supporting infrastructure. Crate &amp; Barrel, a 40,000 square foot anchor tenant, opened its Santana Row location on June 27, 2002. The other Phase I retail space at Santana Row is scheduled to begin opening on September 19, 2002.</w:t>
      </w:r>
    </w:p>
    <w:p>
      <w:pPr>
        <w:spacing w:after="0" w:line="190" w:lineRule="exact"/>
        <w:rPr>
          <w:sz w:val="20"/>
          <w:szCs w:val="20"/>
          <w:color w:val="auto"/>
        </w:rPr>
      </w:pPr>
    </w:p>
    <w:p>
      <w:pPr>
        <w:ind w:right="2439" w:firstLine="296"/>
        <w:spacing w:after="0" w:line="255" w:lineRule="auto"/>
        <w:rPr>
          <w:sz w:val="20"/>
          <w:szCs w:val="20"/>
          <w:color w:val="auto"/>
        </w:rPr>
      </w:pPr>
      <w:r>
        <w:rPr>
          <w:rFonts w:ascii="Courier New" w:cs="Courier New" w:eastAsia="Courier New" w:hAnsi="Courier New"/>
          <w:sz w:val="16"/>
          <w:szCs w:val="16"/>
          <w:color w:val="auto"/>
        </w:rPr>
        <w:t>As of July 31, 2002 the retail leasing status of the Santana Row project was as follows:</w:t>
      </w:r>
    </w:p>
    <w:p>
      <w:pPr>
        <w:spacing w:after="0" w:line="200" w:lineRule="exact"/>
        <w:rPr>
          <w:sz w:val="20"/>
          <w:szCs w:val="20"/>
          <w:color w:val="auto"/>
        </w:rPr>
      </w:pPr>
    </w:p>
    <w:p>
      <w:pPr>
        <w:spacing w:after="0" w:line="363" w:lineRule="exact"/>
        <w:rPr>
          <w:sz w:val="20"/>
          <w:szCs w:val="20"/>
          <w:color w:val="auto"/>
        </w:rPr>
      </w:pPr>
    </w:p>
    <w:p>
      <w:pPr>
        <w:ind w:left="4040"/>
        <w:spacing w:after="0"/>
        <w:rPr>
          <w:sz w:val="20"/>
          <w:szCs w:val="20"/>
          <w:color w:val="auto"/>
        </w:rPr>
      </w:pPr>
      <w:r>
        <w:rPr>
          <w:rFonts w:ascii="Courier New" w:cs="Courier New" w:eastAsia="Courier New" w:hAnsi="Courier New"/>
          <w:sz w:val="16"/>
          <w:szCs w:val="16"/>
          <w:color w:val="auto"/>
        </w:rPr>
        <w:t>Santana Row Retail Leasing Status</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Percentage of Available Retail Percentage of First Floor "Main</w:t>
      </w:r>
    </w:p>
    <w:p>
      <w:pPr>
        <w:spacing w:after="0" w:line="8" w:lineRule="exact"/>
        <w:rPr>
          <w:sz w:val="20"/>
          <w:szCs w:val="20"/>
          <w:color w:val="auto"/>
        </w:rPr>
      </w:pPr>
    </w:p>
    <w:p>
      <w:pPr>
        <w:ind w:left="3460"/>
        <w:spacing w:after="0"/>
        <w:tabs>
          <w:tab w:leader="none" w:pos="6100" w:val="left"/>
        </w:tabs>
        <w:rPr>
          <w:sz w:val="20"/>
          <w:szCs w:val="20"/>
          <w:color w:val="auto"/>
        </w:rPr>
      </w:pPr>
      <w:r>
        <w:rPr>
          <w:rFonts w:ascii="Courier New" w:cs="Courier New" w:eastAsia="Courier New" w:hAnsi="Courier New"/>
          <w:sz w:val="16"/>
          <w:szCs w:val="16"/>
          <w:color w:val="auto"/>
        </w:rPr>
        <w:t>Square Footage</w:t>
      </w:r>
      <w:r>
        <w:rPr>
          <w:sz w:val="20"/>
          <w:szCs w:val="20"/>
          <w:color w:val="auto"/>
        </w:rPr>
        <w:tab/>
      </w:r>
      <w:r>
        <w:rPr>
          <w:rFonts w:ascii="Courier New" w:cs="Courier New" w:eastAsia="Courier New" w:hAnsi="Courier New"/>
          <w:sz w:val="16"/>
          <w:szCs w:val="16"/>
          <w:color w:val="auto"/>
        </w:rPr>
        <w:t>Street" Square Footage</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5" w:right="1440" w:bottom="1440" w:gutter="0" w:footer="0" w:header="0"/>
        </w:sectPr>
      </w:pPr>
    </w:p>
    <w:p>
      <w:pPr>
        <w:spacing w:after="0" w:line="198" w:lineRule="exact"/>
        <w:rPr>
          <w:sz w:val="20"/>
          <w:szCs w:val="20"/>
          <w:color w:val="auto"/>
        </w:rPr>
      </w:pPr>
    </w:p>
    <w:p>
      <w:pPr>
        <w:ind w:right="760"/>
        <w:spacing w:after="0" w:line="378" w:lineRule="auto"/>
        <w:rPr>
          <w:sz w:val="20"/>
          <w:szCs w:val="20"/>
          <w:color w:val="auto"/>
        </w:rPr>
      </w:pPr>
      <w:r>
        <w:rPr>
          <w:rFonts w:ascii="Courier New" w:cs="Courier New" w:eastAsia="Courier New" w:hAnsi="Courier New"/>
          <w:sz w:val="16"/>
          <w:szCs w:val="16"/>
          <w:color w:val="auto"/>
        </w:rPr>
        <w:t>Leased.................... Executed Letters of Intent Total..................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88%</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320" w:space="720"/>
            <w:col w:w="2340" w:space="720"/>
            <w:col w:w="3119"/>
          </w:cols>
          <w:pgMar w:left="240" w:top="685" w:right="1440" w:bottom="1440" w:gutter="0" w:footer="0" w:header="0"/>
          <w:type w:val="continuous"/>
        </w:sectPr>
      </w:pPr>
    </w:p>
    <w:p>
      <w:pPr>
        <w:spacing w:after="0" w:line="18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We estimate the total cost of Phase I of Santana Row to be $500 million, which includes the acquisition and infrastructure costs for 19 acres of undeveloped land on which we have entitlements to build an additional 700 residential units and approximately 150,000 square feet of additional retail space. As of July 31, 2002, costs of approximately $329 million have been funded. We expect to fund the remaining $171 million cost-to-complete from the remaining $144 million of undrawn capacity under our Santana Row construction loan and with unused capacity under our $300 million line of credit.</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We have not determined the scope of future phases of Santana Row and will not do so until the success of Phase I and future demand for retail and residential space is determined. However, as Phase I utilizes only part of the retail and residential entitlements of the property, and as Phase I contains infrastructure for future phases, we expect to identify and execute economically viable additional phases to the project. Future phases will be smaller in scope and will compete for our capital with other investment opportunities that are consistent with our business strategy.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Appointments to Our Board of Trustees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On July 25, 2002, we announced the nomination and appointment of Amy Lane and Joseph Vassalluzzo to serve on our Board of Trustees. Prior to retiring in February 2002, Ms. Lane, 49, spent twenty-five years in investment banking focusing principally on the retail industry. At her retirement, Ms. Lane had been a managing director since 1997 at Merrill Lynch, Pierce, Fenner &amp; Smith Incorporated, where she led Merrill Lynch's Global Retail Investment Banking Group from 1997 to 2002 and was a member of Merrill Lynch's Investment Banking Management Committee and Investment Banking Promotions Committee. Previously she worked at Salomon Smith Barney Inc. and Morgan Stanley &amp; Co. Incorporated. Ms. Lane is a member of the Compensation Committee of our Board of Trustees.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S-8</w:t>
      </w:r>
    </w:p>
    <w:p>
      <w:pPr>
        <w:sectPr>
          <w:pgSz w:w="11900" w:h="16838" w:orient="portrait"/>
          <w:cols w:equalWidth="0" w:num="1">
            <w:col w:w="10219"/>
          </w:cols>
          <w:pgMar w:left="240" w:top="685" w:right="1440" w:bottom="1440" w:gutter="0" w:footer="0" w:header="0"/>
          <w:type w:val="continuous"/>
        </w:sectPr>
      </w:pPr>
    </w:p>
    <w:bookmarkStart w:id="13" w:name="page14"/>
    <w:bookmarkEnd w:id="13"/>
    <w:p>
      <w:pPr>
        <w:ind w:right="2439" w:firstLine="296"/>
        <w:spacing w:after="0" w:line="251" w:lineRule="auto"/>
        <w:rPr>
          <w:sz w:val="20"/>
          <w:szCs w:val="20"/>
          <w:color w:val="auto"/>
        </w:rPr>
      </w:pPr>
      <w:r>
        <w:rPr>
          <w:rFonts w:ascii="Courier New" w:cs="Courier New" w:eastAsia="Courier New" w:hAnsi="Courier New"/>
          <w:sz w:val="16"/>
          <w:szCs w:val="16"/>
          <w:color w:val="auto"/>
        </w:rPr>
        <w:t>Mr. Vassalluzzo, 54, has been an executive at Staples, Inc. since 1989 and has served as its vice chairman since 2002. As vice chairman he oversees the domestic and foreign real estate growth of Staples' retail and commercial operations, merger and acquisition activities, and legal functions. Previously, Mr. Vassalluzzo served as the President of Staples' Realty and Development Division where he was responsible for Staples' expansion from 30 to over 1,250 retail stores in North America and over 180 retail stores in the United Kingdom, Germany, the Netherlands and Portugal. Mr. Vassalluzzo is a member of the Audit Committee of our Board of Trustees.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Sale of 2.2 Million Common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June we sold 2.2 million common shares through a public offering. Net proceeds of approximately $56.6 million were used to repay amounts outstanding under our $300 million line of credit. We expect to reborrow such amounts from time to time for the redevelopment of existing properties within our portfolio, the acquisition of retail properties consistent with our business strategy and other general corporate purposes including the retirement of debt.</w:t>
      </w:r>
    </w:p>
    <w:p>
      <w:pPr>
        <w:spacing w:after="0" w:line="190"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USE OF PROCEEDS</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net proceeds to us from the sale of the notes offered hereby are estimated to be $148.6 million. We will use these net proceeds for the repayment of outstanding indebtedness, including amounts outstanding under the construction loan for the Santana Row development in San Jose, California, and for other general corporate purposes.</w:t>
      </w:r>
    </w:p>
    <w:p>
      <w:pPr>
        <w:spacing w:after="0" w:line="186"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8"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The following table sets forth our consolidated ratios of earnings to fixed charges and our ratios of earnings to combined fixed charges and preferred stock dividends for the periods shown:</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Six Months Ended</w:t>
            </w:r>
          </w:p>
        </w:tc>
      </w:tr>
      <w:tr>
        <w:trPr>
          <w:trHeight w:val="190"/>
        </w:trPr>
        <w:tc>
          <w:tcPr>
            <w:tcW w:w="1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31,</w:t>
            </w:r>
          </w:p>
        </w:tc>
        <w:tc>
          <w:tcPr>
            <w:tcW w:w="12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June 30,</w:t>
            </w:r>
          </w:p>
        </w:tc>
        <w:tc>
          <w:tcPr>
            <w:tcW w:w="400" w:type="dxa"/>
            <w:vAlign w:val="bottom"/>
          </w:tcPr>
          <w:p>
            <w:pPr>
              <w:spacing w:after="0"/>
              <w:rPr>
                <w:sz w:val="16"/>
                <w:szCs w:val="16"/>
                <w:color w:val="auto"/>
              </w:rPr>
            </w:pPr>
          </w:p>
        </w:tc>
      </w:tr>
      <w:tr>
        <w:trPr>
          <w:trHeight w:val="190"/>
        </w:trPr>
        <w:tc>
          <w:tcPr>
            <w:tcW w:w="1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248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w:t>
            </w:r>
          </w:p>
        </w:tc>
        <w:tc>
          <w:tcPr>
            <w:tcW w:w="16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t>
            </w:r>
          </w:p>
        </w:tc>
      </w:tr>
      <w:tr>
        <w:trPr>
          <w:trHeight w:val="190"/>
        </w:trPr>
        <w:tc>
          <w:tcPr>
            <w:tcW w:w="1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1997</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2001</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2001</w:t>
            </w:r>
          </w:p>
        </w:tc>
        <w:tc>
          <w:tcPr>
            <w:tcW w:w="104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2002</w:t>
            </w:r>
          </w:p>
        </w:tc>
      </w:tr>
      <w:tr>
        <w:trPr>
          <w:trHeight w:val="190"/>
        </w:trPr>
        <w:tc>
          <w:tcPr>
            <w:tcW w:w="168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w w:val="95"/>
              </w:rPr>
              <w:t>-----</w:t>
            </w:r>
          </w:p>
        </w:tc>
        <w:tc>
          <w:tcPr>
            <w:tcW w:w="400" w:type="dxa"/>
            <w:vAlign w:val="bottom"/>
          </w:tcPr>
          <w:p>
            <w:pPr>
              <w:spacing w:after="0"/>
              <w:rPr>
                <w:sz w:val="16"/>
                <w:szCs w:val="16"/>
                <w:color w:val="auto"/>
              </w:rPr>
            </w:pPr>
          </w:p>
        </w:tc>
      </w:tr>
      <w:tr>
        <w:trPr>
          <w:trHeight w:val="379"/>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Ratio of earnings</w:t>
            </w:r>
          </w:p>
        </w:tc>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to fixed charges.......................</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1.7x</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1.7x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1.7x</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1.5x</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1.5x</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1.2x</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(1)</w:t>
            </w:r>
          </w:p>
        </w:tc>
      </w:tr>
      <w:tr>
        <w:trPr>
          <w:trHeight w:val="19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Ratio of earnings</w:t>
            </w:r>
          </w:p>
        </w:tc>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to combined fixed charges and preferred</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90"/>
        </w:trPr>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share dividends</w:t>
            </w:r>
          </w:p>
        </w:tc>
        <w:tc>
          <w:tcPr>
            <w:tcW w:w="3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1.6x</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1.5x</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1.4x</w:t>
            </w:r>
          </w:p>
        </w:tc>
        <w:tc>
          <w:tcPr>
            <w:tcW w:w="500" w:type="dxa"/>
            <w:vAlign w:val="bottom"/>
          </w:tcPr>
          <w:p>
            <w:pPr>
              <w:ind w:left="60"/>
              <w:spacing w:after="0"/>
              <w:rPr>
                <w:sz w:val="20"/>
                <w:szCs w:val="20"/>
                <w:color w:val="auto"/>
              </w:rPr>
            </w:pPr>
            <w:r>
              <w:rPr>
                <w:rFonts w:ascii="Courier New" w:cs="Courier New" w:eastAsia="Courier New" w:hAnsi="Courier New"/>
                <w:sz w:val="16"/>
                <w:szCs w:val="16"/>
                <w:color w:val="auto"/>
              </w:rPr>
              <w:t>1.3x</w:t>
            </w:r>
          </w:p>
        </w:tc>
        <w:tc>
          <w:tcPr>
            <w:tcW w:w="580" w:type="dxa"/>
            <w:vAlign w:val="bottom"/>
          </w:tcPr>
          <w:p>
            <w:pPr>
              <w:ind w:left="40"/>
              <w:spacing w:after="0"/>
              <w:rPr>
                <w:sz w:val="20"/>
                <w:szCs w:val="20"/>
                <w:color w:val="auto"/>
              </w:rPr>
            </w:pPr>
            <w:r>
              <w:rPr>
                <w:rFonts w:ascii="Courier New" w:cs="Courier New" w:eastAsia="Courier New" w:hAnsi="Courier New"/>
                <w:sz w:val="16"/>
                <w:szCs w:val="16"/>
                <w:color w:val="auto"/>
              </w:rPr>
              <w:t>1.4x</w:t>
            </w:r>
          </w:p>
        </w:tc>
        <w:tc>
          <w:tcPr>
            <w:tcW w:w="640" w:type="dxa"/>
            <w:vAlign w:val="bottom"/>
          </w:tcPr>
          <w:p>
            <w:pPr>
              <w:ind w:left="160"/>
              <w:spacing w:after="0"/>
              <w:rPr>
                <w:sz w:val="20"/>
                <w:szCs w:val="20"/>
                <w:color w:val="auto"/>
              </w:rPr>
            </w:pPr>
            <w:r>
              <w:rPr>
                <w:rFonts w:ascii="Courier New" w:cs="Courier New" w:eastAsia="Courier New" w:hAnsi="Courier New"/>
                <w:sz w:val="16"/>
                <w:szCs w:val="16"/>
                <w:color w:val="auto"/>
              </w:rPr>
              <w:t>1.1x</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7"/>
              </w:rPr>
              <w:t>(1)</w:t>
            </w:r>
          </w:p>
        </w:tc>
      </w:tr>
    </w:tbl>
    <w:p>
      <w:pPr>
        <w:spacing w:after="0" w:line="384" w:lineRule="exact"/>
        <w:rPr>
          <w:sz w:val="20"/>
          <w:szCs w:val="20"/>
          <w:color w:val="auto"/>
        </w:rPr>
      </w:pPr>
    </w:p>
    <w:p>
      <w:pPr>
        <w:ind w:right="2619" w:firstLine="297"/>
        <w:spacing w:after="0" w:line="252" w:lineRule="auto"/>
        <w:tabs>
          <w:tab w:leader="none" w:pos="69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six months ended June 30, 2002, the ratio of earnings to fixed charges would have been 1.4x, and the ratio of earnings to combined fixed charges and preferred share dividends would have been 1.2x.</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(loss) on sale of real estate plus fixed charges. Fixed charges consist of interest on borrowed funds (including capitalized interest), amortization of debt discount and expense and the portion of rent expense representing an interest factor. The ratios of earnings to combined fixed charges and preferred stock dividends were computed by dividing earnings by the sum of fixed charges and preferred stock dividend requirements.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S-9</w:t>
      </w:r>
    </w:p>
    <w:p>
      <w:pPr>
        <w:sectPr>
          <w:pgSz w:w="11900" w:h="16838" w:orient="portrait"/>
          <w:cols w:equalWidth="0" w:num="1">
            <w:col w:w="10219"/>
          </w:cols>
          <w:pgMar w:left="240" w:top="685" w:right="1440" w:bottom="1440" w:gutter="0" w:footer="0" w:header="0"/>
        </w:sectPr>
      </w:pPr>
    </w:p>
    <w:bookmarkStart w:id="14" w:name="page15"/>
    <w:bookmarkEnd w:id="14"/>
    <w:p>
      <w:pPr>
        <w:ind w:left="3160"/>
        <w:spacing w:after="0"/>
        <w:rPr>
          <w:sz w:val="20"/>
          <w:szCs w:val="20"/>
          <w:color w:val="auto"/>
        </w:rPr>
      </w:pPr>
      <w:r>
        <w:rPr>
          <w:rFonts w:ascii="Courier New" w:cs="Courier New" w:eastAsia="Courier New" w:hAnsi="Courier New"/>
          <w:sz w:val="16"/>
          <w:szCs w:val="16"/>
          <w:color w:val="auto"/>
        </w:rPr>
        <w:t>CAPITALIZATION</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The following table sets forth our unaudited historical capitalization as of June 30, 2002, and on an as adjusted basis to give effect to the completion of this offering and the use of the net proceeds from this offering.</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3"/>
          </w:tcPr>
          <w:p>
            <w:pPr>
              <w:jc w:val="right"/>
              <w:ind w:right="398"/>
              <w:spacing w:after="0"/>
              <w:rPr>
                <w:sz w:val="20"/>
                <w:szCs w:val="20"/>
                <w:color w:val="auto"/>
              </w:rPr>
            </w:pPr>
            <w:r>
              <w:rPr>
                <w:rFonts w:ascii="Courier New" w:cs="Courier New" w:eastAsia="Courier New" w:hAnsi="Courier New"/>
                <w:sz w:val="16"/>
                <w:szCs w:val="16"/>
                <w:color w:val="auto"/>
              </w:rPr>
              <w:t>June 30, 2002</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32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Historical</w:t>
            </w:r>
          </w:p>
        </w:tc>
        <w:tc>
          <w:tcPr>
            <w:tcW w:w="240" w:type="dxa"/>
            <w:vAlign w:val="bottom"/>
          </w:tcPr>
          <w:p>
            <w:pPr>
              <w:jc w:val="center"/>
              <w:spacing w:after="0"/>
              <w:rPr>
                <w:sz w:val="20"/>
                <w:szCs w:val="20"/>
                <w:color w:val="auto"/>
              </w:rPr>
            </w:pPr>
            <w:r>
              <w:rPr>
                <w:rFonts w:ascii="Courier New" w:cs="Courier New" w:eastAsia="Courier New" w:hAnsi="Courier New"/>
                <w:sz w:val="16"/>
                <w:szCs w:val="16"/>
                <w:color w:val="auto"/>
              </w:rPr>
              <w:t>As</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Adjusted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3"/>
          </w:tcPr>
          <w:p>
            <w:pPr>
              <w:jc w:val="center"/>
              <w:ind w:left="138"/>
              <w:spacing w:after="0"/>
              <w:rPr>
                <w:sz w:val="20"/>
                <w:szCs w:val="20"/>
                <w:color w:val="auto"/>
              </w:rPr>
            </w:pPr>
            <w:r>
              <w:rPr>
                <w:rFonts w:ascii="Courier New" w:cs="Courier New" w:eastAsia="Courier New" w:hAnsi="Courier New"/>
                <w:sz w:val="16"/>
                <w:szCs w:val="16"/>
                <w:color w:val="auto"/>
              </w:rPr>
              <w:t>(in thousands)</w:t>
            </w:r>
          </w:p>
        </w:tc>
      </w:tr>
      <w:tr>
        <w:trPr>
          <w:trHeight w:val="379"/>
        </w:trPr>
        <w:tc>
          <w:tcPr>
            <w:tcW w:w="5660" w:type="dxa"/>
            <w:vAlign w:val="bottom"/>
            <w:gridSpan w:val="2"/>
          </w:tcPr>
          <w:p>
            <w:pPr>
              <w:spacing w:after="0"/>
              <w:rPr>
                <w:sz w:val="20"/>
                <w:szCs w:val="20"/>
                <w:color w:val="auto"/>
              </w:rPr>
            </w:pPr>
            <w:r>
              <w:rPr>
                <w:rFonts w:ascii="Courier New" w:cs="Courier New" w:eastAsia="Courier New" w:hAnsi="Courier New"/>
                <w:sz w:val="16"/>
                <w:szCs w:val="16"/>
                <w:color w:val="auto"/>
              </w:rPr>
              <w:t>Debt (including obligations under capital leases):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Obligations under capital leases......................</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104,513</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104,513</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Mortgages and construction loans payable..............</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419,634</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271,034</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payable.........................................</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171,374</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171,374</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Senior notes and debentures...........................</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385,000</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385,000</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5.25% Convertible subordinated debentures.............</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75,000</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75,000</w:t>
            </w:r>
          </w:p>
        </w:tc>
      </w:tr>
      <w:tr>
        <w:trPr>
          <w:trHeight w:val="190"/>
        </w:trPr>
        <w:tc>
          <w:tcPr>
            <w:tcW w:w="2560" w:type="dxa"/>
            <w:vAlign w:val="bottom"/>
          </w:tcPr>
          <w:p>
            <w:pPr>
              <w:ind w:left="500"/>
              <w:spacing w:after="0"/>
              <w:rPr>
                <w:sz w:val="20"/>
                <w:szCs w:val="20"/>
                <w:color w:val="auto"/>
              </w:rPr>
            </w:pPr>
            <w:r>
              <w:rPr>
                <w:rFonts w:ascii="Courier New" w:cs="Courier New" w:eastAsia="Courier New" w:hAnsi="Courier New"/>
                <w:sz w:val="16"/>
                <w:szCs w:val="16"/>
                <w:color w:val="auto"/>
              </w:rPr>
              <w:t>% Notes due August</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 2007.........................</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150,000</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debt........................................</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1,155,521</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1,156,921</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Investors' interest in consolidated assets...............</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31,045</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31,045</w:t>
            </w: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3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7.95% Series A Cumulative Redeemable Preferred Shares.</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100,000</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100,000</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8.5% Series B Cumulative Redeemable Preferred Shares..</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135,000</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135,000</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Common shares of beneficial interest, $0.01 par.......</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447</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447</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Additional paid in capital............................</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809,535</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809,535</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Accumulated dividends in excess of Trust net income...</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(338,292)</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w w:val="99"/>
              </w:rPr>
              <w:t>(338,292)</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Less: Treasury shares and other.......................</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(53,631)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(53,631)</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shareholders' equity........................</w:t>
            </w:r>
          </w:p>
        </w:tc>
        <w:tc>
          <w:tcPr>
            <w:tcW w:w="160" w:type="dxa"/>
            <w:vAlign w:val="bottom"/>
          </w:tcPr>
          <w:p>
            <w:pPr>
              <w:spacing w:after="0"/>
              <w:rPr>
                <w:sz w:val="16"/>
                <w:szCs w:val="16"/>
                <w:color w:val="auto"/>
              </w:rPr>
            </w:pP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653,059</w:t>
            </w:r>
          </w:p>
        </w:tc>
        <w:tc>
          <w:tcPr>
            <w:tcW w:w="24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653,059</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190"/>
        </w:trPr>
        <w:tc>
          <w:tcPr>
            <w:tcW w:w="5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Total capitalization...........................</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1,839,625</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$1,841,025</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20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r>
      <w:tr>
        <w:trPr>
          <w:trHeight w:val="569"/>
        </w:trPr>
        <w:tc>
          <w:tcPr>
            <w:tcW w:w="2560" w:type="dxa"/>
            <w:vAlign w:val="bottom"/>
          </w:tcPr>
          <w:p>
            <w:pPr>
              <w:spacing w:after="0"/>
              <w:rPr>
                <w:sz w:val="24"/>
                <w:szCs w:val="24"/>
                <w:color w:val="auto"/>
              </w:rPr>
            </w:pPr>
          </w:p>
        </w:tc>
        <w:tc>
          <w:tcPr>
            <w:tcW w:w="3100" w:type="dxa"/>
            <w:vAlign w:val="bottom"/>
          </w:tcPr>
          <w:p>
            <w:pPr>
              <w:jc w:val="right"/>
              <w:ind w:right="1538"/>
              <w:spacing w:after="0"/>
              <w:rPr>
                <w:sz w:val="20"/>
                <w:szCs w:val="20"/>
                <w:color w:val="auto"/>
              </w:rPr>
            </w:pPr>
            <w:r>
              <w:rPr>
                <w:rFonts w:ascii="Courier New" w:cs="Courier New" w:eastAsia="Courier New" w:hAnsi="Courier New"/>
                <w:sz w:val="16"/>
                <w:szCs w:val="16"/>
                <w:color w:val="auto"/>
              </w:rPr>
              <w:t>S-10</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15" w:name="page16"/>
    <w:bookmarkEnd w:id="15"/>
    <w:p>
      <w:pPr>
        <w:ind w:left="2080"/>
        <w:spacing w:after="0"/>
        <w:rPr>
          <w:sz w:val="20"/>
          <w:szCs w:val="20"/>
          <w:color w:val="auto"/>
        </w:rPr>
      </w:pPr>
      <w:r>
        <w:rPr>
          <w:rFonts w:ascii="Courier New" w:cs="Courier New" w:eastAsia="Courier New" w:hAnsi="Courier New"/>
          <w:sz w:val="16"/>
          <w:szCs w:val="16"/>
          <w:color w:val="auto"/>
        </w:rPr>
        <w:t>SELECTED CONSOLIDATED FINANCIAL DATA</w:t>
      </w:r>
    </w:p>
    <w:p>
      <w:pPr>
        <w:spacing w:after="0" w:line="198" w:lineRule="exact"/>
        <w:rPr>
          <w:sz w:val="20"/>
          <w:szCs w:val="20"/>
          <w:color w:val="auto"/>
        </w:rPr>
      </w:pPr>
    </w:p>
    <w:p>
      <w:pPr>
        <w:ind w:right="3740" w:firstLine="296"/>
        <w:spacing w:after="0" w:line="251" w:lineRule="auto"/>
        <w:rPr>
          <w:sz w:val="20"/>
          <w:szCs w:val="20"/>
          <w:color w:val="auto"/>
        </w:rPr>
      </w:pPr>
      <w:r>
        <w:rPr>
          <w:rFonts w:ascii="Courier New" w:cs="Courier New" w:eastAsia="Courier New" w:hAnsi="Courier New"/>
          <w:sz w:val="16"/>
          <w:szCs w:val="16"/>
          <w:color w:val="auto"/>
        </w:rPr>
        <w:t>The following table sets forth our selected consolidated financial data and should be read in conjunction with the consolidated financial statements and notes incorporated by reference in the accompanying prospectus. Our selected operating, other and balance sheet data for the years ended December 31, 2001, 2000 and 1999 and for the periods then ended have been derived from financial statements audited by Arthur Andersen LLP, independent accountants. Our selected operating, other and balance sheet data for the years ended December 31, 1998 and 1997 and for the periods then ended have been derived from financial statements audited by Grant Thornton LLP, independent accountants. Our selected operating, other and balance sheet data for the years 1997 through 2001 have been reclassified to conform to the presentation in 2002 as they relate to income from operations of discontinued assets and the presentation of tax loans receivable issued in connection with employee stock plans as contra-equity. The unaudited financial data for the six months ended June 30, 2002 and 2001 include all adjustments, consisting of normal recurring accruals, which we consider necessary for the fair presentation of our financial position and the results of operations for such period. The results for the six-month period may not be indicative of the results to be expected for the full year.</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3"/>
          </w:tcPr>
          <w:p>
            <w:pPr>
              <w:jc w:val="right"/>
              <w:ind w:right="358"/>
              <w:spacing w:after="0"/>
              <w:rPr>
                <w:sz w:val="20"/>
                <w:szCs w:val="20"/>
                <w:color w:val="auto"/>
              </w:rPr>
            </w:pPr>
            <w:r>
              <w:rPr>
                <w:rFonts w:ascii="Courier New" w:cs="Courier New" w:eastAsia="Courier New" w:hAnsi="Courier New"/>
                <w:sz w:val="16"/>
                <w:szCs w:val="16"/>
                <w:color w:val="auto"/>
              </w:rPr>
              <w:t>Six months ended</w:t>
            </w: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3"/>
          </w:tcPr>
          <w:p>
            <w:pPr>
              <w:jc w:val="right"/>
              <w:ind w:right="758"/>
              <w:spacing w:after="0"/>
              <w:rPr>
                <w:sz w:val="20"/>
                <w:szCs w:val="20"/>
                <w:color w:val="auto"/>
              </w:rPr>
            </w:pPr>
            <w:r>
              <w:rPr>
                <w:rFonts w:ascii="Courier New" w:cs="Courier New" w:eastAsia="Courier New" w:hAnsi="Courier New"/>
                <w:sz w:val="16"/>
                <w:szCs w:val="16"/>
                <w:color w:val="auto"/>
              </w:rPr>
              <w:t>June 30,</w:t>
            </w:r>
          </w:p>
        </w:tc>
        <w:tc>
          <w:tcPr>
            <w:tcW w:w="1280" w:type="dxa"/>
            <w:vAlign w:val="bottom"/>
          </w:tcPr>
          <w:p>
            <w:pPr>
              <w:spacing w:after="0"/>
              <w:rPr>
                <w:sz w:val="16"/>
                <w:szCs w:val="16"/>
                <w:color w:val="auto"/>
              </w:rPr>
            </w:pPr>
          </w:p>
        </w:tc>
        <w:tc>
          <w:tcPr>
            <w:tcW w:w="256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Year ended December 31,</w:t>
            </w:r>
          </w:p>
        </w:tc>
        <w:tc>
          <w:tcPr>
            <w:tcW w:w="1120" w:type="dxa"/>
            <w:vAlign w:val="bottom"/>
          </w:tcPr>
          <w:p>
            <w:pPr>
              <w:spacing w:after="0"/>
              <w:rPr>
                <w:sz w:val="16"/>
                <w:szCs w:val="16"/>
                <w:color w:val="auto"/>
              </w:rPr>
            </w:pPr>
          </w:p>
        </w:tc>
      </w:tr>
      <w:tr>
        <w:trPr>
          <w:trHeight w:val="190"/>
        </w:trPr>
        <w:tc>
          <w:tcPr>
            <w:tcW w:w="43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4"/>
              </w:rPr>
              <w:t>------------------</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9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 thousands, except ratio</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information and per share data)</w:t>
            </w:r>
          </w:p>
        </w:tc>
        <w:tc>
          <w:tcPr>
            <w:tcW w:w="16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rPr>
              <w:t>2002</w:t>
            </w:r>
          </w:p>
        </w:tc>
        <w:tc>
          <w:tcPr>
            <w:tcW w:w="100" w:type="dxa"/>
            <w:vAlign w:val="bottom"/>
          </w:tcPr>
          <w:p>
            <w:pPr>
              <w:spacing w:after="0"/>
              <w:rPr>
                <w:sz w:val="16"/>
                <w:szCs w:val="16"/>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2001</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1999</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60" w:type="dxa"/>
            <w:vAlign w:val="bottom"/>
          </w:tcPr>
          <w:p>
            <w:pPr>
              <w:spacing w:after="0"/>
              <w:rPr>
                <w:sz w:val="16"/>
                <w:szCs w:val="16"/>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6"/>
                <w:szCs w:val="16"/>
                <w:color w:val="auto"/>
                <w:w w:val="98"/>
              </w:rPr>
              <w:t>--------</w:t>
            </w:r>
          </w:p>
        </w:tc>
        <w:tc>
          <w:tcPr>
            <w:tcW w:w="100" w:type="dxa"/>
            <w:vAlign w:val="bottom"/>
          </w:tcPr>
          <w:p>
            <w:pPr>
              <w:spacing w:after="0"/>
              <w:rPr>
                <w:sz w:val="16"/>
                <w:szCs w:val="16"/>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$141,965</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$132,998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$274,567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$255,634</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$241,356</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$218,062</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property income.....................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6,981</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5,897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13,953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11,023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11,203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10,261</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and other income.................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2,118</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3,597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6,590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7,532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7,649</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5,936</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151,064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142,492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295,110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274,189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260,208</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234,259</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31,773</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34,680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69,313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66,418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61,492</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55,125</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31,752</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28,595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59,171</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52,559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49,359</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45,435</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Property expenses.........................</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47,004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43,117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91,063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81,842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77,715</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71,887</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administrative and other (1).....</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14,985</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6,455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14,281</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13,318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15,120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16,461</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125,514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112,847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233,828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214,137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203,686</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188,908</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Income before investors' share of operations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and gain (loss) on sale of real estate.....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25,550</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29,645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61,282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60,052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56,522</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45,351</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Investors' share of operations..............</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(2,276)</w:t>
            </w:r>
          </w:p>
        </w:tc>
        <w:tc>
          <w:tcPr>
            <w:tcW w:w="1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(2,806)</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(5,170)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(6,544)</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(3,899)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(3,124)</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before gain (loss) on sale of real</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estate and discontinued operations.........</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23,274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26,839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56,112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53,508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52,623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42,227</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operations of discontinued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1,276</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1,663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3,459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3,334</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2,870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2,733</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before gain (loss) of sale of real</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estate.....................................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24,550</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28,502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59,571</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56,842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55,493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44,960</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Gain (loss) on sale of real estate..........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9,454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7,898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9,185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3,681</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(7,050)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34,004</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36,400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68,756</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60,523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48,443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44,960</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Dividends on preferred stock................</w:t>
            </w:r>
          </w:p>
        </w:tc>
        <w:tc>
          <w:tcPr>
            <w:tcW w:w="160" w:type="dxa"/>
            <w:vAlign w:val="bottom"/>
          </w:tcPr>
          <w:p>
            <w:pPr>
              <w:spacing w:after="0"/>
              <w:rPr>
                <w:sz w:val="16"/>
                <w:szCs w:val="16"/>
                <w:color w:val="auto"/>
              </w:rPr>
            </w:pPr>
          </w:p>
        </w:tc>
        <w:tc>
          <w:tcPr>
            <w:tcW w:w="8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(9,712)</w:t>
            </w:r>
          </w:p>
        </w:tc>
        <w:tc>
          <w:tcPr>
            <w:tcW w:w="100" w:type="dxa"/>
            <w:vAlign w:val="bottom"/>
          </w:tcPr>
          <w:p>
            <w:pPr>
              <w:spacing w:after="0"/>
              <w:rPr>
                <w:sz w:val="16"/>
                <w:szCs w:val="16"/>
                <w:color w:val="auto"/>
              </w:rPr>
            </w:pPr>
          </w:p>
        </w:tc>
        <w:tc>
          <w:tcPr>
            <w:tcW w:w="10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(3,975)</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(9,034)</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(7,950)</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(7,950)</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(7,950)</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$ 24,292</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$ 32,425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$ 59,722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$ 52,573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$ 40,493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$ 37,010</w:t>
            </w:r>
          </w:p>
        </w:tc>
      </w:tr>
      <w:tr>
        <w:trPr>
          <w:trHeight w:val="190"/>
        </w:trPr>
        <w:tc>
          <w:tcPr>
            <w:tcW w:w="4380" w:type="dxa"/>
            <w:vAlign w:val="bottom"/>
          </w:tcPr>
          <w:p>
            <w:pPr>
              <w:spacing w:after="0"/>
              <w:rPr>
                <w:sz w:val="16"/>
                <w:szCs w:val="16"/>
                <w:color w:val="auto"/>
              </w:rPr>
            </w:pP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40,286</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38,908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39,164</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38,796</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39,574</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39,174</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Diluted...................................</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41,568</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39,946</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40,266</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39,910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40,638</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40,080</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Distributions declared on common shares.....</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$ 40,155</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$ 37,402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$ 75,863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$ 72,512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$ 71,630</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$ 69,512</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Distributions declared per common share.....</w:t>
            </w: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.94</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1.90</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1.84</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1.78</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1.74</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$ 64,256</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$ 58,037</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$108,545</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$106,146</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$102,183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$ 90,427</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financing</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activities (2).............................</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$ 60,518</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$ 86,762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$129,799</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$ 15,214</w:t>
            </w:r>
          </w:p>
        </w:tc>
        <w:tc>
          <w:tcPr>
            <w:tcW w:w="12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 (8,362)</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$ 97,406</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 (2)...</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$123,614</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$124,681</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$232,138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$121,741</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$ 99,313</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$187,646</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Funds from operations (3)...................</w:t>
            </w:r>
          </w:p>
        </w:tc>
        <w:tc>
          <w:tcPr>
            <w:tcW w:w="10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$ 46,781</w:t>
            </w:r>
          </w:p>
        </w:tc>
        <w:tc>
          <w:tcPr>
            <w:tcW w:w="114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$ 53,638</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$110,432</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$102,173</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$ 96,795</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$ 86,536</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Ratio of earnings to fixed charges (4)(5)...</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1.2x</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1.7x</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1.7x</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Ratio of earnings to combined fixed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charges and preferred dividends (4)(6).....</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1.1x</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1.3x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1.4x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1.5x</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1.5x</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Ratio of funds from operations to combined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fixed charges and preferred dividends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c>
          <w:tcPr>
            <w:tcW w:w="16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1.4x</w:t>
            </w:r>
          </w:p>
        </w:tc>
        <w:tc>
          <w:tcPr>
            <w:tcW w:w="10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2.0x</w:t>
            </w:r>
          </w:p>
        </w:tc>
        <w:tc>
          <w:tcPr>
            <w:tcW w:w="12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2.2x</w:t>
            </w:r>
          </w:p>
        </w:tc>
        <w:tc>
          <w:tcPr>
            <w:tcW w:w="1120" w:type="dxa"/>
            <w:vAlign w:val="bottom"/>
          </w:tcPr>
          <w:p>
            <w:pPr>
              <w:jc w:val="right"/>
              <w:ind w:right="98"/>
              <w:spacing w:after="0"/>
              <w:rPr>
                <w:sz w:val="20"/>
                <w:szCs w:val="20"/>
                <w:color w:val="auto"/>
              </w:rPr>
            </w:pPr>
            <w:r>
              <w:rPr>
                <w:rFonts w:ascii="Courier New" w:cs="Courier New" w:eastAsia="Courier New" w:hAnsi="Courier New"/>
                <w:sz w:val="16"/>
                <w:szCs w:val="16"/>
                <w:color w:val="auto"/>
              </w:rPr>
              <w:t>2.2x</w:t>
            </w:r>
          </w:p>
        </w:tc>
      </w:tr>
    </w:tbl>
    <w:p>
      <w:pPr>
        <w:sectPr>
          <w:pgSz w:w="11900" w:h="16838" w:orient="portrait"/>
          <w:cols w:equalWidth="0" w:num="1">
            <w:col w:w="11520"/>
          </w:cols>
          <w:pgMar w:left="240" w:top="685" w:right="139" w:bottom="47"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 thousands, except ratio</w:t>
            </w:r>
          </w:p>
        </w:tc>
        <w:tc>
          <w:tcPr>
            <w:tcW w:w="1040" w:type="dxa"/>
            <w:vAlign w:val="bottom"/>
          </w:tcPr>
          <w:p>
            <w:pPr>
              <w:spacing w:after="0"/>
              <w:rPr>
                <w:sz w:val="16"/>
                <w:szCs w:val="16"/>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information and per share data)</w:t>
            </w:r>
          </w:p>
        </w:tc>
        <w:tc>
          <w:tcPr>
            <w:tcW w:w="1040" w:type="dxa"/>
            <w:vAlign w:val="bottom"/>
          </w:tcPr>
          <w:p>
            <w:pPr>
              <w:ind w:left="260"/>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ind w:left="260"/>
              <w:spacing w:after="0"/>
              <w:rPr>
                <w:sz w:val="20"/>
                <w:szCs w:val="20"/>
                <w:color w:val="auto"/>
              </w:rPr>
            </w:pPr>
            <w:r>
              <w:rPr>
                <w:rFonts w:ascii="Courier New" w:cs="Courier New" w:eastAsia="Courier New" w:hAnsi="Courier New"/>
                <w:sz w:val="16"/>
                <w:szCs w:val="16"/>
                <w:color w:val="auto"/>
                <w:w w:val="98"/>
              </w:rPr>
              <w:t>--------</w:t>
            </w:r>
          </w:p>
        </w:tc>
      </w:tr>
      <w:tr>
        <w:trPr>
          <w:trHeight w:val="379"/>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Data:</w:t>
            </w:r>
          </w:p>
        </w:tc>
        <w:tc>
          <w:tcPr>
            <w:tcW w:w="1040" w:type="dxa"/>
            <w:vAlign w:val="bottom"/>
          </w:tcPr>
          <w:p>
            <w:pPr>
              <w:spacing w:after="0"/>
              <w:rPr>
                <w:sz w:val="24"/>
                <w:szCs w:val="24"/>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Rental income.............................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$185,770</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Other property income.....................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9,697</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 and other income.................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6,036</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201,503</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47,288</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amortization.............</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40,966</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Property expenses.........................</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61,901</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General, administrative and other (1).....</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11,744</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161,899</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Income before investors' share of operations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and gain (loss) on sale of real estate.....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39,604</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Investors' share of operations..............</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(1,342)</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before gain (loss) on sale of real</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estate and discontinued operations.........</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38,262</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from operations of discontinued</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assets.....................................</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1,867</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Income before gain (loss) of sale of real</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estate.....................................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40,129</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Gain (loss) on sale of real estate..........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6,375</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Net income..................................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46,504</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Dividends on preferred stock................</w:t>
            </w:r>
          </w:p>
        </w:tc>
        <w:tc>
          <w:tcPr>
            <w:tcW w:w="10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(1,877)</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income available for common</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shareholders...............................</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$ 44,627</w:t>
            </w:r>
          </w:p>
        </w:tc>
      </w:tr>
      <w:tr>
        <w:trPr>
          <w:trHeight w:val="190"/>
        </w:trPr>
        <w:tc>
          <w:tcPr>
            <w:tcW w:w="4380" w:type="dxa"/>
            <w:vAlign w:val="bottom"/>
          </w:tcPr>
          <w:p>
            <w:pPr>
              <w:spacing w:after="0"/>
              <w:rPr>
                <w:sz w:val="16"/>
                <w:szCs w:val="16"/>
                <w:color w:val="auto"/>
              </w:rPr>
            </w:pP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38,475</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Diluted...................................</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38,988</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Distributions declared on common shares.....</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$ 66,636</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Distributions declared per common share.....</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1.70</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040" w:type="dxa"/>
            <w:vAlign w:val="bottom"/>
          </w:tcPr>
          <w:p>
            <w:pPr>
              <w:spacing w:after="0"/>
              <w:rPr>
                <w:sz w:val="16"/>
                <w:szCs w:val="16"/>
                <w:color w:val="auto"/>
              </w:rPr>
            </w:pP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$ 72,170</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financing</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activities (2).............................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$213,175</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Net cash used in investing activities (2)...</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$279,343</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Funds from operations (3)...................</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$ 79,733</w:t>
            </w: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Ratio of earnings to fixed charges (4)(5)...</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1.7x</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Ratio of earnings to combined fixed</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charges and preferred dividends (4)(6).....</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1.6x</w:t>
            </w:r>
          </w:p>
        </w:tc>
      </w:tr>
      <w:tr>
        <w:trPr>
          <w:trHeight w:val="190"/>
        </w:trPr>
        <w:tc>
          <w:tcPr>
            <w:tcW w:w="4380" w:type="dxa"/>
            <w:vAlign w:val="bottom"/>
          </w:tcPr>
          <w:p>
            <w:pPr>
              <w:spacing w:after="0"/>
              <w:rPr>
                <w:sz w:val="20"/>
                <w:szCs w:val="20"/>
                <w:color w:val="auto"/>
              </w:rPr>
            </w:pPr>
            <w:r>
              <w:rPr>
                <w:rFonts w:ascii="Courier New" w:cs="Courier New" w:eastAsia="Courier New" w:hAnsi="Courier New"/>
                <w:sz w:val="16"/>
                <w:szCs w:val="16"/>
                <w:color w:val="auto"/>
              </w:rPr>
              <w:t>Ratio of funds from operations to combined</w:t>
            </w:r>
          </w:p>
        </w:tc>
        <w:tc>
          <w:tcPr>
            <w:tcW w:w="1040" w:type="dxa"/>
            <w:vAlign w:val="bottom"/>
          </w:tcPr>
          <w:p>
            <w:pPr>
              <w:spacing w:after="0"/>
              <w:rPr>
                <w:sz w:val="16"/>
                <w:szCs w:val="16"/>
                <w:color w:val="auto"/>
              </w:rPr>
            </w:pPr>
          </w:p>
        </w:tc>
      </w:tr>
      <w:tr>
        <w:trPr>
          <w:trHeight w:val="190"/>
        </w:trPr>
        <w:tc>
          <w:tcPr>
            <w:tcW w:w="438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fixed charges and preferred dividends</w:t>
            </w:r>
          </w:p>
        </w:tc>
        <w:tc>
          <w:tcPr>
            <w:tcW w:w="1040" w:type="dxa"/>
            <w:vAlign w:val="bottom"/>
          </w:tcPr>
          <w:p>
            <w:pPr>
              <w:spacing w:after="0"/>
              <w:rPr>
                <w:sz w:val="16"/>
                <w:szCs w:val="16"/>
                <w:color w:val="auto"/>
              </w:rPr>
            </w:pPr>
          </w:p>
        </w:tc>
      </w:tr>
      <w:tr>
        <w:trPr>
          <w:trHeight w:val="190"/>
        </w:trPr>
        <w:tc>
          <w:tcPr>
            <w:tcW w:w="4380" w:type="dxa"/>
            <w:vAlign w:val="bottom"/>
          </w:tcPr>
          <w:p>
            <w:pPr>
              <w:jc w:val="right"/>
              <w:spacing w:after="0"/>
              <w:rPr>
                <w:sz w:val="20"/>
                <w:szCs w:val="20"/>
                <w:color w:val="auto"/>
              </w:rPr>
            </w:pPr>
            <w:r>
              <w:rPr>
                <w:rFonts w:ascii="Courier New" w:cs="Courier New" w:eastAsia="Courier New" w:hAnsi="Courier New"/>
                <w:sz w:val="16"/>
                <w:szCs w:val="16"/>
                <w:color w:val="auto"/>
              </w:rPr>
              <w:t>(3)(4)(7)..................................</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2.5x</w:t>
            </w:r>
          </w:p>
        </w:tc>
      </w:tr>
    </w:tbl>
    <w:p>
      <w:pPr>
        <w:spacing w:after="0" w:line="384" w:lineRule="exact"/>
        <w:rPr>
          <w:sz w:val="20"/>
          <w:szCs w:val="20"/>
          <w:color w:val="auto"/>
        </w:rPr>
      </w:pPr>
    </w:p>
    <w:p>
      <w:pPr>
        <w:jc w:val="right"/>
        <w:ind w:right="2439"/>
        <w:spacing w:after="0"/>
        <w:rPr>
          <w:sz w:val="20"/>
          <w:szCs w:val="20"/>
          <w:color w:val="auto"/>
        </w:rPr>
      </w:pPr>
      <w:r>
        <w:rPr>
          <w:rFonts w:ascii="Courier New" w:cs="Courier New" w:eastAsia="Courier New" w:hAnsi="Courier New"/>
          <w:sz w:val="16"/>
          <w:szCs w:val="16"/>
          <w:color w:val="auto"/>
        </w:rPr>
        <w:t>(table continued on following page)</w:t>
      </w:r>
    </w:p>
    <w:p>
      <w:pPr>
        <w:spacing w:after="0" w:line="19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S-11</w:t>
      </w:r>
    </w:p>
    <w:p>
      <w:pPr>
        <w:sectPr>
          <w:pgSz w:w="11900" w:h="16838" w:orient="portrait"/>
          <w:cols w:equalWidth="0" w:num="1">
            <w:col w:w="10219"/>
          </w:cols>
          <w:pgMar w:left="240" w:top="900"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w:t>
            </w:r>
          </w:p>
        </w:tc>
        <w:tc>
          <w:tcPr>
            <w:tcW w:w="9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ended</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3"/>
          </w:tcPr>
          <w:p>
            <w:pPr>
              <w:jc w:val="right"/>
              <w:ind w:right="638"/>
              <w:spacing w:after="0"/>
              <w:rPr>
                <w:sz w:val="20"/>
                <w:szCs w:val="20"/>
                <w:color w:val="auto"/>
              </w:rPr>
            </w:pPr>
            <w:r>
              <w:rPr>
                <w:rFonts w:ascii="Courier New" w:cs="Courier New" w:eastAsia="Courier New" w:hAnsi="Courier New"/>
                <w:sz w:val="16"/>
                <w:szCs w:val="16"/>
                <w:color w:val="auto"/>
              </w:rPr>
              <w:t>June 30</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920" w:type="dxa"/>
            <w:vAlign w:val="bottom"/>
          </w:tcPr>
          <w:p>
            <w:pPr>
              <w:ind w:left="80"/>
              <w:spacing w:after="0"/>
              <w:rPr>
                <w:sz w:val="20"/>
                <w:szCs w:val="20"/>
                <w:color w:val="auto"/>
              </w:rPr>
            </w:pPr>
            <w:r>
              <w:rPr>
                <w:rFonts w:ascii="Courier New" w:cs="Courier New" w:eastAsia="Courier New" w:hAnsi="Courier New"/>
                <w:sz w:val="16"/>
                <w:szCs w:val="16"/>
                <w:color w:val="auto"/>
              </w:rPr>
              <w:t>31,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500" w:type="dxa"/>
            <w:vAlign w:val="bottom"/>
          </w:tcPr>
          <w:p>
            <w:pPr>
              <w:spacing w:after="0"/>
              <w:rPr>
                <w:sz w:val="16"/>
                <w:szCs w:val="16"/>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5580" w:type="dxa"/>
            <w:vAlign w:val="bottom"/>
            <w:gridSpan w:val="10"/>
          </w:tcPr>
          <w:p>
            <w:pPr>
              <w:jc w:val="right"/>
              <w:ind w:right="118"/>
              <w:spacing w:after="0"/>
              <w:rPr>
                <w:sz w:val="20"/>
                <w:szCs w:val="20"/>
                <w:color w:val="auto"/>
              </w:rPr>
            </w:pPr>
            <w:r>
              <w:rPr>
                <w:rFonts w:ascii="Courier New" w:cs="Courier New" w:eastAsia="Courier New" w:hAnsi="Courier New"/>
                <w:sz w:val="16"/>
                <w:szCs w:val="16"/>
                <w:color w:val="auto"/>
              </w:rPr>
              <w:t>------------------------------------------------------</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 thousands, except ratio</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information and per share data)</w:t>
            </w:r>
          </w:p>
        </w:tc>
        <w:tc>
          <w:tcPr>
            <w:tcW w:w="1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2002</w:t>
            </w:r>
          </w:p>
        </w:tc>
        <w:tc>
          <w:tcPr>
            <w:tcW w:w="160" w:type="dxa"/>
            <w:vAlign w:val="bottom"/>
          </w:tcPr>
          <w:p>
            <w:pPr>
              <w:spacing w:after="0"/>
              <w:rPr>
                <w:sz w:val="16"/>
                <w:szCs w:val="16"/>
                <w:color w:val="auto"/>
              </w:rPr>
            </w:pPr>
          </w:p>
        </w:tc>
        <w:tc>
          <w:tcPr>
            <w:tcW w:w="9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2001</w:t>
            </w:r>
          </w:p>
        </w:tc>
        <w:tc>
          <w:tcPr>
            <w:tcW w:w="160" w:type="dxa"/>
            <w:vAlign w:val="bottom"/>
          </w:tcPr>
          <w:p>
            <w:pPr>
              <w:spacing w:after="0"/>
              <w:rPr>
                <w:sz w:val="16"/>
                <w:szCs w:val="16"/>
                <w:color w:val="auto"/>
              </w:rPr>
            </w:pPr>
          </w:p>
        </w:tc>
        <w:tc>
          <w:tcPr>
            <w:tcW w:w="940" w:type="dxa"/>
            <w:vAlign w:val="bottom"/>
          </w:tcPr>
          <w:p>
            <w:pPr>
              <w:jc w:val="right"/>
              <w:ind w:right="278"/>
              <w:spacing w:after="0"/>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2000</w:t>
            </w:r>
          </w:p>
        </w:tc>
        <w:tc>
          <w:tcPr>
            <w:tcW w:w="140" w:type="dxa"/>
            <w:vAlign w:val="bottom"/>
          </w:tcPr>
          <w:p>
            <w:pPr>
              <w:spacing w:after="0"/>
              <w:rPr>
                <w:sz w:val="16"/>
                <w:szCs w:val="16"/>
                <w:color w:val="auto"/>
              </w:rPr>
            </w:pPr>
          </w:p>
        </w:tc>
        <w:tc>
          <w:tcPr>
            <w:tcW w:w="9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1999</w:t>
            </w:r>
          </w:p>
        </w:tc>
        <w:tc>
          <w:tcPr>
            <w:tcW w:w="160" w:type="dxa"/>
            <w:vAlign w:val="bottom"/>
          </w:tcPr>
          <w:p>
            <w:pPr>
              <w:spacing w:after="0"/>
              <w:rPr>
                <w:sz w:val="16"/>
                <w:szCs w:val="16"/>
                <w:color w:val="auto"/>
              </w:rPr>
            </w:pPr>
          </w:p>
        </w:tc>
        <w:tc>
          <w:tcPr>
            <w:tcW w:w="9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1998</w:t>
            </w:r>
          </w:p>
        </w:tc>
        <w:tc>
          <w:tcPr>
            <w:tcW w:w="160" w:type="dxa"/>
            <w:vAlign w:val="bottom"/>
          </w:tcPr>
          <w:p>
            <w:pPr>
              <w:spacing w:after="0"/>
              <w:rPr>
                <w:sz w:val="16"/>
                <w:szCs w:val="16"/>
                <w:color w:val="auto"/>
              </w:rPr>
            </w:pPr>
          </w:p>
        </w:tc>
        <w:tc>
          <w:tcPr>
            <w:tcW w:w="10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1997</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34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c>
          <w:tcPr>
            <w:tcW w:w="2160" w:type="dxa"/>
            <w:vAlign w:val="bottom"/>
            <w:gridSpan w:val="3"/>
          </w:tcPr>
          <w:p>
            <w:pPr>
              <w:ind w:left="80"/>
              <w:spacing w:after="0"/>
              <w:rPr>
                <w:sz w:val="20"/>
                <w:szCs w:val="20"/>
                <w:color w:val="auto"/>
              </w:rPr>
            </w:pPr>
            <w:r>
              <w:rPr>
                <w:rFonts w:ascii="Courier New" w:cs="Courier New" w:eastAsia="Courier New" w:hAnsi="Courier New"/>
                <w:sz w:val="16"/>
                <w:szCs w:val="16"/>
                <w:color w:val="auto"/>
              </w:rPr>
              <w:t>---------- ----------</w:t>
            </w:r>
          </w:p>
        </w:tc>
      </w:tr>
      <w:tr>
        <w:trPr>
          <w:trHeight w:val="379"/>
        </w:trPr>
        <w:tc>
          <w:tcPr>
            <w:tcW w:w="350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Real estate assets, at cost........</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2,180,660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1,981,002</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2,104,304</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1,854,913</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1,721,459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1,642,136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1,453,639</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1,946,905</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1,732,046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1,834,881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1,618,885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1,532,764</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1,483,170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9"/>
              </w:rPr>
              <w:t>1,315,383</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debt (8).....................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1,155,521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1,140,493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1,110,468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1,034,446</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920,630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846,928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670,890</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Total liabilities..................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1,293,846</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w w:val="99"/>
              </w:rPr>
              <w:t>1,261,508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1,245,590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w w:val="99"/>
              </w:rPr>
              <w:t>1,153,425</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1,032,221</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954,370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762,763</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Redeemable preferred shares........</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235,000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235,000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100,000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100,000</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653,059</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470,538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589,291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465,460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500,543</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528,800</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552,620</w:t>
            </w:r>
          </w:p>
        </w:tc>
      </w:tr>
      <w:tr>
        <w:trPr>
          <w:trHeight w:val="190"/>
        </w:trPr>
        <w:tc>
          <w:tcPr>
            <w:tcW w:w="3500" w:type="dxa"/>
            <w:vAlign w:val="bottom"/>
          </w:tcPr>
          <w:p>
            <w:pPr>
              <w:spacing w:after="0"/>
              <w:rPr>
                <w:sz w:val="20"/>
                <w:szCs w:val="20"/>
                <w:color w:val="auto"/>
              </w:rPr>
            </w:pPr>
            <w:r>
              <w:rPr>
                <w:rFonts w:ascii="Courier New" w:cs="Courier New" w:eastAsia="Courier New" w:hAnsi="Courier New"/>
                <w:sz w:val="16"/>
                <w:szCs w:val="16"/>
                <w:color w:val="auto"/>
              </w:rPr>
              <w:t>Number of common shares outstanding</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43,188</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39,974</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40,071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39,469</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40,201</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40,080</w:t>
            </w:r>
          </w:p>
        </w:tc>
        <w:tc>
          <w:tcPr>
            <w:tcW w:w="160" w:type="dxa"/>
            <w:vAlign w:val="bottom"/>
          </w:tcPr>
          <w:p>
            <w:pPr>
              <w:spacing w:after="0"/>
              <w:rPr>
                <w:sz w:val="16"/>
                <w:szCs w:val="16"/>
                <w:color w:val="auto"/>
              </w:rPr>
            </w:pPr>
          </w:p>
        </w:tc>
        <w:tc>
          <w:tcPr>
            <w:tcW w:w="10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39,148</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ind w:left="400" w:right="3540" w:hanging="399"/>
        <w:spacing w:after="0" w:line="252"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administrative, and other expenses includes $8.5 million of restructuring costs in the six months ended June 30, 2002, $2.8 million of costs related to an unconsummated merger in 1999 and $4.7 million of restructuring costs in 1998.</w:t>
      </w:r>
    </w:p>
    <w:p>
      <w:pPr>
        <w:spacing w:after="0" w:line="186" w:lineRule="exact"/>
        <w:rPr>
          <w:rFonts w:ascii="Courier New" w:cs="Courier New" w:eastAsia="Courier New" w:hAnsi="Courier New"/>
          <w:sz w:val="16"/>
          <w:szCs w:val="16"/>
          <w:color w:val="auto"/>
        </w:rPr>
      </w:pPr>
    </w:p>
    <w:p>
      <w:pPr>
        <w:ind w:left="400" w:right="3460" w:hanging="399"/>
        <w:spacing w:after="0" w:line="253"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Determined in accordance with Financial Accounting Standards Board Statement No. 95. See Consolidated Statements of Cash Flows incorporated by reference in this prospectus supplement.</w:t>
      </w:r>
    </w:p>
    <w:p>
      <w:pPr>
        <w:spacing w:after="0" w:line="185" w:lineRule="exact"/>
        <w:rPr>
          <w:rFonts w:ascii="Courier New" w:cs="Courier New" w:eastAsia="Courier New" w:hAnsi="Courier New"/>
          <w:sz w:val="16"/>
          <w:szCs w:val="16"/>
          <w:color w:val="auto"/>
        </w:rPr>
      </w:pPr>
    </w:p>
    <w:p>
      <w:pPr>
        <w:ind w:left="400" w:right="3460" w:hanging="399"/>
        <w:spacing w:after="0" w:line="251"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 has historically reported its funds from operations in addition to its net income and net cash provided by operating activities. FFO is a supplemental measure of real estate companies' operating performance. Since January 1, 2000, the National Association of Real Estate Investment Trusts (NAREIT) has defined FFO as income available for common shareholders before depreciation and amortization of real estate assets and before extraordinary items less gains (losses) on sale of real estate. Prior to January 1, 2000, FFO also excluded significant nonrecurring events. FFO does not replace net income as a measure of performance or net cash provided by operating activities as a measure of liquidity. Rather, FFO has been adopted by real estate investment trusts to provide a consistent measure of operating performance in the industry. Nevertheless, FFO, as presented by the Trust, may not be comparable to FFO as presented by other real estate investment trusts.</w:t>
      </w:r>
    </w:p>
    <w:p>
      <w:pPr>
        <w:spacing w:after="0" w:line="190" w:lineRule="exact"/>
        <w:rPr>
          <w:rFonts w:ascii="Courier New" w:cs="Courier New" w:eastAsia="Courier New" w:hAnsi="Courier New"/>
          <w:sz w:val="16"/>
          <w:szCs w:val="16"/>
          <w:color w:val="auto"/>
        </w:rPr>
      </w:pPr>
    </w:p>
    <w:p>
      <w:pPr>
        <w:ind w:left="400" w:right="3540" w:hanging="399"/>
        <w:spacing w:after="0" w:line="252"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computing these ratios, earnings consist of income before gain (loss) on sale of real estate plus fixed charges. Fixed charges consist of interest on borrowed funds (including capitalized interest), amortization of debt discount and expenses and the portion of rent expense representing an interest factor.</w:t>
      </w:r>
    </w:p>
    <w:p>
      <w:pPr>
        <w:spacing w:after="0" w:line="185" w:lineRule="exact"/>
        <w:rPr>
          <w:rFonts w:ascii="Courier New" w:cs="Courier New" w:eastAsia="Courier New" w:hAnsi="Courier New"/>
          <w:sz w:val="16"/>
          <w:szCs w:val="16"/>
          <w:color w:val="auto"/>
        </w:rPr>
      </w:pPr>
    </w:p>
    <w:p>
      <w:pPr>
        <w:ind w:left="400" w:right="3460" w:hanging="399"/>
        <w:spacing w:after="0" w:line="253"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six months ended June 30, 2002, the ratio of earnings to fixed charges would have been 1.4x.</w:t>
      </w:r>
    </w:p>
    <w:p>
      <w:pPr>
        <w:spacing w:after="0" w:line="185" w:lineRule="exact"/>
        <w:rPr>
          <w:rFonts w:ascii="Courier New" w:cs="Courier New" w:eastAsia="Courier New" w:hAnsi="Courier New"/>
          <w:sz w:val="16"/>
          <w:szCs w:val="16"/>
          <w:color w:val="auto"/>
        </w:rPr>
      </w:pPr>
    </w:p>
    <w:p>
      <w:pPr>
        <w:ind w:left="400" w:right="3460" w:hanging="399"/>
        <w:spacing w:after="0" w:line="252"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six months ended June 30, 2002, the ratio of earnings to combined fixed charges and preferred share dividends would have been 1.2x.</w:t>
      </w:r>
    </w:p>
    <w:p>
      <w:pPr>
        <w:spacing w:after="0" w:line="186" w:lineRule="exact"/>
        <w:rPr>
          <w:rFonts w:ascii="Courier New" w:cs="Courier New" w:eastAsia="Courier New" w:hAnsi="Courier New"/>
          <w:sz w:val="16"/>
          <w:szCs w:val="16"/>
          <w:color w:val="auto"/>
        </w:rPr>
      </w:pPr>
    </w:p>
    <w:p>
      <w:pPr>
        <w:ind w:left="400" w:right="3460" w:hanging="399"/>
        <w:spacing w:after="0" w:line="254"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Excluding a one-time $8.5 million restructuring charge incurred in the first quarter of 2002, for the six months ended June 30, 2002, the ratio of FFO to combined fixed charges and preferred share dividends would have been 1.5x.</w:t>
      </w:r>
    </w:p>
    <w:p>
      <w:pPr>
        <w:spacing w:after="0" w:line="372" w:lineRule="exact"/>
        <w:rPr>
          <w:rFonts w:ascii="Courier New" w:cs="Courier New" w:eastAsia="Courier New" w:hAnsi="Courier New"/>
          <w:sz w:val="16"/>
          <w:szCs w:val="16"/>
          <w:color w:val="auto"/>
        </w:rPr>
      </w:pPr>
    </w:p>
    <w:p>
      <w:pPr>
        <w:ind w:left="400" w:hanging="399"/>
        <w:spacing w:after="0"/>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obligations under capital leases.</w:t>
      </w:r>
    </w:p>
    <w:p>
      <w:pPr>
        <w:spacing w:after="0" w:line="38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S-12</w:t>
      </w:r>
    </w:p>
    <w:p>
      <w:pPr>
        <w:sectPr>
          <w:pgSz w:w="11900" w:h="16838" w:orient="portrait"/>
          <w:cols w:equalWidth="0" w:num="1">
            <w:col w:w="11240"/>
          </w:cols>
          <w:pgMar w:left="240" w:top="1064" w:right="419" w:bottom="1440" w:gutter="0" w:footer="0" w:header="0"/>
        </w:sectPr>
      </w:pPr>
    </w:p>
    <w:bookmarkStart w:id="18" w:name="page19"/>
    <w:bookmarkEnd w:id="18"/>
    <w:p>
      <w:pPr>
        <w:jc w:val="center"/>
        <w:ind w:right="2519"/>
        <w:spacing w:after="0"/>
        <w:rPr>
          <w:sz w:val="20"/>
          <w:szCs w:val="20"/>
          <w:color w:val="auto"/>
        </w:rPr>
      </w:pPr>
      <w:r>
        <w:rPr>
          <w:rFonts w:ascii="Courier New" w:cs="Courier New" w:eastAsia="Courier New" w:hAnsi="Courier New"/>
          <w:sz w:val="16"/>
          <w:szCs w:val="16"/>
          <w:color w:val="auto"/>
        </w:rPr>
        <w:t>DESCRIPTION OF NOTES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herein are defined in that section of the accompanying prospectus.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 w:type="dxa"/>
            <w:vAlign w:val="bottom"/>
          </w:tcPr>
          <w:p>
            <w:pPr>
              <w:spacing w:after="0"/>
              <w:rPr>
                <w:sz w:val="20"/>
                <w:szCs w:val="20"/>
                <w:color w:val="auto"/>
              </w:rPr>
            </w:pPr>
            <w:r>
              <w:rPr>
                <w:rFonts w:ascii="Courier New" w:cs="Courier New" w:eastAsia="Courier New" w:hAnsi="Courier New"/>
                <w:sz w:val="16"/>
                <w:szCs w:val="16"/>
                <w:color w:val="auto"/>
              </w:rPr>
              <w:t>General</w:t>
            </w: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79"/>
        </w:trPr>
        <w:tc>
          <w:tcPr>
            <w:tcW w:w="940" w:type="dxa"/>
            <w:vAlign w:val="bottom"/>
          </w:tcPr>
          <w:p>
            <w:pPr>
              <w:ind w:left="300"/>
              <w:spacing w:after="0"/>
              <w:rPr>
                <w:sz w:val="20"/>
                <w:szCs w:val="20"/>
                <w:color w:val="auto"/>
              </w:rPr>
            </w:pPr>
            <w:r>
              <w:rPr>
                <w:rFonts w:ascii="Courier New" w:cs="Courier New" w:eastAsia="Courier New" w:hAnsi="Courier New"/>
                <w:sz w:val="16"/>
                <w:szCs w:val="16"/>
                <w:color w:val="auto"/>
              </w:rPr>
              <w:t>We are</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offering $150</w:t>
            </w:r>
          </w:p>
        </w:tc>
        <w:tc>
          <w:tcPr>
            <w:tcW w:w="7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million</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of our</w:t>
            </w:r>
          </w:p>
        </w:tc>
        <w:tc>
          <w:tcPr>
            <w:tcW w:w="31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 notes maturing on August</w:t>
            </w:r>
          </w:p>
        </w:tc>
        <w:tc>
          <w:tcPr>
            <w:tcW w:w="8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 2007.</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The notes</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are to be issued</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as a</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separate series of</w:t>
            </w:r>
          </w:p>
        </w:tc>
        <w:tc>
          <w:tcPr>
            <w:tcW w:w="2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Debt Securities under the</w:t>
            </w:r>
          </w:p>
        </w:tc>
      </w:tr>
      <w:tr>
        <w:trPr>
          <w:trHeight w:val="190"/>
        </w:trPr>
        <w:tc>
          <w:tcPr>
            <w:tcW w:w="2320" w:type="dxa"/>
            <w:vAlign w:val="bottom"/>
            <w:gridSpan w:val="2"/>
          </w:tcPr>
          <w:p>
            <w:pPr>
              <w:spacing w:after="0"/>
              <w:rPr>
                <w:sz w:val="20"/>
                <w:szCs w:val="20"/>
                <w:color w:val="auto"/>
              </w:rPr>
            </w:pPr>
            <w:r>
              <w:rPr>
                <w:rFonts w:ascii="Courier New" w:cs="Courier New" w:eastAsia="Courier New" w:hAnsi="Courier New"/>
                <w:sz w:val="16"/>
                <w:szCs w:val="16"/>
                <w:color w:val="auto"/>
              </w:rPr>
              <w:t>Senior Indenture, which</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is</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more</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fully described in</w:t>
            </w:r>
          </w:p>
        </w:tc>
        <w:tc>
          <w:tcPr>
            <w:tcW w:w="2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accompanying prospectus.</w:t>
            </w:r>
          </w:p>
        </w:tc>
      </w:tr>
      <w:tr>
        <w:trPr>
          <w:trHeight w:val="379"/>
        </w:trPr>
        <w:tc>
          <w:tcPr>
            <w:tcW w:w="232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We will pay interest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on</w:t>
            </w:r>
          </w:p>
        </w:tc>
        <w:tc>
          <w:tcPr>
            <w:tcW w:w="23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notes semi-annually</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in arrears on March</w:t>
            </w:r>
          </w:p>
        </w:tc>
        <w:tc>
          <w:tcPr>
            <w:tcW w:w="8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and</w:t>
            </w:r>
          </w:p>
        </w:tc>
      </w:tr>
      <w:tr>
        <w:trPr>
          <w:trHeight w:val="190"/>
        </w:trPr>
        <w:tc>
          <w:tcPr>
            <w:tcW w:w="940" w:type="dxa"/>
            <w:vAlign w:val="bottom"/>
          </w:tcPr>
          <w:p>
            <w:pPr>
              <w:spacing w:after="0"/>
              <w:rPr>
                <w:sz w:val="20"/>
                <w:szCs w:val="20"/>
                <w:color w:val="auto"/>
              </w:rPr>
            </w:pPr>
            <w:r>
              <w:rPr>
                <w:rFonts w:ascii="Courier New" w:cs="Courier New" w:eastAsia="Courier New" w:hAnsi="Courier New"/>
                <w:sz w:val="16"/>
                <w:szCs w:val="16"/>
                <w:color w:val="auto"/>
              </w:rPr>
              <w:t>September</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 each year,</w:t>
            </w:r>
          </w:p>
        </w:tc>
        <w:tc>
          <w:tcPr>
            <w:tcW w:w="5160" w:type="dxa"/>
            <w:vAlign w:val="bottom"/>
            <w:gridSpan w:val="5"/>
          </w:tcPr>
          <w:p>
            <w:pPr>
              <w:ind w:left="40"/>
              <w:spacing w:after="0"/>
              <w:rPr>
                <w:sz w:val="20"/>
                <w:szCs w:val="20"/>
                <w:color w:val="auto"/>
              </w:rPr>
            </w:pPr>
            <w:r>
              <w:rPr>
                <w:rFonts w:ascii="Courier New" w:cs="Courier New" w:eastAsia="Courier New" w:hAnsi="Courier New"/>
                <w:sz w:val="16"/>
                <w:szCs w:val="16"/>
                <w:color w:val="auto"/>
              </w:rPr>
              <w:t>commencing March  , 2003, to the registered holders</w:t>
            </w:r>
          </w:p>
        </w:tc>
      </w:tr>
      <w:tr>
        <w:trPr>
          <w:trHeight w:val="190"/>
        </w:trPr>
        <w:tc>
          <w:tcPr>
            <w:tcW w:w="3100" w:type="dxa"/>
            <w:vAlign w:val="bottom"/>
            <w:gridSpan w:val="4"/>
          </w:tcPr>
          <w:p>
            <w:pPr>
              <w:spacing w:after="0"/>
              <w:rPr>
                <w:sz w:val="20"/>
                <w:szCs w:val="20"/>
                <w:color w:val="auto"/>
              </w:rPr>
            </w:pPr>
            <w:r>
              <w:rPr>
                <w:rFonts w:ascii="Courier New" w:cs="Courier New" w:eastAsia="Courier New" w:hAnsi="Courier New"/>
                <w:sz w:val="16"/>
                <w:szCs w:val="16"/>
                <w:color w:val="auto"/>
              </w:rPr>
              <w:t>of the notes on the preceding</w:t>
            </w:r>
          </w:p>
        </w:tc>
        <w:tc>
          <w:tcPr>
            <w:tcW w:w="700" w:type="dxa"/>
            <w:vAlign w:val="bottom"/>
          </w:tcPr>
          <w:p>
            <w:pPr>
              <w:spacing w:after="0"/>
              <w:rPr>
                <w:sz w:val="16"/>
                <w:szCs w:val="16"/>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or</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spacing w:after="0"/>
              <w:rPr>
                <w:sz w:val="16"/>
                <w:szCs w:val="16"/>
                <w:color w:val="auto"/>
              </w:rPr>
            </w:pPr>
          </w:p>
        </w:tc>
      </w:tr>
    </w:tbl>
    <w:p>
      <w:pPr>
        <w:spacing w:after="0" w:line="194" w:lineRule="exact"/>
        <w:rPr>
          <w:sz w:val="20"/>
          <w:szCs w:val="20"/>
          <w:color w:val="auto"/>
        </w:rPr>
      </w:pPr>
    </w:p>
    <w:p>
      <w:pPr>
        <w:ind w:right="2719" w:firstLine="296"/>
        <w:spacing w:after="0" w:line="255" w:lineRule="auto"/>
        <w:rPr>
          <w:sz w:val="20"/>
          <w:szCs w:val="20"/>
          <w:color w:val="auto"/>
        </w:rPr>
      </w:pPr>
      <w:r>
        <w:rPr>
          <w:rFonts w:ascii="Courier New" w:cs="Courier New" w:eastAsia="Courier New" w:hAnsi="Courier New"/>
          <w:sz w:val="16"/>
          <w:szCs w:val="16"/>
          <w:color w:val="auto"/>
        </w:rPr>
        <w:t>The defeasance and covenant defeasance provisions of the Senior Indenture apply to the notes.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25 basis points plus, in each case, accrued interest thereon to the redemption date.</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used herein:</w:t>
      </w:r>
    </w:p>
    <w:p>
      <w:pPr>
        <w:spacing w:after="0" w:line="198"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"Adjusted Treasury Rate"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"Comparable Treasury Price"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86" w:lineRule="exact"/>
        <w:rPr>
          <w:sz w:val="20"/>
          <w:szCs w:val="20"/>
          <w:color w:val="auto"/>
        </w:rPr>
      </w:pPr>
    </w:p>
    <w:p>
      <w:pPr>
        <w:ind w:left="300"/>
        <w:spacing w:after="0"/>
        <w:tabs>
          <w:tab w:leader="none" w:pos="2160" w:val="left"/>
        </w:tabs>
        <w:rPr>
          <w:sz w:val="20"/>
          <w:szCs w:val="20"/>
          <w:color w:val="auto"/>
        </w:rPr>
      </w:pPr>
      <w:r>
        <w:rPr>
          <w:rFonts w:ascii="Courier New" w:cs="Courier New" w:eastAsia="Courier New" w:hAnsi="Courier New"/>
          <w:sz w:val="16"/>
          <w:szCs w:val="16"/>
          <w:color w:val="auto"/>
        </w:rPr>
        <w:t>"Quotation Agent"</w:t>
        <w:tab/>
        <w:t>means the Reference Treasury Dealer appointed by us.</w:t>
      </w:r>
    </w:p>
    <w:p>
      <w:pPr>
        <w:spacing w:after="0" w:line="198" w:lineRule="exact"/>
        <w:rPr>
          <w:sz w:val="20"/>
          <w:szCs w:val="20"/>
          <w:color w:val="auto"/>
        </w:rPr>
      </w:pPr>
    </w:p>
    <w:p>
      <w:pPr>
        <w:ind w:left="300"/>
        <w:spacing w:after="0"/>
        <w:tabs>
          <w:tab w:leader="none" w:pos="3140" w:val="left"/>
        </w:tabs>
        <w:rPr>
          <w:sz w:val="20"/>
          <w:szCs w:val="20"/>
          <w:color w:val="auto"/>
        </w:rPr>
      </w:pPr>
      <w:r>
        <w:rPr>
          <w:rFonts w:ascii="Courier New" w:cs="Courier New" w:eastAsia="Courier New" w:hAnsi="Courier New"/>
          <w:sz w:val="16"/>
          <w:szCs w:val="16"/>
          <w:color w:val="auto"/>
        </w:rPr>
        <w:t>"Reference Treasury Dealer"</w:t>
        <w:tab/>
        <w:t>means (1) each of Merrill Lynch, Pierce, Fenner</w:t>
      </w:r>
    </w:p>
    <w:p>
      <w:pPr>
        <w:spacing w:after="0" w:line="8" w:lineRule="exact"/>
        <w:rPr>
          <w:sz w:val="20"/>
          <w:szCs w:val="20"/>
          <w:color w:val="auto"/>
        </w:rPr>
      </w:pPr>
    </w:p>
    <w:p>
      <w:pPr>
        <w:ind w:right="2439" w:firstLine="1"/>
        <w:spacing w:after="0" w:line="252" w:lineRule="auto"/>
        <w:tabs>
          <w:tab w:leader="none" w:pos="19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Smith Incorporated, Salomon Smith Barney Inc. and Wachovia Securities, Inc. and their respective successors; provided, however, that if any of the foregoing cease to be a primary U.S. Government securities dealer (a "Primary Treasury Dealer"), we will substitute therefor another Primary Treasury Dealer; and (2) any other Primary Treasury Dealer selected by us.</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"Reference Treasury Dealer Quotations"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S-13</w:t>
      </w:r>
    </w:p>
    <w:p>
      <w:pPr>
        <w:sectPr>
          <w:pgSz w:w="11900" w:h="16838" w:orient="portrait"/>
          <w:cols w:equalWidth="0" w:num="1">
            <w:col w:w="10219"/>
          </w:cols>
          <w:pgMar w:left="240" w:top="685" w:right="1440" w:bottom="1440" w:gutter="0" w:footer="0" w:header="0"/>
        </w:sectPr>
      </w:pPr>
    </w:p>
    <w:bookmarkStart w:id="19" w:name="page20"/>
    <w:bookmarkEnd w:id="19"/>
    <w:p>
      <w:pPr>
        <w:ind w:right="2439" w:firstLine="296"/>
        <w:spacing w:after="0" w:line="252" w:lineRule="auto"/>
        <w:rPr>
          <w:sz w:val="20"/>
          <w:szCs w:val="20"/>
          <w:color w:val="auto"/>
        </w:rPr>
      </w:pPr>
      <w:r>
        <w:rPr>
          <w:rFonts w:ascii="Courier New" w:cs="Courier New" w:eastAsia="Courier New" w:hAnsi="Courier New"/>
          <w:sz w:val="16"/>
          <w:szCs w:val="16"/>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Limitations on Incurrence of Debt. The notes will provide that we will not, and will not permit any subsidiary to, incur any Debt (as defined below)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65% of the sum of (without duplication) (1) Total Assets (as defined below) as of the end of the calendar quarter covered in our Annual Report on Form 10-K or Quarterly Report on Form 10-Q, as the case may be, most recently filed with the SEC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Furthermore, the notes also will provide that we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incurred, repaid or retired at the beginning of such period (except that, in making such computation, the amount of Debt under any revolving credit facility shall be computed based upon the average daily balance of such Debt during such period); (3) in the case of Acquired Debt (as defined below)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w:t>
      </w:r>
    </w:p>
    <w:p>
      <w:pPr>
        <w:spacing w:after="0" w:line="1" w:lineRule="exact"/>
        <w:rPr>
          <w:sz w:val="20"/>
          <w:szCs w:val="20"/>
          <w:color w:val="auto"/>
        </w:rPr>
      </w:pPr>
    </w:p>
    <w:p>
      <w:pPr>
        <w:ind w:right="2519" w:firstLine="1"/>
        <w:spacing w:after="0" w:line="251" w:lineRule="auto"/>
        <w:tabs>
          <w:tab w:leader="none" w:pos="39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S-14</w:t>
      </w:r>
    </w:p>
    <w:p>
      <w:pPr>
        <w:sectPr>
          <w:pgSz w:w="11900" w:h="16838" w:orient="portrait"/>
          <w:cols w:equalWidth="0" w:num="1">
            <w:col w:w="10219"/>
          </w:cols>
          <w:pgMar w:left="240" w:top="685" w:right="1440" w:bottom="809" w:gutter="0" w:footer="0" w:header="0"/>
        </w:sectPr>
      </w:pPr>
    </w:p>
    <w:bookmarkStart w:id="20" w:name="page21"/>
    <w:bookmarkEnd w:id="20"/>
    <w:p>
      <w:pPr>
        <w:ind w:right="2439" w:firstLine="296"/>
        <w:spacing w:after="0" w:line="252" w:lineRule="auto"/>
        <w:rPr>
          <w:sz w:val="20"/>
          <w:szCs w:val="20"/>
          <w:color w:val="auto"/>
        </w:rPr>
      </w:pPr>
      <w:r>
        <w:rPr>
          <w:rFonts w:ascii="Courier New" w:cs="Courier New" w:eastAsia="Courier New" w:hAnsi="Courier New"/>
          <w:sz w:val="16"/>
          <w:szCs w:val="16"/>
          <w:color w:val="auto"/>
        </w:rPr>
        <w:t>Maintenance of Unencumbered Total Asset Value. The notes will provide that we, together with our subsidiaries, will at all times maintain an Unencumbered Total Asset Value (as defined below) in an amount not less than 125% of the aggregate outstanding principal amount of all our and our subsidiaries' unsecured Debt.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used herein,</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"Acquired Debt"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"Annual Debt Service Charge" as of any date means the maximum amount which is payable in any period for interest on, and original issue discount of, our and our subsidiaries' Debt and the amount of dividends which are payable in respect of any Disqualified Stock.</w:t>
      </w:r>
    </w:p>
    <w:p>
      <w:pPr>
        <w:spacing w:after="0" w:line="187"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"Capital Stock"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86" w:lineRule="exact"/>
        <w:rPr>
          <w:sz w:val="20"/>
          <w:szCs w:val="20"/>
          <w:color w:val="auto"/>
        </w:rPr>
      </w:pPr>
    </w:p>
    <w:p>
      <w:pPr>
        <w:ind w:right="2519" w:firstLine="296"/>
        <w:spacing w:after="0" w:line="253" w:lineRule="auto"/>
        <w:rPr>
          <w:sz w:val="20"/>
          <w:szCs w:val="20"/>
          <w:color w:val="auto"/>
        </w:rPr>
      </w:pPr>
      <w:r>
        <w:rPr>
          <w:rFonts w:ascii="Courier New" w:cs="Courier New" w:eastAsia="Courier New" w:hAnsi="Courier New"/>
          <w:sz w:val="16"/>
          <w:szCs w:val="16"/>
          <w:color w:val="auto"/>
        </w:rPr>
        <w:t>"Consolidated Income Available for Debt Service" for any period means our and our subsidiaries' Funds from Operations plus amounts which have been deducted for interest on our and our subsidiaries' Debt.</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"Debt" means any of our or any of our subsidiaries' indebtedness, whether or not contingent, in respect of (without duplication) (1) borrowed money or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provided that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"Disqualified Stock"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90" w:lineRule="exact"/>
        <w:rPr>
          <w:sz w:val="20"/>
          <w:szCs w:val="20"/>
          <w:color w:val="auto"/>
        </w:rPr>
      </w:pPr>
    </w:p>
    <w:p>
      <w:pPr>
        <w:ind w:right="2719" w:firstLine="296"/>
        <w:spacing w:after="0" w:line="255" w:lineRule="auto"/>
        <w:rPr>
          <w:sz w:val="20"/>
          <w:szCs w:val="20"/>
          <w:color w:val="auto"/>
        </w:rPr>
      </w:pPr>
      <w:r>
        <w:rPr>
          <w:rFonts w:ascii="Courier New" w:cs="Courier New" w:eastAsia="Courier New" w:hAnsi="Courier New"/>
          <w:sz w:val="16"/>
          <w:szCs w:val="16"/>
          <w:color w:val="auto"/>
        </w:rPr>
        <w:t>"Funds from Operations" for any period means income before depreciation and amortization and extraordinary items less gain on sale of real estate.</w:t>
      </w:r>
    </w:p>
    <w:p>
      <w:pPr>
        <w:spacing w:after="0" w:line="18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S-15</w:t>
      </w:r>
    </w:p>
    <w:p>
      <w:pPr>
        <w:sectPr>
          <w:pgSz w:w="11900" w:h="16838" w:orient="portrait"/>
          <w:cols w:equalWidth="0" w:num="1">
            <w:col w:w="10219"/>
          </w:cols>
          <w:pgMar w:left="240" w:top="685" w:right="1440" w:bottom="1440" w:gutter="0" w:footer="0" w:header="0"/>
        </w:sectPr>
      </w:pPr>
    </w:p>
    <w:bookmarkStart w:id="21" w:name="page22"/>
    <w:bookmarkEnd w:id="21"/>
    <w:p>
      <w:pPr>
        <w:ind w:right="2439" w:firstLine="296"/>
        <w:spacing w:after="0" w:line="252" w:lineRule="auto"/>
        <w:rPr>
          <w:sz w:val="20"/>
          <w:szCs w:val="20"/>
          <w:color w:val="auto"/>
        </w:rPr>
      </w:pPr>
      <w:r>
        <w:rPr>
          <w:rFonts w:ascii="Courier New" w:cs="Courier New" w:eastAsia="Courier New" w:hAnsi="Courier New"/>
          <w:sz w:val="16"/>
          <w:szCs w:val="16"/>
          <w:color w:val="auto"/>
        </w:rPr>
        <w:t>"Total Assets" as of any date means the sum of (1) our and all of our subsidiaries' Undepreciated Real Estate Assets and (2) all of our and all of our subsidiaries' other assets determined in accordance with generally accepted accounting principles (but excluding goodwill).</w:t>
      </w:r>
    </w:p>
    <w:p>
      <w:pPr>
        <w:spacing w:after="0" w:line="187" w:lineRule="exact"/>
        <w:rPr>
          <w:sz w:val="20"/>
          <w:szCs w:val="20"/>
          <w:color w:val="auto"/>
        </w:rPr>
      </w:pPr>
    </w:p>
    <w:p>
      <w:pPr>
        <w:jc w:val="both"/>
        <w:ind w:right="2439" w:firstLine="296"/>
        <w:spacing w:after="0" w:line="252" w:lineRule="auto"/>
        <w:rPr>
          <w:sz w:val="20"/>
          <w:szCs w:val="20"/>
          <w:color w:val="auto"/>
        </w:rPr>
      </w:pPr>
      <w:r>
        <w:rPr>
          <w:rFonts w:ascii="Courier New" w:cs="Courier New" w:eastAsia="Courier New" w:hAnsi="Courier New"/>
          <w:sz w:val="16"/>
          <w:szCs w:val="16"/>
          <w:color w:val="auto"/>
        </w:rPr>
        <w:t>"Undepreciated Real Estate Assets"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"Unencumbered Total Asset Value" as of any date means the sum of (a) those Undepreciated Real Estate Assets not encumbered by any mortgage, lien, charge, pledge or security interest and (b) all of our and our subsidiaries' other assets on a consolidated basis determined in accordance with generally accepted accounting principals (but excluding intangibles and accounts receivable), in each case which are unencumbered by any mortgage, lien, charge, pledge or security interest.</w:t>
      </w:r>
    </w:p>
    <w:p>
      <w:pPr>
        <w:spacing w:after="0" w:line="190"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See "Description of Debt Securities--Certain Covenants" in the accompanying prospectus for a description of additional covenants applicable to 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Book-Entry Form</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We have established a depositary arrangement with The Depository Trust Company (the "Depositary") with respect to the notes, the terms of which are summarized below. Upon issuance, the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So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or Securities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Securities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Securities Registrar.</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w:t>
      </w:r>
    </w:p>
    <w:p>
      <w:pPr>
        <w:spacing w:after="0" w:line="18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S-16</w:t>
      </w:r>
    </w:p>
    <w:p>
      <w:pPr>
        <w:sectPr>
          <w:pgSz w:w="11900" w:h="16838" w:orient="portrait"/>
          <w:cols w:equalWidth="0" w:num="1">
            <w:col w:w="10219"/>
          </w:cols>
          <w:pgMar w:left="240" w:top="685" w:right="1440" w:bottom="1440" w:gutter="0" w:footer="0" w:header="0"/>
        </w:sectPr>
      </w:pPr>
    </w:p>
    <w:bookmarkStart w:id="22" w:name="page23"/>
    <w:bookmarkEnd w:id="22"/>
    <w:p>
      <w:pPr>
        <w:ind w:right="2819"/>
        <w:spacing w:after="0" w:line="253" w:lineRule="auto"/>
        <w:rPr>
          <w:sz w:val="20"/>
          <w:szCs w:val="20"/>
          <w:color w:val="auto"/>
        </w:rPr>
      </w:pPr>
      <w:r>
        <w:rPr>
          <w:rFonts w:ascii="Courier New" w:cs="Courier New" w:eastAsia="Courier New" w:hAnsi="Courier New"/>
          <w:sz w:val="16"/>
          <w:szCs w:val="16"/>
          <w:color w:val="auto"/>
        </w:rPr>
        <w:t>Co. (the Depositary's partnership nominee). One fully registered Global Security will be issued for the notes, in the aggregate principal amount of such issue, and will be deposited with the Depositary.</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their registration in the name of Cede &amp; Co. effect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79"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6"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37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S-17</w:t>
      </w:r>
    </w:p>
    <w:p>
      <w:pPr>
        <w:sectPr>
          <w:pgSz w:w="11900" w:h="16838" w:orient="portrait"/>
          <w:cols w:equalWidth="0" w:num="1">
            <w:col w:w="10219"/>
          </w:cols>
          <w:pgMar w:left="240" w:top="685" w:right="1440" w:bottom="1440" w:gutter="0" w:footer="0" w:header="0"/>
        </w:sectPr>
      </w:pPr>
    </w:p>
    <w:bookmarkStart w:id="23" w:name="page24"/>
    <w:bookmarkEnd w:id="23"/>
    <w:p>
      <w:pPr>
        <w:ind w:right="2439"/>
        <w:spacing w:after="0" w:line="251" w:lineRule="auto"/>
        <w:rPr>
          <w:sz w:val="20"/>
          <w:szCs w:val="20"/>
          <w:color w:val="auto"/>
        </w:rPr>
      </w:pPr>
      <w:r>
        <w:rPr>
          <w:rFonts w:ascii="Courier New" w:cs="Courier New" w:eastAsia="Courier New" w:hAnsi="Courier New"/>
          <w:sz w:val="16"/>
          <w:szCs w:val="16"/>
          <w:color w:val="auto"/>
        </w:rPr>
        <w:t>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If applicable, redemption notices shall be sent to Cede &amp; Co. If less than all of the notes within an issue are being redeemed, the Depositary's practice is to determine by lot the amount of the interest of each Direct Participant in such issue to be redeemed.</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S-18</w:t>
      </w:r>
    </w:p>
    <w:p>
      <w:pPr>
        <w:sectPr>
          <w:pgSz w:w="11900" w:h="16838" w:orient="portrait"/>
          <w:cols w:equalWidth="0" w:num="1">
            <w:col w:w="10219"/>
          </w:cols>
          <w:pgMar w:left="240" w:top="685" w:right="1440" w:bottom="1440" w:gutter="0" w:footer="0" w:header="0"/>
        </w:sectPr>
      </w:pPr>
    </w:p>
    <w:bookmarkStart w:id="24" w:name="page25"/>
    <w:bookmarkEnd w:id="24"/>
    <w:p>
      <w:pPr>
        <w:jc w:val="center"/>
        <w:ind w:right="2519"/>
        <w:spacing w:after="0"/>
        <w:rPr>
          <w:sz w:val="20"/>
          <w:szCs w:val="20"/>
          <w:color w:val="auto"/>
        </w:rPr>
      </w:pPr>
      <w:r>
        <w:rPr>
          <w:rFonts w:ascii="Courier New" w:cs="Courier New" w:eastAsia="Courier New" w:hAnsi="Courier New"/>
          <w:sz w:val="16"/>
          <w:szCs w:val="16"/>
          <w:color w:val="auto"/>
        </w:rPr>
        <w:t>UNDERWRITING</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We intend to offer the notes through the underwriters named below. Subject to the terms and conditions contained in an underwriting agreement and the related pricing agreement between us and the underwriters, we have agreed to sell to the underwriters, and the underwriters severally have agreed to purchase from us, the principal amount of the notes listed opposite their names below.</w:t>
      </w:r>
    </w:p>
    <w:p>
      <w:pPr>
        <w:sectPr>
          <w:pgSz w:w="11900" w:h="16838" w:orient="portrait"/>
          <w:cols w:equalWidth="0" w:num="1">
            <w:col w:w="10219"/>
          </w:cols>
          <w:pgMar w:left="240" w:top="685" w:right="1440" w:bottom="9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Underwriter</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Amount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5300" w:space="720"/>
            <w:col w:w="4199"/>
          </w:cols>
          <w:pgMar w:left="240" w:top="685" w:right="1440" w:bottom="998" w:gutter="0" w:footer="0" w:header="0"/>
          <w:type w:val="continuous"/>
        </w:sectPr>
      </w:pPr>
    </w:p>
    <w:p>
      <w:pPr>
        <w:ind w:left="700"/>
        <w:spacing w:after="0"/>
        <w:rPr>
          <w:sz w:val="20"/>
          <w:szCs w:val="20"/>
          <w:color w:val="auto"/>
        </w:rPr>
      </w:pPr>
      <w:r>
        <w:rPr>
          <w:rFonts w:ascii="Courier New" w:cs="Courier New" w:eastAsia="Courier New" w:hAnsi="Courier New"/>
          <w:sz w:val="16"/>
          <w:szCs w:val="16"/>
          <w:color w:val="auto"/>
        </w:rPr>
        <w:t>Merrill Lynch, Pierce, Fenner &amp; Smith</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Incorporated............................. $</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Salomon Smith Barney Inc............................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Wachovia Securities, Inc............................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Commerzbank Capital Markets Corp....................</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Banc of America Securities LLC......................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Bayerische Hypo- und Vereinsbank AG, New York Branch</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Fleet Securities, Inc...............................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PNC Capital Markets, Inc............................</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Wells Fargo Brokerage Services, LLC.................</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Total.................................... $150,000,000</w:t>
      </w:r>
    </w:p>
    <w:p>
      <w:pPr>
        <w:spacing w:after="0" w:line="8"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85" w:right="1440" w:bottom="998" w:gutter="0" w:footer="0" w:header="0"/>
          <w:type w:val="continuous"/>
        </w:sectPr>
      </w:pPr>
    </w:p>
    <w:p>
      <w:pPr>
        <w:spacing w:after="0" w:line="388"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6" w:lineRule="exact"/>
        <w:rPr>
          <w:sz w:val="20"/>
          <w:szCs w:val="20"/>
          <w:color w:val="auto"/>
        </w:rPr>
      </w:pPr>
    </w:p>
    <w:p>
      <w:pPr>
        <w:ind w:right="2619" w:firstLine="296"/>
        <w:spacing w:after="0" w:line="252" w:lineRule="auto"/>
        <w:rPr>
          <w:sz w:val="20"/>
          <w:szCs w:val="20"/>
          <w:color w:val="auto"/>
        </w:rPr>
      </w:pPr>
      <w:r>
        <w:rPr>
          <w:rFonts w:ascii="Courier New" w:cs="Courier New" w:eastAsia="Courier New" w:hAnsi="Courier New"/>
          <w:sz w:val="16"/>
          <w:szCs w:val="16"/>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87"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Commissions and Discounts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ind w:left="300"/>
              <w:spacing w:after="0"/>
              <w:rPr>
                <w:sz w:val="20"/>
                <w:szCs w:val="20"/>
                <w:color w:val="auto"/>
              </w:rPr>
            </w:pPr>
            <w:r>
              <w:rPr>
                <w:rFonts w:ascii="Courier New" w:cs="Courier New" w:eastAsia="Courier New" w:hAnsi="Courier New"/>
                <w:sz w:val="16"/>
                <w:szCs w:val="16"/>
                <w:color w:val="auto"/>
              </w:rPr>
              <w:t>The</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underwriters</w:t>
            </w:r>
          </w:p>
        </w:tc>
        <w:tc>
          <w:tcPr>
            <w:tcW w:w="2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have advised us that</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they propose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initially to</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offer the</w:t>
            </w:r>
          </w:p>
        </w:tc>
      </w:tr>
      <w:tr>
        <w:trPr>
          <w:trHeight w:val="190"/>
        </w:trPr>
        <w:tc>
          <w:tcPr>
            <w:tcW w:w="1920" w:type="dxa"/>
            <w:vAlign w:val="bottom"/>
            <w:gridSpan w:val="2"/>
          </w:tcPr>
          <w:p>
            <w:pPr>
              <w:spacing w:after="0"/>
              <w:rPr>
                <w:sz w:val="20"/>
                <w:szCs w:val="20"/>
                <w:color w:val="auto"/>
              </w:rPr>
            </w:pPr>
            <w:r>
              <w:rPr>
                <w:rFonts w:ascii="Courier New" w:cs="Courier New" w:eastAsia="Courier New" w:hAnsi="Courier New"/>
                <w:sz w:val="16"/>
                <w:szCs w:val="16"/>
                <w:color w:val="auto"/>
              </w:rPr>
              <w:t>notes to the public</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40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4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public offering price on</w:t>
            </w:r>
          </w:p>
        </w:tc>
        <w:tc>
          <w:tcPr>
            <w:tcW w:w="14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cover page</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this</w:t>
            </w:r>
          </w:p>
        </w:tc>
      </w:tr>
      <w:tr>
        <w:trPr>
          <w:trHeight w:val="190"/>
        </w:trPr>
        <w:tc>
          <w:tcPr>
            <w:tcW w:w="2220" w:type="dxa"/>
            <w:vAlign w:val="bottom"/>
            <w:gridSpan w:val="3"/>
          </w:tcPr>
          <w:p>
            <w:pPr>
              <w:spacing w:after="0"/>
              <w:rPr>
                <w:sz w:val="20"/>
                <w:szCs w:val="20"/>
                <w:color w:val="auto"/>
              </w:rPr>
            </w:pPr>
            <w:r>
              <w:rPr>
                <w:rFonts w:ascii="Courier New" w:cs="Courier New" w:eastAsia="Courier New" w:hAnsi="Courier New"/>
                <w:sz w:val="16"/>
                <w:szCs w:val="16"/>
                <w:color w:val="auto"/>
              </w:rPr>
              <w:t>prospectus supplement,</w:t>
            </w:r>
          </w:p>
        </w:tc>
        <w:tc>
          <w:tcPr>
            <w:tcW w:w="40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to dealers</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1080" w:type="dxa"/>
            <w:vAlign w:val="bottom"/>
          </w:tcPr>
          <w:p>
            <w:pPr>
              <w:ind w:left="40"/>
              <w:spacing w:after="0"/>
              <w:rPr>
                <w:sz w:val="20"/>
                <w:szCs w:val="20"/>
                <w:color w:val="auto"/>
              </w:rPr>
            </w:pPr>
            <w:r>
              <w:rPr>
                <w:rFonts w:ascii="Courier New" w:cs="Courier New" w:eastAsia="Courier New" w:hAnsi="Courier New"/>
                <w:sz w:val="16"/>
                <w:szCs w:val="16"/>
                <w:color w:val="auto"/>
              </w:rPr>
              <w:t>that price</w:t>
            </w:r>
          </w:p>
        </w:tc>
        <w:tc>
          <w:tcPr>
            <w:tcW w:w="1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less a concession</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not in</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excess</w:t>
            </w:r>
          </w:p>
        </w:tc>
        <w:tc>
          <w:tcPr>
            <w:tcW w:w="30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of   % of the principal amount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notes to</w:t>
            </w:r>
          </w:p>
        </w:tc>
        <w:tc>
          <w:tcPr>
            <w:tcW w:w="222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other dealers. The</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gridSpan w:val="2"/>
          </w:tcPr>
          <w:p>
            <w:pPr>
              <w:spacing w:after="0"/>
              <w:rPr>
                <w:sz w:val="20"/>
                <w:szCs w:val="20"/>
                <w:color w:val="auto"/>
              </w:rPr>
            </w:pPr>
            <w:r>
              <w:rPr>
                <w:rFonts w:ascii="Courier New" w:cs="Courier New" w:eastAsia="Courier New" w:hAnsi="Courier New"/>
                <w:sz w:val="16"/>
                <w:szCs w:val="16"/>
                <w:color w:val="auto"/>
              </w:rPr>
              <w:t>underwriters may</w:t>
            </w:r>
          </w:p>
        </w:tc>
        <w:tc>
          <w:tcPr>
            <w:tcW w:w="700" w:type="dxa"/>
            <w:vAlign w:val="bottom"/>
          </w:tcPr>
          <w:p>
            <w:pPr>
              <w:ind w:left="60"/>
              <w:spacing w:after="0"/>
              <w:rPr>
                <w:sz w:val="20"/>
                <w:szCs w:val="20"/>
                <w:color w:val="auto"/>
              </w:rPr>
            </w:pPr>
            <w:r>
              <w:rPr>
                <w:rFonts w:ascii="Courier New" w:cs="Courier New" w:eastAsia="Courier New" w:hAnsi="Courier New"/>
                <w:sz w:val="16"/>
                <w:szCs w:val="16"/>
                <w:color w:val="auto"/>
              </w:rPr>
              <w:t>allow,</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and the dealers may</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reallow,</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a discount not</w:t>
            </w:r>
          </w:p>
        </w:tc>
        <w:tc>
          <w:tcPr>
            <w:tcW w:w="11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 excess</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of   %</w:t>
            </w:r>
          </w:p>
        </w:tc>
        <w:tc>
          <w:tcPr>
            <w:tcW w:w="16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of the principal</w:t>
            </w:r>
          </w:p>
        </w:tc>
        <w:tc>
          <w:tcPr>
            <w:tcW w:w="1960" w:type="dxa"/>
            <w:vAlign w:val="bottom"/>
          </w:tcPr>
          <w:p>
            <w:pPr>
              <w:jc w:val="right"/>
              <w:spacing w:after="0"/>
              <w:rPr>
                <w:sz w:val="20"/>
                <w:szCs w:val="20"/>
                <w:color w:val="auto"/>
              </w:rPr>
            </w:pPr>
            <w:r>
              <w:rPr>
                <w:rFonts w:ascii="Courier New" w:cs="Courier New" w:eastAsia="Courier New" w:hAnsi="Courier New"/>
                <w:sz w:val="16"/>
                <w:szCs w:val="16"/>
                <w:color w:val="auto"/>
              </w:rPr>
              <w:t>amount of the notes</w:t>
            </w:r>
          </w:p>
        </w:tc>
        <w:tc>
          <w:tcPr>
            <w:tcW w:w="900" w:type="dxa"/>
            <w:vAlign w:val="bottom"/>
          </w:tcPr>
          <w:p>
            <w:pPr>
              <w:ind w:left="60"/>
              <w:spacing w:after="0"/>
              <w:rPr>
                <w:sz w:val="20"/>
                <w:szCs w:val="20"/>
                <w:color w:val="auto"/>
              </w:rPr>
            </w:pPr>
            <w:r>
              <w:rPr>
                <w:rFonts w:ascii="Courier New" w:cs="Courier New" w:eastAsia="Courier New" w:hAnsi="Courier New"/>
                <w:sz w:val="16"/>
                <w:szCs w:val="16"/>
                <w:color w:val="auto"/>
              </w:rPr>
              <w:t>to other</w:t>
            </w:r>
          </w:p>
        </w:tc>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rPr>
              <w:t>dealers. After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w w:val="98"/>
              </w:rPr>
              <w:t>initial</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public</w:t>
            </w:r>
          </w:p>
        </w:tc>
        <w:tc>
          <w:tcPr>
            <w:tcW w:w="980" w:type="dxa"/>
            <w:vAlign w:val="bottom"/>
          </w:tcPr>
          <w:p>
            <w:pPr>
              <w:ind w:left="60"/>
              <w:spacing w:after="0"/>
              <w:rPr>
                <w:sz w:val="20"/>
                <w:szCs w:val="20"/>
                <w:color w:val="auto"/>
              </w:rPr>
            </w:pPr>
            <w:r>
              <w:rPr>
                <w:rFonts w:ascii="Courier New" w:cs="Courier New" w:eastAsia="Courier New" w:hAnsi="Courier New"/>
                <w:sz w:val="16"/>
                <w:szCs w:val="16"/>
                <w:color w:val="auto"/>
              </w:rPr>
              <w:t>offering,</w:t>
            </w:r>
          </w:p>
        </w:tc>
        <w:tc>
          <w:tcPr>
            <w:tcW w:w="2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the public offering price,</w:t>
            </w:r>
          </w:p>
        </w:tc>
        <w:tc>
          <w:tcPr>
            <w:tcW w:w="2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concession and discount</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may</w:t>
            </w:r>
          </w:p>
        </w:tc>
        <w:tc>
          <w:tcPr>
            <w:tcW w:w="740" w:type="dxa"/>
            <w:vAlign w:val="bottom"/>
          </w:tcPr>
          <w:p>
            <w:pPr>
              <w:ind w:left="60"/>
              <w:spacing w:after="0"/>
              <w:rPr>
                <w:sz w:val="20"/>
                <w:szCs w:val="20"/>
                <w:color w:val="auto"/>
              </w:rPr>
            </w:pPr>
            <w:r>
              <w:rPr>
                <w:rFonts w:ascii="Courier New" w:cs="Courier New" w:eastAsia="Courier New" w:hAnsi="Courier New"/>
                <w:sz w:val="16"/>
                <w:szCs w:val="16"/>
                <w:color w:val="auto"/>
              </w:rPr>
              <w:t>be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changed.</w:t>
      </w:r>
    </w:p>
    <w:p>
      <w:pPr>
        <w:spacing w:after="0" w:line="198"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The expenses of the offering, not including the underwriting discount, are estimated to be $500,000 and are payable by us.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Issue of Notes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19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S-19</w:t>
      </w:r>
    </w:p>
    <w:p>
      <w:pPr>
        <w:sectPr>
          <w:pgSz w:w="11900" w:h="16838" w:orient="portrait"/>
          <w:cols w:equalWidth="0" w:num="1">
            <w:col w:w="10219"/>
          </w:cols>
          <w:pgMar w:left="240" w:top="685" w:right="1440" w:bottom="998" w:gutter="0" w:footer="0" w:header="0"/>
          <w:type w:val="continuous"/>
        </w:sectPr>
      </w:pPr>
    </w:p>
    <w:bookmarkStart w:id="25" w:name="page26"/>
    <w:bookmarkEnd w:id="25"/>
    <w:p>
      <w:pPr>
        <w:spacing w:after="0"/>
        <w:rPr>
          <w:sz w:val="20"/>
          <w:szCs w:val="20"/>
          <w:color w:val="auto"/>
        </w:rPr>
      </w:pPr>
      <w:r>
        <w:rPr>
          <w:rFonts w:ascii="Courier New" w:cs="Courier New" w:eastAsia="Courier New" w:hAnsi="Courier New"/>
          <w:sz w:val="16"/>
          <w:szCs w:val="16"/>
          <w:color w:val="auto"/>
        </w:rPr>
        <w:t>Price Stabilization and Short Positions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connection with the offering, the underwriters are permitted to engage in transactions that stabilize the market price of the notes. Such transactions consist of bids or purchases to peg, fix or maintain the price of the notes. If the underwriters create a short position in the notes in connection with the offering, i.e.,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Relationships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Some of the underwriters and their affiliates have engaged in, and may in the future engage in, investment banking and other commercial dealings in the ordinary course of business with us. They have received customary fees and commissions for these transactions. Wachovia Bank, National Association, an affiliate of Wachovia Securities, Inc., acts as lead arranger and administrative agent under our credit facility.</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consolidated financial statements and schedules appearing in our Annual Report on Form 10-K for the periods indicated in their reports, incorporated by reference into this prospectus supplement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 Arthur Andersen LLP has not consented to the incorporation by reference of their reports in this prospectus supplement, and we have dispensed with the requirement to file their consent in reliance upon Rule 437a of the Securities Act of 1933. Because Arthur Andersen LLP has not consented to the incorporation by reference of their reports in this prospectus supplement, you will not be able to recover against Arthur Andersen LLP under Section 11 of the Securities Act of 1933 for any untrue statement of a material fact contained in the financial statements and financial statement schedules audited by Arthur Andersen LLP or any omission to state a material fact required to be stated therein.</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LEGAL MATTERS</w:t>
      </w:r>
    </w:p>
    <w:p>
      <w:pPr>
        <w:spacing w:after="0" w:line="198"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legality of the notes and certain tax matters will be passed upon for Federal Realty Investment Trust by Hogan &amp; Hartson L.L.P., Washington, D.C. Sidley Austin Brown &amp; Wood LLP, New York, New York, will act as counsel to the underwriters.</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S-20</w:t>
      </w:r>
    </w:p>
    <w:p>
      <w:pPr>
        <w:sectPr>
          <w:pgSz w:w="11900" w:h="16838" w:orient="portrait"/>
          <w:cols w:equalWidth="0" w:num="1">
            <w:col w:w="10219"/>
          </w:cols>
          <w:pgMar w:left="240" w:top="685"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6"/>
          <w:szCs w:val="16"/>
          <w:color w:val="auto"/>
        </w:rPr>
        <w:t>[LOGO] FEDERAL REALTY</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6"/>
          <w:szCs w:val="16"/>
          <w:color w:val="auto"/>
        </w:rPr>
        <w:t>INVESTMENT TRUST</w:t>
      </w:r>
    </w:p>
    <w:p>
      <w:pPr>
        <w:spacing w:after="0" w:line="19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$500,000,000</w:t>
      </w:r>
    </w:p>
    <w:p>
      <w:pPr>
        <w:spacing w:after="0" w:line="19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Debt Securities, Preferred Shares and Common Shares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right="2439" w:firstLine="1"/>
        <w:spacing w:after="0" w:line="251" w:lineRule="auto"/>
        <w:tabs>
          <w:tab w:leader="none" w:pos="49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preferred shares (the "Preferred Shares"), and (iii) its common shares of beneficial interest, no par or stated value (the "Common Shares"), with an aggregate public offering price of up to $500,000,000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(the "Senior Securities") or subordinated Debt Securities (the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37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190" w:lineRule="exact"/>
        <w:rPr>
          <w:sz w:val="20"/>
          <w:szCs w:val="20"/>
          <w:color w:val="auto"/>
        </w:rPr>
      </w:pPr>
    </w:p>
    <w:p>
      <w:pPr>
        <w:ind w:right="2719" w:firstLine="296"/>
        <w:spacing w:after="0" w:line="252" w:lineRule="auto"/>
        <w:rPr>
          <w:sz w:val="20"/>
          <w:szCs w:val="20"/>
          <w:color w:val="auto"/>
        </w:rPr>
      </w:pPr>
      <w:r>
        <w:rPr>
          <w:rFonts w:ascii="Courier New" w:cs="Courier New" w:eastAsia="Courier New" w:hAnsi="Courier New"/>
          <w:sz w:val="16"/>
          <w:szCs w:val="16"/>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Securities.</w:t>
      </w:r>
    </w:p>
    <w:p>
      <w:pPr>
        <w:spacing w:after="0" w:line="37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jc w:val="center"/>
        <w:ind w:right="2439"/>
        <w:spacing w:after="0" w:line="251"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w:t>
      </w:r>
    </w:p>
    <w:p>
      <w:pPr>
        <w:ind w:left="1480" w:right="3619" w:hanging="295"/>
        <w:spacing w:after="0" w:line="247" w:lineRule="auto"/>
        <w:rPr>
          <w:sz w:val="20"/>
          <w:szCs w:val="20"/>
          <w:color w:val="auto"/>
        </w:rPr>
      </w:pPr>
      <w:r>
        <w:rPr>
          <w:rFonts w:ascii="Courier New" w:cs="Courier New" w:eastAsia="Courier New" w:hAnsi="Courier New"/>
          <w:sz w:val="16"/>
          <w:szCs w:val="16"/>
          <w:color w:val="auto"/>
        </w:rPr>
        <w:t>PROSPECTUS. ANY REPRESENTATION TO</w:t>
      </w:r>
      <w:r>
        <w:rPr>
          <w:sz w:val="20"/>
          <w:szCs w:val="20"/>
          <w:color w:val="auto"/>
        </w:rPr>
        <w:t xml:space="preserve"> </w:t>
      </w:r>
      <w:r>
        <w:rPr>
          <w:rFonts w:ascii="Courier New" w:cs="Courier New" w:eastAsia="Courier New" w:hAnsi="Courier New"/>
          <w:sz w:val="16"/>
          <w:szCs w:val="16"/>
          <w:color w:val="auto"/>
        </w:rPr>
        <w:t>THE CONTRARY IS A CRIMINAL OFFENSE.</w:t>
      </w: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The date of this Prospectus is September 30, 1998.</w:t>
      </w:r>
    </w:p>
    <w:p>
      <w:pPr>
        <w:sectPr>
          <w:pgSz w:w="11900" w:h="16838" w:orient="portrait"/>
          <w:cols w:equalWidth="0" w:num="1">
            <w:col w:w="10219"/>
          </w:cols>
          <w:pgMar w:left="240" w:top="685" w:right="1440" w:bottom="1440" w:gutter="0" w:footer="0" w:header="0"/>
        </w:sectPr>
      </w:pPr>
    </w:p>
    <w:bookmarkStart w:id="27" w:name="page28"/>
    <w:bookmarkEnd w:id="27"/>
    <w:p>
      <w:pPr>
        <w:jc w:val="center"/>
        <w:ind w:right="2439"/>
        <w:spacing w:after="0"/>
        <w:rPr>
          <w:sz w:val="20"/>
          <w:szCs w:val="20"/>
          <w:color w:val="auto"/>
        </w:rPr>
      </w:pPr>
      <w:r>
        <w:rPr>
          <w:rFonts w:ascii="Courier New" w:cs="Courier New" w:eastAsia="Courier New" w:hAnsi="Courier New"/>
          <w:sz w:val="16"/>
          <w:szCs w:val="16"/>
          <w:color w:val="auto"/>
        </w:rPr>
        <w:t>AVAILABLE INFORMATION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The Commission also maintains a web site at http://www.sec.gov that contains reports, proxy and information statements and other information regarding registrants, including the Trust, that file electronically with the Commission. Such reports, proxy statements and other information concerning the Trust can also be inspected at the office of the New York Stock Exchange, 20 Broad Street, New York, New York 10005.</w:t>
      </w:r>
    </w:p>
    <w:p>
      <w:pPr>
        <w:spacing w:after="0" w:line="19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1626 East Jefferson Street, Rockville, Maryland 20852-4041 (telephone 301/998-8100).</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Trust has filed with the Commission a registration statement on Form S-3 (the "Registration Statement") under the Securities Act of 1933, as amended (the "Securities Act"), of which this Prospectus forms a part,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190"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9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The following documents filed by the Trust with the Commission are</w:t>
      </w:r>
    </w:p>
    <w:p>
      <w:pPr>
        <w:spacing w:after="0" w:line="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incorporated in this Prospectus by reference and are made a part hereof:</w:t>
      </w:r>
    </w:p>
    <w:p>
      <w:pPr>
        <w:spacing w:after="0" w:line="198" w:lineRule="exact"/>
        <w:rPr>
          <w:sz w:val="20"/>
          <w:szCs w:val="20"/>
          <w:color w:val="auto"/>
        </w:rPr>
      </w:pPr>
    </w:p>
    <w:p>
      <w:pPr>
        <w:ind w:left="300" w:right="3019" w:firstLine="293"/>
        <w:spacing w:after="0" w:line="255" w:lineRule="auto"/>
        <w:tabs>
          <w:tab w:leader="none" w:pos="89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Annual Report on Form 10-K for the fiscal year ended December 31, 1997.</w:t>
      </w:r>
    </w:p>
    <w:p>
      <w:pPr>
        <w:spacing w:after="0" w:line="183" w:lineRule="exact"/>
        <w:rPr>
          <w:rFonts w:ascii="Courier New" w:cs="Courier New" w:eastAsia="Courier New" w:hAnsi="Courier New"/>
          <w:sz w:val="16"/>
          <w:szCs w:val="16"/>
          <w:color w:val="auto"/>
        </w:rPr>
      </w:pPr>
    </w:p>
    <w:p>
      <w:pPr>
        <w:ind w:left="300" w:right="2919" w:firstLine="293"/>
        <w:spacing w:after="0" w:line="255" w:lineRule="auto"/>
        <w:tabs>
          <w:tab w:leader="none" w:pos="89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Quarterly Reports on Form 10-Q for the quarters ended March 31, 1998 and June 30, 1998.</w:t>
      </w:r>
    </w:p>
    <w:p>
      <w:pPr>
        <w:spacing w:after="0" w:line="183" w:lineRule="exact"/>
        <w:rPr>
          <w:rFonts w:ascii="Courier New" w:cs="Courier New" w:eastAsia="Courier New" w:hAnsi="Courier New"/>
          <w:sz w:val="16"/>
          <w:szCs w:val="16"/>
          <w:color w:val="auto"/>
        </w:rPr>
      </w:pPr>
    </w:p>
    <w:p>
      <w:pPr>
        <w:jc w:val="both"/>
        <w:ind w:left="300" w:right="2619" w:firstLine="293"/>
        <w:spacing w:after="0" w:line="253" w:lineRule="auto"/>
        <w:tabs>
          <w:tab w:leader="none" w:pos="89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February 24, 1998, March 10, 1998, March 11, 1998, May 11, 1998 and August 7, 1998.</w:t>
      </w:r>
    </w:p>
    <w:p>
      <w:pPr>
        <w:spacing w:after="0" w:line="185"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a part hereof from the date of filing of such document.</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5" w:right="1440" w:bottom="1440" w:gutter="0" w:footer="0" w:header="0"/>
        </w:sectPr>
      </w:pPr>
    </w:p>
    <w:bookmarkStart w:id="28" w:name="page29"/>
    <w:bookmarkEnd w:id="28"/>
    <w:p>
      <w:pPr>
        <w:ind w:left="3460"/>
        <w:spacing w:after="0"/>
        <w:rPr>
          <w:sz w:val="20"/>
          <w:szCs w:val="20"/>
          <w:color w:val="auto"/>
        </w:rPr>
      </w:pPr>
      <w:r>
        <w:rPr>
          <w:rFonts w:ascii="Courier New" w:cs="Courier New" w:eastAsia="Courier New" w:hAnsi="Courier New"/>
          <w:sz w:val="16"/>
          <w:szCs w:val="16"/>
          <w:color w:val="auto"/>
        </w:rPr>
        <w:t>THE TRUST</w:t>
      </w:r>
    </w:p>
    <w:p>
      <w:pPr>
        <w:spacing w:after="0" w:line="198" w:lineRule="exact"/>
        <w:rPr>
          <w:sz w:val="20"/>
          <w:szCs w:val="20"/>
          <w:color w:val="auto"/>
        </w:rPr>
      </w:pPr>
    </w:p>
    <w:p>
      <w:pPr>
        <w:ind w:right="2619" w:firstLine="591"/>
        <w:spacing w:after="0" w:line="251" w:lineRule="auto"/>
        <w:rPr>
          <w:sz w:val="20"/>
          <w:szCs w:val="20"/>
          <w:color w:val="auto"/>
        </w:rPr>
      </w:pPr>
      <w:r>
        <w:rPr>
          <w:rFonts w:ascii="Courier New" w:cs="Courier New" w:eastAsia="Courier New" w:hAnsi="Courier New"/>
          <w:sz w:val="16"/>
          <w:szCs w:val="16"/>
          <w:color w:val="auto"/>
        </w:rPr>
        <w:t>Federal Realty Investment Trust (the "Trust") is an owner, operator and redeveloper of retail properties. Founded in 1962 as a District of Columbia business trust of unlimited duration, the Trust is a self-administered equity real estate investment trust ("REIT"). The Trust consolidates the financial statements of various entities which it controls. At June 30, 1998 the Trust owned 114 retail properties and one apartment complex.</w:t>
      </w:r>
    </w:p>
    <w:p>
      <w:pPr>
        <w:spacing w:after="0" w:line="190" w:lineRule="exact"/>
        <w:rPr>
          <w:sz w:val="20"/>
          <w:szCs w:val="20"/>
          <w:color w:val="auto"/>
        </w:rPr>
      </w:pPr>
    </w:p>
    <w:p>
      <w:pPr>
        <w:ind w:right="2439" w:firstLine="591"/>
        <w:spacing w:after="0" w:line="251" w:lineRule="auto"/>
        <w:rPr>
          <w:sz w:val="20"/>
          <w:szCs w:val="20"/>
          <w:color w:val="auto"/>
        </w:rPr>
      </w:pPr>
      <w:r>
        <w:rPr>
          <w:rFonts w:ascii="Courier New" w:cs="Courier New" w:eastAsia="Courier New" w:hAnsi="Courier New"/>
          <w:sz w:val="16"/>
          <w:szCs w:val="16"/>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amended its by-laws in 1996 to permit investments west of the Mississippi River.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190"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The Trust's portfolio of properties has grown from 42 as of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1993 to 115 at June 30, 1998. During this period the Trust acquired 78 retail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properties for approximately $675 million. During this same period five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shopping centers were sold. Also during this period the Trust spent over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 million to renovate, expand, improve and retenant its properties.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majority of the acquisitions were funded with cash. Of the properties not fully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by cash, one was acquired by means of capital and ground leases, 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acquired for Common Shares and the assumption of a mortgage, one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for cash and the assumption of a municipal bond issue and the others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acquired for cash with minority investments by third parties. This growth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financed through borrowing and equity offerings, since each year the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distributed all or the majority of its cash provided by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activities to its shareholders.</w:t>
      </w:r>
    </w:p>
    <w:p>
      <w:pPr>
        <w:spacing w:after="0" w:line="198" w:lineRule="exact"/>
        <w:rPr>
          <w:sz w:val="20"/>
          <w:szCs w:val="20"/>
          <w:color w:val="auto"/>
        </w:rPr>
      </w:pPr>
    </w:p>
    <w:p>
      <w:pPr>
        <w:ind w:right="2519" w:firstLine="591"/>
        <w:spacing w:after="0" w:line="251" w:lineRule="auto"/>
        <w:rPr>
          <w:sz w:val="20"/>
          <w:szCs w:val="20"/>
          <w:color w:val="auto"/>
        </w:rPr>
      </w:pPr>
      <w:r>
        <w:rPr>
          <w:rFonts w:ascii="Courier New" w:cs="Courier New" w:eastAsia="Courier New" w:hAnsi="Courier New"/>
          <w:sz w:val="16"/>
          <w:szCs w:val="16"/>
          <w:color w:val="auto"/>
        </w:rPr>
        <w:t>The Trust's 114 retail properties, consisting of 55 shopping centers and 59 main street retail properties, are located in 16 states and the District of Columbia. Twenty-one of the properties are located in the Washington, D.C. metropolitan area; twenty are in California; fourteen are in Connecticut; eleven are in Pennsylvania, primarily in the Philadelphia area; ten are in New Jersey; ten are in Texas; seven are in Illinois; three are in Virginia; four are in Massachusetts; six are in New York; two are in Florida; two are in Arizona; and there is one in each of the following states: Georgia, Michigan, North Carolina and Oregon.</w:t>
      </w:r>
    </w:p>
    <w:p>
      <w:pPr>
        <w:spacing w:after="0" w:line="190" w:lineRule="exact"/>
        <w:rPr>
          <w:sz w:val="20"/>
          <w:szCs w:val="20"/>
          <w:color w:val="auto"/>
        </w:rPr>
      </w:pPr>
    </w:p>
    <w:p>
      <w:pPr>
        <w:ind w:right="2439" w:firstLine="591"/>
        <w:spacing w:after="0" w:line="252" w:lineRule="auto"/>
        <w:rPr>
          <w:sz w:val="20"/>
          <w:szCs w:val="20"/>
          <w:color w:val="auto"/>
        </w:rPr>
      </w:pPr>
      <w:r>
        <w:rPr>
          <w:rFonts w:ascii="Courier New" w:cs="Courier New" w:eastAsia="Courier New" w:hAnsi="Courier New"/>
          <w:sz w:val="16"/>
          <w:szCs w:val="16"/>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w:t>
      </w:r>
    </w:p>
    <w:p>
      <w:pPr>
        <w:spacing w:after="0" w:line="187" w:lineRule="exact"/>
        <w:rPr>
          <w:sz w:val="20"/>
          <w:szCs w:val="20"/>
          <w:color w:val="auto"/>
        </w:rPr>
      </w:pPr>
    </w:p>
    <w:p>
      <w:pPr>
        <w:ind w:right="2919" w:firstLine="591"/>
        <w:spacing w:after="0" w:line="252" w:lineRule="auto"/>
        <w:rPr>
          <w:sz w:val="20"/>
          <w:szCs w:val="20"/>
          <w:color w:val="auto"/>
        </w:rPr>
      </w:pPr>
      <w:r>
        <w:rPr>
          <w:rFonts w:ascii="Courier New" w:cs="Courier New" w:eastAsia="Courier New" w:hAnsi="Courier New"/>
          <w:sz w:val="16"/>
          <w:szCs w:val="16"/>
          <w:color w:val="auto"/>
        </w:rPr>
        <w:t>The Trust has made 144 consecutive quarterly distributions and has increased its distribution rate for each of the last 31 years. This is the longest record of annual distribution increases in the REIT industry. The current annual indicated distribution rate is $1.76 per share.</w:t>
      </w:r>
    </w:p>
    <w:p>
      <w:pPr>
        <w:spacing w:after="0" w:line="187" w:lineRule="exact"/>
        <w:rPr>
          <w:sz w:val="20"/>
          <w:szCs w:val="20"/>
          <w:color w:val="auto"/>
        </w:rPr>
      </w:pPr>
    </w:p>
    <w:p>
      <w:pPr>
        <w:ind w:right="2439" w:firstLine="591"/>
        <w:spacing w:after="0" w:line="255" w:lineRule="auto"/>
        <w:rPr>
          <w:sz w:val="20"/>
          <w:szCs w:val="20"/>
          <w:color w:val="auto"/>
        </w:rPr>
      </w:pPr>
      <w:r>
        <w:rPr>
          <w:rFonts w:ascii="Courier New" w:cs="Courier New" w:eastAsia="Courier New" w:hAnsi="Courier New"/>
          <w:sz w:val="16"/>
          <w:szCs w:val="16"/>
          <w:color w:val="auto"/>
        </w:rPr>
        <w:t>The Trust maintains its offices at 1626 East Jefferson Street, Rockville, Maryland 20852-4041 (telephone 301/998-8100).</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5" w:right="1440" w:bottom="1440" w:gutter="0" w:footer="0" w:header="0"/>
        </w:sectPr>
      </w:pPr>
    </w:p>
    <w:bookmarkStart w:id="29" w:name="page30"/>
    <w:bookmarkEnd w:id="29"/>
    <w:p>
      <w:pPr>
        <w:jc w:val="center"/>
        <w:ind w:right="2439"/>
        <w:spacing w:after="0"/>
        <w:rPr>
          <w:sz w:val="20"/>
          <w:szCs w:val="20"/>
          <w:color w:val="auto"/>
        </w:rPr>
      </w:pPr>
      <w:r>
        <w:rPr>
          <w:rFonts w:ascii="Courier New" w:cs="Courier New" w:eastAsia="Courier New" w:hAnsi="Courier New"/>
          <w:sz w:val="16"/>
          <w:szCs w:val="16"/>
          <w:color w:val="auto"/>
        </w:rPr>
        <w:t>USE OF PROCEEDS</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RATIOS OF EARNINGS TO FIXED CHARGES</w:t>
      </w:r>
    </w:p>
    <w:p>
      <w:pPr>
        <w:spacing w:after="0" w:line="198" w:lineRule="exact"/>
        <w:rPr>
          <w:sz w:val="20"/>
          <w:szCs w:val="20"/>
          <w:color w:val="auto"/>
        </w:rPr>
      </w:pPr>
    </w:p>
    <w:p>
      <w:pPr>
        <w:ind w:right="2619" w:firstLine="296"/>
        <w:spacing w:after="0" w:line="255" w:lineRule="auto"/>
        <w:rPr>
          <w:sz w:val="20"/>
          <w:szCs w:val="20"/>
          <w:color w:val="auto"/>
        </w:rPr>
      </w:pPr>
      <w:r>
        <w:rPr>
          <w:rFonts w:ascii="Courier New" w:cs="Courier New" w:eastAsia="Courier New" w:hAnsi="Courier New"/>
          <w:sz w:val="16"/>
          <w:szCs w:val="16"/>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20" w:type="dxa"/>
            <w:vAlign w:val="bottom"/>
            <w:gridSpan w:val="2"/>
          </w:tcPr>
          <w:p>
            <w:pPr>
              <w:jc w:val="right"/>
              <w:ind w:right="498"/>
              <w:spacing w:after="0"/>
              <w:rPr>
                <w:sz w:val="20"/>
                <w:szCs w:val="20"/>
                <w:color w:val="auto"/>
              </w:rPr>
            </w:pPr>
            <w:r>
              <w:rPr>
                <w:rFonts w:ascii="Courier New" w:cs="Courier New" w:eastAsia="Courier New" w:hAnsi="Courier New"/>
                <w:sz w:val="16"/>
                <w:szCs w:val="16"/>
                <w:color w:val="auto"/>
              </w:rPr>
              <w:t>Six Months</w:t>
            </w:r>
          </w:p>
        </w:tc>
      </w:tr>
      <w:tr>
        <w:trPr>
          <w:trHeight w:val="190"/>
        </w:trPr>
        <w:tc>
          <w:tcPr>
            <w:tcW w:w="1180" w:type="dxa"/>
            <w:vAlign w:val="bottom"/>
          </w:tcPr>
          <w:p>
            <w:pPr>
              <w:spacing w:after="0"/>
              <w:rPr>
                <w:sz w:val="16"/>
                <w:szCs w:val="16"/>
                <w:color w:val="auto"/>
              </w:rPr>
            </w:pPr>
          </w:p>
        </w:tc>
        <w:tc>
          <w:tcPr>
            <w:tcW w:w="3400" w:type="dxa"/>
            <w:vAlign w:val="bottom"/>
            <w:gridSpan w:val="3"/>
          </w:tcPr>
          <w:p>
            <w:pPr>
              <w:jc w:val="right"/>
              <w:ind w:right="758"/>
              <w:spacing w:after="0"/>
              <w:rPr>
                <w:sz w:val="20"/>
                <w:szCs w:val="20"/>
                <w:color w:val="auto"/>
              </w:rPr>
            </w:pPr>
            <w:r>
              <w:rPr>
                <w:rFonts w:ascii="Courier New" w:cs="Courier New" w:eastAsia="Courier New" w:hAnsi="Courier New"/>
                <w:sz w:val="16"/>
                <w:szCs w:val="16"/>
                <w:color w:val="auto"/>
              </w:rPr>
              <w:t>Years Ended December 31,</w:t>
            </w:r>
          </w:p>
        </w:tc>
        <w:tc>
          <w:tcPr>
            <w:tcW w:w="1180" w:type="dxa"/>
            <w:vAlign w:val="bottom"/>
          </w:tcPr>
          <w:p>
            <w:pPr>
              <w:spacing w:after="0"/>
              <w:rPr>
                <w:sz w:val="16"/>
                <w:szCs w:val="16"/>
                <w:color w:val="auto"/>
              </w:rPr>
            </w:pPr>
          </w:p>
        </w:tc>
        <w:tc>
          <w:tcPr>
            <w:tcW w:w="22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Ended June 30,</w:t>
            </w:r>
          </w:p>
        </w:tc>
      </w:tr>
      <w:tr>
        <w:trPr>
          <w:trHeight w:val="190"/>
        </w:trPr>
        <w:tc>
          <w:tcPr>
            <w:tcW w:w="2220" w:type="dxa"/>
            <w:vAlign w:val="bottom"/>
            <w:gridSpan w:val="2"/>
          </w:tcPr>
          <w:p>
            <w:pPr>
              <w:spacing w:after="0"/>
              <w:rPr>
                <w:sz w:val="20"/>
                <w:szCs w:val="20"/>
                <w:color w:val="auto"/>
              </w:rPr>
            </w:pPr>
            <w:r>
              <w:rPr>
                <w:rFonts w:ascii="Courier New" w:cs="Courier New" w:eastAsia="Courier New" w:hAnsi="Courier New"/>
                <w:sz w:val="9"/>
                <w:szCs w:val="9"/>
                <w:color w:val="auto"/>
                <w:w w:val="75"/>
              </w:rPr>
              <w:t>------------------------------------------------------</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90"/>
        </w:trPr>
        <w:tc>
          <w:tcPr>
            <w:tcW w:w="1180" w:type="dxa"/>
            <w:vAlign w:val="bottom"/>
          </w:tcPr>
          <w:p>
            <w:pPr>
              <w:jc w:val="right"/>
              <w:ind w:right="427"/>
              <w:spacing w:after="0"/>
              <w:rPr>
                <w:sz w:val="20"/>
                <w:szCs w:val="20"/>
                <w:color w:val="auto"/>
              </w:rPr>
            </w:pPr>
            <w:r>
              <w:rPr>
                <w:rFonts w:ascii="Courier New" w:cs="Courier New" w:eastAsia="Courier New" w:hAnsi="Courier New"/>
                <w:sz w:val="16"/>
                <w:szCs w:val="16"/>
                <w:color w:val="auto"/>
              </w:rPr>
              <w:t>1993</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1994</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1995</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1996</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1997</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1997</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1998</w:t>
            </w:r>
          </w:p>
        </w:tc>
      </w:tr>
      <w:tr>
        <w:trPr>
          <w:trHeight w:val="190"/>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78"/>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1180" w:type="dxa"/>
            <w:vAlign w:val="bottom"/>
          </w:tcPr>
          <w:p>
            <w:pPr>
              <w:jc w:val="right"/>
              <w:ind w:right="427"/>
              <w:spacing w:after="0"/>
              <w:rPr>
                <w:sz w:val="20"/>
                <w:szCs w:val="20"/>
                <w:color w:val="auto"/>
              </w:rPr>
            </w:pPr>
            <w:r>
              <w:rPr>
                <w:rFonts w:ascii="Courier New" w:cs="Courier New" w:eastAsia="Courier New" w:hAnsi="Courier New"/>
                <w:sz w:val="16"/>
                <w:szCs w:val="16"/>
                <w:color w:val="auto"/>
              </w:rPr>
              <w:t>1.50x</w:t>
            </w: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1.61x</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1.55x</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1.59x</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1.70x</w:t>
            </w:r>
          </w:p>
        </w:tc>
        <w:tc>
          <w:tcPr>
            <w:tcW w:w="11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1.70x</w:t>
            </w:r>
          </w:p>
        </w:tc>
        <w:tc>
          <w:tcPr>
            <w:tcW w:w="10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1.74x</w:t>
            </w:r>
          </w:p>
        </w:tc>
      </w:tr>
    </w:tbl>
    <w:p>
      <w:pPr>
        <w:spacing w:after="0" w:line="3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In October 1997, the Trust issued $100 million of 7.95% Series A Cumulative Redeemable Preferred Shares ("Series A Preferred Shares"). The ratio of earnings to combined fixed charges and preferred dividends was 1.64x for the year ended December 31, 1997, and 1.54x for the six month period ended June 30, 1998. There were no preferred dividends paid by the Trust prior to 1997; as a result, the ratio of earnings to combined fixed charges and preferred dividends for the years ended December 31, 1993 through December 31, 1996, and the six months ended June 30, 1997, are unchanged from the ratios presented in this section.</w:t>
      </w:r>
    </w:p>
    <w:p>
      <w:pPr>
        <w:spacing w:after="0" w:line="19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DESCRIPTION OF DEBT SECURITIES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Senior Securities are to be issued under an indenture dated as of September 1, 1998, as supplemented from time to time (the "Senior Indenture"), between the Trust and First Union National Bank, Trustee, and the Subordinated Securities are to be issued under an indenture dated as of December 1, 1993, as supplemented from time to time (the "Subordinated Indenture"), between the Trust and First Union National Bank, Trustee. The term "Trustee" as used herein shall refer to First Union National Bank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190"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Each Indenture provides that the Debt Securities may be issued without limit as to aggregate principal amount, in one or more series, in each case as established from time to time in or pursuant to authority granted by</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85" w:right="1440" w:bottom="1440" w:gutter="0" w:footer="0" w:header="0"/>
        </w:sectPr>
      </w:pPr>
    </w:p>
    <w:bookmarkStart w:id="30" w:name="page31"/>
    <w:bookmarkEnd w:id="30"/>
    <w:p>
      <w:pPr>
        <w:ind w:right="2519"/>
        <w:spacing w:after="0" w:line="251" w:lineRule="auto"/>
        <w:rPr>
          <w:sz w:val="20"/>
          <w:szCs w:val="20"/>
          <w:color w:val="auto"/>
        </w:rPr>
      </w:pPr>
      <w:r>
        <w:rPr>
          <w:rFonts w:ascii="Courier New" w:cs="Courier New" w:eastAsia="Courier New" w:hAnsi="Courier New"/>
          <w:sz w:val="16"/>
          <w:szCs w:val="16"/>
          <w:color w:val="auto"/>
        </w:rPr>
        <w:t>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379"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Reference is made to the Prospectus Supplement relating to the series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Debt Securities being offered for the specific terms thereof, including:</w:t>
      </w:r>
    </w:p>
    <w:p>
      <w:pPr>
        <w:spacing w:after="0" w:line="198" w:lineRule="exact"/>
        <w:rPr>
          <w:sz w:val="20"/>
          <w:szCs w:val="20"/>
          <w:color w:val="auto"/>
        </w:rPr>
      </w:pPr>
    </w:p>
    <w:p>
      <w:pPr>
        <w:ind w:left="300" w:right="2619" w:firstLine="391"/>
        <w:spacing w:after="0" w:line="255"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of such Debt Securities and whether such Debt Securities are Senior Securities or Subordinated Securities;</w:t>
      </w:r>
    </w:p>
    <w:p>
      <w:pPr>
        <w:spacing w:after="0" w:line="183" w:lineRule="exact"/>
        <w:rPr>
          <w:rFonts w:ascii="Courier New" w:cs="Courier New" w:eastAsia="Courier New" w:hAnsi="Courier New"/>
          <w:sz w:val="16"/>
          <w:szCs w:val="16"/>
          <w:color w:val="auto"/>
        </w:rPr>
      </w:pPr>
    </w:p>
    <w:p>
      <w:pPr>
        <w:ind w:left="300" w:right="2439" w:firstLine="391"/>
        <w:spacing w:after="0" w:line="255"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such Debt Securities and any limit on such aggregate principal amount;</w:t>
      </w:r>
    </w:p>
    <w:p>
      <w:pPr>
        <w:spacing w:after="0" w:line="183" w:lineRule="exact"/>
        <w:rPr>
          <w:rFonts w:ascii="Courier New" w:cs="Courier New" w:eastAsia="Courier New" w:hAnsi="Courier New"/>
          <w:sz w:val="16"/>
          <w:szCs w:val="16"/>
          <w:color w:val="auto"/>
        </w:rPr>
      </w:pPr>
    </w:p>
    <w:p>
      <w:pPr>
        <w:ind w:left="300" w:right="2439" w:firstLine="391"/>
        <w:spacing w:after="0" w:line="251"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189" w:lineRule="exact"/>
        <w:rPr>
          <w:rFonts w:ascii="Courier New" w:cs="Courier New" w:eastAsia="Courier New" w:hAnsi="Courier New"/>
          <w:sz w:val="16"/>
          <w:szCs w:val="16"/>
          <w:color w:val="auto"/>
        </w:rPr>
      </w:pPr>
    </w:p>
    <w:p>
      <w:pPr>
        <w:ind w:left="300" w:right="2619" w:firstLine="391"/>
        <w:spacing w:after="0" w:line="252"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186" w:lineRule="exact"/>
        <w:rPr>
          <w:rFonts w:ascii="Courier New" w:cs="Courier New" w:eastAsia="Courier New" w:hAnsi="Courier New"/>
          <w:sz w:val="16"/>
          <w:szCs w:val="16"/>
          <w:color w:val="auto"/>
        </w:rPr>
      </w:pPr>
    </w:p>
    <w:p>
      <w:pPr>
        <w:ind w:left="300" w:right="2439" w:firstLine="391"/>
        <w:spacing w:after="0" w:line="255"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on which the principal of such Debt Securities will be payable;</w:t>
      </w:r>
    </w:p>
    <w:p>
      <w:pPr>
        <w:spacing w:after="0" w:line="183" w:lineRule="exact"/>
        <w:rPr>
          <w:rFonts w:ascii="Courier New" w:cs="Courier New" w:eastAsia="Courier New" w:hAnsi="Courier New"/>
          <w:sz w:val="16"/>
          <w:szCs w:val="16"/>
          <w:color w:val="auto"/>
        </w:rPr>
      </w:pPr>
    </w:p>
    <w:p>
      <w:pPr>
        <w:ind w:left="300" w:right="2439" w:firstLine="391"/>
        <w:spacing w:after="0" w:line="253"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or rates (which may be fixed or variable), or the method by which such rate or rates shall be determined, at which such Debt Securities will bear interest, if any;</w:t>
      </w:r>
    </w:p>
    <w:p>
      <w:pPr>
        <w:spacing w:after="0" w:line="185" w:lineRule="exact"/>
        <w:rPr>
          <w:rFonts w:ascii="Courier New" w:cs="Courier New" w:eastAsia="Courier New" w:hAnsi="Courier New"/>
          <w:sz w:val="16"/>
          <w:szCs w:val="16"/>
          <w:color w:val="auto"/>
        </w:rPr>
      </w:pPr>
    </w:p>
    <w:p>
      <w:pPr>
        <w:ind w:left="300" w:right="2439" w:firstLine="391"/>
        <w:spacing w:after="0" w:line="251"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189" w:lineRule="exact"/>
        <w:rPr>
          <w:rFonts w:ascii="Courier New" w:cs="Courier New" w:eastAsia="Courier New" w:hAnsi="Courier New"/>
          <w:sz w:val="16"/>
          <w:szCs w:val="16"/>
          <w:color w:val="auto"/>
        </w:rPr>
      </w:pPr>
    </w:p>
    <w:p>
      <w:pPr>
        <w:ind w:left="300" w:right="2439" w:firstLine="391"/>
        <w:spacing w:after="0" w:line="252"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5" w:lineRule="exact"/>
        <w:rPr>
          <w:rFonts w:ascii="Courier New" w:cs="Courier New" w:eastAsia="Courier New" w:hAnsi="Courier New"/>
          <w:sz w:val="16"/>
          <w:szCs w:val="16"/>
          <w:color w:val="auto"/>
        </w:rPr>
      </w:pPr>
    </w:p>
    <w:p>
      <w:pPr>
        <w:ind w:left="300" w:right="2439" w:firstLine="391"/>
        <w:spacing w:after="0" w:line="252"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186" w:lineRule="exact"/>
        <w:rPr>
          <w:rFonts w:ascii="Courier New" w:cs="Courier New" w:eastAsia="Courier New" w:hAnsi="Courier New"/>
          <w:sz w:val="16"/>
          <w:szCs w:val="16"/>
          <w:color w:val="auto"/>
        </w:rPr>
      </w:pPr>
    </w:p>
    <w:p>
      <w:pPr>
        <w:ind w:left="300" w:right="2439" w:firstLine="293"/>
        <w:spacing w:after="0" w:line="251" w:lineRule="auto"/>
        <w:tabs>
          <w:tab w:leader="none" w:pos="108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5" w:right="1440" w:bottom="1440" w:gutter="0" w:footer="0" w:header="0"/>
        </w:sectPr>
      </w:pPr>
    </w:p>
    <w:bookmarkStart w:id="31" w:name="page32"/>
    <w:bookmarkEnd w:id="31"/>
    <w:p>
      <w:pPr>
        <w:jc w:val="both"/>
        <w:ind w:left="300" w:right="2439" w:firstLine="293"/>
        <w:spacing w:after="0" w:line="252" w:lineRule="auto"/>
        <w:tabs>
          <w:tab w:leader="none" w:pos="10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186" w:lineRule="exact"/>
        <w:rPr>
          <w:rFonts w:ascii="Courier New" w:cs="Courier New" w:eastAsia="Courier New" w:hAnsi="Courier New"/>
          <w:sz w:val="16"/>
          <w:szCs w:val="16"/>
          <w:color w:val="auto"/>
        </w:rPr>
      </w:pPr>
    </w:p>
    <w:p>
      <w:pPr>
        <w:ind w:left="300" w:right="2439" w:firstLine="293"/>
        <w:spacing w:after="0" w:line="251" w:lineRule="auto"/>
        <w:tabs>
          <w:tab w:leader="none" w:pos="10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189" w:lineRule="exact"/>
        <w:rPr>
          <w:rFonts w:ascii="Courier New" w:cs="Courier New" w:eastAsia="Courier New" w:hAnsi="Courier New"/>
          <w:sz w:val="16"/>
          <w:szCs w:val="16"/>
          <w:color w:val="auto"/>
        </w:rPr>
      </w:pPr>
    </w:p>
    <w:p>
      <w:pPr>
        <w:ind w:left="300" w:right="2519" w:firstLine="293"/>
        <w:spacing w:after="0" w:line="253" w:lineRule="auto"/>
        <w:tabs>
          <w:tab w:leader="none" w:pos="108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additions to, modifications of or deletions from the terms of such Debt Securities with respect to the Events of Default or covenants set forth in the applicable Indenture;</w:t>
      </w:r>
    </w:p>
    <w:p>
      <w:pPr>
        <w:spacing w:after="0" w:line="185" w:lineRule="exact"/>
        <w:rPr>
          <w:rFonts w:ascii="Courier New" w:cs="Courier New" w:eastAsia="Courier New" w:hAnsi="Courier New"/>
          <w:sz w:val="16"/>
          <w:szCs w:val="16"/>
          <w:color w:val="auto"/>
        </w:rPr>
      </w:pPr>
    </w:p>
    <w:p>
      <w:pPr>
        <w:ind w:left="1080" w:hanging="487"/>
        <w:spacing w:after="0"/>
        <w:tabs>
          <w:tab w:leader="none" w:pos="10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issued in certificated or</w:t>
      </w:r>
    </w:p>
    <w:p>
      <w:pPr>
        <w:spacing w:after="0" w:line="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book-entry form;</w:t>
      </w:r>
    </w:p>
    <w:p>
      <w:pPr>
        <w:spacing w:after="0" w:line="198" w:lineRule="exact"/>
        <w:rPr>
          <w:sz w:val="20"/>
          <w:szCs w:val="20"/>
          <w:color w:val="auto"/>
        </w:rPr>
      </w:pPr>
    </w:p>
    <w:p>
      <w:pPr>
        <w:ind w:left="300" w:right="2519" w:firstLine="293"/>
        <w:spacing w:after="0" w:line="252" w:lineRule="auto"/>
        <w:tabs>
          <w:tab w:leader="none" w:pos="10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186" w:lineRule="exact"/>
        <w:rPr>
          <w:rFonts w:ascii="Courier New" w:cs="Courier New" w:eastAsia="Courier New" w:hAnsi="Courier New"/>
          <w:sz w:val="16"/>
          <w:szCs w:val="16"/>
          <w:color w:val="auto"/>
        </w:rPr>
      </w:pPr>
    </w:p>
    <w:p>
      <w:pPr>
        <w:ind w:left="300" w:right="2439" w:firstLine="293"/>
        <w:spacing w:after="0" w:line="255" w:lineRule="auto"/>
        <w:tabs>
          <w:tab w:leader="none" w:pos="10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applicability, if any, of the defeasance and covenant defeasance provisions of Article XIV of the applicable Indenture;</w:t>
      </w:r>
    </w:p>
    <w:p>
      <w:pPr>
        <w:spacing w:after="0" w:line="183" w:lineRule="exact"/>
        <w:rPr>
          <w:rFonts w:ascii="Courier New" w:cs="Courier New" w:eastAsia="Courier New" w:hAnsi="Courier New"/>
          <w:sz w:val="16"/>
          <w:szCs w:val="16"/>
          <w:color w:val="auto"/>
        </w:rPr>
      </w:pPr>
    </w:p>
    <w:p>
      <w:pPr>
        <w:ind w:left="300" w:right="2439" w:firstLine="293"/>
        <w:spacing w:after="0" w:line="253" w:lineRule="auto"/>
        <w:tabs>
          <w:tab w:leader="none" w:pos="10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if any, upon which such Debt Securities may be convertible into Common Shares or Preferred Shares of the Trust and the terms and conditions upon which such conversion will be effected, including, without limitation, the initial conversion price or rate and the conversion period;</w:t>
      </w:r>
    </w:p>
    <w:p>
      <w:pPr>
        <w:spacing w:after="0" w:line="373" w:lineRule="exact"/>
        <w:rPr>
          <w:rFonts w:ascii="Courier New" w:cs="Courier New" w:eastAsia="Courier New" w:hAnsi="Courier New"/>
          <w:sz w:val="16"/>
          <w:szCs w:val="16"/>
          <w:color w:val="auto"/>
        </w:rPr>
      </w:pPr>
    </w:p>
    <w:p>
      <w:pPr>
        <w:ind w:left="300" w:right="2439" w:firstLine="293"/>
        <w:spacing w:after="0" w:line="252" w:lineRule="auto"/>
        <w:tabs>
          <w:tab w:leader="none" w:pos="10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185" w:lineRule="exact"/>
        <w:rPr>
          <w:rFonts w:ascii="Courier New" w:cs="Courier New" w:eastAsia="Courier New" w:hAnsi="Courier New"/>
          <w:sz w:val="16"/>
          <w:szCs w:val="16"/>
          <w:color w:val="auto"/>
        </w:rPr>
      </w:pPr>
    </w:p>
    <w:p>
      <w:pPr>
        <w:ind w:left="300" w:right="2719" w:firstLine="293"/>
        <w:spacing w:after="0" w:line="255" w:lineRule="auto"/>
        <w:tabs>
          <w:tab w:leader="none" w:pos="108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84"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Denominations, Interest, Registration and Transfer</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Unless otherwise described in the applicable Prospectus Supplement, the Debt Securities of any series will be issuable in denominations of $1,000 and integral multiples thereof (Section 302 of each Indenture).</w:t>
      </w:r>
    </w:p>
    <w:p>
      <w:pPr>
        <w:spacing w:after="0" w:line="185"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Unless otherwise specified in the applicable Prospectus Supplement, the principal of (and applicable premium, if any) and interest on any series of Debt Securities will be payable at the corporate trust office of the Trustee, initially located at First Union National Bank, 230 S. Tryon Street, 9th Floor, Charlotte, North Carolina</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5" w:right="1440" w:bottom="1440" w:gutter="0" w:footer="0" w:header="0"/>
        </w:sectPr>
      </w:pPr>
    </w:p>
    <w:bookmarkStart w:id="32" w:name="page33"/>
    <w:bookmarkEnd w:id="32"/>
    <w:p>
      <w:pPr>
        <w:ind w:right="2439"/>
        <w:spacing w:after="0" w:line="251" w:lineRule="auto"/>
        <w:rPr>
          <w:sz w:val="20"/>
          <w:szCs w:val="20"/>
          <w:color w:val="auto"/>
        </w:rPr>
      </w:pPr>
      <w:r>
        <w:rPr>
          <w:rFonts w:ascii="Courier New" w:cs="Courier New" w:eastAsia="Courier New" w:hAnsi="Courier New"/>
          <w:sz w:val="16"/>
          <w:szCs w:val="16"/>
          <w:color w:val="auto"/>
        </w:rPr>
        <w:t>28288-1179 in the case of the Senior Securities and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190"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Consolidation or Sale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 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6"/>
          <w:szCs w:val="16"/>
          <w:color w:val="auto"/>
        </w:rPr>
        <w:t>Certain Covenants</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186"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380"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Additional Covenants. Any additional covenants of the Trust with respect to any series of Debt Securities will be set forth in the Prospectus Supplement relating thereto.</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Events of Default, Notice and Waiver</w:t>
      </w:r>
    </w:p>
    <w:p>
      <w:pPr>
        <w:spacing w:after="0" w:line="198"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5" w:right="1440" w:bottom="1440" w:gutter="0" w:footer="0" w:header="0"/>
        </w:sectPr>
      </w:pPr>
    </w:p>
    <w:bookmarkStart w:id="34" w:name="page35"/>
    <w:bookmarkEnd w:id="34"/>
    <w:p>
      <w:pPr>
        <w:ind w:right="2519"/>
        <w:spacing w:after="0" w:line="251" w:lineRule="auto"/>
        <w:rPr>
          <w:sz w:val="20"/>
          <w:szCs w:val="20"/>
          <w:color w:val="auto"/>
        </w:rPr>
      </w:pPr>
      <w:r>
        <w:rPr>
          <w:rFonts w:ascii="Courier New" w:cs="Courier New" w:eastAsia="Courier New" w:hAnsi="Courier New"/>
          <w:sz w:val="16"/>
          <w:szCs w:val="16"/>
          <w:color w:val="auto"/>
        </w:rPr>
        <w:t>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w:t>
      </w:r>
    </w:p>
    <w:p>
      <w:pPr>
        <w:spacing w:after="0" w:line="1" w:lineRule="exact"/>
        <w:rPr>
          <w:sz w:val="20"/>
          <w:szCs w:val="20"/>
          <w:color w:val="auto"/>
        </w:rPr>
      </w:pPr>
    </w:p>
    <w:p>
      <w:pPr>
        <w:ind w:right="2519" w:firstLine="1"/>
        <w:spacing w:after="0" w:line="252" w:lineRule="auto"/>
        <w:tabs>
          <w:tab w:leader="none" w:pos="39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186"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 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379"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5" w:right="1440" w:bottom="998" w:gutter="0" w:footer="0" w:header="0"/>
        </w:sectPr>
      </w:pPr>
    </w:p>
    <w:bookmarkStart w:id="35" w:name="page36"/>
    <w:bookmarkEnd w:id="35"/>
    <w:p>
      <w:pPr>
        <w:ind w:right="2619"/>
        <w:spacing w:after="0" w:line="251" w:lineRule="auto"/>
        <w:rPr>
          <w:sz w:val="20"/>
          <w:szCs w:val="20"/>
          <w:color w:val="auto"/>
        </w:rPr>
      </w:pPr>
      <w:r>
        <w:rPr>
          <w:rFonts w:ascii="Courier New" w:cs="Courier New" w:eastAsia="Courier New" w:hAnsi="Courier New"/>
          <w:sz w:val="16"/>
          <w:szCs w:val="16"/>
          <w:color w:val="auto"/>
        </w:rPr>
        <w:t>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Modification of the Indentures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19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 (ii) to add to the covenants of the Trust for the benefit of the Holders of all or any series of Debt Securities or to surrender any</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5" w:right="1440" w:bottom="1440" w:gutter="0" w:footer="0" w:header="0"/>
        </w:sectPr>
      </w:pPr>
    </w:p>
    <w:bookmarkStart w:id="36" w:name="page37"/>
    <w:bookmarkEnd w:id="36"/>
    <w:p>
      <w:pPr>
        <w:ind w:right="2519"/>
        <w:spacing w:after="0" w:line="251" w:lineRule="auto"/>
        <w:rPr>
          <w:sz w:val="20"/>
          <w:szCs w:val="20"/>
          <w:color w:val="auto"/>
        </w:rPr>
      </w:pPr>
      <w:r>
        <w:rPr>
          <w:rFonts w:ascii="Courier New" w:cs="Courier New" w:eastAsia="Courier New" w:hAnsi="Courier New"/>
          <w:sz w:val="16"/>
          <w:szCs w:val="16"/>
          <w:color w:val="auto"/>
        </w:rPr>
        <w:t>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 (x) 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 (iii) 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 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3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5" w:right="1440" w:bottom="998" w:gutter="0" w:footer="0" w:header="0"/>
        </w:sectPr>
      </w:pPr>
    </w:p>
    <w:bookmarkStart w:id="37" w:name="page38"/>
    <w:bookmarkEnd w:id="37"/>
    <w:p>
      <w:pPr>
        <w:ind w:right="2519" w:firstLine="296"/>
        <w:spacing w:after="0" w:line="251"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Subordination</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ind w:right="2519"/>
        <w:spacing w:after="0" w:line="251" w:lineRule="auto"/>
        <w:rPr>
          <w:sz w:val="20"/>
          <w:szCs w:val="20"/>
          <w:color w:val="auto"/>
        </w:rPr>
      </w:pPr>
      <w:r>
        <w:rPr>
          <w:rFonts w:ascii="Courier New" w:cs="Courier New" w:eastAsia="Courier New" w:hAnsi="Courier New"/>
          <w:sz w:val="16"/>
          <w:szCs w:val="16"/>
          <w:color w:val="auto"/>
        </w:rPr>
        <w:t>(a) 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ind w:right="2519" w:firstLine="1"/>
        <w:spacing w:after="0" w:line="251" w:lineRule="auto"/>
        <w:tabs>
          <w:tab w:leader="none" w:pos="39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439" w:firstLine="1"/>
        <w:spacing w:after="0" w:line="251" w:lineRule="auto"/>
        <w:tabs>
          <w:tab w:leader="none" w:pos="39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 obligation or liability is not superior in right of payment to the Subordinated Securities or ranks pari passu with the Subordinated Securities, (2) 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1998, Senior Debt aggregated approximately $648 million. There are no restrictions in the Subordinated Indenture upon the creation of additional Senior Debt.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Discharge, Defeasance and Covenant Defeasance</w:t>
      </w:r>
    </w:p>
    <w:p>
      <w:pPr>
        <w:spacing w:after="0" w:line="198" w:lineRule="exact"/>
        <w:rPr>
          <w:sz w:val="20"/>
          <w:szCs w:val="20"/>
          <w:color w:val="auto"/>
        </w:rPr>
      </w:pPr>
    </w:p>
    <w:p>
      <w:pPr>
        <w:ind w:right="2439" w:firstLine="296"/>
        <w:spacing w:after="0" w:line="253" w:lineRule="auto"/>
        <w:rPr>
          <w:sz w:val="20"/>
          <w:szCs w:val="20"/>
          <w:color w:val="auto"/>
        </w:rPr>
      </w:pPr>
      <w:r>
        <w:rPr>
          <w:rFonts w:ascii="Courier New" w:cs="Courier New" w:eastAsia="Courier New" w:hAnsi="Courier New"/>
          <w:sz w:val="16"/>
          <w:szCs w:val="16"/>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5" w:right="1440" w:bottom="1440" w:gutter="0" w:footer="0" w:header="0"/>
        </w:sectPr>
      </w:pPr>
    </w:p>
    <w:bookmarkStart w:id="38" w:name="page39"/>
    <w:bookmarkEnd w:id="38"/>
    <w:p>
      <w:pPr>
        <w:ind w:right="2339"/>
        <w:spacing w:after="0" w:line="251" w:lineRule="auto"/>
        <w:rPr>
          <w:sz w:val="20"/>
          <w:szCs w:val="20"/>
          <w:color w:val="auto"/>
        </w:rPr>
      </w:pPr>
      <w:r>
        <w:rPr>
          <w:rFonts w:ascii="Courier New" w:cs="Courier New" w:eastAsia="Courier New" w:hAnsi="Courier New"/>
          <w:sz w:val="16"/>
          <w:szCs w:val="16"/>
          <w:color w:val="auto"/>
        </w:rPr>
        <w:t>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38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5" w:right="1440" w:bottom="1440" w:gutter="0" w:footer="0" w:header="0"/>
        </w:sectPr>
      </w:pPr>
    </w:p>
    <w:bookmarkStart w:id="39" w:name="page40"/>
    <w:bookmarkEnd w:id="39"/>
    <w:p>
      <w:pPr>
        <w:ind w:right="2519"/>
        <w:spacing w:after="0" w:line="251" w:lineRule="auto"/>
        <w:rPr>
          <w:sz w:val="20"/>
          <w:szCs w:val="20"/>
          <w:color w:val="auto"/>
        </w:rPr>
      </w:pPr>
      <w:r>
        <w:rPr>
          <w:rFonts w:ascii="Courier New" w:cs="Courier New" w:eastAsia="Courier New" w:hAnsi="Courier New"/>
          <w:sz w:val="16"/>
          <w:szCs w:val="16"/>
          <w:color w:val="auto"/>
        </w:rPr>
        <w:t>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Unless otherwise provided in the applicable Prospectus Supplement, all payments of principal of (and premium, if any) and interest on any Debt Security that are payable in a Foreign Currency that ceases to be used by its government of issuance shall be made in U.S. dollars (Section 101 of each Indenture).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 (g) 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38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 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Global Securities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5" w:right="1440" w:bottom="1440" w:gutter="0" w:footer="0" w:header="0"/>
        </w:sectPr>
      </w:pPr>
    </w:p>
    <w:bookmarkStart w:id="40" w:name="page41"/>
    <w:bookmarkEnd w:id="40"/>
    <w:p>
      <w:pPr>
        <w:ind w:left="2360"/>
        <w:spacing w:after="0"/>
        <w:rPr>
          <w:sz w:val="20"/>
          <w:szCs w:val="20"/>
          <w:color w:val="auto"/>
        </w:rPr>
      </w:pPr>
      <w:r>
        <w:rPr>
          <w:rFonts w:ascii="Courier New" w:cs="Courier New" w:eastAsia="Courier New" w:hAnsi="Courier New"/>
          <w:sz w:val="16"/>
          <w:szCs w:val="16"/>
          <w:color w:val="auto"/>
        </w:rPr>
        <w:t>DESCRIPTION OF PREFERRED SHARES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On October 6, 1997, the Trust issued 4,000,000 shares of 7.95% Series A Cumulative Redeemable Preferred Shares (liquidation preference $25.00 per share); no other Preferred Shares are outstanding.</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190" w:lineRule="exact"/>
        <w:rPr>
          <w:sz w:val="20"/>
          <w:szCs w:val="20"/>
          <w:color w:val="auto"/>
        </w:rPr>
      </w:pPr>
    </w:p>
    <w:p>
      <w:pPr>
        <w:ind w:right="2819" w:firstLine="296"/>
        <w:spacing w:after="0" w:line="255" w:lineRule="auto"/>
        <w:rPr>
          <w:sz w:val="20"/>
          <w:szCs w:val="20"/>
          <w:color w:val="auto"/>
        </w:rPr>
      </w:pPr>
      <w:r>
        <w:rPr>
          <w:rFonts w:ascii="Courier New" w:cs="Courier New" w:eastAsia="Courier New" w:hAnsi="Courier New"/>
          <w:sz w:val="16"/>
          <w:szCs w:val="16"/>
          <w:color w:val="auto"/>
        </w:rPr>
        <w:t>Reference is made to the Prospectus Supplement relating to the Preferred Shares offered thereby for specific terms, including:</w:t>
      </w:r>
    </w:p>
    <w:p>
      <w:pPr>
        <w:spacing w:after="0" w:line="184" w:lineRule="exact"/>
        <w:rPr>
          <w:sz w:val="20"/>
          <w:szCs w:val="20"/>
          <w:color w:val="auto"/>
        </w:rPr>
      </w:pPr>
    </w:p>
    <w:p>
      <w:pPr>
        <w:ind w:left="980" w:hanging="387"/>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title and stated value of such Preferred Shares;</w:t>
      </w:r>
    </w:p>
    <w:p>
      <w:pPr>
        <w:spacing w:after="0" w:line="197" w:lineRule="exact"/>
        <w:rPr>
          <w:rFonts w:ascii="Courier New" w:cs="Courier New" w:eastAsia="Courier New" w:hAnsi="Courier New"/>
          <w:sz w:val="16"/>
          <w:szCs w:val="16"/>
          <w:color w:val="auto"/>
        </w:rPr>
      </w:pPr>
    </w:p>
    <w:p>
      <w:pPr>
        <w:ind w:left="300" w:right="3119" w:firstLine="293"/>
        <w:spacing w:after="0" w:line="255" w:lineRule="auto"/>
        <w:tabs>
          <w:tab w:leader="none" w:pos="9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83" w:lineRule="exact"/>
        <w:rPr>
          <w:rFonts w:ascii="Courier New" w:cs="Courier New" w:eastAsia="Courier New" w:hAnsi="Courier New"/>
          <w:sz w:val="16"/>
          <w:szCs w:val="16"/>
          <w:color w:val="auto"/>
        </w:rPr>
      </w:pPr>
    </w:p>
    <w:p>
      <w:pPr>
        <w:ind w:left="300" w:right="2619" w:firstLine="293"/>
        <w:spacing w:after="0" w:line="255" w:lineRule="auto"/>
        <w:tabs>
          <w:tab w:leader="none" w:pos="9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dividend rate(s), period(s) and/or payment date(s) or method(s) of calculation thereof applicable to such Preferred Shares;</w:t>
      </w:r>
    </w:p>
    <w:p>
      <w:pPr>
        <w:spacing w:after="0" w:line="183" w:lineRule="exact"/>
        <w:rPr>
          <w:rFonts w:ascii="Courier New" w:cs="Courier New" w:eastAsia="Courier New" w:hAnsi="Courier New"/>
          <w:sz w:val="16"/>
          <w:szCs w:val="16"/>
          <w:color w:val="auto"/>
        </w:rPr>
      </w:pPr>
    </w:p>
    <w:p>
      <w:pPr>
        <w:ind w:left="300" w:right="3319" w:firstLine="293"/>
        <w:spacing w:after="0" w:line="255" w:lineRule="auto"/>
        <w:tabs>
          <w:tab w:leader="none" w:pos="9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from which dividends on such Preferred Shares shall accumulate, if applicable;</w:t>
      </w:r>
    </w:p>
    <w:p>
      <w:pPr>
        <w:spacing w:after="0" w:line="183" w:lineRule="exact"/>
        <w:rPr>
          <w:rFonts w:ascii="Courier New" w:cs="Courier New" w:eastAsia="Courier New" w:hAnsi="Courier New"/>
          <w:sz w:val="16"/>
          <w:szCs w:val="16"/>
          <w:color w:val="auto"/>
        </w:rPr>
      </w:pPr>
    </w:p>
    <w:p>
      <w:pPr>
        <w:ind w:left="300" w:right="2919" w:firstLine="293"/>
        <w:spacing w:after="0" w:line="255" w:lineRule="auto"/>
        <w:tabs>
          <w:tab w:leader="none" w:pos="9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procedures for any auction and remarketing, if any, for such Preferred Shares;</w:t>
      </w:r>
    </w:p>
    <w:p>
      <w:pPr>
        <w:spacing w:after="0" w:line="183" w:lineRule="exact"/>
        <w:rPr>
          <w:rFonts w:ascii="Courier New" w:cs="Courier New" w:eastAsia="Courier New" w:hAnsi="Courier New"/>
          <w:sz w:val="16"/>
          <w:szCs w:val="16"/>
          <w:color w:val="auto"/>
        </w:rPr>
      </w:pPr>
    </w:p>
    <w:p>
      <w:pPr>
        <w:ind w:left="980" w:hanging="387"/>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a sinking fund, if any, for such Preferred Shares;</w:t>
      </w:r>
    </w:p>
    <w:p>
      <w:pPr>
        <w:spacing w:after="0" w:line="197" w:lineRule="exact"/>
        <w:rPr>
          <w:rFonts w:ascii="Courier New" w:cs="Courier New" w:eastAsia="Courier New" w:hAnsi="Courier New"/>
          <w:sz w:val="16"/>
          <w:szCs w:val="16"/>
          <w:color w:val="auto"/>
        </w:rPr>
      </w:pPr>
    </w:p>
    <w:p>
      <w:pPr>
        <w:ind w:left="980" w:hanging="387"/>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for redemption, if applicable, of such Preferred Shares;</w:t>
      </w:r>
    </w:p>
    <w:p>
      <w:pPr>
        <w:spacing w:after="0" w:line="197" w:lineRule="exact"/>
        <w:rPr>
          <w:rFonts w:ascii="Courier New" w:cs="Courier New" w:eastAsia="Courier New" w:hAnsi="Courier New"/>
          <w:sz w:val="16"/>
          <w:szCs w:val="16"/>
          <w:color w:val="auto"/>
        </w:rPr>
      </w:pPr>
    </w:p>
    <w:p>
      <w:pPr>
        <w:ind w:left="980" w:hanging="387"/>
        <w:spacing w:after="0"/>
        <w:tabs>
          <w:tab w:leader="none" w:pos="9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listing of such Preferred Shares on any securities exchange;</w:t>
      </w:r>
    </w:p>
    <w:p>
      <w:pPr>
        <w:spacing w:after="0" w:line="197" w:lineRule="exact"/>
        <w:rPr>
          <w:rFonts w:ascii="Courier New" w:cs="Courier New" w:eastAsia="Courier New" w:hAnsi="Courier New"/>
          <w:sz w:val="16"/>
          <w:szCs w:val="16"/>
          <w:color w:val="auto"/>
        </w:rPr>
      </w:pPr>
    </w:p>
    <w:p>
      <w:pPr>
        <w:jc w:val="both"/>
        <w:ind w:left="300" w:right="2719" w:firstLine="293"/>
        <w:spacing w:after="0" w:line="253" w:lineRule="auto"/>
        <w:tabs>
          <w:tab w:leader="none" w:pos="99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conditions, if applicable, upon which such Preferred Shares will be convertible into Common Shares of the Trust, including the conversion price (or manner of calculation thereof);</w:t>
      </w:r>
    </w:p>
    <w:p>
      <w:pPr>
        <w:spacing w:after="0" w:line="185" w:lineRule="exact"/>
        <w:rPr>
          <w:rFonts w:ascii="Courier New" w:cs="Courier New" w:eastAsia="Courier New" w:hAnsi="Courier New"/>
          <w:sz w:val="16"/>
          <w:szCs w:val="16"/>
          <w:color w:val="auto"/>
        </w:rPr>
      </w:pPr>
    </w:p>
    <w:p>
      <w:pPr>
        <w:ind w:left="300" w:right="3119" w:firstLine="293"/>
        <w:spacing w:after="0" w:line="255" w:lineRule="auto"/>
        <w:tabs>
          <w:tab w:leader="none" w:pos="108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specific terms, preferences, rights, limitations or restrictions of such Preferred Shares;</w:t>
      </w:r>
    </w:p>
    <w:p>
      <w:pPr>
        <w:spacing w:after="0" w:line="183" w:lineRule="exact"/>
        <w:rPr>
          <w:rFonts w:ascii="Courier New" w:cs="Courier New" w:eastAsia="Courier New" w:hAnsi="Courier New"/>
          <w:sz w:val="16"/>
          <w:szCs w:val="16"/>
          <w:color w:val="auto"/>
        </w:rPr>
      </w:pPr>
    </w:p>
    <w:p>
      <w:pPr>
        <w:ind w:left="300" w:right="2439" w:firstLine="293"/>
        <w:spacing w:after="0" w:line="255" w:lineRule="auto"/>
        <w:tabs>
          <w:tab w:leader="none" w:pos="108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discussion of federal income tax considerations applicable to such Preferred Shares;</w:t>
      </w:r>
    </w:p>
    <w:p>
      <w:pPr>
        <w:spacing w:after="0" w:line="183" w:lineRule="exact"/>
        <w:rPr>
          <w:rFonts w:ascii="Courier New" w:cs="Courier New" w:eastAsia="Courier New" w:hAnsi="Courier New"/>
          <w:sz w:val="16"/>
          <w:szCs w:val="16"/>
          <w:color w:val="auto"/>
        </w:rPr>
      </w:pPr>
    </w:p>
    <w:p>
      <w:pPr>
        <w:ind w:left="300" w:right="2519" w:firstLine="293"/>
        <w:spacing w:after="0" w:line="253" w:lineRule="auto"/>
        <w:tabs>
          <w:tab w:leader="none" w:pos="108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relative ranking and preferences of such Preferred Shares as to dividend rights and rights upon liquidation, dissolution or winding up of the affairs of the Trust;</w:t>
      </w:r>
    </w:p>
    <w:p>
      <w:pPr>
        <w:spacing w:after="0" w:line="185" w:lineRule="exact"/>
        <w:rPr>
          <w:rFonts w:ascii="Courier New" w:cs="Courier New" w:eastAsia="Courier New" w:hAnsi="Courier New"/>
          <w:sz w:val="16"/>
          <w:szCs w:val="16"/>
          <w:color w:val="auto"/>
        </w:rPr>
      </w:pPr>
    </w:p>
    <w:p>
      <w:pPr>
        <w:ind w:left="300" w:right="2519" w:firstLine="293"/>
        <w:spacing w:after="0" w:line="252" w:lineRule="auto"/>
        <w:tabs>
          <w:tab w:leader="none" w:pos="108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issuance of any series of Preferred Shares ranking senior to or on a parity with such series of Preferred Shares as to dividend rights and rights upon liquidation, dissolution or winding up of the affairs of the Trust; and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5" w:right="1440" w:bottom="1440" w:gutter="0" w:footer="0" w:header="0"/>
        </w:sectPr>
      </w:pPr>
    </w:p>
    <w:bookmarkStart w:id="41" w:name="page42"/>
    <w:bookmarkEnd w:id="41"/>
    <w:p>
      <w:pPr>
        <w:ind w:left="300" w:right="2619" w:firstLine="293"/>
        <w:spacing w:after="0" w:line="253" w:lineRule="auto"/>
        <w:tabs>
          <w:tab w:leader="none" w:pos="108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limitations on direct or beneficial ownership and restrictions on transfer, in each case as may be appropriate to preserve the status of the Trust as a REIT.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w:t>
      </w:r>
    </w:p>
    <w:p>
      <w:pPr>
        <w:ind w:right="2619" w:firstLine="1"/>
        <w:spacing w:after="0" w:line="252" w:lineRule="auto"/>
        <w:tabs>
          <w:tab w:leader="none" w:pos="59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junior to all equity securities issued by the Trust the terms of which specifically provide that such equity securities rank senior to the Preferred Shares. The term "equity securities" does not include convertible debt securities.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Dividends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 Each such dividend shall be payable to holders of record as they appear on the share transfer books of the Trust on such record dates as shall be fixed by the Board of Trustees of the Trust.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w:t>
      </w:r>
    </w:p>
    <w:p>
      <w:pPr>
        <w:ind w:right="2439" w:firstLine="1"/>
        <w:spacing w:after="0" w:line="251" w:lineRule="auto"/>
        <w:tabs>
          <w:tab w:leader="none" w:pos="4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 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380" w:lineRule="exact"/>
        <w:rPr>
          <w:sz w:val="20"/>
          <w:szCs w:val="20"/>
          <w:color w:val="auto"/>
        </w:rPr>
      </w:pPr>
    </w:p>
    <w:p>
      <w:pPr>
        <w:ind w:right="2819" w:firstLine="296"/>
        <w:spacing w:after="0" w:line="253" w:lineRule="auto"/>
        <w:rPr>
          <w:sz w:val="20"/>
          <w:szCs w:val="20"/>
          <w:color w:val="auto"/>
        </w:rPr>
      </w:pPr>
      <w:r>
        <w:rPr>
          <w:rFonts w:ascii="Courier New" w:cs="Courier New" w:eastAsia="Courier New" w:hAnsi="Courier New"/>
          <w:sz w:val="16"/>
          <w:szCs w:val="16"/>
          <w:color w:val="auto"/>
        </w:rPr>
        <w:t>Except as provided in the immediately preceding paragraph, unless (i) if such series of Preferred Shares has a cumulative dividend, full cumulative dividends on the Preferred Shares of such series have been or</w:t>
      </w:r>
    </w:p>
    <w:p>
      <w:pPr>
        <w:spacing w:after="0" w:line="18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5" w:right="1440" w:bottom="1440" w:gutter="0" w:footer="0" w:header="0"/>
        </w:sectPr>
      </w:pPr>
    </w:p>
    <w:bookmarkStart w:id="42" w:name="page43"/>
    <w:bookmarkEnd w:id="42"/>
    <w:p>
      <w:pPr>
        <w:ind w:right="2439"/>
        <w:spacing w:after="0" w:line="251" w:lineRule="auto"/>
        <w:rPr>
          <w:sz w:val="20"/>
          <w:szCs w:val="20"/>
          <w:color w:val="auto"/>
        </w:rPr>
      </w:pPr>
      <w:r>
        <w:rPr>
          <w:rFonts w:ascii="Courier New" w:cs="Courier New" w:eastAsia="Courier New" w:hAnsi="Courier New"/>
          <w:sz w:val="16"/>
          <w:szCs w:val="16"/>
          <w:color w:val="auto"/>
        </w:rPr>
        <w:t>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190"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Any dividend payment made on shares of a series of Preferred Shares shall first be credited against the earliest accrued but unpaid dividend due with respect to shares of such series which remains payable.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Redemption</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w:t>
      </w:r>
    </w:p>
    <w:p>
      <w:pPr>
        <w:ind w:right="2439" w:firstLine="1"/>
        <w:spacing w:after="0" w:line="251" w:lineRule="auto"/>
        <w:tabs>
          <w:tab w:leader="none" w:pos="4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 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85" w:right="1440" w:bottom="1440" w:gutter="0" w:footer="0" w:header="0"/>
        </w:sectPr>
      </w:pPr>
    </w:p>
    <w:bookmarkStart w:id="43" w:name="page44"/>
    <w:bookmarkEnd w:id="43"/>
    <w:p>
      <w:pPr>
        <w:ind w:right="2439"/>
        <w:spacing w:after="0" w:line="251" w:lineRule="auto"/>
        <w:rPr>
          <w:sz w:val="20"/>
          <w:szCs w:val="20"/>
          <w:color w:val="auto"/>
        </w:rPr>
      </w:pPr>
      <w:r>
        <w:rPr>
          <w:rFonts w:ascii="Courier New" w:cs="Courier New" w:eastAsia="Courier New" w:hAnsi="Courier New"/>
          <w:sz w:val="16"/>
          <w:szCs w:val="16"/>
          <w:color w:val="auto"/>
        </w:rPr>
        <w:t>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190" w:lineRule="exact"/>
        <w:rPr>
          <w:sz w:val="20"/>
          <w:szCs w:val="20"/>
          <w:color w:val="auto"/>
        </w:rPr>
      </w:pPr>
    </w:p>
    <w:p>
      <w:pPr>
        <w:ind w:right="2819" w:firstLine="296"/>
        <w:spacing w:after="0" w:line="251" w:lineRule="auto"/>
        <w:rPr>
          <w:sz w:val="20"/>
          <w:szCs w:val="20"/>
          <w:color w:val="auto"/>
        </w:rPr>
      </w:pPr>
      <w:r>
        <w:rPr>
          <w:rFonts w:ascii="Courier New" w:cs="Courier New" w:eastAsia="Courier New" w:hAnsi="Courier New"/>
          <w:sz w:val="16"/>
          <w:szCs w:val="16"/>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 (v) that dividends on the shares to be redeemed will cease to accrue on such redemption date; and</w:t>
      </w:r>
    </w:p>
    <w:p>
      <w:pPr>
        <w:ind w:right="2439" w:firstLine="1"/>
        <w:spacing w:after="0" w:line="251" w:lineRule="auto"/>
        <w:tabs>
          <w:tab w:leader="none" w:pos="4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Liquidation Preference</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 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380"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8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Voting Rights</w:t>
      </w:r>
    </w:p>
    <w:p>
      <w:pPr>
        <w:spacing w:after="0" w:line="198" w:lineRule="exact"/>
        <w:rPr>
          <w:sz w:val="20"/>
          <w:szCs w:val="20"/>
          <w:color w:val="auto"/>
        </w:rPr>
      </w:pPr>
    </w:p>
    <w:p>
      <w:pPr>
        <w:ind w:right="2619" w:firstLine="296"/>
        <w:spacing w:after="0" w:line="253" w:lineRule="auto"/>
        <w:rPr>
          <w:sz w:val="20"/>
          <w:szCs w:val="20"/>
          <w:color w:val="auto"/>
        </w:rPr>
      </w:pPr>
      <w:r>
        <w:rPr>
          <w:rFonts w:ascii="Courier New" w:cs="Courier New" w:eastAsia="Courier New" w:hAnsi="Courier New"/>
          <w:sz w:val="16"/>
          <w:szCs w:val="16"/>
          <w:color w:val="auto"/>
        </w:rPr>
        <w:t>Holders of the Preferred Shares will not have any voting rights, except as set forth below or as otherwise from time to time required by law or as indicated in the applicable Prospectus Supplement.</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 (x) 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380"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Rights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37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Shareholder Liability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As discussed below under "Description of Common Shares--Restrictions on Ownership,"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85" w:right="1440" w:bottom="1440" w:gutter="0" w:footer="0" w:header="0"/>
        </w:sectPr>
      </w:pPr>
    </w:p>
    <w:bookmarkStart w:id="46" w:name="page47"/>
    <w:bookmarkEnd w:id="46"/>
    <w:p>
      <w:pPr>
        <w:ind w:left="2460"/>
        <w:spacing w:after="0"/>
        <w:rPr>
          <w:sz w:val="20"/>
          <w:szCs w:val="20"/>
          <w:color w:val="auto"/>
        </w:rPr>
      </w:pPr>
      <w:r>
        <w:rPr>
          <w:rFonts w:ascii="Courier New" w:cs="Courier New" w:eastAsia="Courier New" w:hAnsi="Courier New"/>
          <w:sz w:val="16"/>
          <w:szCs w:val="16"/>
          <w:color w:val="auto"/>
        </w:rPr>
        <w:t>DESCRIPTION OF COMMON SHARES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380" w:lineRule="exact"/>
        <w:rPr>
          <w:sz w:val="20"/>
          <w:szCs w:val="20"/>
          <w:color w:val="auto"/>
        </w:rPr>
      </w:pPr>
    </w:p>
    <w:p>
      <w:pPr>
        <w:ind w:right="2719" w:firstLine="296"/>
        <w:spacing w:after="0" w:line="253" w:lineRule="auto"/>
        <w:rPr>
          <w:sz w:val="20"/>
          <w:szCs w:val="20"/>
          <w:color w:val="auto"/>
        </w:rPr>
      </w:pPr>
      <w:r>
        <w:rPr>
          <w:rFonts w:ascii="Courier New" w:cs="Courier New" w:eastAsia="Courier New" w:hAnsi="Courier New"/>
          <w:sz w:val="16"/>
          <w:szCs w:val="16"/>
          <w:color w:val="auto"/>
        </w:rPr>
        <w:t>Without shareholder approval, the Trust may issue an unlimited number of securities, warrants, rights, or other options to purchase Common Shares and other securities convertible into Common Shares.</w:t>
      </w:r>
    </w:p>
    <w:p>
      <w:pPr>
        <w:spacing w:after="0" w:line="18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190"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375" w:lineRule="exact"/>
        <w:rPr>
          <w:sz w:val="20"/>
          <w:szCs w:val="20"/>
          <w:color w:val="auto"/>
        </w:rPr>
      </w:pPr>
    </w:p>
    <w:p>
      <w:pPr>
        <w:ind w:right="2519" w:firstLine="296"/>
        <w:spacing w:after="0" w:line="251" w:lineRule="auto"/>
        <w:rPr>
          <w:sz w:val="20"/>
          <w:szCs w:val="20"/>
          <w:color w:val="auto"/>
        </w:rPr>
      </w:pPr>
      <w:r>
        <w:rPr>
          <w:rFonts w:ascii="Courier New" w:cs="Courier New" w:eastAsia="Courier New" w:hAnsi="Courier New"/>
          <w:sz w:val="16"/>
          <w:szCs w:val="16"/>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Ownership</w:t>
      </w:r>
    </w:p>
    <w:p>
      <w:pPr>
        <w:spacing w:after="0" w:line="198" w:lineRule="exact"/>
        <w:rPr>
          <w:sz w:val="20"/>
          <w:szCs w:val="20"/>
          <w:color w:val="auto"/>
        </w:rPr>
      </w:pPr>
    </w:p>
    <w:p>
      <w:pPr>
        <w:ind w:right="2619" w:firstLine="296"/>
        <w:spacing w:after="0" w:line="251" w:lineRule="auto"/>
        <w:rPr>
          <w:sz w:val="20"/>
          <w:szCs w:val="20"/>
          <w:color w:val="auto"/>
        </w:rPr>
      </w:pPr>
      <w:r>
        <w:rPr>
          <w:rFonts w:ascii="Courier New" w:cs="Courier New" w:eastAsia="Courier New" w:hAnsi="Courier New"/>
          <w:sz w:val="16"/>
          <w:szCs w:val="16"/>
          <w:color w:val="auto"/>
        </w:rPr>
        <w:t>For the Trust to qualify as a REIT under the Code,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685" w:right="1440" w:bottom="1440" w:gutter="0" w:footer="0" w:header="0"/>
        </w:sectPr>
      </w:pPr>
    </w:p>
    <w:bookmarkStart w:id="47" w:name="page48"/>
    <w:bookmarkEnd w:id="47"/>
    <w:p>
      <w:pPr>
        <w:ind w:right="2519"/>
        <w:spacing w:after="0" w:line="251" w:lineRule="auto"/>
        <w:rPr>
          <w:sz w:val="20"/>
          <w:szCs w:val="20"/>
          <w:color w:val="auto"/>
        </w:rPr>
      </w:pPr>
      <w:r>
        <w:rPr>
          <w:rFonts w:ascii="Courier New" w:cs="Courier New" w:eastAsia="Courier New" w:hAnsi="Courier New"/>
          <w:sz w:val="16"/>
          <w:szCs w:val="16"/>
          <w:color w:val="auto"/>
        </w:rPr>
        <w:t>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Shareholder Liability</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Registrar and Transfer Agent</w:t>
      </w:r>
    </w:p>
    <w:p>
      <w:pPr>
        <w:spacing w:after="0" w:line="198" w:lineRule="exact"/>
        <w:rPr>
          <w:sz w:val="20"/>
          <w:szCs w:val="20"/>
          <w:color w:val="auto"/>
        </w:rPr>
      </w:pPr>
    </w:p>
    <w:p>
      <w:pPr>
        <w:ind w:right="2819" w:firstLine="296"/>
        <w:spacing w:after="0" w:line="255" w:lineRule="auto"/>
        <w:rPr>
          <w:sz w:val="20"/>
          <w:szCs w:val="20"/>
          <w:color w:val="auto"/>
        </w:rPr>
      </w:pPr>
      <w:r>
        <w:rPr>
          <w:rFonts w:ascii="Courier New" w:cs="Courier New" w:eastAsia="Courier New" w:hAnsi="Courier New"/>
          <w:sz w:val="16"/>
          <w:szCs w:val="16"/>
          <w:color w:val="auto"/>
        </w:rPr>
        <w:t>The Registrar and Transfer Agent for the Common Shares is American Stock Transfer &amp; Trust Company, New York, New York.</w:t>
      </w:r>
    </w:p>
    <w:p>
      <w:pPr>
        <w:spacing w:after="0" w:line="18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FEDERAL INCOME TAX CONSIDERATIONS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Trust believes it has operated, and the Trust intends to continue to operate, in such manner as to qualify as a REIT under the Code, but no assurance can be given that it will at all times so qualify. The provisions of the Code pertaining to REITs are highly technical and complex. The following is a brief and general summary of certain provisions that currently govern the federal income tax treatment of the Trust and its shareholders. For the particular provisions that govern the federal income tax treatment of the Trust and its shareholders, reference is made to Sections 856 through 860 of the Code and the treasury regulations promulgated thereunder. The following summary is qualified in its entirety by such reference.</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Under the Code, if certain requirements are met in a taxable year, a REIT generally will not be subject to federal income tax with respect to income that it distributes to its shareholders. If the Trust fails to qualify during any taxable year as a REIT, unless certain relief provisions are available, it will be subject to tax (including any applicable alternative minimum tax) on its taxable income at regular corporate rates, which could have a material adverse effect upon its shareholders.</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To qualify as a REIT, the Trust must comply with a number of annual requirements regarding its income, assets and distributions. These requirements impose a number of restrictions on the Trust's operations. For example, the Trust may not lease property if the lease has the effect of giving the Trust a share of the net income of the lessee. The amount of personal property that may be included under a lease may not exceed a defined, low level, and the Trust may not provide services to its tenants, other than customary services and de minimis non-customary services. The Trust's ability to acquire non-real estate assets is restricted, and a 100% tax is imposed on any gain that the Trust realizes from sales of property to customers in the ordinary course of business (other than property acquired by reason of certain foreclosures), effectively preventing the Trust from participating</w:t>
      </w:r>
    </w:p>
    <w:p>
      <w:pPr>
        <w:spacing w:after="0" w:line="19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685" w:right="1440" w:bottom="1440" w:gutter="0" w:footer="0" w:header="0"/>
        </w:sectPr>
      </w:pPr>
    </w:p>
    <w:bookmarkStart w:id="48" w:name="page49"/>
    <w:bookmarkEnd w:id="48"/>
    <w:p>
      <w:pPr>
        <w:ind w:right="2619"/>
        <w:spacing w:after="0" w:line="252" w:lineRule="auto"/>
        <w:rPr>
          <w:sz w:val="20"/>
          <w:szCs w:val="20"/>
          <w:color w:val="auto"/>
        </w:rPr>
      </w:pPr>
      <w:r>
        <w:rPr>
          <w:rFonts w:ascii="Courier New" w:cs="Courier New" w:eastAsia="Courier New" w:hAnsi="Courier New"/>
          <w:sz w:val="16"/>
          <w:szCs w:val="16"/>
          <w:color w:val="auto"/>
        </w:rPr>
        <w:t>directly in condominium projects and other projects involving the development of property for resale. Minimum distribution requirements also generally require the Trust to distribute at least 95% of its taxable income each year (excluding any net capital gain).</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any year in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A portion of such gains may be taxed at the 25% rate applicable to "Section 1250" gains. To the extent that distributions exceed current or accumulated earnings and profits, they will constitute a return of capital, rather than dividend or capital gain income, and will reduce the basis for the shareholder's Securities with respect to which the distribution is paid or, to the extent that they exceed such basis, will be taxed in the same manner as gain from the sale of those Securities.</w:t>
      </w:r>
    </w:p>
    <w:p>
      <w:pPr>
        <w:spacing w:after="0" w:line="38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Investors are urged to consult their own tax advisors with respect to the appropriateness of an investment in the Securities offered hereby and with respect to the tax consequences arising under federal law and the laws of any state, municipality or other taxing jurisdiction, including tax consequences resulting from such investor's own tax characteristics. In particular, foreign investors should consult their own tax advisors concerning the tax consequences of an investment in the Trust, including the possibility of United States income tax withholding on Trust distributions.</w:t>
      </w:r>
    </w:p>
    <w:p>
      <w:pPr>
        <w:spacing w:after="0" w:line="19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PLAN OF DISTRIBUTION</w:t>
      </w:r>
    </w:p>
    <w:p>
      <w:pPr>
        <w:spacing w:after="0" w:line="198" w:lineRule="exact"/>
        <w:rPr>
          <w:sz w:val="20"/>
          <w:szCs w:val="20"/>
          <w:color w:val="auto"/>
        </w:rPr>
      </w:pPr>
    </w:p>
    <w:p>
      <w:pPr>
        <w:ind w:right="2519" w:firstLine="296"/>
        <w:spacing w:after="0" w:line="255" w:lineRule="auto"/>
        <w:rPr>
          <w:sz w:val="20"/>
          <w:szCs w:val="20"/>
          <w:color w:val="auto"/>
        </w:rPr>
      </w:pPr>
      <w:r>
        <w:rPr>
          <w:rFonts w:ascii="Courier New" w:cs="Courier New" w:eastAsia="Courier New" w:hAnsi="Courier New"/>
          <w:sz w:val="16"/>
          <w:szCs w:val="16"/>
          <w:color w:val="auto"/>
        </w:rPr>
        <w:t>The Trust may sell Securities to or through underwriters, and also may sell Securities directly to other purchasers or through agents.</w:t>
      </w:r>
    </w:p>
    <w:p>
      <w:pPr>
        <w:spacing w:after="0" w:line="184" w:lineRule="exact"/>
        <w:rPr>
          <w:sz w:val="20"/>
          <w:szCs w:val="20"/>
          <w:color w:val="auto"/>
        </w:rPr>
      </w:pPr>
    </w:p>
    <w:p>
      <w:pPr>
        <w:ind w:right="2519" w:firstLine="296"/>
        <w:spacing w:after="0" w:line="252" w:lineRule="auto"/>
        <w:rPr>
          <w:sz w:val="20"/>
          <w:szCs w:val="20"/>
          <w:color w:val="auto"/>
        </w:rPr>
      </w:pPr>
      <w:r>
        <w:rPr>
          <w:rFonts w:ascii="Courier New" w:cs="Courier New" w:eastAsia="Courier New" w:hAnsi="Courier New"/>
          <w:sz w:val="16"/>
          <w:szCs w:val="16"/>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87"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190"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379"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187" w:lineRule="exact"/>
        <w:rPr>
          <w:sz w:val="20"/>
          <w:szCs w:val="20"/>
          <w:color w:val="auto"/>
        </w:rPr>
      </w:pPr>
    </w:p>
    <w:p>
      <w:pPr>
        <w:jc w:val="both"/>
        <w:ind w:right="2439" w:firstLine="296"/>
        <w:spacing w:after="0" w:line="255" w:lineRule="auto"/>
        <w:rPr>
          <w:sz w:val="20"/>
          <w:szCs w:val="20"/>
          <w:color w:val="auto"/>
        </w:rPr>
      </w:pPr>
      <w:r>
        <w:rPr>
          <w:rFonts w:ascii="Courier New" w:cs="Courier New" w:eastAsia="Courier New" w:hAnsi="Courier New"/>
          <w:sz w:val="16"/>
          <w:szCs w:val="16"/>
          <w:color w:val="auto"/>
        </w:rPr>
        <w:t>Underwriters, dealers and agents may engage in transactions with, or perform services for, or be customers of, the Trust in the ordinary course of business.</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685" w:right="1440" w:bottom="1440" w:gutter="0" w:footer="0" w:header="0"/>
        </w:sectPr>
      </w:pPr>
    </w:p>
    <w:bookmarkStart w:id="49" w:name="page50"/>
    <w:bookmarkEnd w:id="49"/>
    <w:p>
      <w:pPr>
        <w:ind w:right="2439" w:firstLine="296"/>
        <w:spacing w:after="0" w:line="251" w:lineRule="auto"/>
        <w:rPr>
          <w:sz w:val="20"/>
          <w:szCs w:val="20"/>
          <w:color w:val="auto"/>
        </w:rPr>
      </w:pPr>
      <w:r>
        <w:rPr>
          <w:rFonts w:ascii="Courier New" w:cs="Courier New" w:eastAsia="Courier New" w:hAnsi="Courier New"/>
          <w:sz w:val="16"/>
          <w:szCs w:val="16"/>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380"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LEGAL OPINIONS</w:t>
      </w:r>
    </w:p>
    <w:p>
      <w:pPr>
        <w:spacing w:after="0" w:line="198"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The legality of the Securities offered hereby is being passed upon for the Trust by Kirkpatrick &amp; Lockhart LLP, 1800 Massachusetts Avenue, N.W., Washington, D.C. 20036-1800. Certain REIT tax matters relating to the Trust are being passed upon by Goodwin, Procter &amp; Hoar LLP, Exchange Place, Boston, Massachusetts 02109. Brown &amp; Wood LLP, One World Trade Center, New York, New York 10048-0557 will act as counsel to any underwriters, dealers or agents.</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EXPERTS</w:t>
      </w:r>
    </w:p>
    <w:p>
      <w:pPr>
        <w:spacing w:after="0" w:line="198" w:lineRule="exact"/>
        <w:rPr>
          <w:sz w:val="20"/>
          <w:szCs w:val="20"/>
          <w:color w:val="auto"/>
        </w:rPr>
      </w:pPr>
    </w:p>
    <w:p>
      <w:pPr>
        <w:ind w:right="2439" w:firstLine="296"/>
        <w:spacing w:after="0" w:line="252" w:lineRule="auto"/>
        <w:rPr>
          <w:sz w:val="20"/>
          <w:szCs w:val="20"/>
          <w:color w:val="auto"/>
        </w:rPr>
      </w:pPr>
      <w:r>
        <w:rPr>
          <w:rFonts w:ascii="Courier New" w:cs="Courier New" w:eastAsia="Courier New" w:hAnsi="Courier New"/>
          <w:sz w:val="16"/>
          <w:szCs w:val="16"/>
          <w:color w:val="auto"/>
        </w:rPr>
        <w:t>The Consolidated Financial Statements and Schedules of the Trust as of December 31, 1997 and 1996 and for each of the years in the three year period ended December 31, 1997 incorporated herein by reference have been incorporated herein in reliance on the reports dated February 5, 1998 of Grant Thornton LLP, independent certified public accountants, also incorporated by reference herein, and upon the authority of said firm as experts in accounting and auditing.</w:t>
      </w:r>
    </w:p>
    <w:p>
      <w:pPr>
        <w:spacing w:after="0" w:line="375" w:lineRule="exact"/>
        <w:rPr>
          <w:sz w:val="20"/>
          <w:szCs w:val="20"/>
          <w:color w:val="auto"/>
        </w:rPr>
      </w:pPr>
    </w:p>
    <w:p>
      <w:pPr>
        <w:ind w:right="2439" w:firstLine="296"/>
        <w:spacing w:after="0" w:line="251"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1998 and June 30, 1998 which are incorporated herein by reference, Grant Thornton LLP has applied limited procedures in accordance with professional standards for a review of such information. However, as stated in their reports dated May 5, 1998 and August 5, 1998 included in the Trust's Quarterly Reports on Form</w:t>
      </w:r>
    </w:p>
    <w:p>
      <w:pPr>
        <w:ind w:right="2519"/>
        <w:spacing w:after="0" w:line="251" w:lineRule="auto"/>
        <w:rPr>
          <w:sz w:val="20"/>
          <w:szCs w:val="20"/>
          <w:color w:val="auto"/>
        </w:rPr>
      </w:pPr>
      <w:r>
        <w:rPr>
          <w:rFonts w:ascii="Courier New" w:cs="Courier New" w:eastAsia="Courier New" w:hAnsi="Courier New"/>
          <w:sz w:val="16"/>
          <w:szCs w:val="16"/>
          <w:color w:val="auto"/>
        </w:rPr>
        <w:t>10-Q for the quarters ended March 31, 1998 and June 30, 1998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 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0" w:lineRule="exact"/>
        <w:rPr>
          <w:sz w:val="20"/>
          <w:szCs w:val="20"/>
          <w:color w:val="auto"/>
        </w:rPr>
      </w:pPr>
    </w:p>
    <w:p>
      <w:pPr>
        <w:spacing w:after="0" w:line="36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685" w:right="1440" w:bottom="1440" w:gutter="0" w:footer="0" w:header="0"/>
        </w:sectPr>
      </w:pPr>
    </w:p>
    <w:bookmarkStart w:id="50" w:name="page51"/>
    <w:bookmarkEnd w:id="50"/>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$150,000,000</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[LOGO] Federal Realty Investment Trust</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 Notes due August 2007</w:t>
      </w:r>
    </w:p>
    <w:p>
      <w:pPr>
        <w:spacing w:after="0" w:line="19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PROSPECTUS SUPPLEMENT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Merrill Lynch &amp; Co.</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Salomon Smith Barney</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Wachovia Securities</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Commerzbank Securities</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Banc of America Securities LLC</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HVB Real Estate Capital</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Fleet Securities, Inc.</w:t>
      </w:r>
    </w:p>
    <w:p>
      <w:pPr>
        <w:spacing w:after="0" w:line="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PNC Capital Markets, Inc.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Wells Fargo Brokerage Services, LLC</w:t>
      </w:r>
    </w:p>
    <w:p>
      <w:pPr>
        <w:spacing w:after="0" w:line="198" w:lineRule="exact"/>
        <w:rPr>
          <w:sz w:val="20"/>
          <w:szCs w:val="20"/>
          <w:color w:val="auto"/>
        </w:rPr>
      </w:pPr>
    </w:p>
    <w:p>
      <w:pPr>
        <w:ind w:left="3160"/>
        <w:spacing w:after="0"/>
        <w:tabs>
          <w:tab w:leader="none" w:pos="4020" w:val="left"/>
        </w:tabs>
        <w:rPr>
          <w:sz w:val="20"/>
          <w:szCs w:val="20"/>
          <w:color w:val="auto"/>
        </w:rPr>
      </w:pPr>
      <w:r>
        <w:rPr>
          <w:rFonts w:ascii="Courier New" w:cs="Courier New" w:eastAsia="Courier New" w:hAnsi="Courier New"/>
          <w:sz w:val="16"/>
          <w:szCs w:val="16"/>
          <w:color w:val="auto"/>
        </w:rPr>
        <w:t>August</w:t>
      </w:r>
      <w:r>
        <w:rPr>
          <w:sz w:val="20"/>
          <w:szCs w:val="20"/>
          <w:color w:val="auto"/>
        </w:rPr>
        <w:tab/>
      </w:r>
      <w:r>
        <w:rPr>
          <w:rFonts w:ascii="Courier New" w:cs="Courier New" w:eastAsia="Courier New" w:hAnsi="Courier New"/>
          <w:sz w:val="16"/>
          <w:szCs w:val="16"/>
          <w:color w:val="auto"/>
        </w:rPr>
        <w:t>, 2002</w:t>
      </w:r>
    </w:p>
    <w:p>
      <w:pPr>
        <w:spacing w:after="0" w:line="8" w:lineRule="exact"/>
        <w:rPr>
          <w:sz w:val="20"/>
          <w:szCs w:val="20"/>
          <w:color w:val="auto"/>
        </w:rPr>
      </w:pPr>
    </w:p>
    <w:p>
      <w:pPr>
        <w:ind w:left="200" w:hanging="199"/>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4"/>
    </w:lvl>
    <w:lvl w:ilvl="1">
      <w:lvlJc w:val="left"/>
      <w:lvlText w:val="."/>
      <w:numFmt w:val="bullet"/>
      <w:start w:val="1"/>
    </w:lvl>
  </w:abstractNum>
  <w:abstractNum w:abstractNumId="2">
    <w:nsid w:val="7C83E458"/>
    <w:multiLevelType w:val="hybridMultilevel"/>
    <w:lvl w:ilvl="0">
      <w:lvlJc w:val="left"/>
      <w:lvlText w:val="(%1)"/>
      <w:numFmt w:val="decimal"/>
      <w:start w:val="30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2"/>
    </w:lvl>
  </w:abstractNum>
  <w:abstractNum w:abstractNumId="10">
    <w:nsid w:val="2D1D5AE9"/>
    <w:multiLevelType w:val="hybridMultilevel"/>
    <w:lvl w:ilvl="0">
      <w:lvlJc w:val="left"/>
      <w:lvlText w:val="(%1)"/>
      <w:numFmt w:val="decimal"/>
      <w:start w:val="3"/>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amp;"/>
      <w:numFmt w:val="bullet"/>
      <w:start w:val="1"/>
    </w:lvl>
  </w:abstractNum>
  <w:abstractNum w:abstractNumId="19">
    <w:nsid w:val="71F32454"/>
    <w:multiLevelType w:val="hybridMultilevel"/>
    <w:lvl w:ilvl="0">
      <w:lvlJc w:val="left"/>
      <w:lvlText w:val="(%1)"/>
      <w:numFmt w:val="decimal"/>
      <w:start w:val="4"/>
    </w:lvl>
  </w:abstractNum>
  <w:abstractNum w:abstractNumId="20">
    <w:nsid w:val="2CA88611"/>
    <w:multiLevelType w:val="hybridMultilevel"/>
    <w:lvl w:ilvl="0">
      <w:lvlJc w:val="left"/>
      <w:lvlText w:val="(%1)"/>
      <w:numFmt w:val="lowerRoman"/>
      <w:start w:val="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1"/>
    </w:lvl>
  </w:abstractNum>
  <w:abstractNum w:abstractNumId="23">
    <w:nsid w:val="3A95F874"/>
    <w:multiLevelType w:val="hybridMultilevel"/>
    <w:lvl w:ilvl="0">
      <w:lvlJc w:val="left"/>
      <w:lvlText w:val="(%1)"/>
      <w:numFmt w:val="decimal"/>
      <w:start w:val="11"/>
    </w:lvl>
  </w:abstractNum>
  <w:abstractNum w:abstractNumId="24">
    <w:nsid w:val="8138641"/>
    <w:multiLevelType w:val="hybridMultilevel"/>
    <w:lvl w:ilvl="0">
      <w:lvlJc w:val="left"/>
      <w:lvlText w:val="(%1)"/>
      <w:numFmt w:val="decimal"/>
      <w:start w:val="15"/>
    </w:lvl>
  </w:abstractNum>
  <w:abstractNum w:abstractNumId="25">
    <w:nsid w:val="1E7FF521"/>
    <w:multiLevelType w:val="hybridMultilevel"/>
    <w:lvl w:ilvl="0">
      <w:lvlJc w:val="left"/>
      <w:lvlText w:val="(%1)"/>
      <w:numFmt w:val="lowerRoman"/>
      <w:start w:val="10"/>
    </w:lvl>
  </w:abstractNum>
  <w:abstractNum w:abstractNumId="26">
    <w:nsid w:val="7C3DBD3D"/>
    <w:multiLevelType w:val="hybridMultilevel"/>
    <w:lvl w:ilvl="0">
      <w:lvlJc w:val="left"/>
      <w:lvlText w:val="(%1)"/>
      <w:numFmt w:val="lowerLetter"/>
      <w:start w:val="4"/>
    </w:lvl>
  </w:abstractNum>
  <w:abstractNum w:abstractNumId="27">
    <w:nsid w:val="737B8DDC"/>
    <w:multiLevelType w:val="hybridMultilevel"/>
    <w:lvl w:ilvl="0">
      <w:lvlJc w:val="left"/>
      <w:lvlText w:val="(%1)"/>
      <w:numFmt w:val="lowerLetter"/>
      <w:start w:val="6"/>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decimal"/>
      <w:start w:val="14"/>
    </w:lvl>
  </w:abstractNum>
  <w:abstractNum w:abstractNumId="30">
    <w:nsid w:val="4516DDE9"/>
    <w:multiLevelType w:val="hybridMultilevel"/>
    <w:lvl w:ilvl="0">
      <w:lvlJc w:val="left"/>
      <w:lvlText w:val="(%1)"/>
      <w:numFmt w:val="lowerRoman"/>
      <w:start w:val="3"/>
    </w:lvl>
  </w:abstractNum>
  <w:abstractNum w:abstractNumId="31">
    <w:nsid w:val="3006C83E"/>
    <w:multiLevelType w:val="hybridMultilevel"/>
    <w:lvl w:ilvl="0">
      <w:lvlJc w:val="left"/>
      <w:lvlText w:val="(%1)"/>
      <w:numFmt w:val="lowerRoman"/>
      <w:start w:val="2"/>
    </w:lvl>
  </w:abstractNum>
  <w:abstractNum w:abstractNumId="32">
    <w:nsid w:val="614FD4A1"/>
    <w:multiLevelType w:val="hybridMultilevel"/>
    <w:lvl w:ilvl="0">
      <w:lvlJc w:val="left"/>
      <w:lvlText w:val="(%1)"/>
      <w:numFmt w:val="lowerRoman"/>
      <w:start w:val="2"/>
    </w:lvl>
  </w:abstractNum>
  <w:abstractNum w:abstractNumId="33">
    <w:nsid w:val="419AC241"/>
    <w:multiLevelType w:val="hybridMultilevel"/>
    <w:lvl w:ilvl="0">
      <w:lvlJc w:val="left"/>
      <w:lvlText w:val="(%1)"/>
      <w:numFmt w:val="lowerRoman"/>
      <w:start w:val="6"/>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2019-12-12T08:59:31Z</dcterms:created>
  <dcterms:modified xsi:type="dcterms:W3CDTF">2019-12-12T08:59:31Z</dcterms:modified>
</cp:coreProperties>
</file>