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9845"/>
                    </a:xfrm>
                    <a:prstGeom prst="rect">
                      <a:avLst/>
                    </a:prstGeom>
                    <a:noFill/>
                  </pic:spPr>
                </pic:pic>
              </a:graphicData>
            </a:graphic>
          </wp:anchor>
        </w:drawing>
        <w:t>SECURITIES AND EXCHANGE COMMISSION</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193040</wp:posOffset>
            </wp:positionV>
            <wp:extent cx="1253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215900</wp:posOffset>
            </wp:positionV>
            <wp:extent cx="1253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21"/>
          <w:szCs w:val="21"/>
          <w:b w:val="1"/>
          <w:bCs w:val="1"/>
          <w:color w:val="auto"/>
        </w:rPr>
        <w:t>CURRENT REPORT</w:t>
      </w:r>
    </w:p>
    <w:p>
      <w:pPr>
        <w:spacing w:after="0" w:line="159" w:lineRule="exact"/>
        <w:rPr>
          <w:sz w:val="24"/>
          <w:szCs w:val="24"/>
          <w:color w:val="auto"/>
        </w:rPr>
      </w:pPr>
    </w:p>
    <w:p>
      <w:pPr>
        <w:jc w:val="center"/>
        <w:ind w:right="-53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83" w:lineRule="exact"/>
        <w:rPr>
          <w:sz w:val="24"/>
          <w:szCs w:val="24"/>
          <w:color w:val="auto"/>
        </w:rPr>
      </w:pPr>
    </w:p>
    <w:p>
      <w:pPr>
        <w:ind w:left="3500"/>
        <w:spacing w:after="0"/>
        <w:rPr>
          <w:sz w:val="20"/>
          <w:szCs w:val="20"/>
          <w:color w:val="auto"/>
        </w:rPr>
      </w:pPr>
      <w:r>
        <w:rPr>
          <w:rFonts w:ascii="Arial" w:cs="Arial" w:eastAsia="Arial" w:hAnsi="Arial"/>
          <w:sz w:val="17"/>
          <w:szCs w:val="17"/>
          <w:b w:val="1"/>
          <w:bCs w:val="1"/>
          <w:color w:val="auto"/>
        </w:rPr>
        <w:t>Date of Report (Date of earliest event reported) May 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215265</wp:posOffset>
            </wp:positionV>
            <wp:extent cx="1253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Federal Realty Investment Trust</w:t>
      </w:r>
    </w:p>
    <w:p>
      <w:pPr>
        <w:spacing w:after="0" w:line="42"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192405</wp:posOffset>
            </wp:positionV>
            <wp:extent cx="1253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ectPr>
          <w:pgSz w:w="11900" w:h="16838" w:orient="portrait"/>
          <w:cols w:equalWidth="0" w:num="1">
            <w:col w:w="10880"/>
          </w:cols>
          <w:pgMar w:left="240" w:top="352"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232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3" w:lineRule="exact"/>
        <w:rPr>
          <w:sz w:val="24"/>
          <w:szCs w:val="24"/>
          <w:color w:val="auto"/>
        </w:rPr>
      </w:pPr>
    </w:p>
    <w:p>
      <w:pPr>
        <w:sectPr>
          <w:pgSz w:w="11900" w:h="16838" w:orient="portrait"/>
          <w:cols w:equalWidth="0" w:num="3">
            <w:col w:w="4840" w:space="720"/>
            <w:col w:w="2900" w:space="720"/>
            <w:col w:w="1700"/>
          </w:cols>
          <w:pgMar w:left="240" w:top="352" w:right="77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1"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3"/>
          <w:szCs w:val="13"/>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No.)</w:t>
      </w:r>
    </w:p>
    <w:p>
      <w:pPr>
        <w:spacing w:after="0" w:line="206" w:lineRule="exact"/>
        <w:rPr>
          <w:sz w:val="24"/>
          <w:szCs w:val="24"/>
          <w:color w:val="auto"/>
        </w:rPr>
      </w:pPr>
    </w:p>
    <w:p>
      <w:pPr>
        <w:sectPr>
          <w:pgSz w:w="11900" w:h="16838" w:orient="portrait"/>
          <w:cols w:equalWidth="0" w:num="3">
            <w:col w:w="4360" w:space="720"/>
            <w:col w:w="3280" w:space="720"/>
            <w:col w:w="1800"/>
          </w:cols>
          <w:pgMar w:left="240" w:top="352" w:right="779" w:bottom="1440" w:gutter="0" w:footer="0" w:header="0"/>
          <w:type w:val="continuous"/>
        </w:sectPr>
      </w:pPr>
    </w:p>
    <w:p>
      <w:pPr>
        <w:ind w:left="110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4" w:lineRule="exact"/>
        <w:rPr>
          <w:sz w:val="24"/>
          <w:szCs w:val="24"/>
          <w:color w:val="auto"/>
        </w:rPr>
      </w:pPr>
    </w:p>
    <w:p>
      <w:pPr>
        <w:sectPr>
          <w:pgSz w:w="11900" w:h="16838" w:orient="portrait"/>
          <w:cols w:equalWidth="0" w:num="2">
            <w:col w:w="7540" w:space="720"/>
            <w:col w:w="2620"/>
          </w:cols>
          <w:pgMar w:left="240" w:top="352" w:right="779" w:bottom="1440" w:gutter="0" w:footer="0" w:header="0"/>
          <w:type w:val="continuous"/>
        </w:sectPr>
      </w:pPr>
    </w:p>
    <w:p>
      <w:pPr>
        <w:ind w:left="17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6" w:lineRule="exact"/>
        <w:rPr>
          <w:sz w:val="24"/>
          <w:szCs w:val="24"/>
          <w:color w:val="auto"/>
        </w:rPr>
      </w:pPr>
    </w:p>
    <w:p>
      <w:pPr>
        <w:sectPr>
          <w:pgSz w:w="11900" w:h="16838" w:orient="portrait"/>
          <w:cols w:equalWidth="0" w:num="2">
            <w:col w:w="7660" w:space="720"/>
            <w:col w:w="2500"/>
          </w:cols>
          <w:pgMar w:left="240" w:top="352" w:right="779" w:bottom="1440" w:gutter="0" w:footer="0" w:header="0"/>
          <w:type w:val="continuous"/>
        </w:sectPr>
      </w:pPr>
    </w:p>
    <w:p>
      <w:pPr>
        <w:ind w:left="330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3001645</wp:posOffset>
            </wp:positionH>
            <wp:positionV relativeFrom="paragraph">
              <wp:posOffset>215265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line="29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1"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523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9845"/>
                    </a:xfrm>
                    <a:prstGeom prst="rect">
                      <a:avLst/>
                    </a:prstGeom>
                    <a:noFill/>
                  </pic:spPr>
                </pic:pic>
              </a:graphicData>
            </a:graphic>
          </wp:anchor>
        </w:drawing>
      </w:r>
    </w:p>
    <w:p>
      <w:pPr>
        <w:sectPr>
          <w:pgSz w:w="11900" w:h="16838" w:orient="portrait"/>
          <w:cols w:equalWidth="0" w:num="1">
            <w:col w:w="10880"/>
          </w:cols>
          <w:pgMar w:left="240" w:top="352" w:right="77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04" w:lineRule="exact"/>
        <w:rPr>
          <w:sz w:val="20"/>
          <w:szCs w:val="20"/>
          <w:color w:val="auto"/>
        </w:rPr>
      </w:pPr>
    </w:p>
    <w:p>
      <w:pPr>
        <w:ind w:firstLine="457"/>
        <w:spacing w:after="0" w:line="319"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96" w:lineRule="exact"/>
        <w:rPr>
          <w:sz w:val="20"/>
          <w:szCs w:val="20"/>
          <w:color w:val="auto"/>
        </w:rPr>
      </w:pPr>
    </w:p>
    <w:p>
      <w:pPr>
        <w:ind w:right="420" w:firstLine="457"/>
        <w:spacing w:after="0" w:line="292" w:lineRule="auto"/>
        <w:rPr>
          <w:sz w:val="20"/>
          <w:szCs w:val="20"/>
          <w:color w:val="auto"/>
        </w:rPr>
      </w:pPr>
      <w:r>
        <w:rPr>
          <w:rFonts w:ascii="Arial" w:cs="Arial" w:eastAsia="Arial" w:hAnsi="Arial"/>
          <w:sz w:val="17"/>
          <w:szCs w:val="17"/>
          <w:color w:val="auto"/>
        </w:rPr>
        <w:t>On May 2, 2007, Federal Realty Investment Trust issued supplemental data pertaining to its operations, as well as a press release, to report its financial results for the quarter ended March 31, 2007. The supplemental data and press release are furnished as Exhibit 99.1 hereto.</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04" w:lineRule="exact"/>
        <w:rPr>
          <w:sz w:val="20"/>
          <w:szCs w:val="20"/>
          <w:color w:val="auto"/>
        </w:rPr>
      </w:pPr>
    </w:p>
    <w:p>
      <w:pPr>
        <w:ind w:left="1140" w:hanging="680"/>
        <w:spacing w:after="0"/>
        <w:tabs>
          <w:tab w:leader="none" w:pos="1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March 31, 2007 (including press release dated May 2, 2007)</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SIGNATURES</w:t>
      </w:r>
    </w:p>
    <w:p>
      <w:pPr>
        <w:spacing w:after="0" w:line="178" w:lineRule="exact"/>
        <w:rPr>
          <w:sz w:val="20"/>
          <w:szCs w:val="20"/>
          <w:color w:val="auto"/>
        </w:rPr>
      </w:pPr>
    </w:p>
    <w:p>
      <w:pPr>
        <w:ind w:right="100" w:firstLine="457"/>
        <w:spacing w:after="0" w:line="29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FEDERAL REALTY INVESTMENT TRUST</w:t>
      </w:r>
    </w:p>
    <w:p>
      <w:pPr>
        <w:spacing w:after="0" w:line="237"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Date: May 2, 2007</w:t>
      </w:r>
      <w:r>
        <w:rPr>
          <w:sz w:val="20"/>
          <w:szCs w:val="20"/>
          <w:color w:val="auto"/>
        </w:rPr>
        <w:tab/>
      </w:r>
      <w:r>
        <w:rPr>
          <w:rFonts w:ascii="Arial" w:cs="Arial" w:eastAsia="Arial" w:hAnsi="Arial"/>
          <w:sz w:val="16"/>
          <w:szCs w:val="16"/>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16510</wp:posOffset>
            </wp:positionV>
            <wp:extent cx="3539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Larry E. Finger</w:t>
      </w:r>
    </w:p>
    <w:p>
      <w:pPr>
        <w:spacing w:after="0" w:line="2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Vice President,</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 and Treasurer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2" w:right="29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EXHIBIT INDEX</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Exh No.</w:t>
      </w:r>
      <w:r>
        <w:rPr>
          <w:sz w:val="20"/>
          <w:szCs w:val="20"/>
          <w:color w:val="auto"/>
        </w:rPr>
        <w:tab/>
      </w:r>
      <w:r>
        <w:rPr>
          <w:rFonts w:ascii="Arial" w:cs="Arial" w:eastAsia="Arial" w:hAnsi="Arial"/>
          <w:sz w:val="17"/>
          <w:szCs w:val="17"/>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25400</wp:posOffset>
            </wp:positionV>
            <wp:extent cx="1016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131" w:lineRule="exact"/>
        <w:rPr>
          <w:sz w:val="20"/>
          <w:szCs w:val="20"/>
          <w:color w:val="auto"/>
        </w:rPr>
      </w:pPr>
    </w:p>
    <w:p>
      <w:pPr>
        <w:ind w:left="140"/>
        <w:spacing w:after="0"/>
        <w:tabs>
          <w:tab w:leader="none" w:pos="9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March 31, 2007</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59"/>
          </w:cols>
          <w:pgMar w:left="300" w:top="27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INFORMATION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 w:type="dxa"/>
            <w:vAlign w:val="bottom"/>
          </w:tcPr>
          <w:p>
            <w:pPr>
              <w:jc w:val="right"/>
              <w:ind w:right="13"/>
              <w:spacing w:after="0"/>
              <w:rPr>
                <w:sz w:val="20"/>
                <w:szCs w:val="20"/>
                <w:color w:val="auto"/>
              </w:rPr>
            </w:pPr>
            <w:r>
              <w:rPr>
                <w:rFonts w:ascii="Arial" w:cs="Arial" w:eastAsia="Arial" w:hAnsi="Arial"/>
                <w:sz w:val="17"/>
                <w:szCs w:val="17"/>
                <w:color w:val="auto"/>
                <w:w w:val="84"/>
              </w:rPr>
              <w:t>1.</w:t>
            </w:r>
          </w:p>
        </w:tc>
        <w:tc>
          <w:tcPr>
            <w:tcW w:w="7960" w:type="dxa"/>
            <w:vAlign w:val="bottom"/>
          </w:tcPr>
          <w:p>
            <w:pPr>
              <w:ind w:left="80"/>
              <w:spacing w:after="0"/>
              <w:rPr>
                <w:sz w:val="20"/>
                <w:szCs w:val="20"/>
                <w:color w:val="auto"/>
              </w:rPr>
            </w:pPr>
            <w:r>
              <w:rPr>
                <w:rFonts w:ascii="Arial" w:cs="Arial" w:eastAsia="Arial" w:hAnsi="Arial"/>
                <w:sz w:val="17"/>
                <w:szCs w:val="17"/>
                <w:color w:val="auto"/>
              </w:rPr>
              <w:t>First Quarter 2007 Earnings Press Release</w:t>
            </w:r>
          </w:p>
        </w:tc>
        <w:tc>
          <w:tcPr>
            <w:tcW w:w="32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3"/>
        </w:trPr>
        <w:tc>
          <w:tcPr>
            <w:tcW w:w="240" w:type="dxa"/>
            <w:vAlign w:val="bottom"/>
          </w:tcPr>
          <w:p>
            <w:pPr>
              <w:jc w:val="right"/>
              <w:ind w:right="13"/>
              <w:spacing w:after="0"/>
              <w:rPr>
                <w:sz w:val="20"/>
                <w:szCs w:val="20"/>
                <w:color w:val="auto"/>
              </w:rPr>
            </w:pPr>
            <w:r>
              <w:rPr>
                <w:rFonts w:ascii="Arial" w:cs="Arial" w:eastAsia="Arial" w:hAnsi="Arial"/>
                <w:sz w:val="17"/>
                <w:szCs w:val="17"/>
                <w:color w:val="auto"/>
                <w:w w:val="84"/>
              </w:rPr>
              <w:t>2.</w:t>
            </w:r>
          </w:p>
        </w:tc>
        <w:tc>
          <w:tcPr>
            <w:tcW w:w="7960" w:type="dxa"/>
            <w:vAlign w:val="bottom"/>
          </w:tcPr>
          <w:p>
            <w:pPr>
              <w:ind w:left="80"/>
              <w:spacing w:after="0"/>
              <w:rPr>
                <w:sz w:val="20"/>
                <w:szCs w:val="20"/>
                <w:color w:val="auto"/>
              </w:rPr>
            </w:pPr>
            <w:r>
              <w:rPr>
                <w:rFonts w:ascii="Arial" w:cs="Arial" w:eastAsia="Arial" w:hAnsi="Arial"/>
                <w:sz w:val="17"/>
                <w:szCs w:val="17"/>
                <w:color w:val="auto"/>
              </w:rPr>
              <w:t>Financial Highlights</w:t>
            </w:r>
          </w:p>
        </w:tc>
        <w:tc>
          <w:tcPr>
            <w:tcW w:w="322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7960" w:type="dxa"/>
            <w:vAlign w:val="bottom"/>
          </w:tcPr>
          <w:p>
            <w:pPr>
              <w:ind w:left="780"/>
              <w:spacing w:after="0"/>
              <w:rPr>
                <w:sz w:val="20"/>
                <w:szCs w:val="20"/>
                <w:color w:val="auto"/>
              </w:rPr>
            </w:pPr>
            <w:r>
              <w:rPr>
                <w:rFonts w:ascii="Arial" w:cs="Arial" w:eastAsia="Arial" w:hAnsi="Arial"/>
                <w:sz w:val="17"/>
                <w:szCs w:val="17"/>
                <w:color w:val="auto"/>
              </w:rPr>
              <w:t>Summarized Income Statements</w:t>
            </w:r>
          </w:p>
        </w:tc>
        <w:tc>
          <w:tcPr>
            <w:tcW w:w="32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240" w:type="dxa"/>
            <w:vAlign w:val="bottom"/>
          </w:tcPr>
          <w:p>
            <w:pPr>
              <w:spacing w:after="0"/>
              <w:rPr>
                <w:sz w:val="18"/>
                <w:szCs w:val="18"/>
                <w:color w:val="auto"/>
              </w:rPr>
            </w:pPr>
          </w:p>
        </w:tc>
        <w:tc>
          <w:tcPr>
            <w:tcW w:w="7960" w:type="dxa"/>
            <w:vAlign w:val="bottom"/>
          </w:tcPr>
          <w:p>
            <w:pPr>
              <w:ind w:left="780"/>
              <w:spacing w:after="0"/>
              <w:rPr>
                <w:sz w:val="20"/>
                <w:szCs w:val="20"/>
                <w:color w:val="auto"/>
              </w:rPr>
            </w:pPr>
            <w:r>
              <w:rPr>
                <w:rFonts w:ascii="Arial" w:cs="Arial" w:eastAsia="Arial" w:hAnsi="Arial"/>
                <w:sz w:val="17"/>
                <w:szCs w:val="17"/>
                <w:color w:val="auto"/>
              </w:rPr>
              <w:t>Summarized Balance Sheets</w:t>
            </w:r>
          </w:p>
        </w:tc>
        <w:tc>
          <w:tcPr>
            <w:tcW w:w="32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3"/>
        </w:trPr>
        <w:tc>
          <w:tcPr>
            <w:tcW w:w="240" w:type="dxa"/>
            <w:vAlign w:val="bottom"/>
          </w:tcPr>
          <w:p>
            <w:pPr>
              <w:spacing w:after="0"/>
              <w:rPr>
                <w:sz w:val="18"/>
                <w:szCs w:val="18"/>
                <w:color w:val="auto"/>
              </w:rPr>
            </w:pPr>
          </w:p>
        </w:tc>
        <w:tc>
          <w:tcPr>
            <w:tcW w:w="7960" w:type="dxa"/>
            <w:vAlign w:val="bottom"/>
          </w:tcPr>
          <w:p>
            <w:pPr>
              <w:ind w:left="780"/>
              <w:spacing w:after="0"/>
              <w:rPr>
                <w:sz w:val="20"/>
                <w:szCs w:val="20"/>
                <w:color w:val="auto"/>
              </w:rPr>
            </w:pPr>
            <w:r>
              <w:rPr>
                <w:rFonts w:ascii="Arial" w:cs="Arial" w:eastAsia="Arial" w:hAnsi="Arial"/>
                <w:sz w:val="17"/>
                <w:szCs w:val="17"/>
                <w:color w:val="auto"/>
              </w:rPr>
              <w:t>Funds From Operations / Summary of Capital Expenditures</w:t>
            </w:r>
          </w:p>
        </w:tc>
        <w:tc>
          <w:tcPr>
            <w:tcW w:w="32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3"/>
        </w:trPr>
        <w:tc>
          <w:tcPr>
            <w:tcW w:w="240" w:type="dxa"/>
            <w:vAlign w:val="bottom"/>
          </w:tcPr>
          <w:p>
            <w:pPr>
              <w:spacing w:after="0"/>
              <w:rPr>
                <w:sz w:val="18"/>
                <w:szCs w:val="18"/>
                <w:color w:val="auto"/>
              </w:rPr>
            </w:pPr>
          </w:p>
        </w:tc>
        <w:tc>
          <w:tcPr>
            <w:tcW w:w="7960" w:type="dxa"/>
            <w:vAlign w:val="bottom"/>
          </w:tcPr>
          <w:p>
            <w:pPr>
              <w:ind w:left="780"/>
              <w:spacing w:after="0"/>
              <w:rPr>
                <w:sz w:val="20"/>
                <w:szCs w:val="20"/>
                <w:color w:val="auto"/>
              </w:rPr>
            </w:pPr>
            <w:r>
              <w:rPr>
                <w:rFonts w:ascii="Arial" w:cs="Arial" w:eastAsia="Arial" w:hAnsi="Arial"/>
                <w:sz w:val="17"/>
                <w:szCs w:val="17"/>
                <w:color w:val="auto"/>
              </w:rPr>
              <w:t>Market Data</w:t>
            </w:r>
          </w:p>
        </w:tc>
        <w:tc>
          <w:tcPr>
            <w:tcW w:w="32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240" w:type="dxa"/>
            <w:vAlign w:val="bottom"/>
          </w:tcPr>
          <w:p>
            <w:pPr>
              <w:spacing w:after="0"/>
              <w:rPr>
                <w:sz w:val="19"/>
                <w:szCs w:val="19"/>
                <w:color w:val="auto"/>
              </w:rPr>
            </w:pPr>
          </w:p>
        </w:tc>
        <w:tc>
          <w:tcPr>
            <w:tcW w:w="7960" w:type="dxa"/>
            <w:vAlign w:val="bottom"/>
          </w:tcPr>
          <w:p>
            <w:pPr>
              <w:ind w:left="780"/>
              <w:spacing w:after="0"/>
              <w:rPr>
                <w:sz w:val="20"/>
                <w:szCs w:val="20"/>
                <w:color w:val="auto"/>
              </w:rPr>
            </w:pPr>
            <w:r>
              <w:rPr>
                <w:rFonts w:ascii="Arial" w:cs="Arial" w:eastAsia="Arial" w:hAnsi="Arial"/>
                <w:sz w:val="17"/>
                <w:szCs w:val="17"/>
                <w:color w:val="auto"/>
              </w:rPr>
              <w:t>Components of Rental Income</w:t>
            </w:r>
          </w:p>
        </w:tc>
        <w:tc>
          <w:tcPr>
            <w:tcW w:w="322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00"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Summary of Outstanding Debt and Capital Lease Obligations</w:t>
            </w:r>
          </w:p>
        </w:tc>
        <w:tc>
          <w:tcPr>
            <w:tcW w:w="31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280" w:type="dxa"/>
            <w:vAlign w:val="bottom"/>
          </w:tcPr>
          <w:p>
            <w:pPr>
              <w:spacing w:after="0"/>
              <w:rPr>
                <w:sz w:val="19"/>
                <w:szCs w:val="19"/>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Summary of Debt Maturities</w:t>
            </w:r>
          </w:p>
        </w:tc>
        <w:tc>
          <w:tcPr>
            <w:tcW w:w="3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798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3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5.</w:t>
            </w:r>
          </w:p>
        </w:tc>
        <w:tc>
          <w:tcPr>
            <w:tcW w:w="7980" w:type="dxa"/>
            <w:vAlign w:val="bottom"/>
          </w:tcPr>
          <w:p>
            <w:pPr>
              <w:ind w:left="40"/>
              <w:spacing w:after="0"/>
              <w:rPr>
                <w:sz w:val="20"/>
                <w:szCs w:val="20"/>
                <w:color w:val="auto"/>
              </w:rPr>
            </w:pPr>
            <w:r>
              <w:rPr>
                <w:rFonts w:ascii="Arial" w:cs="Arial" w:eastAsia="Arial" w:hAnsi="Arial"/>
                <w:sz w:val="17"/>
                <w:szCs w:val="17"/>
                <w:color w:val="auto"/>
              </w:rPr>
              <w:t>2007 Acquisitions and Dispositions</w:t>
            </w:r>
          </w:p>
        </w:tc>
        <w:tc>
          <w:tcPr>
            <w:tcW w:w="31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6.</w:t>
            </w:r>
          </w:p>
        </w:tc>
        <w:tc>
          <w:tcPr>
            <w:tcW w:w="798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3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7.</w:t>
            </w:r>
          </w:p>
        </w:tc>
        <w:tc>
          <w:tcPr>
            <w:tcW w:w="798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31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8.</w:t>
            </w:r>
          </w:p>
        </w:tc>
        <w:tc>
          <w:tcPr>
            <w:tcW w:w="798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31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798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31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798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31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798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31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3"/>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798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3160" w:type="dxa"/>
            <w:vAlign w:val="bottom"/>
          </w:tcPr>
          <w:p>
            <w:pPr>
              <w:spacing w:after="0"/>
              <w:rPr>
                <w:sz w:val="24"/>
                <w:szCs w:val="24"/>
                <w:color w:val="auto"/>
              </w:rPr>
            </w:pPr>
          </w:p>
        </w:tc>
      </w:tr>
      <w:tr>
        <w:trPr>
          <w:trHeight w:val="213"/>
        </w:trPr>
        <w:tc>
          <w:tcPr>
            <w:tcW w:w="280" w:type="dxa"/>
            <w:vAlign w:val="bottom"/>
          </w:tcPr>
          <w:p>
            <w:pPr>
              <w:spacing w:after="0"/>
              <w:rPr>
                <w:sz w:val="18"/>
                <w:szCs w:val="18"/>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Summarized Income Statements and Balance Sheets</w:t>
            </w:r>
          </w:p>
        </w:tc>
        <w:tc>
          <w:tcPr>
            <w:tcW w:w="31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3"/>
        </w:trPr>
        <w:tc>
          <w:tcPr>
            <w:tcW w:w="280" w:type="dxa"/>
            <w:vAlign w:val="bottom"/>
          </w:tcPr>
          <w:p>
            <w:pPr>
              <w:spacing w:after="0"/>
              <w:rPr>
                <w:sz w:val="18"/>
                <w:szCs w:val="18"/>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Summary of Outstanding Debt and Debt Maturities</w:t>
            </w:r>
          </w:p>
        </w:tc>
        <w:tc>
          <w:tcPr>
            <w:tcW w:w="31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280" w:type="dxa"/>
            <w:vAlign w:val="bottom"/>
          </w:tcPr>
          <w:p>
            <w:pPr>
              <w:spacing w:after="0"/>
              <w:rPr>
                <w:sz w:val="18"/>
                <w:szCs w:val="18"/>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Current Year Acquisitions and Dispositions</w:t>
            </w:r>
          </w:p>
        </w:tc>
        <w:tc>
          <w:tcPr>
            <w:tcW w:w="31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280" w:type="dxa"/>
            <w:vAlign w:val="bottom"/>
          </w:tcPr>
          <w:p>
            <w:pPr>
              <w:spacing w:after="0"/>
              <w:rPr>
                <w:sz w:val="19"/>
                <w:szCs w:val="19"/>
                <w:color w:val="auto"/>
              </w:rPr>
            </w:pPr>
          </w:p>
        </w:tc>
        <w:tc>
          <w:tcPr>
            <w:tcW w:w="7980" w:type="dxa"/>
            <w:vAlign w:val="bottom"/>
          </w:tcPr>
          <w:p>
            <w:pPr>
              <w:ind w:left="740"/>
              <w:spacing w:after="0"/>
              <w:rPr>
                <w:sz w:val="20"/>
                <w:szCs w:val="20"/>
                <w:color w:val="auto"/>
              </w:rPr>
            </w:pPr>
            <w:r>
              <w:rPr>
                <w:rFonts w:ascii="Arial" w:cs="Arial" w:eastAsia="Arial" w:hAnsi="Arial"/>
                <w:sz w:val="17"/>
                <w:szCs w:val="17"/>
                <w:color w:val="auto"/>
              </w:rPr>
              <w:t>Real Estate Status Report</w:t>
            </w:r>
          </w:p>
        </w:tc>
        <w:tc>
          <w:tcPr>
            <w:tcW w:w="31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20"/>
        </w:trPr>
        <w:tc>
          <w:tcPr>
            <w:tcW w:w="280" w:type="dxa"/>
            <w:vAlign w:val="bottom"/>
          </w:tcPr>
          <w:p>
            <w:pPr>
              <w:spacing w:after="0"/>
              <w:rPr>
                <w:sz w:val="20"/>
                <w:szCs w:val="20"/>
                <w:color w:val="auto"/>
              </w:rPr>
            </w:pPr>
            <w:r>
              <w:rPr>
                <w:rFonts w:ascii="Arial" w:cs="Arial" w:eastAsia="Arial" w:hAnsi="Arial"/>
                <w:sz w:val="17"/>
                <w:szCs w:val="17"/>
                <w:color w:val="auto"/>
              </w:rPr>
              <w:t>13.</w:t>
            </w:r>
          </w:p>
        </w:tc>
        <w:tc>
          <w:tcPr>
            <w:tcW w:w="798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316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Safe Harbor Language</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47" w:lineRule="exact"/>
        <w:rPr>
          <w:sz w:val="20"/>
          <w:szCs w:val="20"/>
          <w:color w:val="auto"/>
        </w:rPr>
      </w:pPr>
    </w:p>
    <w:p>
      <w:pPr>
        <w:ind w:left="900" w:hanging="333"/>
        <w:spacing w:after="0"/>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97" w:lineRule="exact"/>
        <w:rPr>
          <w:rFonts w:ascii="MS PGothic" w:cs="MS PGothic" w:eastAsia="MS PGothic" w:hAnsi="MS PGothic"/>
          <w:sz w:val="17"/>
          <w:szCs w:val="17"/>
          <w:color w:val="auto"/>
        </w:rPr>
      </w:pPr>
    </w:p>
    <w:p>
      <w:pPr>
        <w:ind w:left="900" w:right="480" w:hanging="333"/>
        <w:spacing w:after="0" w:line="309" w:lineRule="auto"/>
        <w:tabs>
          <w:tab w:leader="none" w:pos="900" w:val="left"/>
        </w:tabs>
        <w:numPr>
          <w:ilvl w:val="0"/>
          <w:numId w:val="4"/>
        </w:numPr>
        <w:rPr>
          <w:rFonts w:ascii="MS PGothic" w:cs="MS PGothic" w:eastAsia="MS PGothic" w:hAnsi="MS PGothic"/>
          <w:sz w:val="16"/>
          <w:szCs w:val="16"/>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2" w:lineRule="exact"/>
        <w:rPr>
          <w:rFonts w:ascii="MS PGothic" w:cs="MS PGothic" w:eastAsia="MS PGothic" w:hAnsi="MS PGothic"/>
          <w:sz w:val="16"/>
          <w:szCs w:val="16"/>
          <w:color w:val="auto"/>
        </w:rPr>
      </w:pPr>
    </w:p>
    <w:p>
      <w:pPr>
        <w:ind w:left="900" w:right="120" w:hanging="333"/>
        <w:spacing w:after="0" w:line="291" w:lineRule="auto"/>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2" w:lineRule="exact"/>
        <w:rPr>
          <w:rFonts w:ascii="MS PGothic" w:cs="MS PGothic" w:eastAsia="MS PGothic" w:hAnsi="MS PGothic"/>
          <w:sz w:val="17"/>
          <w:szCs w:val="17"/>
          <w:color w:val="auto"/>
        </w:rPr>
      </w:pPr>
    </w:p>
    <w:p>
      <w:pPr>
        <w:ind w:left="900" w:hanging="333"/>
        <w:spacing w:after="0" w:line="272" w:lineRule="auto"/>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7" w:lineRule="exact"/>
        <w:rPr>
          <w:rFonts w:ascii="MS PGothic" w:cs="MS PGothic" w:eastAsia="MS PGothic" w:hAnsi="MS PGothic"/>
          <w:sz w:val="17"/>
          <w:szCs w:val="17"/>
          <w:color w:val="auto"/>
        </w:rPr>
      </w:pPr>
    </w:p>
    <w:p>
      <w:pPr>
        <w:ind w:left="900" w:hanging="333"/>
        <w:spacing w:after="0"/>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that our growth will be limited if we cannot obtain additional capital;</w:t>
      </w:r>
    </w:p>
    <w:p>
      <w:pPr>
        <w:spacing w:after="0" w:line="97" w:lineRule="exact"/>
        <w:rPr>
          <w:rFonts w:ascii="MS PGothic" w:cs="MS PGothic" w:eastAsia="MS PGothic" w:hAnsi="MS PGothic"/>
          <w:sz w:val="17"/>
          <w:szCs w:val="17"/>
          <w:color w:val="auto"/>
        </w:rPr>
      </w:pPr>
    </w:p>
    <w:p>
      <w:pPr>
        <w:ind w:left="900" w:right="200" w:hanging="333"/>
        <w:spacing w:after="0" w:line="277" w:lineRule="auto"/>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3" w:lineRule="exact"/>
        <w:rPr>
          <w:rFonts w:ascii="MS PGothic" w:cs="MS PGothic" w:eastAsia="MS PGothic" w:hAnsi="MS PGothic"/>
          <w:sz w:val="17"/>
          <w:szCs w:val="17"/>
          <w:color w:val="auto"/>
        </w:rPr>
      </w:pPr>
    </w:p>
    <w:p>
      <w:pPr>
        <w:ind w:left="900" w:right="220" w:hanging="333"/>
        <w:spacing w:after="0" w:line="277" w:lineRule="auto"/>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3"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1, 2007.</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2"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129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4580" w:type="dxa"/>
            <w:vAlign w:val="bottom"/>
          </w:tcPr>
          <w:p>
            <w:pPr>
              <w:spacing w:after="0"/>
              <w:rPr>
                <w:sz w:val="19"/>
                <w:szCs w:val="19"/>
                <w:color w:val="auto"/>
              </w:rPr>
            </w:pPr>
          </w:p>
        </w:tc>
      </w:tr>
      <w:tr>
        <w:trPr>
          <w:trHeight w:val="37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4"/>
              </w:rPr>
              <w:t>Investor and Media Inquiries</w:t>
            </w:r>
          </w:p>
        </w:tc>
        <w:tc>
          <w:tcPr>
            <w:tcW w:w="230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25"/>
        </w:trPr>
        <w:tc>
          <w:tcPr>
            <w:tcW w:w="434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4580" w:type="dxa"/>
            <w:vAlign w:val="bottom"/>
          </w:tcPr>
          <w:p>
            <w:pPr>
              <w:ind w:left="1720"/>
              <w:spacing w:after="0"/>
              <w:rPr>
                <w:sz w:val="20"/>
                <w:szCs w:val="20"/>
                <w:color w:val="auto"/>
              </w:rPr>
            </w:pPr>
            <w:r>
              <w:rPr>
                <w:rFonts w:ascii="Arial" w:cs="Arial" w:eastAsia="Arial" w:hAnsi="Arial"/>
                <w:sz w:val="17"/>
                <w:szCs w:val="17"/>
                <w:color w:val="auto"/>
              </w:rPr>
              <w:t>Vikki Kayne</w:t>
            </w:r>
          </w:p>
        </w:tc>
      </w:tr>
      <w:tr>
        <w:trPr>
          <w:trHeight w:val="213"/>
        </w:trPr>
        <w:tc>
          <w:tcPr>
            <w:tcW w:w="434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4580" w:type="dxa"/>
            <w:vAlign w:val="bottom"/>
          </w:tcPr>
          <w:p>
            <w:pPr>
              <w:ind w:left="1720"/>
              <w:spacing w:after="0"/>
              <w:rPr>
                <w:sz w:val="20"/>
                <w:szCs w:val="20"/>
                <w:color w:val="auto"/>
              </w:rPr>
            </w:pPr>
            <w:r>
              <w:rPr>
                <w:rFonts w:ascii="Arial" w:cs="Arial" w:eastAsia="Arial" w:hAnsi="Arial"/>
                <w:sz w:val="17"/>
                <w:szCs w:val="17"/>
                <w:color w:val="auto"/>
              </w:rPr>
              <w:t>Vice President,</w:t>
            </w:r>
          </w:p>
        </w:tc>
      </w:tr>
      <w:tr>
        <w:trPr>
          <w:trHeight w:val="213"/>
        </w:trPr>
        <w:tc>
          <w:tcPr>
            <w:tcW w:w="4340" w:type="dxa"/>
            <w:vAlign w:val="bottom"/>
            <w:gridSpan w:val="2"/>
          </w:tcPr>
          <w:p>
            <w:pPr>
              <w:spacing w:after="0"/>
              <w:rPr>
                <w:sz w:val="20"/>
                <w:szCs w:val="20"/>
                <w:color w:val="auto"/>
              </w:rPr>
            </w:pPr>
            <w:r>
              <w:rPr>
                <w:rFonts w:ascii="Arial" w:cs="Arial" w:eastAsia="Arial" w:hAnsi="Arial"/>
                <w:sz w:val="17"/>
                <w:szCs w:val="17"/>
                <w:color w:val="auto"/>
              </w:rPr>
              <w:t>Capital Markets &amp; Investor Relations</w:t>
            </w:r>
          </w:p>
        </w:tc>
        <w:tc>
          <w:tcPr>
            <w:tcW w:w="4580" w:type="dxa"/>
            <w:vAlign w:val="bottom"/>
          </w:tcPr>
          <w:p>
            <w:pPr>
              <w:ind w:left="1720"/>
              <w:spacing w:after="0"/>
              <w:rPr>
                <w:sz w:val="20"/>
                <w:szCs w:val="20"/>
                <w:color w:val="auto"/>
              </w:rPr>
            </w:pPr>
            <w:r>
              <w:rPr>
                <w:rFonts w:ascii="Arial" w:cs="Arial" w:eastAsia="Arial" w:hAnsi="Arial"/>
                <w:sz w:val="17"/>
                <w:szCs w:val="17"/>
                <w:color w:val="auto"/>
                <w:w w:val="93"/>
              </w:rPr>
              <w:t>Marketing &amp; Corporate Communications</w:t>
            </w: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301/998-8166</w:t>
            </w:r>
          </w:p>
        </w:tc>
        <w:tc>
          <w:tcPr>
            <w:tcW w:w="2300" w:type="dxa"/>
            <w:vAlign w:val="bottom"/>
          </w:tcPr>
          <w:p>
            <w:pPr>
              <w:spacing w:after="0"/>
              <w:rPr>
                <w:sz w:val="18"/>
                <w:szCs w:val="18"/>
                <w:color w:val="auto"/>
              </w:rPr>
            </w:pPr>
          </w:p>
        </w:tc>
        <w:tc>
          <w:tcPr>
            <w:tcW w:w="4580" w:type="dxa"/>
            <w:vAlign w:val="bottom"/>
          </w:tcPr>
          <w:p>
            <w:pPr>
              <w:ind w:left="1720"/>
              <w:spacing w:after="0"/>
              <w:rPr>
                <w:sz w:val="20"/>
                <w:szCs w:val="20"/>
                <w:color w:val="auto"/>
              </w:rPr>
            </w:pPr>
            <w:r>
              <w:rPr>
                <w:rFonts w:ascii="Arial" w:cs="Arial" w:eastAsia="Arial" w:hAnsi="Arial"/>
                <w:sz w:val="17"/>
                <w:szCs w:val="17"/>
                <w:color w:val="auto"/>
              </w:rPr>
              <w:t>301/998-8178</w:t>
            </w:r>
          </w:p>
        </w:tc>
      </w:tr>
      <w:tr>
        <w:trPr>
          <w:trHeight w:val="220"/>
        </w:trPr>
        <w:tc>
          <w:tcPr>
            <w:tcW w:w="434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4580" w:type="dxa"/>
            <w:vAlign w:val="bottom"/>
          </w:tcPr>
          <w:p>
            <w:pPr>
              <w:ind w:left="1720"/>
              <w:spacing w:after="0"/>
              <w:rPr>
                <w:sz w:val="20"/>
                <w:szCs w:val="20"/>
                <w:color w:val="auto"/>
              </w:rPr>
            </w:pPr>
            <w:r>
              <w:rPr>
                <w:rFonts w:ascii="Arial" w:cs="Arial" w:eastAsia="Arial" w:hAnsi="Arial"/>
                <w:sz w:val="17"/>
                <w:szCs w:val="17"/>
                <w:i w:val="1"/>
                <w:iCs w:val="1"/>
                <w:color w:val="auto"/>
              </w:rPr>
              <w:t>vkayne@federalrealty.com</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2007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ROCKVILLE, Md. (May 2, 2007) – Federal Realty Investment Trust (NYSE:FRT) today reported operating results for the quarter ended March 31, 2007.</w:t>
      </w:r>
    </w:p>
    <w:p>
      <w:pPr>
        <w:spacing w:after="0" w:line="98" w:lineRule="exact"/>
        <w:rPr>
          <w:sz w:val="20"/>
          <w:szCs w:val="20"/>
          <w:color w:val="auto"/>
        </w:rPr>
      </w:pPr>
    </w:p>
    <w:p>
      <w:pPr>
        <w:ind w:left="900" w:hanging="333"/>
        <w:spacing w:after="0" w:line="291" w:lineRule="auto"/>
        <w:tabs>
          <w:tab w:leader="none" w:pos="9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Funds from operations available for common shareholders (FFO) per diluted share was $0.88 and earnings per diluted common share was $0.41 for the quarter ended March 31, 2007, versus $0.81 and $0.53, respectively, for first quarter 2006.</w:t>
      </w:r>
    </w:p>
    <w:p>
      <w:pPr>
        <w:spacing w:after="0" w:line="32" w:lineRule="exact"/>
        <w:rPr>
          <w:rFonts w:ascii="MS PGothic" w:cs="MS PGothic" w:eastAsia="MS PGothic" w:hAnsi="MS PGothic"/>
          <w:sz w:val="17"/>
          <w:szCs w:val="17"/>
          <w:color w:val="auto"/>
        </w:rPr>
      </w:pPr>
    </w:p>
    <w:p>
      <w:pPr>
        <w:ind w:left="900" w:right="800" w:hanging="333"/>
        <w:spacing w:after="0" w:line="291" w:lineRule="auto"/>
        <w:tabs>
          <w:tab w:leader="none" w:pos="9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Same-center property operating income increased 4.5% including redevelopments and expansions, and 4.1% excluding redevelopments and expansions, when compared to first quarter 2006.</w:t>
      </w:r>
    </w:p>
    <w:p>
      <w:pPr>
        <w:spacing w:after="0" w:line="32" w:lineRule="exact"/>
        <w:rPr>
          <w:rFonts w:ascii="MS PGothic" w:cs="MS PGothic" w:eastAsia="MS PGothic" w:hAnsi="MS PGothic"/>
          <w:sz w:val="17"/>
          <w:szCs w:val="17"/>
          <w:color w:val="auto"/>
        </w:rPr>
      </w:pPr>
    </w:p>
    <w:p>
      <w:pPr>
        <w:ind w:left="900" w:hanging="333"/>
        <w:spacing w:after="0" w:line="291" w:lineRule="auto"/>
        <w:tabs>
          <w:tab w:leader="none" w:pos="9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Rent increases on lease rollovers for retail space for which there was a prior tenant were 19% on a cash-basis and 30% on a GAAP-basis for the quarter ended March 31, 2007.</w:t>
      </w:r>
    </w:p>
    <w:p>
      <w:pPr>
        <w:spacing w:after="0" w:line="32" w:lineRule="exact"/>
        <w:rPr>
          <w:rFonts w:ascii="MS PGothic" w:cs="MS PGothic" w:eastAsia="MS PGothic" w:hAnsi="MS PGothic"/>
          <w:sz w:val="17"/>
          <w:szCs w:val="17"/>
          <w:color w:val="auto"/>
        </w:rPr>
      </w:pPr>
    </w:p>
    <w:p>
      <w:pPr>
        <w:ind w:left="900" w:hanging="333"/>
        <w:spacing w:after="0"/>
        <w:tabs>
          <w:tab w:leader="none" w:pos="9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The Trust’s portfolio was 96.6% leased and 95.3% occupied as of March 31, 2007.</w:t>
      </w:r>
    </w:p>
    <w:p>
      <w:pPr>
        <w:spacing w:after="0" w:line="97" w:lineRule="exact"/>
        <w:rPr>
          <w:rFonts w:ascii="MS PGothic" w:cs="MS PGothic" w:eastAsia="MS PGothic" w:hAnsi="MS PGothic"/>
          <w:sz w:val="17"/>
          <w:szCs w:val="17"/>
          <w:color w:val="auto"/>
        </w:rPr>
      </w:pPr>
    </w:p>
    <w:p>
      <w:pPr>
        <w:ind w:left="900" w:hanging="333"/>
        <w:spacing w:after="0"/>
        <w:tabs>
          <w:tab w:leader="none" w:pos="9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Guidance for 2007 FFO per diluted share remains unchanged at $3.60 to $3.65.</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10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first quarter 2007, Federal Realty reported FFO of $49.6 million, or $0.88 per diluted share. This compares to FFO of $43.4 million, or $0.81 per diluted share, reported in first quarter 2006. Net income available for common shareholders was $23.1 million and earnings per diluted common share was $0.41 for the quarter ended March 31, 2007, versus $28.2 million and $0.53, respectively, for first quarter 2006. Net income available for common shareholders in first quarter 2006 included $8.7 million ($0.16 per diluted share) of gains on sales of real estate.</w:t>
      </w:r>
    </w:p>
    <w:p>
      <w:pPr>
        <w:spacing w:after="0" w:line="127"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104"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On a same-center basis, including redevelopments and expansions, property operating income increased 4.5% over first quarter 2006. When redevelopments and expansions are excluded from same-center results, property operating income increased 4.1% from first quarter 2006.</w:t>
      </w:r>
    </w:p>
    <w:p>
      <w:pPr>
        <w:sectPr>
          <w:pgSz w:w="11900" w:h="16838" w:orient="portrait"/>
          <w:cols w:equalWidth="0" w:num="1">
            <w:col w:w="11400"/>
          </w:cols>
          <w:pgMar w:left="240" w:top="1440"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 ANNOUNCES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2007 OPERATING RESULTS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May 2, 2007</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7"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color w:val="auto"/>
        </w:rPr>
        <w:t>Overall, the Trust’s portfolio was 96.6% leased and 95.3% occupied as of March 31, 2007, compared to 96.2% and 94.8%, respectively, on March 31, 2006. Federal Realty’s same-center portfolio was 96.7% leased and 96.3% occupied on March 31, 2007, compared to 97.2% and 96.5%, respectively, on March 31, 2006.</w:t>
      </w:r>
    </w:p>
    <w:p>
      <w:pPr>
        <w:spacing w:after="0" w:line="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first quarter 2007, the Trust signed 90 leases for 395,000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334,000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19%. The average contractual rent on this comparable space for the first year of the new lease is $29.18 per square foot compared to the average contractual rent of $24.59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30% for first quarter 2007. As of March 31, 2007, Federal Realty’s average contractual, cash basis minimum rent for retail and commercial space in its portfolio is $19.25 per square foot.</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“By combining consistently strong operating performance with accretive redevelopment returns and the positive impact from 2006 financing activity, we produced strong year over year growth, in spite of the loss of rent from the Tower Records and Storehouse Furniture bankruptcies,” commented Donald C. Wood, president and chief executive officer of Federal Realty Investment Trust.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104"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auto"/>
        </w:rPr>
        <w:t>Federal Realty left its guidance for 2007 FFO per diluted share unchanged at a range of $3.60 to $3.65, and revised its 2007 earnings per diluted common share guidance to a range of $1.77 to $1.82.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104" w:lineRule="exact"/>
        <w:rPr>
          <w:sz w:val="20"/>
          <w:szCs w:val="20"/>
          <w:color w:val="auto"/>
        </w:rPr>
      </w:pPr>
    </w:p>
    <w:p>
      <w:pPr>
        <w:ind w:left="900" w:right="100" w:hanging="333"/>
        <w:spacing w:after="0" w:line="272"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March 9, 2007 – Federal Realty announced the acquisition of a portfolio of retail assets in the Baltimore metropolitan area from a private owner for approximately $189 million. The portfolio is located in White Marsh, one of the primary retail nodes in the metropolitan Baltimore market, and consists of 665,000 square feet of retail and commercial space. The acquisition was made using a combination of cash, common stock and convertible preferred stock, downREIT units and the assumption of fixed-rate debt.</w:t>
      </w:r>
    </w:p>
    <w:p>
      <w:pPr>
        <w:sectPr>
          <w:pgSz w:w="11900" w:h="16838" w:orient="portrait"/>
          <w:cols w:equalWidth="0" w:num="1">
            <w:col w:w="11420"/>
          </w:cols>
          <w:pgMar w:left="240" w:top="27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 ANNOUNCES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2007 OPERATING RESULTS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May 2, 2007</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first quarter 2007 earnings conference call, which is scheduled for May 3, 2007, at 11 a.m. Eastern Daylight Time. To participate, please call (866) 383-8003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June 4, 2007, by dialing (866) 286-8010.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10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19.6 million square feet located primarily in strategic metropolitan markets in the Northeast, Mid-Atlantic, and California. In addition, the Trust has an ownership interest in approximately 0.9 million square feet of retail space through its joint venture with Clarion Lion Properties Fund in which the Trust has a 30% interest. Our operating portfolio (excluding joint venture properties) was 96.6% leased to national, regional, and local retailers as of March 31, 2007, with no single tenant accounting for more than approximately 2.9% of annualized base rent. Federal Realty has paid quarterly dividends to its shareholders continuously since its founding in 1962, and has increased its dividend rate for 39 consecutive years, the longest record in the REIT industry. Shares of Federal Realty are traded on the NYSE under the symbol FRT.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10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47" w:lineRule="exact"/>
        <w:rPr>
          <w:sz w:val="20"/>
          <w:szCs w:val="20"/>
          <w:color w:val="auto"/>
        </w:rPr>
      </w:pPr>
    </w:p>
    <w:p>
      <w:pPr>
        <w:ind w:left="900" w:hanging="333"/>
        <w:spacing w:after="0"/>
        <w:tabs>
          <w:tab w:leader="none" w:pos="90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97" w:lineRule="exact"/>
        <w:rPr>
          <w:rFonts w:ascii="MS PGothic" w:cs="MS PGothic" w:eastAsia="MS PGothic" w:hAnsi="MS PGothic"/>
          <w:sz w:val="17"/>
          <w:szCs w:val="17"/>
          <w:color w:val="auto"/>
        </w:rPr>
      </w:pPr>
    </w:p>
    <w:p>
      <w:pPr>
        <w:ind w:left="900" w:right="500" w:hanging="333"/>
        <w:spacing w:after="0" w:line="329" w:lineRule="auto"/>
        <w:tabs>
          <w:tab w:leader="none" w:pos="900" w:val="left"/>
        </w:tabs>
        <w:numPr>
          <w:ilvl w:val="0"/>
          <w:numId w:val="7"/>
        </w:numPr>
        <w:rPr>
          <w:rFonts w:ascii="MS PGothic" w:cs="MS PGothic" w:eastAsia="MS PGothic" w:hAnsi="MS PGothic"/>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3" w:lineRule="exact"/>
        <w:rPr>
          <w:rFonts w:ascii="MS PGothic" w:cs="MS PGothic" w:eastAsia="MS PGothic" w:hAnsi="MS PGothic"/>
          <w:sz w:val="15"/>
          <w:szCs w:val="15"/>
          <w:color w:val="auto"/>
        </w:rPr>
      </w:pPr>
    </w:p>
    <w:p>
      <w:pPr>
        <w:ind w:left="900" w:right="120" w:hanging="333"/>
        <w:spacing w:after="0" w:line="291" w:lineRule="auto"/>
        <w:tabs>
          <w:tab w:leader="none" w:pos="90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2" w:lineRule="exact"/>
        <w:rPr>
          <w:rFonts w:ascii="MS PGothic" w:cs="MS PGothic" w:eastAsia="MS PGothic" w:hAnsi="MS PGothic"/>
          <w:sz w:val="17"/>
          <w:szCs w:val="17"/>
          <w:color w:val="auto"/>
        </w:rPr>
      </w:pPr>
    </w:p>
    <w:p>
      <w:pPr>
        <w:ind w:left="900" w:hanging="333"/>
        <w:spacing w:after="0" w:line="272" w:lineRule="auto"/>
        <w:tabs>
          <w:tab w:leader="none" w:pos="90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ectPr>
          <w:pgSz w:w="11900" w:h="16838" w:orient="portrait"/>
          <w:cols w:equalWidth="0" w:num="1">
            <w:col w:w="11400"/>
          </w:cols>
          <w:pgMar w:left="240" w:top="278"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 ANNOUNCES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2007 OPERATING RESULTS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May 2, 2007</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57" w:lineRule="exact"/>
        <w:rPr>
          <w:sz w:val="20"/>
          <w:szCs w:val="20"/>
          <w:color w:val="auto"/>
        </w:rPr>
      </w:pPr>
    </w:p>
    <w:p>
      <w:pPr>
        <w:ind w:left="900" w:hanging="333"/>
        <w:spacing w:after="0"/>
        <w:tabs>
          <w:tab w:leader="none" w:pos="90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risks that our growth will be limited if we cannot obtain additional capital;</w:t>
      </w:r>
    </w:p>
    <w:p>
      <w:pPr>
        <w:spacing w:after="0" w:line="97" w:lineRule="exact"/>
        <w:rPr>
          <w:rFonts w:ascii="MS PGothic" w:cs="MS PGothic" w:eastAsia="MS PGothic" w:hAnsi="MS PGothic"/>
          <w:sz w:val="17"/>
          <w:szCs w:val="17"/>
          <w:color w:val="auto"/>
        </w:rPr>
      </w:pPr>
    </w:p>
    <w:p>
      <w:pPr>
        <w:ind w:left="900" w:hanging="333"/>
        <w:spacing w:after="0" w:line="277" w:lineRule="auto"/>
        <w:tabs>
          <w:tab w:leader="none" w:pos="90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3" w:lineRule="exact"/>
        <w:rPr>
          <w:rFonts w:ascii="MS PGothic" w:cs="MS PGothic" w:eastAsia="MS PGothic" w:hAnsi="MS PGothic"/>
          <w:sz w:val="17"/>
          <w:szCs w:val="17"/>
          <w:color w:val="auto"/>
        </w:rPr>
      </w:pPr>
    </w:p>
    <w:p>
      <w:pPr>
        <w:ind w:left="900" w:right="260" w:hanging="333"/>
        <w:spacing w:after="0" w:line="277" w:lineRule="auto"/>
        <w:tabs>
          <w:tab w:leader="none" w:pos="90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press release.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Except as may be required by law, we make no promise to update any of the forward-looking statements as a result of new information, future events or otherwise.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You should carefully review the risks and risk factors included in our Annual Report on Form 10-K filed March 1, 2007.</w:t>
      </w:r>
    </w:p>
    <w:p>
      <w:pPr>
        <w:sectPr>
          <w:pgSz w:w="11900" w:h="16838" w:orient="portrait"/>
          <w:cols w:equalWidth="0" w:num="1">
            <w:col w:w="11420"/>
          </w:cols>
          <w:pgMar w:left="240" w:top="278"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0" w:lineRule="exact"/>
              <w:rPr>
                <w:sz w:val="20"/>
                <w:szCs w:val="20"/>
                <w:color w:val="auto"/>
              </w:rPr>
            </w:pPr>
            <w:r>
              <w:rPr>
                <w:rFonts w:ascii="Arial" w:cs="Arial" w:eastAsia="Arial" w:hAnsi="Arial"/>
                <w:sz w:val="13"/>
                <w:szCs w:val="13"/>
                <w:b w:val="1"/>
                <w:bCs w:val="1"/>
                <w:color w:val="auto"/>
              </w:rPr>
              <w:t>2007</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except per</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0"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83"/>
              </w:rPr>
              <w:t>(in thousands,</w:t>
            </w: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0" w:type="dxa"/>
            <w:vAlign w:val="bottom"/>
            <w:gridSpan w:val="2"/>
          </w:tcPr>
          <w:p>
            <w:pPr>
              <w:jc w:val="right"/>
              <w:ind w:right="214"/>
              <w:spacing w:after="0" w:line="128" w:lineRule="exact"/>
              <w:rPr>
                <w:sz w:val="20"/>
                <w:szCs w:val="20"/>
                <w:color w:val="auto"/>
              </w:rPr>
            </w:pPr>
            <w:r>
              <w:rPr>
                <w:rFonts w:ascii="Arial" w:cs="Arial" w:eastAsia="Arial" w:hAnsi="Arial"/>
                <w:sz w:val="13"/>
                <w:szCs w:val="13"/>
                <w:b w:val="1"/>
                <w:bCs w:val="1"/>
                <w:color w:val="auto"/>
                <w:w w:val="97"/>
              </w:rPr>
              <w:t>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6"/>
              </w:rPr>
              <w:t>(unaudited)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26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118,933</w:t>
            </w:r>
          </w:p>
        </w:tc>
        <w:tc>
          <w:tcPr>
            <w:tcW w:w="7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104,964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2,438</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122,501</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2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25,648</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11,665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5,604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26,357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69,274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53,227</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Interest expense</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593"/>
              <w:spacing w:after="0"/>
              <w:rPr>
                <w:sz w:val="20"/>
                <w:szCs w:val="20"/>
                <w:color w:val="auto"/>
              </w:rPr>
            </w:pPr>
            <w:r>
              <w:rPr>
                <w:rFonts w:ascii="Arial" w:cs="Arial" w:eastAsia="Arial" w:hAnsi="Arial"/>
                <w:sz w:val="17"/>
                <w:szCs w:val="17"/>
                <w:color w:val="auto"/>
              </w:rPr>
              <w:t>(29,317)</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(24,280)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Minority interests</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ind w:right="593"/>
              <w:spacing w:after="0"/>
              <w:rPr>
                <w:sz w:val="20"/>
                <w:szCs w:val="20"/>
                <w:color w:val="auto"/>
              </w:rPr>
            </w:pPr>
            <w:r>
              <w:rPr>
                <w:rFonts w:ascii="Arial" w:cs="Arial" w:eastAsia="Arial" w:hAnsi="Arial"/>
                <w:sz w:val="17"/>
                <w:szCs w:val="17"/>
                <w:color w:val="auto"/>
              </w:rPr>
              <w:t>(1,296)</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2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23,248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from discontinued operations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93"/>
              <w:spacing w:after="0"/>
              <w:rPr>
                <w:sz w:val="20"/>
                <w:szCs w:val="20"/>
                <w:color w:val="auto"/>
              </w:rPr>
            </w:pPr>
            <w:r>
              <w:rPr>
                <w:rFonts w:ascii="Arial" w:cs="Arial" w:eastAsia="Arial" w:hAnsi="Arial"/>
                <w:sz w:val="17"/>
                <w:szCs w:val="17"/>
                <w:color w:val="auto"/>
              </w:rPr>
              <w:t>(112)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Results from discontinued operations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93"/>
              <w:spacing w:after="0"/>
              <w:rPr>
                <w:sz w:val="20"/>
                <w:szCs w:val="20"/>
                <w:color w:val="auto"/>
              </w:rPr>
            </w:pPr>
            <w:r>
              <w:rPr>
                <w:rFonts w:ascii="Arial" w:cs="Arial" w:eastAsia="Arial" w:hAnsi="Arial"/>
                <w:sz w:val="17"/>
                <w:szCs w:val="17"/>
                <w:color w:val="auto"/>
              </w:rPr>
              <w:t>(112)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23,136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on preferred stock</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93"/>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9"/>
        </w:trPr>
        <w:tc>
          <w:tcPr>
            <w:tcW w:w="6200" w:type="dxa"/>
            <w:vAlign w:val="bottom"/>
            <w:gridSpan w:val="2"/>
          </w:tcPr>
          <w:p>
            <w:pPr>
              <w:spacing w:after="0"/>
              <w:rPr>
                <w:sz w:val="20"/>
                <w:szCs w:val="20"/>
                <w:color w:val="auto"/>
              </w:rPr>
            </w:pPr>
            <w:r>
              <w:rPr>
                <w:rFonts w:ascii="Arial" w:cs="Arial" w:eastAsia="Arial" w:hAnsi="Arial"/>
                <w:sz w:val="17"/>
                <w:szCs w:val="17"/>
                <w:color w:val="auto"/>
              </w:rPr>
              <w:t>Net income available for common shareholders</w:t>
            </w:r>
          </w:p>
        </w:tc>
        <w:tc>
          <w:tcPr>
            <w:tcW w:w="2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Continuing operations</w:t>
            </w:r>
          </w:p>
        </w:tc>
        <w:tc>
          <w:tcPr>
            <w:tcW w:w="26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0.42</w:t>
            </w:r>
          </w:p>
        </w:tc>
        <w:tc>
          <w:tcPr>
            <w:tcW w:w="7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6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0.42</w:t>
            </w:r>
          </w:p>
        </w:tc>
        <w:tc>
          <w:tcPr>
            <w:tcW w:w="7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basic</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55,422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0" w:type="dxa"/>
            <w:vAlign w:val="bottom"/>
            <w:gridSpan w:val="2"/>
            <w:vMerge w:val="continue"/>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26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0.41</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number of common shares, diluted</w:t>
            </w: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0" w:type="dxa"/>
            <w:vAlign w:val="bottom"/>
            <w:gridSpan w:val="2"/>
            <w:vMerge w:val="continue"/>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55,921</w:t>
            </w:r>
          </w:p>
        </w:tc>
        <w:tc>
          <w:tcPr>
            <w:tcW w:w="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13"/>
              <w:spacing w:after="0"/>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2007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
              <w:spacing w:after="0" w:line="128"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4"/>
          </w:tcPr>
          <w:p>
            <w:pPr>
              <w:jc w:val="right"/>
              <w:ind w:right="454"/>
              <w:spacing w:after="0" w:line="128" w:lineRule="exact"/>
              <w:rPr>
                <w:sz w:val="20"/>
                <w:szCs w:val="20"/>
                <w:color w:val="auto"/>
              </w:rPr>
            </w:pPr>
            <w:r>
              <w:rPr>
                <w:rFonts w:ascii="Arial" w:cs="Arial" w:eastAsia="Arial" w:hAnsi="Arial"/>
                <w:sz w:val="13"/>
                <w:szCs w:val="13"/>
                <w:b w:val="1"/>
                <w:bCs w:val="1"/>
                <w:color w:val="auto"/>
                <w:w w:val="74"/>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980" w:type="dxa"/>
            <w:vAlign w:val="bottom"/>
            <w:gridSpan w:val="3"/>
          </w:tcPr>
          <w:p>
            <w:pPr>
              <w:jc w:val="center"/>
              <w:ind w:right="113"/>
              <w:spacing w:after="0"/>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9"/>
              </w:rPr>
              <w:t>3,318,605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3,084,731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100" w:type="dxa"/>
            <w:vAlign w:val="bottom"/>
          </w:tcPr>
          <w:p>
            <w:pPr>
              <w:spacing w:after="0"/>
              <w:rPr>
                <w:sz w:val="18"/>
                <w:szCs w:val="18"/>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104,963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Assets held for sale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w w:val="89"/>
              </w:rPr>
              <w:t>3,443,321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3,204,258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(763,575)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(740,507)</w:t>
            </w:r>
          </w:p>
        </w:tc>
        <w:tc>
          <w:tcPr>
            <w:tcW w:w="0" w:type="dxa"/>
            <w:vAlign w:val="bottom"/>
          </w:tcPr>
          <w:p>
            <w:pPr>
              <w:spacing w:after="0"/>
              <w:rPr>
                <w:sz w:val="1"/>
                <w:szCs w:val="1"/>
                <w:color w:val="auto"/>
              </w:rPr>
            </w:pPr>
          </w:p>
        </w:tc>
      </w:tr>
      <w:tr>
        <w:trPr>
          <w:trHeight w:val="219"/>
        </w:trPr>
        <w:tc>
          <w:tcPr>
            <w:tcW w:w="948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2,679,746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2,463,751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15,987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100" w:type="dxa"/>
            <w:vAlign w:val="bottom"/>
          </w:tcPr>
          <w:p>
            <w:pPr>
              <w:spacing w:after="0"/>
              <w:rPr>
                <w:sz w:val="18"/>
                <w:szCs w:val="18"/>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50,996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40,716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tcPr>
          <w:p>
            <w:pPr>
              <w:spacing w:after="0"/>
              <w:rPr>
                <w:sz w:val="18"/>
                <w:szCs w:val="18"/>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31,661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4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w w:val="89"/>
              </w:rPr>
              <w:t>2,929,363</w:t>
            </w:r>
          </w:p>
        </w:tc>
        <w:tc>
          <w:tcPr>
            <w:tcW w:w="200" w:type="dxa"/>
            <w:vAlign w:val="bottom"/>
            <w:gridSpan w:val="2"/>
          </w:tcPr>
          <w:p>
            <w:pPr>
              <w:ind w:left="100"/>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2,688,606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948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 and mortgage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532,761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8"/>
                <w:szCs w:val="18"/>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168,475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9"/>
              </w:rPr>
              <w:t>1,127,528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7"/>
                <w:szCs w:val="17"/>
                <w:color w:val="auto"/>
              </w:rPr>
              <w:t>Accounts payable and other liabilities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194,997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9"/>
              </w:rPr>
              <w:t>2,023,761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1,882,337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9480" w:type="dxa"/>
            <w:vAlign w:val="bottom"/>
            <w:gridSpan w:val="2"/>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24"/>
                <w:szCs w:val="24"/>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38,623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22,191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7"/>
                <w:szCs w:val="17"/>
                <w:color w:val="auto"/>
              </w:rPr>
              <w:t>Preferred stock</w:t>
            </w:r>
          </w:p>
        </w:tc>
        <w:tc>
          <w:tcPr>
            <w:tcW w:w="100" w:type="dxa"/>
            <w:vAlign w:val="bottom"/>
          </w:tcPr>
          <w:p>
            <w:pPr>
              <w:spacing w:after="0"/>
              <w:rPr>
                <w:sz w:val="18"/>
                <w:szCs w:val="18"/>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7"/>
                <w:szCs w:val="17"/>
                <w:color w:val="auto"/>
              </w:rPr>
              <w:t>9,997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856,982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8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9"/>
              </w:rPr>
              <w:t>2,929,363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0" w:lineRule="exact"/>
              <w:rPr>
                <w:sz w:val="20"/>
                <w:szCs w:val="20"/>
                <w:color w:val="auto"/>
              </w:rPr>
            </w:pPr>
            <w:r>
              <w:rPr>
                <w:rFonts w:ascii="Arial" w:cs="Arial" w:eastAsia="Arial" w:hAnsi="Arial"/>
                <w:sz w:val="13"/>
                <w:szCs w:val="13"/>
                <w:b w:val="1"/>
                <w:bCs w:val="1"/>
                <w:color w:val="auto"/>
              </w:rPr>
              <w:t>2007</w:t>
            </w: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0" w:lineRule="exact"/>
              <w:rPr>
                <w:sz w:val="20"/>
                <w:szCs w:val="20"/>
                <w:color w:val="auto"/>
              </w:rPr>
            </w:pPr>
            <w:r>
              <w:rPr>
                <w:rFonts w:ascii="Arial" w:cs="Arial" w:eastAsia="Arial" w:hAnsi="Arial"/>
                <w:sz w:val="13"/>
                <w:szCs w:val="13"/>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5"/>
          </w:tcPr>
          <w:p>
            <w:pPr>
              <w:jc w:val="right"/>
              <w:ind w:right="460"/>
              <w:spacing w:after="0" w:line="140" w:lineRule="exact"/>
              <w:rPr>
                <w:sz w:val="20"/>
                <w:szCs w:val="20"/>
                <w:color w:val="auto"/>
              </w:rPr>
            </w:pPr>
            <w:r>
              <w:rPr>
                <w:rFonts w:ascii="Arial" w:cs="Arial" w:eastAsia="Arial" w:hAnsi="Arial"/>
                <w:sz w:val="13"/>
                <w:szCs w:val="13"/>
                <w:b w:val="1"/>
                <w:bCs w:val="1"/>
                <w:color w:val="auto"/>
                <w:w w:val="95"/>
              </w:rPr>
              <w:t>(in thousands, except per share data)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20" w:type="dxa"/>
            <w:vAlign w:val="bottom"/>
            <w:gridSpan w:val="4"/>
            <w:shd w:val="clear" w:color="auto" w:fill="CCEEFF"/>
          </w:tcPr>
          <w:p>
            <w:pPr>
              <w:spacing w:after="0" w:line="173" w:lineRule="exact"/>
              <w:rPr>
                <w:sz w:val="20"/>
                <w:szCs w:val="20"/>
                <w:color w:val="auto"/>
              </w:rPr>
            </w:pPr>
            <w:r>
              <w:rPr>
                <w:rFonts w:ascii="Arial" w:cs="Arial" w:eastAsia="Arial" w:hAnsi="Arial"/>
                <w:sz w:val="17"/>
                <w:szCs w:val="17"/>
                <w:color w:val="auto"/>
              </w:rPr>
              <w:t>Funds from Operations available for common shareholders (FFO) (1)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Net income</w:t>
            </w:r>
          </w:p>
        </w:tc>
        <w:tc>
          <w:tcPr>
            <w:tcW w:w="3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23,136</w:t>
            </w: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31,031</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23,942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21,874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Depreciation of real estate partnership assets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49,416</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20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40" w:type="dxa"/>
            <w:vAlign w:val="bottom"/>
            <w:gridSpan w:val="5"/>
          </w:tcPr>
          <w:p>
            <w:pPr>
              <w:spacing w:after="0"/>
              <w:rPr>
                <w:sz w:val="20"/>
                <w:szCs w:val="20"/>
                <w:color w:val="auto"/>
              </w:rPr>
            </w:pPr>
            <w:r>
              <w:rPr>
                <w:rFonts w:ascii="Arial" w:cs="Arial" w:eastAsia="Arial" w:hAnsi="Arial"/>
                <w:sz w:val="17"/>
                <w:szCs w:val="17"/>
                <w:color w:val="auto"/>
              </w:rPr>
              <w:t>FFO</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49,625</w:t>
            </w: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 per diluted share</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4"/>
            <w:vMerge w:val="restart"/>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520" w:type="dxa"/>
            <w:vAlign w:val="bottom"/>
            <w:gridSpan w:val="4"/>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56,345</w:t>
            </w:r>
          </w:p>
        </w:tc>
        <w:tc>
          <w:tcPr>
            <w:tcW w:w="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92"/>
              </w:rPr>
              <w:t>Summary of Capital Expenditures</w:t>
            </w:r>
          </w:p>
        </w:tc>
        <w:tc>
          <w:tcPr>
            <w:tcW w:w="616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rPr>
              <w:t>Tenant improvements and incentives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3,033</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Maintenance capital expenditures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1,153</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25,537</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5"/>
            <w:vMerge w:val="restart"/>
          </w:tcPr>
          <w:p>
            <w:pPr>
              <w:spacing w:after="0"/>
              <w:rPr>
                <w:sz w:val="20"/>
                <w:szCs w:val="20"/>
                <w:color w:val="auto"/>
              </w:rPr>
            </w:pPr>
            <w:r>
              <w:rPr>
                <w:rFonts w:ascii="Arial" w:cs="Arial" w:eastAsia="Arial" w:hAnsi="Arial"/>
                <w:sz w:val="17"/>
                <w:szCs w:val="17"/>
                <w:color w:val="auto"/>
              </w:rPr>
              <w:t>Dividends and Payout Ratios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5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Regular common dividends declared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32,383</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7"/>
                <w:szCs w:val="17"/>
                <w:color w:val="auto"/>
              </w:rPr>
              <w:t>Special common dividends declared (2)</w:t>
            </w:r>
          </w:p>
        </w:tc>
        <w:tc>
          <w:tcPr>
            <w:tcW w:w="200" w:type="dxa"/>
            <w:vAlign w:val="bottom"/>
          </w:tcPr>
          <w:p>
            <w:pPr>
              <w:spacing w:after="0"/>
              <w:rPr>
                <w:sz w:val="19"/>
                <w:szCs w:val="19"/>
                <w:color w:val="auto"/>
              </w:rPr>
            </w:pPr>
          </w:p>
        </w:tc>
        <w:tc>
          <w:tcPr>
            <w:tcW w:w="1600" w:type="dxa"/>
            <w:vAlign w:val="bottom"/>
            <w:gridSpan w:val="2"/>
          </w:tcPr>
          <w:p>
            <w:pPr>
              <w:jc w:val="right"/>
              <w:ind w:right="10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10,606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Common dividends declared</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32,383</w:t>
            </w: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5"/>
            <w:vMerge w:val="restart"/>
          </w:tcPr>
          <w:p>
            <w:pPr>
              <w:spacing w:after="0"/>
              <w:rPr>
                <w:sz w:val="20"/>
                <w:szCs w:val="20"/>
                <w:color w:val="auto"/>
              </w:rPr>
            </w:pPr>
            <w:r>
              <w:rPr>
                <w:rFonts w:ascii="Arial" w:cs="Arial" w:eastAsia="Arial" w:hAnsi="Arial"/>
                <w:sz w:val="17"/>
                <w:szCs w:val="17"/>
                <w:color w:val="auto"/>
              </w:rPr>
              <w:t>Dividend payout ratio as a percentage of FFO (excluding special dividends) (2)</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54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592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 FFO available for common shareholders excludes the gain on sale of condominiums at Santana Row.</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of condominiums at Santana Row resulted in special dividends in the first quarter of 2006.</w:t>
      </w:r>
    </w:p>
    <w:p>
      <w:pPr>
        <w:sectPr>
          <w:pgSz w:w="11900" w:h="16838" w:orient="portrait"/>
          <w:cols w:equalWidth="0" w:num="1">
            <w:col w:w="11420"/>
          </w:cols>
          <w:pgMar w:left="240" w:top="272"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March 31, 2007</w:t>
            </w:r>
          </w:p>
        </w:tc>
        <w:tc>
          <w:tcPr>
            <w:tcW w:w="76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March 31, 2006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gridSpan w:val="5"/>
          </w:tcPr>
          <w:p>
            <w:pPr>
              <w:jc w:val="right"/>
              <w:ind w:right="440"/>
              <w:spacing w:after="0" w:line="140" w:lineRule="exact"/>
              <w:rPr>
                <w:sz w:val="20"/>
                <w:szCs w:val="20"/>
                <w:color w:val="auto"/>
              </w:rPr>
            </w:pPr>
            <w:r>
              <w:rPr>
                <w:rFonts w:ascii="Arial" w:cs="Arial" w:eastAsia="Arial" w:hAnsi="Arial"/>
                <w:sz w:val="13"/>
                <w:szCs w:val="13"/>
                <w:b w:val="1"/>
                <w:bCs w:val="1"/>
                <w:color w:val="auto"/>
                <w:w w:val="94"/>
              </w:rPr>
              <w:t>(in thousands, except per share data)</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data</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Common shares outstanding (1)</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7"/>
                <w:szCs w:val="17"/>
                <w:color w:val="auto"/>
              </w:rPr>
              <w:t>56,347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53,035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common share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90.62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860"/>
              <w:spacing w:after="0"/>
              <w:rPr>
                <w:sz w:val="20"/>
                <w:szCs w:val="20"/>
                <w:color w:val="auto"/>
              </w:rPr>
            </w:pPr>
            <w:r>
              <w:rPr>
                <w:rFonts w:ascii="Arial" w:cs="Arial" w:eastAsia="Arial" w:hAnsi="Arial"/>
                <w:sz w:val="17"/>
                <w:szCs w:val="17"/>
                <w:color w:val="auto"/>
              </w:rPr>
              <w:t>Common equity market capitalization</w:t>
            </w:r>
          </w:p>
        </w:tc>
        <w:tc>
          <w:tcPr>
            <w:tcW w:w="1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8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760"/>
              <w:spacing w:after="0"/>
              <w:rPr>
                <w:sz w:val="20"/>
                <w:szCs w:val="20"/>
                <w:color w:val="auto"/>
              </w:rPr>
            </w:pPr>
            <w:r>
              <w:rPr>
                <w:rFonts w:ascii="Arial" w:cs="Arial" w:eastAsia="Arial" w:hAnsi="Arial"/>
                <w:sz w:val="17"/>
                <w:szCs w:val="17"/>
                <w:color w:val="auto"/>
                <w:w w:val="97"/>
              </w:rPr>
              <w:t>5,106,165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3,988,232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Series 1 preferred shares outstanding</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400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Liquidation price per Series 1 preferred share (2)</w:t>
            </w:r>
          </w:p>
        </w:tc>
        <w:tc>
          <w:tcPr>
            <w:tcW w:w="1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760"/>
              <w:spacing w:after="0"/>
              <w:rPr>
                <w:sz w:val="20"/>
                <w:szCs w:val="20"/>
                <w:color w:val="auto"/>
              </w:rPr>
            </w:pPr>
            <w:r>
              <w:rPr>
                <w:rFonts w:ascii="Arial" w:cs="Arial" w:eastAsia="Arial" w:hAnsi="Arial"/>
                <w:sz w:val="17"/>
                <w:szCs w:val="17"/>
                <w:color w:val="auto"/>
              </w:rPr>
              <w:t>25.00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Series 1 preferred equity market capitalization</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9"/>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Series B preferred shares outstanding (3)</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Series B preferred share</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80" w:type="dxa"/>
            <w:vAlign w:val="bottom"/>
            <w:gridSpan w:val="2"/>
          </w:tcPr>
          <w:p>
            <w:pPr>
              <w:ind w:left="860"/>
              <w:spacing w:after="0"/>
              <w:rPr>
                <w:sz w:val="20"/>
                <w:szCs w:val="20"/>
                <w:color w:val="auto"/>
              </w:rPr>
            </w:pPr>
            <w:r>
              <w:rPr>
                <w:rFonts w:ascii="Arial" w:cs="Arial" w:eastAsia="Arial" w:hAnsi="Arial"/>
                <w:sz w:val="17"/>
                <w:szCs w:val="17"/>
                <w:color w:val="auto"/>
              </w:rPr>
              <w:t>Series B preferred equity market capitalization</w:t>
            </w:r>
          </w:p>
        </w:tc>
        <w:tc>
          <w:tcPr>
            <w:tcW w:w="1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 w:type="dxa"/>
            <w:vAlign w:val="bottom"/>
            <w:shd w:val="clear" w:color="auto" w:fill="CCEEFF"/>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equity market capitalization</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40"/>
              <w:spacing w:after="0"/>
              <w:rPr>
                <w:sz w:val="20"/>
                <w:szCs w:val="20"/>
                <w:color w:val="auto"/>
              </w:rPr>
            </w:pPr>
            <w:r>
              <w:rPr>
                <w:rFonts w:ascii="Arial" w:cs="Arial" w:eastAsia="Arial" w:hAnsi="Arial"/>
                <w:sz w:val="17"/>
                <w:szCs w:val="17"/>
                <w:color w:val="auto"/>
              </w:rPr>
              <w:t>Equity market capitalization</w:t>
            </w:r>
          </w:p>
        </w:tc>
        <w:tc>
          <w:tcPr>
            <w:tcW w:w="1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8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760"/>
              <w:spacing w:after="0"/>
              <w:rPr>
                <w:sz w:val="20"/>
                <w:szCs w:val="20"/>
                <w:color w:val="auto"/>
              </w:rPr>
            </w:pPr>
            <w:r>
              <w:rPr>
                <w:rFonts w:ascii="Arial" w:cs="Arial" w:eastAsia="Arial" w:hAnsi="Arial"/>
                <w:sz w:val="17"/>
                <w:szCs w:val="17"/>
                <w:color w:val="auto"/>
                <w:w w:val="97"/>
              </w:rPr>
              <w:t>5,116,165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4,127,498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debt (4)</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97"/>
              </w:rPr>
              <w:t>1,828,764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1,391,993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market capitalization</w:t>
            </w:r>
          </w:p>
        </w:tc>
        <w:tc>
          <w:tcPr>
            <w:tcW w:w="1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8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760"/>
              <w:spacing w:after="0"/>
              <w:rPr>
                <w:sz w:val="20"/>
                <w:szCs w:val="20"/>
                <w:color w:val="auto"/>
              </w:rPr>
            </w:pPr>
            <w:r>
              <w:rPr>
                <w:rFonts w:ascii="Arial" w:cs="Arial" w:eastAsia="Arial" w:hAnsi="Arial"/>
                <w:sz w:val="17"/>
                <w:szCs w:val="17"/>
                <w:color w:val="auto"/>
                <w:w w:val="97"/>
              </w:rPr>
              <w:t>6,944,929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5,519,491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19"/>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Total debt to market capitalization at constant common share price of $75.20</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Fixed rate debt ratio:</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gridSpan w:val="2"/>
          </w:tcPr>
          <w:p>
            <w:pPr>
              <w:ind w:left="860"/>
              <w:spacing w:after="0"/>
              <w:rPr>
                <w:sz w:val="20"/>
                <w:szCs w:val="20"/>
                <w:color w:val="auto"/>
              </w:rPr>
            </w:pPr>
            <w:r>
              <w:rPr>
                <w:rFonts w:ascii="Arial" w:cs="Arial" w:eastAsia="Arial" w:hAnsi="Arial"/>
                <w:sz w:val="17"/>
                <w:szCs w:val="17"/>
                <w:color w:val="auto"/>
              </w:rPr>
              <w:t>Fixed rate debt and capital lease obligations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Variable rate debt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jc w:val="both"/>
        <w:ind w:left="460" w:right="280" w:hanging="453"/>
        <w:spacing w:after="0" w:line="261"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57,832,082 shares issued net of 1,485,279 shares held in Treasury as of March 31, 2007. As of March 31, 2006, consists of 54,515,403 shares issued net of 1,480,798 shares held in Treasury. Amounts do not include 561,714 and 420,426 Operating Partnership Units outstanding at March 31, 2007 and 2006, respectively.</w:t>
      </w:r>
    </w:p>
    <w:p>
      <w:pPr>
        <w:spacing w:after="0" w:line="2" w:lineRule="exact"/>
        <w:rPr>
          <w:rFonts w:ascii="Arial" w:cs="Arial" w:eastAsia="Arial" w:hAnsi="Arial"/>
          <w:sz w:val="17"/>
          <w:szCs w:val="17"/>
          <w:color w:val="auto"/>
        </w:rPr>
      </w:pPr>
    </w:p>
    <w:p>
      <w:pPr>
        <w:ind w:left="460" w:hanging="453"/>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November 27, 2006, the Trust redeemed the Series B preferred shares.</w:t>
      </w:r>
    </w:p>
    <w:p>
      <w:pPr>
        <w:spacing w:after="0" w:line="17" w:lineRule="exact"/>
        <w:rPr>
          <w:rFonts w:ascii="Arial" w:cs="Arial" w:eastAsia="Arial" w:hAnsi="Arial"/>
          <w:sz w:val="17"/>
          <w:szCs w:val="17"/>
          <w:color w:val="auto"/>
        </w:rPr>
      </w:pPr>
    </w:p>
    <w:p>
      <w:pPr>
        <w:ind w:left="460" w:right="460" w:hanging="453"/>
        <w:spacing w:after="0" w:line="272"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debt includes capital leases, mortgages payable, notes payable, senior notes and debentures, net of premiums and discounts from our consolidated balance sheet. It does not include the $23.2 million which is the Trust’s 30% share of the total $77.4 million debt of the partnership with Clarion Lion Properties Fund.</w:t>
      </w:r>
    </w:p>
    <w:p>
      <w:pPr>
        <w:sectPr>
          <w:pgSz w:w="11900" w:h="16838" w:orient="portrait"/>
          <w:cols w:equalWidth="0" w:num="1">
            <w:col w:w="11420"/>
          </w:cols>
          <w:pgMar w:left="240" w:top="272"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1960" w:type="dxa"/>
            <w:vAlign w:val="bottom"/>
            <w:gridSpan w:val="6"/>
          </w:tcPr>
          <w:p>
            <w:pPr>
              <w:ind w:left="80"/>
              <w:spacing w:after="0"/>
              <w:rPr>
                <w:sz w:val="20"/>
                <w:szCs w:val="20"/>
                <w:color w:val="auto"/>
              </w:rPr>
            </w:pPr>
            <w:r>
              <w:rPr>
                <w:rFonts w:ascii="Arial" w:cs="Arial" w:eastAsia="Arial" w:hAnsi="Arial"/>
                <w:sz w:val="13"/>
                <w:szCs w:val="13"/>
                <w:b w:val="1"/>
                <w:bCs w:val="1"/>
                <w:color w:val="auto"/>
                <w:w w:val="97"/>
              </w:rPr>
              <w:t>Three months ended March 31,</w:t>
            </w:r>
          </w:p>
        </w:tc>
      </w:tr>
      <w:tr>
        <w:trPr>
          <w:trHeight w:val="140"/>
        </w:trPr>
        <w:tc>
          <w:tcPr>
            <w:tcW w:w="9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0" w:lineRule="exact"/>
              <w:rPr>
                <w:sz w:val="20"/>
                <w:szCs w:val="20"/>
                <w:color w:val="auto"/>
              </w:rPr>
            </w:pPr>
            <w:r>
              <w:rPr>
                <w:rFonts w:ascii="Arial" w:cs="Arial" w:eastAsia="Arial" w:hAnsi="Arial"/>
                <w:sz w:val="13"/>
                <w:szCs w:val="13"/>
                <w:b w:val="1"/>
                <w:bCs w:val="1"/>
                <w:color w:val="auto"/>
              </w:rPr>
              <w:t>2007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0"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38"/>
              <w:spacing w:after="0" w:line="140" w:lineRule="exact"/>
              <w:rPr>
                <w:sz w:val="20"/>
                <w:szCs w:val="20"/>
                <w:color w:val="auto"/>
              </w:rPr>
            </w:pPr>
            <w:r>
              <w:rPr>
                <w:rFonts w:ascii="Arial" w:cs="Arial" w:eastAsia="Arial" w:hAnsi="Arial"/>
                <w:sz w:val="13"/>
                <w:szCs w:val="13"/>
                <w:b w:val="1"/>
                <w:bCs w:val="1"/>
                <w:color w:val="auto"/>
              </w:rPr>
              <w:t>(in</w:t>
            </w:r>
          </w:p>
        </w:tc>
        <w:tc>
          <w:tcPr>
            <w:tcW w:w="1100" w:type="dxa"/>
            <w:vAlign w:val="bottom"/>
            <w:gridSpan w:val="3"/>
          </w:tcPr>
          <w:p>
            <w:pPr>
              <w:jc w:val="center"/>
              <w:ind w:right="476"/>
              <w:spacing w:after="0" w:line="140" w:lineRule="exact"/>
              <w:rPr>
                <w:sz w:val="20"/>
                <w:szCs w:val="20"/>
                <w:color w:val="auto"/>
              </w:rPr>
            </w:pPr>
            <w:r>
              <w:rPr>
                <w:rFonts w:ascii="Arial" w:cs="Arial" w:eastAsia="Arial" w:hAnsi="Arial"/>
                <w:sz w:val="13"/>
                <w:szCs w:val="13"/>
                <w:b w:val="1"/>
                <w:bCs w:val="1"/>
                <w:color w:val="auto"/>
                <w:w w:val="77"/>
              </w:rPr>
              <w:t>thousands)</w:t>
            </w:r>
          </w:p>
        </w:tc>
        <w:tc>
          <w:tcPr>
            <w:tcW w:w="20" w:type="dxa"/>
            <w:vAlign w:val="bottom"/>
          </w:tcPr>
          <w:p>
            <w:pPr>
              <w:spacing w:after="0"/>
              <w:rPr>
                <w:sz w:val="12"/>
                <w:szCs w:val="12"/>
                <w:color w:val="auto"/>
              </w:rPr>
            </w:pPr>
          </w:p>
        </w:tc>
      </w:tr>
      <w:tr>
        <w:trPr>
          <w:trHeight w:val="213"/>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Minimum rents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9480" w:type="dxa"/>
            <w:vAlign w:val="bottom"/>
            <w:gridSpan w:val="2"/>
          </w:tcPr>
          <w:p>
            <w:pPr>
              <w:ind w:left="860"/>
              <w:spacing w:after="0"/>
              <w:rPr>
                <w:sz w:val="20"/>
                <w:szCs w:val="20"/>
                <w:color w:val="auto"/>
              </w:rPr>
            </w:pPr>
            <w:r>
              <w:rPr>
                <w:rFonts w:ascii="Arial" w:cs="Arial" w:eastAsia="Arial" w:hAnsi="Arial"/>
                <w:sz w:val="17"/>
                <w:szCs w:val="17"/>
                <w:color w:val="auto"/>
              </w:rPr>
              <w:t>Retail and commercial properties (1)</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88,059</w:t>
            </w:r>
          </w:p>
        </w:tc>
        <w:tc>
          <w:tcPr>
            <w:tcW w:w="420" w:type="dxa"/>
            <w:vAlign w:val="bottom"/>
            <w:gridSpan w:val="2"/>
          </w:tcPr>
          <w:p>
            <w:pPr>
              <w:jc w:val="center"/>
              <w:ind w:left="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78,988</w:t>
            </w:r>
          </w:p>
        </w:tc>
        <w:tc>
          <w:tcPr>
            <w:tcW w:w="20" w:type="dxa"/>
            <w:vAlign w:val="bottom"/>
          </w:tcPr>
          <w:p>
            <w:pPr>
              <w:spacing w:after="0"/>
              <w:rPr>
                <w:sz w:val="18"/>
                <w:szCs w:val="18"/>
                <w:color w:val="auto"/>
              </w:rPr>
            </w:pPr>
          </w:p>
        </w:tc>
      </w:tr>
      <w:tr>
        <w:trPr>
          <w:trHeight w:val="213"/>
        </w:trPr>
        <w:tc>
          <w:tcPr>
            <w:tcW w:w="94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Residential (2)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20" w:type="dxa"/>
            <w:vAlign w:val="bottom"/>
          </w:tcPr>
          <w:p>
            <w:pPr>
              <w:spacing w:after="0"/>
              <w:rPr>
                <w:sz w:val="18"/>
                <w:szCs w:val="18"/>
                <w:color w:val="auto"/>
              </w:rPr>
            </w:pPr>
          </w:p>
        </w:tc>
      </w:tr>
      <w:tr>
        <w:trPr>
          <w:trHeight w:val="213"/>
        </w:trPr>
        <w:tc>
          <w:tcPr>
            <w:tcW w:w="9480" w:type="dxa"/>
            <w:vAlign w:val="bottom"/>
            <w:gridSpan w:val="2"/>
          </w:tcPr>
          <w:p>
            <w:pPr>
              <w:ind w:left="440"/>
              <w:spacing w:after="0"/>
              <w:rPr>
                <w:sz w:val="20"/>
                <w:szCs w:val="20"/>
                <w:color w:val="auto"/>
              </w:rPr>
            </w:pPr>
            <w:r>
              <w:rPr>
                <w:rFonts w:ascii="Arial" w:cs="Arial" w:eastAsia="Arial" w:hAnsi="Arial"/>
                <w:sz w:val="17"/>
                <w:szCs w:val="17"/>
                <w:color w:val="auto"/>
              </w:rPr>
              <w:t>Cost reimbursements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20,309</w:t>
            </w:r>
          </w:p>
        </w:tc>
        <w:tc>
          <w:tcPr>
            <w:tcW w:w="20" w:type="dxa"/>
            <w:vAlign w:val="bottom"/>
          </w:tcPr>
          <w:p>
            <w:pPr>
              <w:spacing w:after="0"/>
              <w:rPr>
                <w:sz w:val="18"/>
                <w:szCs w:val="18"/>
                <w:color w:val="auto"/>
              </w:rPr>
            </w:pPr>
          </w:p>
        </w:tc>
      </w:tr>
      <w:tr>
        <w:trPr>
          <w:trHeight w:val="213"/>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Percentage rents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20" w:type="dxa"/>
            <w:vAlign w:val="bottom"/>
          </w:tcPr>
          <w:p>
            <w:pPr>
              <w:spacing w:after="0"/>
              <w:rPr>
                <w:sz w:val="18"/>
                <w:szCs w:val="18"/>
                <w:color w:val="auto"/>
              </w:rPr>
            </w:pPr>
          </w:p>
        </w:tc>
      </w:tr>
      <w:tr>
        <w:trPr>
          <w:trHeight w:val="220"/>
        </w:trPr>
        <w:tc>
          <w:tcPr>
            <w:tcW w:w="9480" w:type="dxa"/>
            <w:vAlign w:val="bottom"/>
            <w:gridSpan w:val="2"/>
          </w:tcPr>
          <w:p>
            <w:pPr>
              <w:ind w:left="440"/>
              <w:spacing w:after="0"/>
              <w:rPr>
                <w:sz w:val="20"/>
                <w:szCs w:val="20"/>
                <w:color w:val="auto"/>
              </w:rPr>
            </w:pPr>
            <w:r>
              <w:rPr>
                <w:rFonts w:ascii="Arial" w:cs="Arial" w:eastAsia="Arial" w:hAnsi="Arial"/>
                <w:sz w:val="17"/>
                <w:szCs w:val="17"/>
                <w:color w:val="auto"/>
              </w:rPr>
              <w:t>Other rental income</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20" w:type="dxa"/>
            <w:vAlign w:val="bottom"/>
          </w:tcPr>
          <w:p>
            <w:pPr>
              <w:spacing w:after="0"/>
              <w:rPr>
                <w:sz w:val="19"/>
                <w:szCs w:val="19"/>
                <w:color w:val="auto"/>
              </w:rPr>
            </w:pPr>
          </w:p>
        </w:tc>
      </w:tr>
      <w:tr>
        <w:trPr>
          <w:trHeight w:val="213"/>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rental income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118,933</w:t>
            </w:r>
          </w:p>
        </w:tc>
        <w:tc>
          <w:tcPr>
            <w:tcW w:w="420" w:type="dxa"/>
            <w:vAlign w:val="bottom"/>
            <w:gridSpan w:val="2"/>
            <w:shd w:val="clear" w:color="auto" w:fill="CCEEFF"/>
          </w:tcPr>
          <w:p>
            <w:pPr>
              <w:jc w:val="center"/>
              <w:ind w:left="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104,964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0"/>
        </w:trPr>
        <w:tc>
          <w:tcPr>
            <w:tcW w:w="94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right="240" w:hanging="453"/>
        <w:spacing w:after="0" w:line="261"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Minimum rents include $1.9 million and $1.4 million for the three months ended March 31, 2007 and 2006, respectively, to recognize minimum rents on a straight-line basis as required by GAAP. Minimum rents include $0.9 million and $0.5 million for the three months ended March 31, 2007 and 2006, respectively, to recognize income from the amortization of in-place leases in accordance with SFAS 141.</w:t>
      </w:r>
    </w:p>
    <w:p>
      <w:pPr>
        <w:spacing w:after="0" w:line="2" w:lineRule="exact"/>
        <w:rPr>
          <w:rFonts w:ascii="Arial" w:cs="Arial" w:eastAsia="Arial" w:hAnsi="Arial"/>
          <w:sz w:val="17"/>
          <w:szCs w:val="17"/>
          <w:color w:val="auto"/>
        </w:rPr>
      </w:pPr>
    </w:p>
    <w:p>
      <w:pPr>
        <w:ind w:left="460" w:right="20" w:hanging="453"/>
        <w:spacing w:after="0" w:line="283"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Residential minimum rents consist of the entire rental amounts at Rollingwood Apartments, the Crest at Congressional Apartments and the residential units at Santana Row excluding those units sold as condominiums which are included in discontinued operations.</w:t>
      </w:r>
    </w:p>
    <w:p>
      <w:pPr>
        <w:sectPr>
          <w:pgSz w:w="11900" w:h="16838" w:orient="portrait"/>
          <w:cols w:equalWidth="0" w:num="1">
            <w:col w:w="11420"/>
          </w:cols>
          <w:pgMar w:left="240" w:top="272" w:right="239" w:bottom="1440" w:gutter="0" w:footer="0" w:header="0"/>
        </w:sectPr>
      </w:pPr>
    </w:p>
    <w:bookmarkStart w:id="14" w:name="page15"/>
    <w:bookmarkEnd w:id="14"/>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Stated interest rate as of</w:t>
            </w:r>
          </w:p>
        </w:tc>
        <w:tc>
          <w:tcPr>
            <w:tcW w:w="620" w:type="dxa"/>
            <w:vAlign w:val="bottom"/>
          </w:tcPr>
          <w:p>
            <w:pPr>
              <w:spacing w:after="0"/>
              <w:rPr>
                <w:sz w:val="13"/>
                <w:szCs w:val="13"/>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Balance as of</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Arial" w:cs="Arial" w:eastAsia="Arial" w:hAnsi="Arial"/>
                <w:sz w:val="13"/>
                <w:szCs w:val="13"/>
                <w:b w:val="1"/>
                <w:bCs w:val="1"/>
                <w:color w:val="auto"/>
              </w:rPr>
              <w:t>Maturity date</w:t>
            </w:r>
          </w:p>
        </w:tc>
        <w:tc>
          <w:tcPr>
            <w:tcW w:w="2140" w:type="dxa"/>
            <w:vAlign w:val="bottom"/>
            <w:gridSpan w:val="2"/>
          </w:tcPr>
          <w:p>
            <w:pPr>
              <w:ind w:left="420"/>
              <w:spacing w:after="0"/>
              <w:rPr>
                <w:sz w:val="20"/>
                <w:szCs w:val="20"/>
                <w:color w:val="auto"/>
              </w:rPr>
            </w:pPr>
            <w:r>
              <w:rPr>
                <w:rFonts w:ascii="Arial" w:cs="Arial" w:eastAsia="Arial" w:hAnsi="Arial"/>
                <w:sz w:val="13"/>
                <w:szCs w:val="13"/>
                <w:b w:val="1"/>
                <w:bCs w:val="1"/>
                <w:color w:val="auto"/>
              </w:rPr>
              <w:t>March 31, 2007</w:t>
            </w:r>
          </w:p>
        </w:tc>
        <w:tc>
          <w:tcPr>
            <w:tcW w:w="6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3"/>
                <w:szCs w:val="13"/>
                <w:b w:val="1"/>
                <w:bCs w:val="1"/>
                <w:color w:val="auto"/>
                <w:w w:val="99"/>
              </w:rPr>
              <w:t>March 31, 2007</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0" w:lineRule="exact"/>
              <w:rPr>
                <w:sz w:val="20"/>
                <w:szCs w:val="20"/>
                <w:color w:val="auto"/>
              </w:rPr>
            </w:pPr>
            <w:r>
              <w:rPr>
                <w:rFonts w:ascii="Arial" w:cs="Arial" w:eastAsia="Arial" w:hAnsi="Arial"/>
                <w:sz w:val="13"/>
                <w:szCs w:val="13"/>
                <w:b w:val="1"/>
                <w:bCs w:val="1"/>
                <w:color w:val="auto"/>
                <w:w w:val="91"/>
              </w:rPr>
              <w:t>(in thousands)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gridSpan w:val="6"/>
            <w:shd w:val="clear" w:color="auto" w:fill="CCEEFF"/>
          </w:tcPr>
          <w:p>
            <w:pPr>
              <w:spacing w:after="0" w:line="173" w:lineRule="exact"/>
              <w:rPr>
                <w:sz w:val="20"/>
                <w:szCs w:val="20"/>
                <w:color w:val="auto"/>
              </w:rPr>
            </w:pPr>
            <w:r>
              <w:rPr>
                <w:rFonts w:ascii="Arial" w:cs="Arial" w:eastAsia="Arial" w:hAnsi="Arial"/>
                <w:sz w:val="17"/>
                <w:szCs w:val="17"/>
                <w:color w:val="auto"/>
              </w:rPr>
              <w:t>Mortgage loans (a)</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10/01/08</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6.510%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9,726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164 E Houston Street</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10/06/08</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7.500%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86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Byron Station</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12/31/08</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6.060%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Mercer Mall</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04/01/09</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8.375%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4,494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Federal Plaza</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06/01/11</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34,058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Tysons Station</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09/01/11</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7.400%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6,330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White Marsh Plaza</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04/01/13</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6.040%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10,546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Crow Canyon</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08/11/13</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5.400%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21,854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Melville Mall</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09/01/14</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25,553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THE AVENUE at White Marsh</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01/01/15</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5.460%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61,764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Barracks Road</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42,462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Hauppauge</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16,008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30,097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Wildwood</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26,455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30,672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Brick Plaza</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11/01/15</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7.415%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31,509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Mount Vernon</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04/15/28</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5.660%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12,193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Bath</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07/01/28</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7.130%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9,961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Chelsea</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01/15/31</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5.360%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8,350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gridSpan w:val="6"/>
          </w:tcPr>
          <w:p>
            <w:pPr>
              <w:ind w:left="840"/>
              <w:spacing w:after="0"/>
              <w:rPr>
                <w:sz w:val="20"/>
                <w:szCs w:val="20"/>
                <w:color w:val="auto"/>
              </w:rPr>
            </w:pPr>
            <w:r>
              <w:rPr>
                <w:rFonts w:ascii="Arial" w:cs="Arial" w:eastAsia="Arial" w:hAnsi="Arial"/>
                <w:sz w:val="17"/>
                <w:szCs w:val="17"/>
                <w:color w:val="auto"/>
              </w:rPr>
              <w:t>Subtotal</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383,298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Net unamortized premium</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gridSpan w:val="6"/>
          </w:tcPr>
          <w:p>
            <w:pPr>
              <w:ind w:left="840"/>
              <w:spacing w:after="0"/>
              <w:rPr>
                <w:sz w:val="20"/>
                <w:szCs w:val="20"/>
                <w:color w:val="auto"/>
              </w:rPr>
            </w:pPr>
            <w:r>
              <w:rPr>
                <w:rFonts w:ascii="Arial" w:cs="Arial" w:eastAsia="Arial" w:hAnsi="Arial"/>
                <w:sz w:val="17"/>
                <w:szCs w:val="17"/>
                <w:color w:val="auto"/>
              </w:rPr>
              <w:t>Total mortgage loans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383,694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7"/>
                <w:szCs w:val="17"/>
                <w:color w:val="auto"/>
                <w:w w:val="88"/>
              </w:rPr>
              <w:t>Notes payable</w:t>
            </w:r>
          </w:p>
        </w:tc>
        <w:tc>
          <w:tcPr>
            <w:tcW w:w="2380" w:type="dxa"/>
            <w:vAlign w:val="bottom"/>
            <w:tcBorders>
              <w:bottom w:val="single" w:sz="8" w:color="CCEEFF"/>
            </w:tcBorders>
            <w:gridSpan w:val="4"/>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01/31/13</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1,575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Revolving credit facility</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07/27/10</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LIBOR + .425%</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157,500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Escondido (municipal bonds)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10/01/16</w:t>
            </w:r>
          </w:p>
        </w:tc>
        <w:tc>
          <w:tcPr>
            <w:tcW w:w="24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3.484%</w:t>
            </w:r>
          </w:p>
        </w:tc>
        <w:tc>
          <w:tcPr>
            <w:tcW w:w="620" w:type="dxa"/>
            <w:vAlign w:val="bottom"/>
          </w:tcPr>
          <w:p>
            <w:pPr>
              <w:ind w:left="20"/>
              <w:spacing w:after="0"/>
              <w:rPr>
                <w:sz w:val="20"/>
                <w:szCs w:val="20"/>
                <w:color w:val="auto"/>
              </w:rPr>
            </w:pPr>
            <w:r>
              <w:rPr>
                <w:rFonts w:ascii="Arial" w:cs="Arial" w:eastAsia="Arial" w:hAnsi="Arial"/>
                <w:sz w:val="17"/>
                <w:szCs w:val="17"/>
                <w:color w:val="auto"/>
              </w:rPr>
              <w:t>(f)</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9,400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rPr>
              <w:t>Total notes payable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168,475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80" w:type="dxa"/>
            <w:vAlign w:val="bottom"/>
            <w:gridSpan w:val="7"/>
          </w:tcPr>
          <w:p>
            <w:pPr>
              <w:spacing w:after="0" w:line="180" w:lineRule="exact"/>
              <w:rPr>
                <w:sz w:val="20"/>
                <w:szCs w:val="20"/>
                <w:color w:val="auto"/>
              </w:rPr>
            </w:pPr>
            <w:r>
              <w:rPr>
                <w:rFonts w:ascii="Arial" w:cs="Arial" w:eastAsia="Arial" w:hAnsi="Arial"/>
                <w:sz w:val="17"/>
                <w:szCs w:val="17"/>
                <w:color w:val="auto"/>
              </w:rPr>
              <w:t>Senior notes and debentures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6.125% notes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11/15/07</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6.325%</w:t>
            </w:r>
          </w:p>
        </w:tc>
        <w:tc>
          <w:tcPr>
            <w:tcW w:w="620" w:type="dxa"/>
            <w:vAlign w:val="bottom"/>
          </w:tcPr>
          <w:p>
            <w:pPr>
              <w:ind w:left="20"/>
              <w:spacing w:after="0"/>
              <w:rPr>
                <w:sz w:val="20"/>
                <w:szCs w:val="20"/>
                <w:color w:val="auto"/>
              </w:rPr>
            </w:pPr>
            <w:r>
              <w:rPr>
                <w:rFonts w:ascii="Arial" w:cs="Arial" w:eastAsia="Arial" w:hAnsi="Arial"/>
                <w:sz w:val="17"/>
                <w:szCs w:val="17"/>
                <w:color w:val="auto"/>
              </w:rPr>
              <w:t>(g)</w:t>
            </w: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150,000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8.75% notes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12/01/09</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4.50% notes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02/15/11</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4.500%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75,000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6.00% notes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07/15/12</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5.40% notes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12/01/13</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5.400%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135,000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5.65% notes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06/01/16</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125,000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6.20% notes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01/15/17</w:t>
            </w:r>
          </w:p>
        </w:tc>
        <w:tc>
          <w:tcPr>
            <w:tcW w:w="24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6.200%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200,000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7.48% debentures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08/15/26</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7.480%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6.82% medium term notes</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08/01/27</w:t>
            </w:r>
          </w:p>
        </w:tc>
        <w:tc>
          <w:tcPr>
            <w:tcW w:w="24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6.820%</w:t>
            </w:r>
          </w:p>
        </w:tc>
        <w:tc>
          <w:tcPr>
            <w:tcW w:w="620" w:type="dxa"/>
            <w:vAlign w:val="bottom"/>
          </w:tcPr>
          <w:p>
            <w:pPr>
              <w:ind w:left="20"/>
              <w:spacing w:after="0"/>
              <w:rPr>
                <w:sz w:val="20"/>
                <w:szCs w:val="20"/>
                <w:color w:val="auto"/>
              </w:rPr>
            </w:pPr>
            <w:r>
              <w:rPr>
                <w:rFonts w:ascii="Arial" w:cs="Arial" w:eastAsia="Arial" w:hAnsi="Arial"/>
                <w:sz w:val="17"/>
                <w:szCs w:val="17"/>
                <w:color w:val="auto"/>
              </w:rPr>
              <w:t>(i)</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40,000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rPr>
              <w:t>Subtotal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1,125,000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gridSpan w:val="6"/>
          </w:tcPr>
          <w:p>
            <w:pPr>
              <w:ind w:left="420"/>
              <w:spacing w:after="0"/>
              <w:rPr>
                <w:sz w:val="20"/>
                <w:szCs w:val="20"/>
                <w:color w:val="auto"/>
              </w:rPr>
            </w:pPr>
            <w:r>
              <w:rPr>
                <w:rFonts w:ascii="Arial" w:cs="Arial" w:eastAsia="Arial" w:hAnsi="Arial"/>
                <w:sz w:val="17"/>
                <w:szCs w:val="17"/>
                <w:color w:val="auto"/>
              </w:rPr>
              <w:t>Net unamortized premium</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2,528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w w:val="96"/>
              </w:rPr>
              <w:t>Total senior notes and debentures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1,127,528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80" w:type="dxa"/>
            <w:vAlign w:val="bottom"/>
            <w:gridSpan w:val="7"/>
          </w:tcPr>
          <w:p>
            <w:pPr>
              <w:spacing w:after="0" w:line="180" w:lineRule="exact"/>
              <w:rPr>
                <w:sz w:val="20"/>
                <w:szCs w:val="20"/>
                <w:color w:val="auto"/>
              </w:rPr>
            </w:pPr>
            <w:r>
              <w:rPr>
                <w:rFonts w:ascii="Arial" w:cs="Arial" w:eastAsia="Arial" w:hAnsi="Arial"/>
                <w:sz w:val="17"/>
                <w:szCs w:val="17"/>
                <w:color w:val="auto"/>
              </w:rPr>
              <w:t>Capital lease obligations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Various</w:t>
            </w:r>
          </w:p>
        </w:tc>
        <w:tc>
          <w:tcPr>
            <w:tcW w:w="1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Various</w:t>
            </w:r>
          </w:p>
        </w:tc>
        <w:tc>
          <w:tcPr>
            <w:tcW w:w="21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3"/>
              </w:rPr>
              <w:t>Various through 2106 (j)</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149,067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100" w:type="dxa"/>
            <w:vAlign w:val="bottom"/>
            <w:gridSpan w:val="6"/>
          </w:tcPr>
          <w:p>
            <w:pPr>
              <w:ind w:left="180"/>
              <w:spacing w:after="0"/>
              <w:rPr>
                <w:sz w:val="20"/>
                <w:szCs w:val="20"/>
                <w:color w:val="auto"/>
              </w:rPr>
            </w:pPr>
            <w:r>
              <w:rPr>
                <w:rFonts w:ascii="Arial" w:cs="Arial" w:eastAsia="Arial" w:hAnsi="Arial"/>
                <w:sz w:val="17"/>
                <w:szCs w:val="17"/>
                <w:color w:val="auto"/>
              </w:rPr>
              <w:t>Total debt and capital lease obligations</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1,828,764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w w:val="92"/>
              </w:rPr>
              <w:t>effective rate 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March 31, 2007 (k)</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100" w:type="dxa"/>
            <w:vAlign w:val="bottom"/>
            <w:gridSpan w:val="6"/>
            <w:shd w:val="clear" w:color="auto" w:fill="CCEEFF"/>
          </w:tcPr>
          <w:p>
            <w:pPr>
              <w:ind w:left="180"/>
              <w:spacing w:after="0"/>
              <w:rPr>
                <w:sz w:val="20"/>
                <w:szCs w:val="20"/>
                <w:color w:val="auto"/>
              </w:rPr>
            </w:pPr>
            <w:r>
              <w:rPr>
                <w:rFonts w:ascii="Arial" w:cs="Arial" w:eastAsia="Arial" w:hAnsi="Arial"/>
                <w:sz w:val="17"/>
                <w:szCs w:val="17"/>
                <w:color w:val="auto"/>
              </w:rPr>
              <w:t>Total fixed rate debt and capital lease obligations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1,661,864</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color w:val="auto"/>
              </w:rPr>
              <w:t>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60" w:type="dxa"/>
            <w:vAlign w:val="bottom"/>
            <w:gridSpan w:val="4"/>
          </w:tcPr>
          <w:p>
            <w:pPr>
              <w:ind w:left="180"/>
              <w:spacing w:after="0"/>
              <w:rPr>
                <w:sz w:val="20"/>
                <w:szCs w:val="20"/>
                <w:color w:val="auto"/>
              </w:rPr>
            </w:pPr>
            <w:r>
              <w:rPr>
                <w:rFonts w:ascii="Arial" w:cs="Arial" w:eastAsia="Arial" w:hAnsi="Arial"/>
                <w:sz w:val="17"/>
                <w:szCs w:val="17"/>
                <w:color w:val="auto"/>
              </w:rPr>
              <w:t>Total variable rate debt</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166,900</w:t>
            </w:r>
          </w:p>
        </w:tc>
        <w:tc>
          <w:tcPr>
            <w:tcW w:w="1160" w:type="dxa"/>
            <w:vAlign w:val="bottom"/>
            <w:gridSpan w:val="4"/>
          </w:tcPr>
          <w:p>
            <w:pPr>
              <w:jc w:val="right"/>
              <w:ind w:right="400"/>
              <w:spacing w:after="0"/>
              <w:rPr>
                <w:sz w:val="20"/>
                <w:szCs w:val="20"/>
                <w:color w:val="auto"/>
              </w:rPr>
            </w:pPr>
            <w:r>
              <w:rPr>
                <w:rFonts w:ascii="Arial" w:cs="Arial" w:eastAsia="Arial" w:hAnsi="Arial"/>
                <w:sz w:val="17"/>
                <w:szCs w:val="17"/>
                <w:color w:val="auto"/>
              </w:rPr>
              <w:t>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96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DEBT</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100" w:type="dxa"/>
            <w:vAlign w:val="bottom"/>
            <w:gridSpan w:val="6"/>
            <w:shd w:val="clear" w:color="auto" w:fill="CCEEFF"/>
          </w:tcPr>
          <w:p>
            <w:pPr>
              <w:ind w:left="180"/>
              <w:spacing w:after="0"/>
              <w:rPr>
                <w:sz w:val="20"/>
                <w:szCs w:val="20"/>
                <w:color w:val="auto"/>
              </w:rPr>
            </w:pPr>
            <w:r>
              <w:rPr>
                <w:rFonts w:ascii="Arial" w:cs="Arial" w:eastAsia="Arial" w:hAnsi="Arial"/>
                <w:sz w:val="17"/>
                <w:szCs w:val="17"/>
                <w:color w:val="auto"/>
              </w:rPr>
              <w:t>AND CAPITAL LEASES OBLIGATIONS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1,828,764</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w w:val="87"/>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7"/>
          </w:tcPr>
          <w:p>
            <w:pPr>
              <w:jc w:val="right"/>
              <w:ind w:right="700"/>
              <w:spacing w:after="0"/>
              <w:rPr>
                <w:sz w:val="20"/>
                <w:szCs w:val="20"/>
                <w:color w:val="auto"/>
              </w:rPr>
            </w:pPr>
            <w:r>
              <w:rPr>
                <w:rFonts w:ascii="Arial" w:cs="Arial" w:eastAsia="Arial" w:hAnsi="Arial"/>
                <w:sz w:val="13"/>
                <w:szCs w:val="13"/>
                <w:b w:val="1"/>
                <w:bCs w:val="1"/>
                <w:color w:val="auto"/>
                <w:w w:val="98"/>
              </w:rPr>
              <w:t>Three months ended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7"/>
          </w:tcPr>
          <w:p>
            <w:pPr>
              <w:jc w:val="right"/>
              <w:ind w:right="1000"/>
              <w:spacing w:after="0"/>
              <w:rPr>
                <w:sz w:val="20"/>
                <w:szCs w:val="20"/>
                <w:color w:val="auto"/>
              </w:rPr>
            </w:pPr>
            <w:r>
              <w:rPr>
                <w:rFonts w:ascii="Arial" w:cs="Arial" w:eastAsia="Arial" w:hAnsi="Arial"/>
                <w:sz w:val="13"/>
                <w:szCs w:val="13"/>
                <w:b w:val="1"/>
                <w:bCs w:val="1"/>
                <w:color w:val="auto"/>
              </w:rPr>
              <w:t>March 31,</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0" w:lineRule="exact"/>
              <w:rPr>
                <w:sz w:val="20"/>
                <w:szCs w:val="20"/>
                <w:color w:val="auto"/>
              </w:rPr>
            </w:pPr>
            <w:r>
              <w:rPr>
                <w:rFonts w:ascii="Arial" w:cs="Arial" w:eastAsia="Arial" w:hAnsi="Arial"/>
                <w:sz w:val="13"/>
                <w:szCs w:val="13"/>
                <w:b w:val="1"/>
                <w:bCs w:val="1"/>
                <w:color w:val="auto"/>
              </w:rPr>
              <w:t>2007</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Operational Statistics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60" w:type="dxa"/>
            <w:vAlign w:val="bottom"/>
            <w:gridSpan w:val="12"/>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7"/>
                <w:szCs w:val="17"/>
                <w:color w:val="auto"/>
                <w:w w:val="94"/>
              </w:rPr>
              <w:t>2.46 x</w:t>
            </w:r>
          </w:p>
        </w:tc>
        <w:tc>
          <w:tcPr>
            <w:tcW w:w="560" w:type="dxa"/>
            <w:vAlign w:val="bottom"/>
            <w:gridSpan w:val="2"/>
          </w:tcPr>
          <w:p>
            <w:pPr>
              <w:ind w:left="120"/>
              <w:spacing w:after="0"/>
              <w:rPr>
                <w:sz w:val="20"/>
                <w:szCs w:val="20"/>
                <w:color w:val="auto"/>
              </w:rPr>
            </w:pPr>
            <w:r>
              <w:rPr>
                <w:rFonts w:ascii="Arial" w:cs="Arial" w:eastAsia="Arial" w:hAnsi="Arial"/>
                <w:sz w:val="17"/>
                <w:szCs w:val="17"/>
                <w:color w:val="auto"/>
                <w:w w:val="90"/>
              </w:rPr>
              <w:t>2.79 x</w:t>
            </w:r>
          </w:p>
        </w:tc>
        <w:tc>
          <w:tcPr>
            <w:tcW w:w="6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60" w:type="dxa"/>
            <w:vAlign w:val="bottom"/>
            <w:gridSpan w:val="12"/>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180"/>
              <w:spacing w:after="0"/>
              <w:rPr>
                <w:sz w:val="20"/>
                <w:szCs w:val="20"/>
                <w:color w:val="auto"/>
              </w:rPr>
            </w:pPr>
            <w:r>
              <w:rPr>
                <w:rFonts w:ascii="Arial" w:cs="Arial" w:eastAsia="Arial" w:hAnsi="Arial"/>
                <w:sz w:val="17"/>
                <w:szCs w:val="17"/>
                <w:color w:val="auto"/>
                <w:w w:val="94"/>
              </w:rPr>
              <w:t>2.46 x</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0"/>
              </w:rPr>
              <w:t>2.48 x</w:t>
            </w:r>
          </w:p>
        </w:tc>
        <w:tc>
          <w:tcPr>
            <w:tcW w:w="6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($23.2 million) of the $77.4 million debt of the partnership with Clarion Lion Properties Fund.</w:t>
      </w:r>
    </w:p>
    <w:p>
      <w:pPr>
        <w:spacing w:after="0" w:line="17" w:lineRule="exact"/>
        <w:rPr>
          <w:rFonts w:ascii="Arial" w:cs="Arial" w:eastAsia="Arial" w:hAnsi="Arial"/>
          <w:sz w:val="17"/>
          <w:szCs w:val="17"/>
          <w:color w:val="auto"/>
        </w:rPr>
      </w:pPr>
    </w:p>
    <w:p>
      <w:pPr>
        <w:ind w:left="460" w:right="80" w:hanging="453"/>
        <w:spacing w:after="0" w:line="261"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spacing w:after="0" w:line="1" w:lineRule="exact"/>
        <w:rPr>
          <w:rFonts w:ascii="Arial" w:cs="Arial" w:eastAsia="Arial" w:hAnsi="Arial"/>
          <w:sz w:val="17"/>
          <w:szCs w:val="17"/>
          <w:color w:val="auto"/>
        </w:rPr>
      </w:pPr>
    </w:p>
    <w:p>
      <w:pPr>
        <w:ind w:left="460" w:right="380" w:hanging="453"/>
        <w:spacing w:after="0" w:line="353"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Trust acquired control of Melville Mall through a 20 year master lease and secondary financing. Because the Trust controls this property and retains substantially all of the economic benefit and risk associated with it, this property is consolidated and the mortgage loan is reflected on the balance sheet</w:t>
      </w:r>
    </w:p>
    <w:p>
      <w:pPr>
        <w:sectPr>
          <w:pgSz w:w="11900" w:h="16995" w:orient="portrait"/>
          <w:cols w:equalWidth="0" w:num="1">
            <w:col w:w="11420"/>
          </w:cols>
          <w:pgMar w:left="240" w:top="272" w:right="239" w:bottom="0" w:gutter="0" w:footer="0" w:header="0"/>
        </w:sectPr>
      </w:pPr>
    </w:p>
    <w:bookmarkStart w:id="15" w:name="page16"/>
    <w:bookmarkEnd w:id="15"/>
    <w:p>
      <w:pPr>
        <w:ind w:left="453"/>
        <w:spacing w:after="0"/>
        <w:rPr>
          <w:sz w:val="20"/>
          <w:szCs w:val="20"/>
          <w:color w:val="auto"/>
        </w:rPr>
      </w:pPr>
      <w:r>
        <w:rPr>
          <w:rFonts w:ascii="Arial" w:cs="Arial" w:eastAsia="Arial" w:hAnsi="Arial"/>
          <w:sz w:val="17"/>
          <w:szCs w:val="17"/>
          <w:color w:val="auto"/>
        </w:rPr>
        <w:t>though it is not a legal obligation of the Trust.</w:t>
      </w:r>
    </w:p>
    <w:p>
      <w:pPr>
        <w:spacing w:after="0" w:line="25" w:lineRule="exact"/>
        <w:rPr>
          <w:sz w:val="20"/>
          <w:szCs w:val="20"/>
          <w:color w:val="auto"/>
        </w:rPr>
      </w:pPr>
    </w:p>
    <w:p>
      <w:pPr>
        <w:ind w:left="453" w:right="60" w:hanging="453"/>
        <w:spacing w:after="0" w:line="261"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spacing w:after="0" w:line="1" w:lineRule="exact"/>
        <w:rPr>
          <w:rFonts w:ascii="Arial" w:cs="Arial" w:eastAsia="Arial" w:hAnsi="Arial"/>
          <w:sz w:val="17"/>
          <w:szCs w:val="17"/>
          <w:color w:val="auto"/>
        </w:rPr>
      </w:pPr>
    </w:p>
    <w:p>
      <w:pPr>
        <w:ind w:left="453" w:hanging="453"/>
        <w:spacing w:after="0"/>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weighted average effective rate, before amortization of debt fees, was 5.66% for the three months ended March 31, 2007.</w:t>
      </w:r>
    </w:p>
    <w:p>
      <w:pPr>
        <w:spacing w:after="0" w:line="17" w:lineRule="exact"/>
        <w:rPr>
          <w:rFonts w:ascii="Arial" w:cs="Arial" w:eastAsia="Arial" w:hAnsi="Arial"/>
          <w:sz w:val="17"/>
          <w:szCs w:val="17"/>
          <w:color w:val="auto"/>
        </w:rPr>
      </w:pPr>
    </w:p>
    <w:p>
      <w:pPr>
        <w:ind w:left="453" w:hanging="453"/>
        <w:spacing w:after="0" w:line="261"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 The property is not encumbered by a lien.</w:t>
      </w:r>
    </w:p>
    <w:p>
      <w:pPr>
        <w:spacing w:after="0" w:line="1" w:lineRule="exact"/>
        <w:rPr>
          <w:rFonts w:ascii="Arial" w:cs="Arial" w:eastAsia="Arial" w:hAnsi="Arial"/>
          <w:sz w:val="17"/>
          <w:szCs w:val="17"/>
          <w:color w:val="auto"/>
        </w:rPr>
      </w:pPr>
    </w:p>
    <w:p>
      <w:pPr>
        <w:ind w:left="453" w:right="520" w:hanging="453"/>
        <w:spacing w:after="0" w:line="261"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53" w:hanging="453"/>
        <w:spacing w:after="0"/>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Beginning on August 15, 2008, the debentures are redeemable by the holders thereof at the original purchase price of $1,000 per debenture.</w:t>
      </w:r>
    </w:p>
    <w:p>
      <w:pPr>
        <w:spacing w:after="0" w:line="17" w:lineRule="exact"/>
        <w:rPr>
          <w:rFonts w:ascii="Arial" w:cs="Arial" w:eastAsia="Arial" w:hAnsi="Arial"/>
          <w:sz w:val="17"/>
          <w:szCs w:val="17"/>
          <w:color w:val="auto"/>
        </w:rPr>
      </w:pPr>
    </w:p>
    <w:p>
      <w:pPr>
        <w:ind w:left="453" w:hanging="453"/>
        <w:spacing w:after="0"/>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Beginning on August 1, 2007, the notes are redeemable by the holders thereof at the original purchase price of $1,000 per note.</w:t>
      </w:r>
    </w:p>
    <w:p>
      <w:pPr>
        <w:spacing w:after="0" w:line="17" w:lineRule="exact"/>
        <w:rPr>
          <w:rFonts w:ascii="Arial" w:cs="Arial" w:eastAsia="Arial" w:hAnsi="Arial"/>
          <w:sz w:val="17"/>
          <w:szCs w:val="17"/>
          <w:color w:val="auto"/>
        </w:rPr>
      </w:pPr>
    </w:p>
    <w:p>
      <w:pPr>
        <w:ind w:left="453" w:right="20" w:hanging="453"/>
        <w:spacing w:after="0" w:line="261"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for the three months ending March 31, 2007 is 8.98% excluding performance-based rent and 12.97% including performance-based rent.</w:t>
      </w:r>
    </w:p>
    <w:p>
      <w:pPr>
        <w:spacing w:after="0" w:line="1" w:lineRule="exact"/>
        <w:rPr>
          <w:rFonts w:ascii="Arial" w:cs="Arial" w:eastAsia="Arial" w:hAnsi="Arial"/>
          <w:sz w:val="17"/>
          <w:szCs w:val="17"/>
          <w:color w:val="auto"/>
        </w:rPr>
      </w:pPr>
    </w:p>
    <w:p>
      <w:pPr>
        <w:ind w:left="453" w:right="260" w:hanging="453"/>
        <w:spacing w:after="0" w:line="261"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 and excludes performance-based rent on capital lease obligations.</w:t>
      </w:r>
    </w:p>
    <w:p>
      <w:pPr>
        <w:spacing w:after="0" w:line="1" w:lineRule="exact"/>
        <w:rPr>
          <w:rFonts w:ascii="Arial" w:cs="Arial" w:eastAsia="Arial" w:hAnsi="Arial"/>
          <w:sz w:val="17"/>
          <w:szCs w:val="17"/>
          <w:color w:val="auto"/>
        </w:rPr>
      </w:pPr>
    </w:p>
    <w:p>
      <w:pPr>
        <w:jc w:val="both"/>
        <w:ind w:left="453" w:right="20" w:hanging="453"/>
        <w:spacing w:after="0" w:line="272" w:lineRule="auto"/>
        <w:tabs>
          <w:tab w:leader="none" w:pos="4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EBITDA includes $8.8 million in gain on sale for the three months ended March 31, 2006. Adjusted EBITDA is reconciled to net income in the Glossary of Terms.</w:t>
      </w:r>
    </w:p>
    <w:p>
      <w:pPr>
        <w:sectPr>
          <w:pgSz w:w="11900" w:h="16838" w:orient="portrait"/>
          <w:cols w:equalWidth="0" w:num="1">
            <w:col w:w="11373"/>
          </w:cols>
          <w:pgMar w:left="247" w:top="131" w:right="2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47"/>
        </w:trPr>
        <w:tc>
          <w:tcPr>
            <w:tcW w:w="4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
              <w:spacing w:after="0" w:line="147" w:lineRule="exact"/>
              <w:rPr>
                <w:sz w:val="20"/>
                <w:szCs w:val="20"/>
                <w:color w:val="auto"/>
              </w:rPr>
            </w:pPr>
            <w:r>
              <w:rPr>
                <w:rFonts w:ascii="Arial" w:cs="Arial" w:eastAsia="Arial" w:hAnsi="Arial"/>
                <w:sz w:val="13"/>
                <w:szCs w:val="13"/>
                <w:b w:val="1"/>
                <w:bCs w:val="1"/>
                <w:color w:val="auto"/>
                <w:w w:val="85"/>
              </w:rPr>
              <w:t>Scheduled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2"/>
          </w:tcPr>
          <w:p>
            <w:pPr>
              <w:jc w:val="right"/>
              <w:ind w:right="720"/>
              <w:spacing w:after="0" w:line="147" w:lineRule="exact"/>
              <w:rPr>
                <w:sz w:val="20"/>
                <w:szCs w:val="20"/>
                <w:color w:val="auto"/>
              </w:rPr>
            </w:pPr>
            <w:r>
              <w:rPr>
                <w:rFonts w:ascii="Arial" w:cs="Arial" w:eastAsia="Arial" w:hAnsi="Arial"/>
                <w:sz w:val="13"/>
                <w:szCs w:val="13"/>
                <w:b w:val="1"/>
                <w:bCs w:val="1"/>
                <w:color w:val="auto"/>
              </w:rPr>
              <w:t>Percent of</w:t>
            </w: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46"/>
        </w:trPr>
        <w:tc>
          <w:tcPr>
            <w:tcW w:w="46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w w:val="93"/>
              </w:rPr>
              <w:t>Amortization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
              <w:spacing w:after="0" w:line="146" w:lineRule="exact"/>
              <w:rPr>
                <w:sz w:val="20"/>
                <w:szCs w:val="20"/>
                <w:color w:val="auto"/>
              </w:rPr>
            </w:pPr>
            <w:r>
              <w:rPr>
                <w:rFonts w:ascii="Arial" w:cs="Arial" w:eastAsia="Arial" w:hAnsi="Arial"/>
                <w:sz w:val="13"/>
                <w:szCs w:val="13"/>
                <w:b w:val="1"/>
                <w:bCs w:val="1"/>
                <w:color w:val="auto"/>
                <w:w w:val="94"/>
              </w:rPr>
              <w:t>Maturities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900"/>
              <w:spacing w:after="0" w:line="146" w:lineRule="exact"/>
              <w:rPr>
                <w:sz w:val="20"/>
                <w:szCs w:val="20"/>
                <w:color w:val="auto"/>
              </w:rPr>
            </w:pPr>
            <w:r>
              <w:rPr>
                <w:rFonts w:ascii="Arial" w:cs="Arial" w:eastAsia="Arial" w:hAnsi="Arial"/>
                <w:sz w:val="13"/>
                <w:szCs w:val="13"/>
                <w:b w:val="1"/>
                <w:bCs w:val="1"/>
                <w:color w:val="auto"/>
              </w:rPr>
              <w:t>Total</w:t>
            </w:r>
          </w:p>
        </w:tc>
        <w:tc>
          <w:tcPr>
            <w:tcW w:w="1440" w:type="dxa"/>
            <w:vAlign w:val="bottom"/>
            <w:gridSpan w:val="2"/>
          </w:tcPr>
          <w:p>
            <w:pPr>
              <w:jc w:val="right"/>
              <w:ind w:right="580"/>
              <w:spacing w:after="0" w:line="146" w:lineRule="exact"/>
              <w:rPr>
                <w:sz w:val="20"/>
                <w:szCs w:val="20"/>
                <w:color w:val="auto"/>
              </w:rPr>
            </w:pPr>
            <w:r>
              <w:rPr>
                <w:rFonts w:ascii="Arial" w:cs="Arial" w:eastAsia="Arial" w:hAnsi="Arial"/>
                <w:sz w:val="13"/>
                <w:szCs w:val="13"/>
                <w:b w:val="1"/>
                <w:bCs w:val="1"/>
                <w:color w:val="auto"/>
                <w:w w:val="96"/>
              </w:rPr>
              <w:t>Debt Maturing</w:t>
            </w:r>
          </w:p>
        </w:tc>
        <w:tc>
          <w:tcPr>
            <w:tcW w:w="102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155,554</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2008</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8,481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10,651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19,132</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188,279</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2010</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9,562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157,500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167,062(1)</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9.1%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122,048</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2012</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175,000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185,012</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173,018</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2014</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30,145</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206,256</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2016</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134,400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138,410</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7.6%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290,051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440,924</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0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235,074</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1,590,766</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w w:val="91"/>
              </w:rPr>
              <w:t>1,825,840(2)</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Maturities in 2010 include $157.5 million drawn under the Trust’s $300 million four-year revolving credit facility.</w:t>
      </w:r>
    </w:p>
    <w:p>
      <w:pPr>
        <w:spacing w:after="0" w:line="17" w:lineRule="exact"/>
        <w:rPr>
          <w:rFonts w:ascii="Arial" w:cs="Arial" w:eastAsia="Arial" w:hAnsi="Arial"/>
          <w:sz w:val="17"/>
          <w:szCs w:val="17"/>
          <w:color w:val="auto"/>
        </w:rPr>
      </w:pPr>
    </w:p>
    <w:p>
      <w:pPr>
        <w:ind w:left="460" w:right="20" w:hanging="453"/>
        <w:spacing w:after="0" w:line="28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ectPr>
          <w:pgSz w:w="11900" w:h="16838" w:orient="portrait"/>
          <w:cols w:equalWidth="0" w:num="1">
            <w:col w:w="11420"/>
          </w:cols>
          <w:pgMar w:left="240" w:top="272"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00" w:type="dxa"/>
            <w:vAlign w:val="bottom"/>
            <w:vMerge w:val="restart"/>
          </w:tcPr>
          <w:p>
            <w:pPr>
              <w:ind w:left="160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7"/>
              </w:rPr>
              <w:t>Projected</w:t>
            </w:r>
          </w:p>
        </w:tc>
        <w:tc>
          <w:tcPr>
            <w:tcW w:w="1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4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Cost to</w:t>
            </w:r>
          </w:p>
        </w:tc>
        <w:tc>
          <w:tcPr>
            <w:tcW w:w="0" w:type="dxa"/>
            <w:vAlign w:val="bottom"/>
          </w:tcPr>
          <w:p>
            <w:pPr>
              <w:spacing w:after="0"/>
              <w:rPr>
                <w:sz w:val="1"/>
                <w:szCs w:val="1"/>
                <w:color w:val="auto"/>
              </w:rPr>
            </w:pPr>
          </w:p>
        </w:tc>
      </w:tr>
      <w:tr>
        <w:trPr>
          <w:trHeight w:val="153"/>
        </w:trPr>
        <w:tc>
          <w:tcPr>
            <w:tcW w:w="31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ind w:left="380"/>
              <w:spacing w:after="0" w:line="146" w:lineRule="exact"/>
              <w:rPr>
                <w:sz w:val="20"/>
                <w:szCs w:val="20"/>
                <w:color w:val="auto"/>
              </w:rPr>
            </w:pPr>
            <w:r>
              <w:rPr>
                <w:rFonts w:ascii="Arial" w:cs="Arial" w:eastAsia="Arial" w:hAnsi="Arial"/>
                <w:sz w:val="13"/>
                <w:szCs w:val="13"/>
                <w:b w:val="1"/>
                <w:bCs w:val="1"/>
                <w:color w:val="auto"/>
              </w:rPr>
              <w:t>Location</w:t>
            </w:r>
          </w:p>
        </w:tc>
        <w:tc>
          <w:tcPr>
            <w:tcW w:w="280" w:type="dxa"/>
            <w:vAlign w:val="bottom"/>
          </w:tcPr>
          <w:p>
            <w:pPr>
              <w:spacing w:after="0"/>
              <w:rPr>
                <w:sz w:val="13"/>
                <w:szCs w:val="13"/>
                <w:color w:val="auto"/>
              </w:rPr>
            </w:pPr>
          </w:p>
        </w:tc>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380"/>
              <w:spacing w:after="0" w:line="146" w:lineRule="exact"/>
              <w:rPr>
                <w:sz w:val="20"/>
                <w:szCs w:val="20"/>
                <w:color w:val="auto"/>
              </w:rPr>
            </w:pPr>
            <w:r>
              <w:rPr>
                <w:rFonts w:ascii="Arial" w:cs="Arial" w:eastAsia="Arial" w:hAnsi="Arial"/>
                <w:sz w:val="13"/>
                <w:szCs w:val="13"/>
                <w:b w:val="1"/>
                <w:bCs w:val="1"/>
                <w:color w:val="auto"/>
              </w:rPr>
              <w:t>ROI (2)</w:t>
            </w:r>
          </w:p>
        </w:tc>
        <w:tc>
          <w:tcPr>
            <w:tcW w:w="140" w:type="dxa"/>
            <w:vAlign w:val="bottom"/>
          </w:tcPr>
          <w:p>
            <w:pPr>
              <w:spacing w:after="0"/>
              <w:rPr>
                <w:sz w:val="13"/>
                <w:szCs w:val="13"/>
                <w:color w:val="auto"/>
              </w:rPr>
            </w:pPr>
          </w:p>
        </w:tc>
        <w:tc>
          <w:tcPr>
            <w:tcW w:w="840" w:type="dxa"/>
            <w:vAlign w:val="bottom"/>
            <w:gridSpan w:val="3"/>
          </w:tcPr>
          <w:p>
            <w:pPr>
              <w:ind w:left="60"/>
              <w:spacing w:after="0" w:line="146" w:lineRule="exact"/>
              <w:rPr>
                <w:sz w:val="20"/>
                <w:szCs w:val="20"/>
                <w:color w:val="auto"/>
              </w:rPr>
            </w:pPr>
            <w:r>
              <w:rPr>
                <w:rFonts w:ascii="Arial" w:cs="Arial" w:eastAsia="Arial" w:hAnsi="Arial"/>
                <w:sz w:val="13"/>
                <w:szCs w:val="13"/>
                <w:b w:val="1"/>
                <w:bCs w:val="1"/>
                <w:color w:val="auto"/>
              </w:rPr>
              <w:t>Cost (1)</w:t>
            </w:r>
          </w:p>
        </w:tc>
        <w:tc>
          <w:tcPr>
            <w:tcW w:w="440" w:type="dxa"/>
            <w:vAlign w:val="bottom"/>
            <w:gridSpan w:val="3"/>
          </w:tcPr>
          <w:p>
            <w:pPr>
              <w:ind w:left="80"/>
              <w:spacing w:after="0" w:line="146"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w w:val="88"/>
              </w:rPr>
              <w:t>Projects Anticipated to Stabilize in 2007 (3)</w:t>
            </w:r>
          </w:p>
        </w:tc>
        <w:tc>
          <w:tcPr>
            <w:tcW w:w="3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Rockville Town Square</w:t>
            </w:r>
          </w:p>
        </w:tc>
        <w:tc>
          <w:tcPr>
            <w:tcW w:w="3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Rockville, MD</w:t>
            </w: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Ground floor retail as part of urban mixed-use</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development (by others)</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13%</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Mercer Mall</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w w:val="94"/>
              </w:rPr>
              <w:t>Lawrenceville, NJ</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4"/>
              </w:rPr>
              <w:t>Demolish, redevelop, re-tenanting plus acquisition and</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redevelopment of adjacent land parcel</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Willow Lawn</w:t>
            </w:r>
          </w:p>
        </w:tc>
        <w:tc>
          <w:tcPr>
            <w:tcW w:w="3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Richmond, VA</w:t>
            </w: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Anchor re-tenanting, small shop demolition, façade</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renovation, and site improvements</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9%</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Loehmann’s Plaza</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w w:val="98"/>
              </w:rPr>
              <w:t>Falls Church, VA</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2"/>
              </w:rPr>
              <w:t>Grocer expansion, anchor relocation, façade renovation</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and site improvements</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Village of Shirlington - Phase II</w:t>
            </w:r>
          </w:p>
        </w:tc>
        <w:tc>
          <w:tcPr>
            <w:tcW w:w="3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Arlington, VA</w:t>
            </w: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w w:val="94"/>
              </w:rPr>
              <w:t>Ground floor retail and parking garage as part of urban</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mixed-use development (by others)</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12%</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Leesburg Plaza - Pads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Leesburg, VA</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Two new retail buildings and a bank pad site will be</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added</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3"/>
            <w:vMerge w:val="restart"/>
          </w:tcPr>
          <w:p>
            <w:pPr>
              <w:ind w:left="340"/>
              <w:spacing w:after="0"/>
              <w:rPr>
                <w:sz w:val="20"/>
                <w:szCs w:val="20"/>
                <w:color w:val="auto"/>
              </w:rPr>
            </w:pPr>
            <w:r>
              <w:rPr>
                <w:rFonts w:ascii="Arial" w:cs="Arial" w:eastAsia="Arial" w:hAnsi="Arial"/>
                <w:sz w:val="17"/>
                <w:szCs w:val="17"/>
                <w:b w:val="1"/>
                <w:bCs w:val="1"/>
                <w:i w:val="1"/>
                <w:iCs w:val="1"/>
                <w:color w:val="auto"/>
                <w:w w:val="95"/>
              </w:rPr>
              <w:t>Subtotal: Projects Anticipated to Stabilize in 2007 (3) (4)</w:t>
            </w: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6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12%</w:t>
            </w:r>
          </w:p>
        </w:tc>
        <w:tc>
          <w:tcPr>
            <w:tcW w:w="1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2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w w:val="88"/>
              </w:rPr>
              <w:t>Projects Anticipated to Stabilize in 2008 (3)</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Arlington East</w:t>
            </w:r>
          </w:p>
        </w:tc>
        <w:tc>
          <w:tcPr>
            <w:tcW w:w="3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Bethesda, MD</w:t>
            </w: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Ground floor retail, four levels of residential units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above retail, two levels of below grade parking</w:t>
            </w: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9%</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Hollywood, CA</w:t>
            </w: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Re-tenanting three level entertainment center and</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4"/>
              </w:rPr>
              <w:t>converting project into urban neighborhood community</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center</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Village of Shirlington - Phase III &amp; IV</w:t>
            </w:r>
          </w:p>
        </w:tc>
        <w:tc>
          <w:tcPr>
            <w:tcW w:w="3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Arlington, VA</w:t>
            </w: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w w:val="96"/>
              </w:rPr>
              <w:t>Ground lease to hotel operator and ground floor retail</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80" w:type="dxa"/>
            <w:vAlign w:val="bottom"/>
            <w:gridSpan w:val="2"/>
          </w:tcPr>
          <w:p>
            <w:pPr>
              <w:ind w:left="280"/>
              <w:spacing w:after="0"/>
              <w:rPr>
                <w:sz w:val="20"/>
                <w:szCs w:val="20"/>
                <w:color w:val="auto"/>
              </w:rPr>
            </w:pPr>
            <w:r>
              <w:rPr>
                <w:rFonts w:ascii="Arial" w:cs="Arial" w:eastAsia="Arial" w:hAnsi="Arial"/>
                <w:sz w:val="17"/>
                <w:szCs w:val="17"/>
                <w:color w:val="auto"/>
              </w:rPr>
              <w:t>as part of office building development (by others)</w:t>
            </w: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gridSpan w:val="3"/>
            <w:shd w:val="clear" w:color="auto" w:fill="CCEEFF"/>
          </w:tcPr>
          <w:p>
            <w:pPr>
              <w:ind w:left="340"/>
              <w:spacing w:after="0"/>
              <w:rPr>
                <w:sz w:val="20"/>
                <w:szCs w:val="20"/>
                <w:color w:val="auto"/>
              </w:rPr>
            </w:pPr>
            <w:r>
              <w:rPr>
                <w:rFonts w:ascii="Arial" w:cs="Arial" w:eastAsia="Arial" w:hAnsi="Arial"/>
                <w:sz w:val="17"/>
                <w:szCs w:val="17"/>
                <w:b w:val="1"/>
                <w:bCs w:val="1"/>
                <w:i w:val="1"/>
                <w:iCs w:val="1"/>
                <w:color w:val="auto"/>
                <w:w w:val="95"/>
              </w:rPr>
              <w:t>Subtotal: Projects Anticipated to Stabilize in 2008 (3) (4)</w:t>
            </w: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97</w:t>
            </w: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7"/>
                <w:szCs w:val="17"/>
                <w:b w:val="1"/>
                <w:bCs w:val="1"/>
                <w:i w:val="1"/>
                <w:iCs w:val="1"/>
                <w:color w:val="auto"/>
                <w:w w:val="93"/>
              </w:rPr>
              <w:t>Total: Projects Anticipated to Stabilize in 2007 and 2008 (3) (4)</w:t>
            </w: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11%</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206</w:t>
            </w:r>
          </w:p>
        </w:tc>
        <w:tc>
          <w:tcPr>
            <w:tcW w:w="2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91"/>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future redevelopment pipeline includes (5):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00" w:type="dxa"/>
            <w:vAlign w:val="bottom"/>
            <w:gridSpan w:val="3"/>
          </w:tcPr>
          <w:p>
            <w:pPr>
              <w:spacing w:after="0"/>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4"/>
                <w:szCs w:val="14"/>
                <w:color w:val="auto"/>
              </w:rPr>
            </w:pPr>
          </w:p>
        </w:tc>
        <w:tc>
          <w:tcPr>
            <w:tcW w:w="1480" w:type="dxa"/>
            <w:vAlign w:val="bottom"/>
          </w:tcPr>
          <w:p>
            <w:pPr>
              <w:ind w:left="48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4"/>
                <w:szCs w:val="14"/>
                <w:color w:val="auto"/>
              </w:rPr>
            </w:pPr>
          </w:p>
        </w:tc>
        <w:tc>
          <w:tcPr>
            <w:tcW w:w="8220" w:type="dxa"/>
            <w:vAlign w:val="bottom"/>
          </w:tcPr>
          <w:p>
            <w:pPr>
              <w:ind w:left="3760"/>
              <w:spacing w:after="0"/>
              <w:rPr>
                <w:sz w:val="20"/>
                <w:szCs w:val="20"/>
                <w:color w:val="auto"/>
              </w:rPr>
            </w:pPr>
            <w:r>
              <w:rPr>
                <w:rFonts w:ascii="Arial" w:cs="Arial" w:eastAsia="Arial" w:hAnsi="Arial"/>
                <w:sz w:val="13"/>
                <w:szCs w:val="13"/>
                <w:b w:val="1"/>
                <w:bCs w:val="1"/>
                <w:color w:val="auto"/>
              </w:rPr>
              <w:t>Opportunity</w:t>
            </w:r>
          </w:p>
        </w:tc>
      </w:tr>
      <w:tr>
        <w:trPr>
          <w:trHeight w:val="213"/>
        </w:trPr>
        <w:tc>
          <w:tcPr>
            <w:tcW w:w="20" w:type="dxa"/>
            <w:vAlign w:val="bottom"/>
          </w:tcPr>
          <w:p>
            <w:pPr>
              <w:spacing w:after="0"/>
              <w:rPr>
                <w:sz w:val="18"/>
                <w:szCs w:val="18"/>
                <w:color w:val="auto"/>
              </w:rPr>
            </w:pPr>
          </w:p>
        </w:tc>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Pike 7</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Vienna, VA</w:t>
            </w:r>
          </w:p>
        </w:tc>
        <w:tc>
          <w:tcPr>
            <w:tcW w:w="100" w:type="dxa"/>
            <w:vAlign w:val="bottom"/>
            <w:shd w:val="clear" w:color="auto" w:fill="CCEEFF"/>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Co-terminus leases create potential for retail redevelopment or transit oriented mixed-use development</w:t>
            </w:r>
          </w:p>
        </w:tc>
      </w:tr>
      <w:tr>
        <w:trPr>
          <w:trHeight w:val="213"/>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Westgate</w:t>
            </w: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San Jose, CA</w:t>
            </w:r>
          </w:p>
        </w:tc>
        <w:tc>
          <w:tcPr>
            <w:tcW w:w="8320" w:type="dxa"/>
            <w:vAlign w:val="bottom"/>
            <w:gridSpan w:val="2"/>
          </w:tcPr>
          <w:p>
            <w:pPr>
              <w:ind w:left="100"/>
              <w:spacing w:after="0"/>
              <w:rPr>
                <w:sz w:val="20"/>
                <w:szCs w:val="20"/>
                <w:color w:val="auto"/>
              </w:rPr>
            </w:pPr>
            <w:r>
              <w:rPr>
                <w:rFonts w:ascii="Arial" w:cs="Arial" w:eastAsia="Arial" w:hAnsi="Arial"/>
                <w:sz w:val="17"/>
                <w:szCs w:val="17"/>
                <w:color w:val="auto"/>
              </w:rPr>
              <w:t>Center redevelopment</w:t>
            </w:r>
          </w:p>
        </w:tc>
      </w:tr>
      <w:tr>
        <w:trPr>
          <w:trHeight w:val="213"/>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Eastgate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Chapel Hill, NC</w:t>
            </w:r>
          </w:p>
        </w:tc>
        <w:tc>
          <w:tcPr>
            <w:tcW w:w="8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Center redevelopment including new grocery anchor, facade renovation and site improvements</w:t>
            </w:r>
          </w:p>
        </w:tc>
      </w:tr>
      <w:tr>
        <w:trPr>
          <w:trHeight w:val="213"/>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Flourtown</w:t>
            </w: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Flourtown, PA</w:t>
            </w:r>
          </w:p>
        </w:tc>
        <w:tc>
          <w:tcPr>
            <w:tcW w:w="8320" w:type="dxa"/>
            <w:vAlign w:val="bottom"/>
            <w:gridSpan w:val="2"/>
          </w:tcPr>
          <w:p>
            <w:pPr>
              <w:ind w:left="100"/>
              <w:spacing w:after="0"/>
              <w:rPr>
                <w:sz w:val="20"/>
                <w:szCs w:val="20"/>
                <w:color w:val="auto"/>
              </w:rPr>
            </w:pPr>
            <w:r>
              <w:rPr>
                <w:rFonts w:ascii="Arial" w:cs="Arial" w:eastAsia="Arial" w:hAnsi="Arial"/>
                <w:sz w:val="17"/>
                <w:szCs w:val="17"/>
                <w:color w:val="auto"/>
              </w:rPr>
              <w:t>Anchor re-tenanting, small shop demolition, new retail building, façade renovation, and site improvements</w:t>
            </w:r>
          </w:p>
        </w:tc>
      </w:tr>
      <w:tr>
        <w:trPr>
          <w:trHeight w:val="213"/>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 Cynwyd</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Bala Cynwyd, PA</w:t>
            </w:r>
          </w:p>
        </w:tc>
        <w:tc>
          <w:tcPr>
            <w:tcW w:w="8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Redevelopment of nine acres of land for a transit oriented mixed-use project or retail center</w:t>
            </w:r>
          </w:p>
        </w:tc>
      </w:tr>
      <w:tr>
        <w:trPr>
          <w:trHeight w:val="213"/>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Santana Row</w:t>
            </w: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San Jose, CA</w:t>
            </w:r>
          </w:p>
        </w:tc>
        <w:tc>
          <w:tcPr>
            <w:tcW w:w="8320" w:type="dxa"/>
            <w:vAlign w:val="bottom"/>
            <w:gridSpan w:val="2"/>
          </w:tcPr>
          <w:p>
            <w:pPr>
              <w:ind w:left="100"/>
              <w:spacing w:after="0"/>
              <w:rPr>
                <w:sz w:val="20"/>
                <w:szCs w:val="20"/>
                <w:color w:val="auto"/>
              </w:rPr>
            </w:pPr>
            <w:r>
              <w:rPr>
                <w:rFonts w:ascii="Arial" w:cs="Arial" w:eastAsia="Arial" w:hAnsi="Arial"/>
                <w:sz w:val="17"/>
                <w:szCs w:val="17"/>
                <w:color w:val="auto"/>
              </w:rPr>
              <w:t>Future phases of mixed-use development</w:t>
            </w:r>
          </w:p>
        </w:tc>
      </w:tr>
      <w:tr>
        <w:trPr>
          <w:trHeight w:val="213"/>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Assembly Square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Sommerville, MA</w:t>
            </w:r>
          </w:p>
        </w:tc>
        <w:tc>
          <w:tcPr>
            <w:tcW w:w="8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Potential substantial transit oriented mixed-use development</w:t>
            </w:r>
          </w:p>
        </w:tc>
      </w:tr>
      <w:tr>
        <w:trPr>
          <w:trHeight w:val="107"/>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20" w:type="dxa"/>
            <w:vAlign w:val="bottom"/>
          </w:tcPr>
          <w:p>
            <w:pPr>
              <w:spacing w:after="0"/>
              <w:rPr>
                <w:sz w:val="9"/>
                <w:szCs w:val="9"/>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right="60" w:hanging="453"/>
        <w:spacing w:after="0" w:line="261"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7"/>
          <w:szCs w:val="17"/>
          <w:color w:val="auto"/>
        </w:rPr>
      </w:pPr>
    </w:p>
    <w:p>
      <w:pPr>
        <w:ind w:left="460" w:right="40" w:hanging="453"/>
        <w:spacing w:after="0" w:line="261"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Mercer Mall (property acquired on the basis of redevelopment potential) is calculated as the increase in POI between acquisition and stabilization divided by the increase in cost basis between acquisition and stabilization.</w:t>
      </w:r>
    </w:p>
    <w:p>
      <w:pPr>
        <w:spacing w:after="0" w:line="4"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7" w:lineRule="exact"/>
        <w:rPr>
          <w:rFonts w:ascii="Arial" w:cs="Arial" w:eastAsia="Arial" w:hAnsi="Arial"/>
          <w:sz w:val="17"/>
          <w:szCs w:val="17"/>
          <w:color w:val="auto"/>
        </w:rPr>
      </w:pPr>
    </w:p>
    <w:p>
      <w:pPr>
        <w:ind w:left="460" w:right="60" w:hanging="453"/>
        <w:spacing w:after="0" w:line="28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2"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2007 Acquisitions and Dispositions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Acquisitions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6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3"/>
                <w:szCs w:val="13"/>
                <w:b w:val="1"/>
                <w:bCs w:val="1"/>
                <w:color w:val="auto"/>
              </w:rPr>
              <w:t>City / State</w:t>
            </w:r>
          </w:p>
        </w:tc>
        <w:tc>
          <w:tcPr>
            <w:tcW w:w="2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3"/>
                <w:szCs w:val="13"/>
                <w:b w:val="1"/>
                <w:bCs w:val="1"/>
                <w:color w:val="auto"/>
              </w:rPr>
              <w:t>Purchase price</w:t>
            </w:r>
          </w:p>
        </w:tc>
        <w:tc>
          <w:tcPr>
            <w:tcW w:w="10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13"/>
              <w:spacing w:after="0" w:line="147" w:lineRule="exact"/>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30, 2007</w:t>
            </w:r>
          </w:p>
        </w:tc>
        <w:tc>
          <w:tcPr>
            <w:tcW w:w="260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w w:val="96"/>
              </w:rPr>
              <w:t>1020 Revere Beach Parkway (1)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Chelsea, MA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17,000</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February 28, 2007</w:t>
            </w:r>
          </w:p>
        </w:tc>
        <w:tc>
          <w:tcPr>
            <w:tcW w:w="2600" w:type="dxa"/>
            <w:vAlign w:val="bottom"/>
            <w:gridSpan w:val="5"/>
          </w:tcPr>
          <w:p>
            <w:pPr>
              <w:ind w:left="200"/>
              <w:spacing w:after="0"/>
              <w:rPr>
                <w:sz w:val="20"/>
                <w:szCs w:val="20"/>
                <w:color w:val="auto"/>
              </w:rPr>
            </w:pPr>
            <w:r>
              <w:rPr>
                <w:rFonts w:ascii="Arial" w:cs="Arial" w:eastAsia="Arial" w:hAnsi="Arial"/>
                <w:sz w:val="17"/>
                <w:szCs w:val="17"/>
                <w:color w:val="auto"/>
              </w:rPr>
              <w:t>Crow Canyon Crest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7"/>
                <w:szCs w:val="17"/>
                <w:color w:val="auto"/>
              </w:rPr>
              <w:t>San Ramon, CA</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17,000</w:t>
            </w:r>
          </w:p>
        </w:tc>
        <w:tc>
          <w:tcPr>
            <w:tcW w:w="34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8, 2007</w:t>
            </w:r>
          </w:p>
        </w:tc>
        <w:tc>
          <w:tcPr>
            <w:tcW w:w="260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White Marsh Portfolio:</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White Marsh, MD</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189.4(2)</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Loews Theatre, Barnes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&amp; Noble, A.C. Moore, Old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Navy, Staples, Giant Food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ind w:left="80"/>
              <w:spacing w:after="0"/>
              <w:rPr>
                <w:sz w:val="20"/>
                <w:szCs w:val="20"/>
                <w:color w:val="auto"/>
              </w:rPr>
            </w:pPr>
            <w:r>
              <w:rPr>
                <w:rFonts w:ascii="Arial" w:cs="Arial" w:eastAsia="Arial" w:hAnsi="Arial"/>
                <w:sz w:val="17"/>
                <w:szCs w:val="17"/>
                <w:color w:val="auto"/>
                <w:w w:val="94"/>
              </w:rPr>
              <w:t>THE AVENUE at White Marsh</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296,000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White Marsh Plaza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3"/>
          </w:tcPr>
          <w:p>
            <w:pPr>
              <w:ind w:left="80"/>
              <w:spacing w:after="0"/>
              <w:rPr>
                <w:sz w:val="20"/>
                <w:szCs w:val="20"/>
                <w:color w:val="auto"/>
              </w:rPr>
            </w:pPr>
            <w:r>
              <w:rPr>
                <w:rFonts w:ascii="Arial" w:cs="Arial" w:eastAsia="Arial" w:hAnsi="Arial"/>
                <w:sz w:val="17"/>
                <w:szCs w:val="17"/>
                <w:color w:val="auto"/>
              </w:rPr>
              <w:t>The Shoppes at Nottingham</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ind w:left="80"/>
              <w:spacing w:after="0"/>
              <w:rPr>
                <w:sz w:val="20"/>
                <w:szCs w:val="20"/>
                <w:color w:val="auto"/>
              </w:rPr>
            </w:pPr>
            <w:r>
              <w:rPr>
                <w:rFonts w:ascii="Arial" w:cs="Arial" w:eastAsia="Arial" w:hAnsi="Arial"/>
                <w:sz w:val="17"/>
                <w:szCs w:val="17"/>
                <w:color w:val="auto"/>
              </w:rPr>
              <w:t>Square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186,000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Byron Station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ind w:left="80"/>
              <w:spacing w:after="0"/>
              <w:rPr>
                <w:sz w:val="20"/>
                <w:szCs w:val="20"/>
                <w:color w:val="auto"/>
              </w:rPr>
            </w:pPr>
            <w:r>
              <w:rPr>
                <w:rFonts w:ascii="Arial" w:cs="Arial" w:eastAsia="Arial" w:hAnsi="Arial"/>
                <w:sz w:val="17"/>
                <w:szCs w:val="17"/>
                <w:color w:val="auto"/>
                <w:w w:val="99"/>
              </w:rPr>
              <w:t>White Marsh Ground Leases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40,000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648,000</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8"/>
            <w:vMerge w:val="restart"/>
          </w:tcPr>
          <w:p>
            <w:pPr>
              <w:spacing w:after="0"/>
              <w:rPr>
                <w:sz w:val="20"/>
                <w:szCs w:val="20"/>
                <w:color w:val="auto"/>
              </w:rPr>
            </w:pPr>
            <w:r>
              <w:rPr>
                <w:rFonts w:ascii="Arial" w:cs="Arial" w:eastAsia="Arial" w:hAnsi="Arial"/>
                <w:sz w:val="17"/>
                <w:szCs w:val="17"/>
                <w:color w:val="auto"/>
              </w:rPr>
              <w:t>Federal Realty Investment Trust Dispositions</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86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240" w:type="dxa"/>
            <w:vAlign w:val="bottom"/>
            <w:tcBorders>
              <w:bottom w:val="single" w:sz="8" w:color="auto"/>
            </w:tcBorders>
            <w:gridSpan w:val="2"/>
          </w:tcPr>
          <w:p>
            <w:pPr>
              <w:spacing w:after="0" w:line="147" w:lineRule="exact"/>
              <w:rPr>
                <w:sz w:val="20"/>
                <w:szCs w:val="20"/>
                <w:color w:val="auto"/>
              </w:rPr>
            </w:pPr>
            <w:r>
              <w:rPr>
                <w:rFonts w:ascii="Arial" w:cs="Arial" w:eastAsia="Arial" w:hAnsi="Arial"/>
                <w:sz w:val="13"/>
                <w:szCs w:val="13"/>
                <w:b w:val="1"/>
                <w:bCs w:val="1"/>
                <w:color w:val="auto"/>
              </w:rPr>
              <w:t>Date</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ind w:left="580"/>
              <w:spacing w:after="0" w:line="147" w:lineRule="exact"/>
              <w:rPr>
                <w:sz w:val="20"/>
                <w:szCs w:val="20"/>
                <w:color w:val="auto"/>
              </w:rPr>
            </w:pPr>
            <w:r>
              <w:rPr>
                <w:rFonts w:ascii="Arial" w:cs="Arial" w:eastAsia="Arial" w:hAnsi="Arial"/>
                <w:sz w:val="13"/>
                <w:szCs w:val="13"/>
                <w:b w:val="1"/>
                <w:bCs w:val="1"/>
                <w:color w:val="auto"/>
              </w:rPr>
              <w:t>Property</w:t>
            </w:r>
          </w:p>
        </w:tc>
        <w:tc>
          <w:tcPr>
            <w:tcW w:w="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Borders>
              <w:bottom w:val="single" w:sz="8" w:color="auto"/>
            </w:tcBorders>
          </w:tcPr>
          <w:p>
            <w:pPr>
              <w:ind w:left="720"/>
              <w:spacing w:after="0" w:line="147" w:lineRule="exact"/>
              <w:rPr>
                <w:sz w:val="20"/>
                <w:szCs w:val="20"/>
                <w:color w:val="auto"/>
              </w:rPr>
            </w:pPr>
            <w:r>
              <w:rPr>
                <w:rFonts w:ascii="Arial" w:cs="Arial" w:eastAsia="Arial" w:hAnsi="Arial"/>
                <w:sz w:val="13"/>
                <w:szCs w:val="13"/>
                <w:b w:val="1"/>
                <w:bCs w:val="1"/>
                <w:color w:val="auto"/>
              </w:rPr>
              <w:t>City / State</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gridSpan w:val="2"/>
          </w:tcPr>
          <w:p>
            <w:pPr>
              <w:spacing w:after="0" w:line="147" w:lineRule="exact"/>
              <w:rPr>
                <w:sz w:val="20"/>
                <w:szCs w:val="20"/>
                <w:color w:val="auto"/>
              </w:rPr>
            </w:pPr>
            <w:r>
              <w:rPr>
                <w:rFonts w:ascii="Arial" w:cs="Arial" w:eastAsia="Arial" w:hAnsi="Arial"/>
                <w:sz w:val="13"/>
                <w:szCs w:val="13"/>
                <w:b w:val="1"/>
                <w:bCs w:val="1"/>
                <w:color w:val="auto"/>
              </w:rPr>
              <w:t>GLA</w:t>
            </w:r>
          </w:p>
        </w:tc>
        <w:tc>
          <w:tcPr>
            <w:tcW w:w="320" w:type="dxa"/>
            <w:vAlign w:val="bottom"/>
          </w:tcPr>
          <w:p>
            <w:pPr>
              <w:spacing w:after="0"/>
              <w:rPr>
                <w:sz w:val="13"/>
                <w:szCs w:val="13"/>
                <w:color w:val="auto"/>
              </w:rPr>
            </w:pPr>
          </w:p>
        </w:tc>
        <w:tc>
          <w:tcPr>
            <w:tcW w:w="700" w:type="dxa"/>
            <w:vAlign w:val="bottom"/>
            <w:tcBorders>
              <w:bottom w:val="single" w:sz="8" w:color="auto"/>
            </w:tcBorders>
            <w:gridSpan w:val="2"/>
          </w:tcPr>
          <w:p>
            <w:pPr>
              <w:ind w:left="40"/>
              <w:spacing w:after="0" w:line="147" w:lineRule="exact"/>
              <w:rPr>
                <w:sz w:val="20"/>
                <w:szCs w:val="20"/>
                <w:color w:val="auto"/>
              </w:rPr>
            </w:pPr>
            <w:r>
              <w:rPr>
                <w:rFonts w:ascii="Arial" w:cs="Arial" w:eastAsia="Arial" w:hAnsi="Arial"/>
                <w:sz w:val="13"/>
                <w:szCs w:val="13"/>
                <w:b w:val="1"/>
                <w:bCs w:val="1"/>
                <w:color w:val="auto"/>
                <w:w w:val="93"/>
              </w:rPr>
              <w:t>Sales price</w:t>
            </w: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w w:val="93"/>
              </w:rPr>
              <w:t>(in millions)</w:t>
            </w: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right="680" w:hanging="453"/>
        <w:spacing w:after="0" w:line="261"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1020 Revere Beach Parkway, which is currently vacant, is contiguous with our Chelsea Commons Shopping Center and was purchased for potential redevelopment.</w:t>
      </w:r>
    </w:p>
    <w:p>
      <w:pPr>
        <w:spacing w:after="0" w:line="1" w:lineRule="exact"/>
        <w:rPr>
          <w:rFonts w:ascii="Arial" w:cs="Arial" w:eastAsia="Arial" w:hAnsi="Arial"/>
          <w:sz w:val="17"/>
          <w:szCs w:val="17"/>
          <w:color w:val="auto"/>
        </w:rPr>
      </w:pPr>
    </w:p>
    <w:p>
      <w:pPr>
        <w:ind w:left="460" w:right="380" w:hanging="453"/>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acquisition also included ground leases covering approximately 50,000 square feet of office space, which are not included in the GLA, and approximately 405 hotel rooms. The White Marsh portfolio was purchased using a combination of common and convertible preferred stock, down REIT units, and the assumption of fixed rate debt through a merger with Nottingham Properties, Inc.</w:t>
      </w:r>
    </w:p>
    <w:p>
      <w:pPr>
        <w:sectPr>
          <w:pgSz w:w="11900" w:h="16838" w:orient="portrait"/>
          <w:cols w:equalWidth="0" w:num="1">
            <w:col w:w="11420"/>
          </w:cols>
          <w:pgMar w:left="240" w:top="272" w:right="239" w:bottom="1440" w:gutter="0" w:footer="0" w:header="0"/>
        </w:sectPr>
      </w:pPr>
    </w:p>
    <w:bookmarkStart w:id="19" w:name="page20"/>
    <w:bookmarkEnd w:id="1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Mortgage or</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Grocery</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3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6"/>
              </w:rPr>
              <w:t>Total</w:t>
            </w:r>
          </w:p>
        </w:tc>
        <w:tc>
          <w:tcPr>
            <w:tcW w:w="840" w:type="dxa"/>
            <w:vAlign w:val="bottom"/>
            <w:gridSpan w:val="3"/>
          </w:tcPr>
          <w:p>
            <w:pPr>
              <w:jc w:val="center"/>
              <w:ind w:right="60"/>
              <w:spacing w:after="0" w:line="134" w:lineRule="exact"/>
              <w:rPr>
                <w:sz w:val="20"/>
                <w:szCs w:val="20"/>
                <w:color w:val="auto"/>
              </w:rPr>
            </w:pPr>
            <w:r>
              <w:rPr>
                <w:rFonts w:ascii="Arial" w:cs="Arial" w:eastAsia="Arial" w:hAnsi="Arial"/>
                <w:sz w:val="13"/>
                <w:szCs w:val="13"/>
                <w:b w:val="1"/>
                <w:bCs w:val="1"/>
                <w:color w:val="auto"/>
                <w:w w:val="93"/>
              </w:rPr>
              <w:t>Capital Lease</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6"/>
              </w:rPr>
              <w:t>Anchor</w:t>
            </w: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80" w:type="dxa"/>
            <w:vAlign w:val="bottom"/>
            <w:gridSpan w:val="6"/>
          </w:tcPr>
          <w:p>
            <w:pPr>
              <w:spacing w:after="0"/>
              <w:rPr>
                <w:sz w:val="20"/>
                <w:szCs w:val="20"/>
                <w:color w:val="auto"/>
              </w:rPr>
            </w:pPr>
            <w:r>
              <w:rPr>
                <w:rFonts w:ascii="Arial" w:cs="Arial" w:eastAsia="Arial" w:hAnsi="Arial"/>
                <w:sz w:val="13"/>
                <w:szCs w:val="13"/>
                <w:b w:val="1"/>
                <w:bCs w:val="1"/>
                <w:color w:val="auto"/>
              </w:rPr>
              <w:t>Name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Pr>
          <w:p>
            <w:pPr>
              <w:ind w:left="50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Acquired</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Investment</w:t>
            </w: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Obligation (1)</w:t>
            </w:r>
          </w:p>
        </w:tc>
        <w:tc>
          <w:tcPr>
            <w:tcW w:w="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 (2)</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3"/>
              </w:rPr>
              <w:t>% Leased</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GLA (3)</w:t>
            </w:r>
          </w:p>
        </w:tc>
        <w:tc>
          <w:tcPr>
            <w:tcW w:w="100" w:type="dxa"/>
            <w:vAlign w:val="bottom"/>
          </w:tcPr>
          <w:p>
            <w:pPr>
              <w:spacing w:after="0"/>
              <w:rPr>
                <w:sz w:val="14"/>
                <w:szCs w:val="14"/>
                <w:color w:val="auto"/>
              </w:rPr>
            </w:pPr>
          </w:p>
        </w:tc>
        <w:tc>
          <w:tcPr>
            <w:tcW w:w="1600" w:type="dxa"/>
            <w:vAlign w:val="bottom"/>
          </w:tcPr>
          <w:p>
            <w:pPr>
              <w:ind w:left="240"/>
              <w:spacing w:after="0"/>
              <w:rPr>
                <w:sz w:val="20"/>
                <w:szCs w:val="20"/>
                <w:color w:val="auto"/>
              </w:rPr>
            </w:pPr>
            <w:r>
              <w:rPr>
                <w:rFonts w:ascii="Arial" w:cs="Arial" w:eastAsia="Arial" w:hAnsi="Arial"/>
                <w:sz w:val="13"/>
                <w:szCs w:val="13"/>
                <w:b w:val="1"/>
                <w:bCs w:val="1"/>
                <w:color w:val="auto"/>
              </w:rPr>
              <w:t>Grocery Anchor (3)</w:t>
            </w:r>
          </w:p>
        </w:tc>
        <w:tc>
          <w:tcPr>
            <w:tcW w:w="1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w w:val="92"/>
              </w:rPr>
              <w:t>Other Principal Tenants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3"/>
              <w:spacing w:after="0" w:line="134" w:lineRule="exact"/>
              <w:rPr>
                <w:sz w:val="20"/>
                <w:szCs w:val="20"/>
                <w:color w:val="auto"/>
              </w:rPr>
            </w:pPr>
            <w:r>
              <w:rPr>
                <w:rFonts w:ascii="Arial" w:cs="Arial" w:eastAsia="Arial" w:hAnsi="Arial"/>
                <w:sz w:val="13"/>
                <w:szCs w:val="13"/>
                <w:b w:val="1"/>
                <w:bCs w:val="1"/>
                <w:color w:val="auto"/>
              </w:rPr>
              <w:t>(in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(in thousands)</w:t>
            </w:r>
          </w:p>
        </w:tc>
        <w:tc>
          <w:tcPr>
            <w:tcW w:w="8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thousands)</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87"/>
              </w:rPr>
              <w:t>East Region</w:t>
            </w:r>
          </w:p>
        </w:tc>
        <w:tc>
          <w:tcPr>
            <w:tcW w:w="780" w:type="dxa"/>
            <w:vAlign w:val="bottom"/>
            <w:tcBorders>
              <w:bottom w:val="single" w:sz="8" w:color="CCEEFF"/>
            </w:tcBorders>
            <w:gridSpan w:val="4"/>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60" w:type="dxa"/>
            <w:vAlign w:val="bottom"/>
            <w:gridSpan w:val="8"/>
          </w:tcPr>
          <w:p>
            <w:pPr>
              <w:spacing w:after="0" w:line="127" w:lineRule="exact"/>
              <w:rPr>
                <w:sz w:val="20"/>
                <w:szCs w:val="20"/>
                <w:color w:val="auto"/>
              </w:rPr>
            </w:pPr>
            <w:r>
              <w:rPr>
                <w:rFonts w:ascii="Arial" w:cs="Arial" w:eastAsia="Arial" w:hAnsi="Arial"/>
                <w:sz w:val="13"/>
                <w:szCs w:val="13"/>
                <w:b w:val="1"/>
                <w:bCs w:val="1"/>
                <w:color w:val="auto"/>
                <w:w w:val="97"/>
              </w:rPr>
              <w:t>Washington Metropolitan Area</w:t>
            </w: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460" w:type="dxa"/>
            <w:vAlign w:val="bottom"/>
            <w:gridSpan w:val="5"/>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3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1993-2006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123,041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12,576</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477,000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Giant Food</w:t>
            </w:r>
          </w:p>
        </w:tc>
        <w:tc>
          <w:tcPr>
            <w:tcW w:w="148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Landmark Theater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6"/>
              </w:rPr>
              <w:t>Washington Sports Club</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Congressional Plaza</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1965</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68,233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338,000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28,000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Whole Foods</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Buy Buy Baby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Container Store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Courthouse Center</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4,598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Falls Plaza/Falls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1967-1972</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11,511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144,000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51,000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gridSpan w:val="5"/>
          </w:tcPr>
          <w:p>
            <w:pPr>
              <w:ind w:left="200"/>
              <w:spacing w:after="0"/>
              <w:rPr>
                <w:sz w:val="20"/>
                <w:szCs w:val="20"/>
                <w:color w:val="auto"/>
              </w:rPr>
            </w:pPr>
            <w:r>
              <w:rPr>
                <w:rFonts w:ascii="Arial" w:cs="Arial" w:eastAsia="Arial" w:hAnsi="Arial"/>
                <w:sz w:val="13"/>
                <w:szCs w:val="13"/>
                <w:color w:val="auto"/>
              </w:rPr>
              <w:t>East</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Federal Plaza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1989</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62,320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34,058</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247,000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TJ Maxx / CompUSA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Friendship Center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2001</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33,312</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119,000</w:t>
            </w: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Borders / Linens ‘n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Things / Maggiano’s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Gaithersburg Square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23,820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Borders / Ross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Idylwood Plaza</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1994</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15,192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73,000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30,000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Laurel</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46,177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386,000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61,000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Giant Food</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Leesburg Plaza</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31,152</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9,726</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236,000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55,000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Petsmart / Pier One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Loehmann’s Plaza</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29,991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250,000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Bally’s / Loehmann’s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Mid-Pike Plaza</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1982</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17,881</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10,041</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309,000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Linens ‘n Things / Toys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 Us / Bally’s / AC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Moore / Filene’s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Basement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Mount Vernon/South</w:t>
            </w:r>
          </w:p>
        </w:tc>
        <w:tc>
          <w:tcPr>
            <w:tcW w:w="3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2003-2006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75,804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12,193</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566,000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62,000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Shoppers Food Warehouse</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ind w:left="200"/>
              <w:spacing w:after="0" w:line="147" w:lineRule="exact"/>
              <w:rPr>
                <w:sz w:val="20"/>
                <w:szCs w:val="20"/>
                <w:color w:val="auto"/>
              </w:rPr>
            </w:pPr>
            <w:r>
              <w:rPr>
                <w:rFonts w:ascii="Arial" w:cs="Arial" w:eastAsia="Arial" w:hAnsi="Arial"/>
                <w:sz w:val="13"/>
                <w:szCs w:val="13"/>
                <w:color w:val="auto"/>
              </w:rPr>
              <w:t>Valley/7770</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w w:val="95"/>
              </w:rPr>
              <w:t>Michaels / Home Depot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gridSpan w:val="5"/>
            <w:shd w:val="clear" w:color="auto" w:fill="CCEEFF"/>
          </w:tcPr>
          <w:p>
            <w:pPr>
              <w:ind w:left="200"/>
              <w:spacing w:after="0"/>
              <w:rPr>
                <w:sz w:val="20"/>
                <w:szCs w:val="20"/>
                <w:color w:val="auto"/>
              </w:rPr>
            </w:pPr>
            <w:r>
              <w:rPr>
                <w:rFonts w:ascii="Arial" w:cs="Arial" w:eastAsia="Arial" w:hAnsi="Arial"/>
                <w:sz w:val="13"/>
                <w:szCs w:val="13"/>
                <w:color w:val="auto"/>
              </w:rPr>
              <w:t>Richmond Hwy</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TJ Maxx / Gold’s Gym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Old Keene Mill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1976</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5,391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92,000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24,000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Pan Am</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27,592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227,000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Safeway</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w w:val="99"/>
              </w:rPr>
              <w:t>Micro Center / Michaels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Pentagon Row</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1999</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88,386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296,000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45,000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Harris Teeter</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Bally’s / Bed, Bath &amp;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Beyond / DSW / Cost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Plus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Pike 7</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33,852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164,000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Staples / TJ Maxx</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Quince Orchard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20,089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253,000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24,000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Magruders</w:t>
            </w: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Rockville Town Square</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2006-2007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16,730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148,000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Rollingwood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1971</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6,828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N/A</w:t>
            </w: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gridSpan w:val="5"/>
          </w:tcPr>
          <w:p>
            <w:pPr>
              <w:ind w:left="200"/>
              <w:spacing w:after="0"/>
              <w:rPr>
                <w:sz w:val="20"/>
                <w:szCs w:val="20"/>
                <w:color w:val="auto"/>
              </w:rPr>
            </w:pPr>
            <w:r>
              <w:rPr>
                <w:rFonts w:ascii="Arial" w:cs="Arial" w:eastAsia="Arial" w:hAnsi="Arial"/>
                <w:sz w:val="13"/>
                <w:szCs w:val="13"/>
                <w:color w:val="auto"/>
              </w:rPr>
              <w:t>Apartments</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Sam’s Park &amp; Shop</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12,207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49,000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Tower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19,701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112,000</w:t>
            </w: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Virginia Fine Wine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Tyson’s Station</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3,454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6,330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Village at Shirlington</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1995</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39,548</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1,806</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214,000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4"/>
              </w:rPr>
              <w:t>Cineplex Odeon / Carlyle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Grand Café</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Wildwood</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1969</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17,499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26,455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85,000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Balducci’s</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1" w:lineRule="exact"/>
              <w:rPr>
                <w:sz w:val="20"/>
                <w:szCs w:val="20"/>
                <w:color w:val="auto"/>
              </w:rPr>
            </w:pPr>
            <w:r>
              <w:rPr>
                <w:rFonts w:ascii="Arial" w:cs="Arial" w:eastAsia="Arial" w:hAnsi="Arial"/>
                <w:sz w:val="13"/>
                <w:szCs w:val="13"/>
                <w:b w:val="1"/>
                <w:bCs w:val="1"/>
                <w:color w:val="auto"/>
              </w:rPr>
              <w:t>Total Washington Metropolitan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834,309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1" w:lineRule="exact"/>
              <w:rPr>
                <w:sz w:val="20"/>
                <w:szCs w:val="20"/>
                <w:color w:val="auto"/>
              </w:rPr>
            </w:pPr>
            <w:r>
              <w:rPr>
                <w:rFonts w:ascii="Arial" w:cs="Arial" w:eastAsia="Arial" w:hAnsi="Arial"/>
                <w:sz w:val="13"/>
                <w:szCs w:val="13"/>
                <w:color w:val="auto"/>
                <w:w w:val="93"/>
              </w:rPr>
              <w:t>5,070,000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Arial" w:cs="Arial" w:eastAsia="Arial" w:hAnsi="Arial"/>
                <w:sz w:val="13"/>
                <w:szCs w:val="13"/>
                <w:b w:val="1"/>
                <w:bCs w:val="1"/>
                <w:color w:val="auto"/>
              </w:rPr>
              <w:t>Area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New York / New Jersey</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00" w:type="dxa"/>
            <w:vAlign w:val="bottom"/>
            <w:tcBorders>
              <w:top w:val="single" w:sz="8" w:color="auto"/>
            </w:tcBorders>
            <w:gridSpan w:val="4"/>
          </w:tcPr>
          <w:p>
            <w:pPr>
              <w:spacing w:after="0" w:line="140" w:lineRule="exact"/>
              <w:rPr>
                <w:sz w:val="20"/>
                <w:szCs w:val="20"/>
                <w:color w:val="auto"/>
              </w:rPr>
            </w:pPr>
            <w:r>
              <w:rPr>
                <w:rFonts w:ascii="Arial" w:cs="Arial" w:eastAsia="Arial" w:hAnsi="Arial"/>
                <w:sz w:val="13"/>
                <w:szCs w:val="13"/>
                <w:color w:val="auto"/>
              </w:rPr>
              <w:t>Allwood</w:t>
            </w:r>
          </w:p>
        </w:tc>
        <w:tc>
          <w:tcPr>
            <w:tcW w:w="1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gridSpan w:val="2"/>
          </w:tcPr>
          <w:p>
            <w:pPr>
              <w:jc w:val="right"/>
              <w:ind w:right="20"/>
              <w:spacing w:after="0" w:line="140" w:lineRule="exact"/>
              <w:rPr>
                <w:sz w:val="20"/>
                <w:szCs w:val="20"/>
                <w:color w:val="auto"/>
              </w:rPr>
            </w:pPr>
            <w:r>
              <w:rPr>
                <w:rFonts w:ascii="Arial" w:cs="Arial" w:eastAsia="Arial" w:hAnsi="Arial"/>
                <w:sz w:val="13"/>
                <w:szCs w:val="13"/>
                <w:color w:val="auto"/>
              </w:rPr>
              <w:t>(7)</w:t>
            </w:r>
          </w:p>
        </w:tc>
        <w:tc>
          <w:tcPr>
            <w:tcW w:w="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line="140" w:lineRule="exact"/>
              <w:rPr>
                <w:sz w:val="20"/>
                <w:szCs w:val="20"/>
                <w:color w:val="auto"/>
              </w:rPr>
            </w:pPr>
            <w:r>
              <w:rPr>
                <w:rFonts w:ascii="Arial" w:cs="Arial" w:eastAsia="Arial" w:hAnsi="Arial"/>
                <w:sz w:val="13"/>
                <w:szCs w:val="13"/>
                <w:color w:val="auto"/>
              </w:rPr>
              <w:t>Bergen-Passaic, NJ</w:t>
            </w:r>
          </w:p>
        </w:tc>
        <w:tc>
          <w:tcPr>
            <w:tcW w:w="740" w:type="dxa"/>
            <w:vAlign w:val="bottom"/>
            <w:tcBorders>
              <w:top w:val="single" w:sz="8" w:color="CCEEFF"/>
            </w:tcBorders>
            <w:gridSpan w:val="3"/>
          </w:tcPr>
          <w:p>
            <w:pPr>
              <w:jc w:val="right"/>
              <w:ind w:right="80"/>
              <w:spacing w:after="0" w:line="140" w:lineRule="exact"/>
              <w:rPr>
                <w:sz w:val="20"/>
                <w:szCs w:val="20"/>
                <w:color w:val="auto"/>
              </w:rPr>
            </w:pPr>
            <w:r>
              <w:rPr>
                <w:rFonts w:ascii="Arial" w:cs="Arial" w:eastAsia="Arial" w:hAnsi="Arial"/>
                <w:sz w:val="13"/>
                <w:szCs w:val="13"/>
                <w:color w:val="auto"/>
              </w:rPr>
              <w:t>1988</w:t>
            </w:r>
          </w:p>
        </w:tc>
        <w:tc>
          <w:tcPr>
            <w:tcW w:w="8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gridSpan w:val="2"/>
          </w:tcPr>
          <w:p>
            <w:pPr>
              <w:jc w:val="right"/>
              <w:ind w:right="80"/>
              <w:spacing w:after="0" w:line="140" w:lineRule="exact"/>
              <w:rPr>
                <w:sz w:val="20"/>
                <w:szCs w:val="20"/>
                <w:color w:val="auto"/>
              </w:rPr>
            </w:pPr>
            <w:r>
              <w:rPr>
                <w:rFonts w:ascii="Arial" w:cs="Arial" w:eastAsia="Arial" w:hAnsi="Arial"/>
                <w:sz w:val="13"/>
                <w:szCs w:val="13"/>
                <w:color w:val="auto"/>
              </w:rPr>
              <w:t>3,884</w:t>
            </w: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jc w:val="right"/>
              <w:spacing w:after="0" w:line="140" w:lineRule="exact"/>
              <w:rPr>
                <w:sz w:val="20"/>
                <w:szCs w:val="20"/>
                <w:color w:val="auto"/>
              </w:rPr>
            </w:pPr>
            <w:r>
              <w:rPr>
                <w:rFonts w:ascii="Arial" w:cs="Arial" w:eastAsia="Arial" w:hAnsi="Arial"/>
                <w:sz w:val="13"/>
                <w:szCs w:val="13"/>
                <w:color w:val="auto"/>
              </w:rPr>
              <w:t>3,044</w:t>
            </w:r>
          </w:p>
        </w:tc>
        <w:tc>
          <w:tcPr>
            <w:tcW w:w="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gridSpan w:val="2"/>
          </w:tcPr>
          <w:p>
            <w:pPr>
              <w:jc w:val="right"/>
              <w:spacing w:after="0" w:line="140" w:lineRule="exact"/>
              <w:rPr>
                <w:sz w:val="20"/>
                <w:szCs w:val="20"/>
                <w:color w:val="auto"/>
              </w:rPr>
            </w:pPr>
            <w:r>
              <w:rPr>
                <w:rFonts w:ascii="Arial" w:cs="Arial" w:eastAsia="Arial" w:hAnsi="Arial"/>
                <w:sz w:val="13"/>
                <w:szCs w:val="13"/>
                <w:color w:val="auto"/>
              </w:rPr>
              <w:t>50,000</w:t>
            </w: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gridSpan w:val="2"/>
          </w:tcPr>
          <w:p>
            <w:pPr>
              <w:jc w:val="right"/>
              <w:ind w:right="60"/>
              <w:spacing w:after="0" w:line="140" w:lineRule="exact"/>
              <w:rPr>
                <w:sz w:val="20"/>
                <w:szCs w:val="20"/>
                <w:color w:val="auto"/>
              </w:rPr>
            </w:pPr>
            <w:r>
              <w:rPr>
                <w:rFonts w:ascii="Arial" w:cs="Arial" w:eastAsia="Arial" w:hAnsi="Arial"/>
                <w:sz w:val="13"/>
                <w:szCs w:val="13"/>
                <w:color w:val="auto"/>
              </w:rPr>
              <w:t>100%</w:t>
            </w:r>
          </w:p>
        </w:tc>
        <w:tc>
          <w:tcPr>
            <w:tcW w:w="480" w:type="dxa"/>
            <w:vAlign w:val="bottom"/>
            <w:tcBorders>
              <w:top w:val="single" w:sz="8" w:color="CCEEFF"/>
            </w:tcBorders>
          </w:tcPr>
          <w:p>
            <w:pPr>
              <w:jc w:val="right"/>
              <w:spacing w:after="0" w:line="140" w:lineRule="exact"/>
              <w:rPr>
                <w:sz w:val="20"/>
                <w:szCs w:val="20"/>
                <w:color w:val="auto"/>
              </w:rPr>
            </w:pPr>
            <w:r>
              <w:rPr>
                <w:rFonts w:ascii="Arial" w:cs="Arial" w:eastAsia="Arial" w:hAnsi="Arial"/>
                <w:sz w:val="13"/>
                <w:szCs w:val="13"/>
                <w:color w:val="auto"/>
              </w:rPr>
              <w:t>50,000</w:t>
            </w:r>
          </w:p>
        </w:tc>
        <w:tc>
          <w:tcPr>
            <w:tcW w:w="10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spacing w:after="0" w:line="140" w:lineRule="exact"/>
              <w:rPr>
                <w:sz w:val="20"/>
                <w:szCs w:val="20"/>
                <w:color w:val="auto"/>
              </w:rPr>
            </w:pPr>
            <w:r>
              <w:rPr>
                <w:rFonts w:ascii="Arial" w:cs="Arial" w:eastAsia="Arial" w:hAnsi="Arial"/>
                <w:sz w:val="13"/>
                <w:szCs w:val="13"/>
                <w:color w:val="auto"/>
              </w:rPr>
              <w:t>Stop &amp; Shop</w:t>
            </w:r>
          </w:p>
        </w:tc>
        <w:tc>
          <w:tcPr>
            <w:tcW w:w="10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Blue Star</w:t>
            </w:r>
          </w:p>
        </w:tc>
        <w:tc>
          <w:tcPr>
            <w:tcW w:w="3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Middlesex-Somerset-Hunterdon, 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37,257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23,233</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410,000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43,000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 Rite</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w w:val="99"/>
              </w:rPr>
              <w:t>Kohl’s / Michaels / Toys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 Us / 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Brick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Monmouth-Ocean, NJ</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1989</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56,025</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31,509</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409,000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66,000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A&amp;P</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w w:val="98"/>
              </w:rPr>
              <w:t>Loews Theatre / Barnes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&amp; Noble / Sports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Brunswick</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95"/>
              </w:rPr>
              <w:t>Middlesex-Somerset-Hunterdon, NJ</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22,597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9,672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303,000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A&amp;P</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w w:val="95"/>
              </w:rPr>
              <w:t>A.J. Wright / L.A. Fitness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Clifton</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Bergen-Passaic, NJ</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5,019</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2,831</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80,000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Drug Fair / Dollar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Express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Forest Hills</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York, NY</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24,055</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85,000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w w:val="96"/>
              </w:rPr>
              <w:t>Midway Theatre / Duane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Reade / Gap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Fresh Meadows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New York, NY</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1997</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67,755</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403,000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95%</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15,000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Associated Food Stores</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Filene’s Basement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w w:val="97"/>
              </w:rPr>
              <w:t>Kohl’s / Cineplex Odeon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Hamilton</w:t>
            </w:r>
          </w:p>
        </w:tc>
        <w:tc>
          <w:tcPr>
            <w:tcW w:w="3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Trenton, 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7,654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4,196</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53,000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 Rite</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AC Moore / Stevens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Hauppauge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Nassau-Suffolk, NY</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27,398</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16,008</w:t>
            </w: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133,000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99%</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61,000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Shop Rite</w:t>
            </w: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Huntington</w:t>
            </w:r>
          </w:p>
        </w:tc>
        <w:tc>
          <w:tcPr>
            <w:tcW w:w="3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Nassau-Suffolk, NY</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21,363</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12,419</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279,000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Buy Buy Baby / Toys 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w w:val="94"/>
              </w:rPr>
              <w:t>Us / Bed, Bath &amp; Beyond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 Barnes &amp; Noble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Melville Mall</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Nassau-Suffolk, NY</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68,504</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25,553</w:t>
            </w: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248,000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54,000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Waldbaum’s</w:t>
            </w: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Mercer Mall</w:t>
            </w:r>
          </w:p>
        </w:tc>
        <w:tc>
          <w:tcPr>
            <w:tcW w:w="3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Trenton, 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102,072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57,632</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501,000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75,000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 Rite</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DSW / TJ Maxx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Raymour &amp; Flanigan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Rutgers</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w w:val="95"/>
              </w:rPr>
              <w:t>Middlesex-Somerset-Hunterdon, NJ</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17,619</w:t>
            </w: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11,204</w:t>
            </w: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267,000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91%</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74,000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Stop &amp; Shop</w:t>
            </w: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Troy</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Newark, 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21,595</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202,000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64,000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Pathmark</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w w:val="96"/>
              </w:rPr>
              <w:t>AC Moore / Comp USA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Arial" w:cs="Arial" w:eastAsia="Arial" w:hAnsi="Arial"/>
                <w:sz w:val="13"/>
                <w:szCs w:val="13"/>
                <w:b w:val="1"/>
                <w:bCs w:val="1"/>
                <w:color w:val="auto"/>
              </w:rPr>
              <w:t>Total New York / New Jersey</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482,797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3"/>
              </w:rPr>
              <w:t>3,560,000</w:t>
            </w: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60" w:type="dxa"/>
            <w:vAlign w:val="bottom"/>
            <w:gridSpan w:val="8"/>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96"/>
              </w:rPr>
              <w:t>Philadelphia Metropolitan Area</w:t>
            </w: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3"/>
                <w:szCs w:val="13"/>
                <w:color w:val="auto"/>
              </w:rPr>
              <w:t>Andorra</w:t>
            </w: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0" w:type="dxa"/>
            <w:vAlign w:val="bottom"/>
            <w:tcBorders>
              <w:top w:val="single" w:sz="8" w:color="CCEEFF"/>
            </w:tcBorders>
          </w:tcPr>
          <w:p>
            <w:pPr>
              <w:spacing w:after="0" w:line="129" w:lineRule="exact"/>
              <w:rPr>
                <w:sz w:val="20"/>
                <w:szCs w:val="20"/>
                <w:color w:val="auto"/>
              </w:rPr>
            </w:pPr>
            <w:r>
              <w:rPr>
                <w:rFonts w:ascii="Arial" w:cs="Arial" w:eastAsia="Arial" w:hAnsi="Arial"/>
                <w:sz w:val="13"/>
                <w:szCs w:val="13"/>
                <w:color w:val="auto"/>
              </w:rPr>
              <w:t>Philadelphia, PA-NJ</w:t>
            </w:r>
          </w:p>
        </w:tc>
        <w:tc>
          <w:tcPr>
            <w:tcW w:w="740" w:type="dxa"/>
            <w:vAlign w:val="bottom"/>
            <w:tcBorders>
              <w:top w:val="single" w:sz="8" w:color="CCEEFF"/>
            </w:tcBorders>
            <w:gridSpan w:val="3"/>
          </w:tcPr>
          <w:p>
            <w:pPr>
              <w:jc w:val="right"/>
              <w:ind w:right="80"/>
              <w:spacing w:after="0" w:line="129" w:lineRule="exact"/>
              <w:rPr>
                <w:sz w:val="20"/>
                <w:szCs w:val="20"/>
                <w:color w:val="auto"/>
              </w:rPr>
            </w:pPr>
            <w:r>
              <w:rPr>
                <w:rFonts w:ascii="Arial" w:cs="Arial" w:eastAsia="Arial" w:hAnsi="Arial"/>
                <w:sz w:val="13"/>
                <w:szCs w:val="13"/>
                <w:color w:val="auto"/>
              </w:rPr>
              <w:t>1988</w:t>
            </w:r>
          </w:p>
        </w:tc>
        <w:tc>
          <w:tcPr>
            <w:tcW w:w="8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23,025</w:t>
            </w: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267,000</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gridSpan w:val="2"/>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48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24,000</w:t>
            </w:r>
          </w:p>
        </w:tc>
        <w:tc>
          <w:tcPr>
            <w:tcW w:w="100" w:type="dxa"/>
            <w:vAlign w:val="bottom"/>
            <w:tcBorders>
              <w:top w:val="single" w:sz="8" w:color="CCEEFF"/>
            </w:tcBorders>
          </w:tcPr>
          <w:p>
            <w:pPr>
              <w:spacing w:after="0"/>
              <w:rPr>
                <w:sz w:val="11"/>
                <w:szCs w:val="11"/>
                <w:color w:val="auto"/>
              </w:rPr>
            </w:pPr>
          </w:p>
        </w:tc>
        <w:tc>
          <w:tcPr>
            <w:tcW w:w="1600" w:type="dxa"/>
            <w:vAlign w:val="bottom"/>
            <w:tcBorders>
              <w:top w:val="single" w:sz="8" w:color="CCEEFF"/>
            </w:tcBorders>
          </w:tcPr>
          <w:p>
            <w:pPr>
              <w:spacing w:after="0" w:line="129" w:lineRule="exact"/>
              <w:rPr>
                <w:sz w:val="20"/>
                <w:szCs w:val="20"/>
                <w:color w:val="auto"/>
              </w:rPr>
            </w:pPr>
            <w:r>
              <w:rPr>
                <w:rFonts w:ascii="Arial" w:cs="Arial" w:eastAsia="Arial" w:hAnsi="Arial"/>
                <w:sz w:val="13"/>
                <w:szCs w:val="13"/>
                <w:color w:val="auto"/>
              </w:rPr>
              <w:t>Acme Markets</w:t>
            </w:r>
          </w:p>
        </w:tc>
        <w:tc>
          <w:tcPr>
            <w:tcW w:w="1480" w:type="dxa"/>
            <w:vAlign w:val="bottom"/>
            <w:tcBorders>
              <w:top w:val="single" w:sz="8" w:color="CCEEFF"/>
            </w:tcBorders>
            <w:gridSpan w:val="2"/>
          </w:tcPr>
          <w:p>
            <w:pPr>
              <w:ind w:left="100"/>
              <w:spacing w:after="0" w:line="129" w:lineRule="exact"/>
              <w:rPr>
                <w:sz w:val="20"/>
                <w:szCs w:val="20"/>
                <w:color w:val="auto"/>
              </w:rPr>
            </w:pPr>
            <w:r>
              <w:rPr>
                <w:rFonts w:ascii="Arial" w:cs="Arial" w:eastAsia="Arial" w:hAnsi="Arial"/>
                <w:sz w:val="13"/>
                <w:szCs w:val="13"/>
                <w:color w:val="auto"/>
              </w:rPr>
              <w:t>Kohl’s / Staples / L.A.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Bala Cynwyd</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26,262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280,000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45,000</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Acme Markets</w:t>
            </w: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Lord &amp; Taylor / L.A.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Ellisburg Circle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Philadelphia, PA-NJ</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1992</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26,891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267,000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89%</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47,000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Genuardi’s</w:t>
            </w:r>
          </w:p>
        </w:tc>
        <w:tc>
          <w:tcPr>
            <w:tcW w:w="14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Feasterville</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Philadelphia, PA-NJ</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11,668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111,000</w:t>
            </w: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53,000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Genuardi’s</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tcPr>
          <w:p>
            <w:pPr>
              <w:spacing w:after="0" w:line="147" w:lineRule="exact"/>
              <w:rPr>
                <w:sz w:val="20"/>
                <w:szCs w:val="20"/>
                <w:color w:val="auto"/>
              </w:rPr>
            </w:pPr>
            <w:r>
              <w:rPr>
                <w:rFonts w:ascii="Arial" w:cs="Arial" w:eastAsia="Arial" w:hAnsi="Arial"/>
                <w:sz w:val="13"/>
                <w:szCs w:val="13"/>
                <w:color w:val="auto"/>
              </w:rPr>
              <w:t>Flourtown</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line="147" w:lineRule="exact"/>
              <w:rPr>
                <w:sz w:val="20"/>
                <w:szCs w:val="20"/>
                <w:color w:val="auto"/>
              </w:rPr>
            </w:pPr>
            <w:r>
              <w:rPr>
                <w:rFonts w:ascii="Arial" w:cs="Arial" w:eastAsia="Arial" w:hAnsi="Arial"/>
                <w:sz w:val="13"/>
                <w:szCs w:val="13"/>
                <w:color w:val="auto"/>
              </w:rPr>
              <w:t>Philadelphia, PA-NJ</w:t>
            </w:r>
          </w:p>
        </w:tc>
        <w:tc>
          <w:tcPr>
            <w:tcW w:w="74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9,502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181,000</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96%</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42,000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Arial" w:cs="Arial" w:eastAsia="Arial" w:hAnsi="Arial"/>
                <w:sz w:val="13"/>
                <w:szCs w:val="13"/>
                <w:color w:val="auto"/>
              </w:rPr>
              <w:t>Langhorne Square</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Philadelphia, PA-NJ</w:t>
            </w:r>
          </w:p>
        </w:tc>
        <w:tc>
          <w:tcPr>
            <w:tcW w:w="74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18,149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216,000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Redner’s Warehouse Mkts.</w:t>
            </w:r>
          </w:p>
        </w:tc>
        <w:tc>
          <w:tcPr>
            <w:tcW w:w="14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Lawrence Park</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28,953</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30,097</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353,000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53,000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Acme Markets</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CHI / TJ Maxx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HomeGoods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Northeast</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22,217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287,000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86%</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Burlington Coat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Town Center of New</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13,841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125,000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86%</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36,000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gridSpan w:val="5"/>
          </w:tcPr>
          <w:p>
            <w:pPr>
              <w:ind w:left="200"/>
              <w:spacing w:after="0"/>
              <w:rPr>
                <w:sz w:val="20"/>
                <w:szCs w:val="20"/>
                <w:color w:val="auto"/>
              </w:rPr>
            </w:pPr>
            <w:r>
              <w:rPr>
                <w:rFonts w:ascii="Arial" w:cs="Arial" w:eastAsia="Arial" w:hAnsi="Arial"/>
                <w:sz w:val="13"/>
                <w:szCs w:val="13"/>
                <w:color w:val="auto"/>
              </w:rPr>
              <w:t>Britain</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Willow Grove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26,688</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215,000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5"/>
          </w:tcPr>
          <w:p>
            <w:pPr>
              <w:spacing w:after="0" w:line="136" w:lineRule="exact"/>
              <w:rPr>
                <w:sz w:val="20"/>
                <w:szCs w:val="20"/>
                <w:color w:val="auto"/>
              </w:rPr>
            </w:pPr>
            <w:r>
              <w:rPr>
                <w:rFonts w:ascii="Arial" w:cs="Arial" w:eastAsia="Arial" w:hAnsi="Arial"/>
                <w:sz w:val="13"/>
                <w:szCs w:val="13"/>
                <w:color w:val="auto"/>
              </w:rPr>
              <w:t>Wynnewood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line="136" w:lineRule="exact"/>
              <w:rPr>
                <w:sz w:val="20"/>
                <w:szCs w:val="20"/>
                <w:color w:val="auto"/>
              </w:rPr>
            </w:pPr>
            <w:r>
              <w:rPr>
                <w:rFonts w:ascii="Arial" w:cs="Arial" w:eastAsia="Arial" w:hAnsi="Arial"/>
                <w:sz w:val="13"/>
                <w:szCs w:val="13"/>
                <w:color w:val="auto"/>
              </w:rPr>
              <w:t>Philadelphia, PA-NJ</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1996</w:t>
            </w: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35,923</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30,672</w:t>
            </w:r>
          </w:p>
        </w:tc>
        <w:tc>
          <w:tcPr>
            <w:tcW w:w="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255,000</w:t>
            </w: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98,000</w:t>
            </w:r>
          </w:p>
        </w:tc>
        <w:tc>
          <w:tcPr>
            <w:tcW w:w="100" w:type="dxa"/>
            <w:vAlign w:val="bottom"/>
          </w:tcPr>
          <w:p>
            <w:pPr>
              <w:spacing w:after="0"/>
              <w:rPr>
                <w:sz w:val="11"/>
                <w:szCs w:val="11"/>
                <w:color w:val="auto"/>
              </w:rPr>
            </w:pPr>
          </w:p>
        </w:tc>
        <w:tc>
          <w:tcPr>
            <w:tcW w:w="1600" w:type="dxa"/>
            <w:vAlign w:val="bottom"/>
          </w:tcPr>
          <w:p>
            <w:pPr>
              <w:spacing w:after="0" w:line="136" w:lineRule="exact"/>
              <w:rPr>
                <w:sz w:val="20"/>
                <w:szCs w:val="20"/>
                <w:color w:val="auto"/>
              </w:rPr>
            </w:pPr>
            <w:r>
              <w:rPr>
                <w:rFonts w:ascii="Arial" w:cs="Arial" w:eastAsia="Arial" w:hAnsi="Arial"/>
                <w:sz w:val="13"/>
                <w:szCs w:val="13"/>
                <w:color w:val="auto"/>
              </w:rPr>
              <w:t>Genuardi’s</w:t>
            </w:r>
          </w:p>
        </w:tc>
        <w:tc>
          <w:tcPr>
            <w:tcW w:w="1480" w:type="dxa"/>
            <w:vAlign w:val="bottom"/>
            <w:gridSpan w:val="2"/>
          </w:tcPr>
          <w:p>
            <w:pPr>
              <w:ind w:left="10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color w:val="auto"/>
              </w:rPr>
              <w:t>Borders / Old Navy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Philadelphia Metropolitan</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243,119</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w w:val="93"/>
              </w:rPr>
              <w:t>2,557,000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Area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w w:val="90"/>
              </w:rPr>
              <w:t>New England</w:t>
            </w:r>
          </w:p>
        </w:tc>
        <w:tc>
          <w:tcPr>
            <w:tcW w:w="700" w:type="dxa"/>
            <w:vAlign w:val="bottom"/>
            <w:gridSpan w:val="3"/>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29" w:lineRule="exact"/>
              <w:rPr>
                <w:sz w:val="20"/>
                <w:szCs w:val="20"/>
                <w:color w:val="auto"/>
              </w:rPr>
            </w:pPr>
            <w:r>
              <w:rPr>
                <w:rFonts w:ascii="Arial" w:cs="Arial" w:eastAsia="Arial" w:hAnsi="Arial"/>
                <w:sz w:val="13"/>
                <w:szCs w:val="13"/>
                <w:color w:val="auto"/>
              </w:rPr>
              <w:t>Assembly</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7"/>
              </w:rPr>
              <w:t>Boston-Cambridge-Quincy, MA-NH</w:t>
            </w:r>
          </w:p>
        </w:tc>
        <w:tc>
          <w:tcPr>
            <w:tcW w:w="7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2005-2006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113,664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554,000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w w:val="97"/>
              </w:rPr>
              <w:t>AC Moore / Bed, Bath &amp;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gridSpan w:val="5"/>
            <w:shd w:val="clear" w:color="auto" w:fill="CCEEFF"/>
          </w:tcPr>
          <w:p>
            <w:pPr>
              <w:ind w:left="200"/>
              <w:spacing w:after="0"/>
              <w:rPr>
                <w:sz w:val="20"/>
                <w:szCs w:val="20"/>
                <w:color w:val="auto"/>
              </w:rPr>
            </w:pPr>
            <w:r>
              <w:rPr>
                <w:rFonts w:ascii="Arial" w:cs="Arial" w:eastAsia="Arial" w:hAnsi="Arial"/>
                <w:sz w:val="13"/>
                <w:szCs w:val="13"/>
                <w:color w:val="auto"/>
              </w:rPr>
              <w:t>Square/Sturtevant</w:t>
            </w: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4"/>
              </w:rPr>
              <w:t>Beyond / Christmas Tree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272"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Street</w:t>
            </w: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Shops / Kmart / Staples /</w:t>
            </w:r>
          </w:p>
        </w:tc>
      </w:tr>
      <w:tr>
        <w:trPr>
          <w:trHeight w:val="147"/>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40" w:type="dxa"/>
            <w:vAlign w:val="bottom"/>
            <w:shd w:val="clear" w:color="auto" w:fill="CCEEFF"/>
          </w:tcPr>
          <w:p>
            <w:pPr>
              <w:ind w:left="60"/>
              <w:spacing w:after="0" w:line="147" w:lineRule="exact"/>
              <w:rPr>
                <w:sz w:val="20"/>
                <w:szCs w:val="20"/>
                <w:color w:val="auto"/>
              </w:rPr>
            </w:pPr>
            <w:r>
              <w:rPr>
                <w:rFonts w:ascii="Arial" w:cs="Arial" w:eastAsia="Arial" w:hAnsi="Arial"/>
                <w:sz w:val="13"/>
                <w:szCs w:val="13"/>
                <w:color w:val="auto"/>
              </w:rPr>
              <w:t>Sports Authority / TJ</w:t>
            </w:r>
          </w:p>
        </w:tc>
      </w:tr>
      <w:tr>
        <w:trPr>
          <w:trHeight w:val="157"/>
        </w:trPr>
        <w:tc>
          <w:tcPr>
            <w:tcW w:w="20" w:type="dxa"/>
            <w:vAlign w:val="bottom"/>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Maxx</w:t>
            </w:r>
          </w:p>
        </w:tc>
      </w:tr>
      <w:tr>
        <w:trPr>
          <w:trHeight w:val="147"/>
        </w:trPr>
        <w:tc>
          <w:tcPr>
            <w:tcW w:w="20" w:type="dxa"/>
            <w:vAlign w:val="bottom"/>
          </w:tcPr>
          <w:p>
            <w:pPr>
              <w:spacing w:after="0"/>
              <w:rPr>
                <w:sz w:val="12"/>
                <w:szCs w:val="12"/>
                <w:color w:val="auto"/>
              </w:rPr>
            </w:pPr>
          </w:p>
        </w:tc>
        <w:tc>
          <w:tcPr>
            <w:tcW w:w="1360" w:type="dxa"/>
            <w:vAlign w:val="bottom"/>
            <w:gridSpan w:val="2"/>
          </w:tcPr>
          <w:p>
            <w:pPr>
              <w:spacing w:after="0" w:line="147" w:lineRule="exact"/>
              <w:rPr>
                <w:sz w:val="20"/>
                <w:szCs w:val="20"/>
                <w:color w:val="auto"/>
              </w:rPr>
            </w:pPr>
            <w:r>
              <w:rPr>
                <w:rFonts w:ascii="Arial" w:cs="Arial" w:eastAsia="Arial" w:hAnsi="Arial"/>
                <w:sz w:val="13"/>
                <w:szCs w:val="13"/>
                <w:color w:val="auto"/>
              </w:rPr>
              <w:t>Bath Shopping Center</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(9)</w:t>
            </w:r>
          </w:p>
        </w:tc>
        <w:tc>
          <w:tcPr>
            <w:tcW w:w="2060" w:type="dxa"/>
            <w:vAlign w:val="bottom"/>
          </w:tcPr>
          <w:p>
            <w:pPr>
              <w:ind w:left="40"/>
              <w:spacing w:after="0" w:line="147" w:lineRule="exact"/>
              <w:rPr>
                <w:sz w:val="20"/>
                <w:szCs w:val="20"/>
                <w:color w:val="auto"/>
              </w:rPr>
            </w:pPr>
            <w:r>
              <w:rPr>
                <w:rFonts w:ascii="Arial" w:cs="Arial" w:eastAsia="Arial" w:hAnsi="Arial"/>
                <w:sz w:val="13"/>
                <w:szCs w:val="13"/>
                <w:color w:val="auto"/>
              </w:rPr>
              <w:t>Portland/South Portland/Biddeford</w:t>
            </w:r>
          </w:p>
        </w:tc>
        <w:tc>
          <w:tcPr>
            <w:tcW w:w="720" w:type="dxa"/>
            <w:vAlign w:val="bottom"/>
          </w:tcPr>
          <w:p>
            <w:pPr>
              <w:jc w:val="right"/>
              <w:ind w:right="13"/>
              <w:spacing w:after="0" w:line="147" w:lineRule="exact"/>
              <w:rPr>
                <w:sz w:val="20"/>
                <w:szCs w:val="20"/>
                <w:color w:val="auto"/>
              </w:rPr>
            </w:pPr>
            <w:r>
              <w:rPr>
                <w:rFonts w:ascii="Arial" w:cs="Arial" w:eastAsia="Arial" w:hAnsi="Arial"/>
                <w:sz w:val="13"/>
                <w:szCs w:val="13"/>
                <w:color w:val="auto"/>
              </w:rPr>
              <w:t>2006</w:t>
            </w:r>
          </w:p>
        </w:tc>
        <w:tc>
          <w:tcPr>
            <w:tcW w:w="1100" w:type="dxa"/>
            <w:vAlign w:val="bottom"/>
            <w:gridSpan w:val="2"/>
          </w:tcPr>
          <w:p>
            <w:pPr>
              <w:jc w:val="right"/>
              <w:ind w:right="280"/>
              <w:spacing w:after="0" w:line="147" w:lineRule="exact"/>
              <w:rPr>
                <w:sz w:val="20"/>
                <w:szCs w:val="20"/>
                <w:color w:val="auto"/>
              </w:rPr>
            </w:pPr>
            <w:r>
              <w:rPr>
                <w:rFonts w:ascii="Arial" w:cs="Arial" w:eastAsia="Arial" w:hAnsi="Arial"/>
                <w:sz w:val="13"/>
                <w:szCs w:val="13"/>
                <w:color w:val="auto"/>
              </w:rPr>
              <w:t>19,753</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9,961</w:t>
            </w: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101,000</w:t>
            </w:r>
          </w:p>
        </w:tc>
        <w:tc>
          <w:tcPr>
            <w:tcW w:w="8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98%</w:t>
            </w: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57,000</w:t>
            </w:r>
          </w:p>
        </w:tc>
        <w:tc>
          <w:tcPr>
            <w:tcW w:w="1680" w:type="dxa"/>
            <w:vAlign w:val="bottom"/>
          </w:tcPr>
          <w:p>
            <w:pPr>
              <w:ind w:left="40"/>
              <w:spacing w:after="0" w:line="147" w:lineRule="exact"/>
              <w:rPr>
                <w:sz w:val="20"/>
                <w:szCs w:val="20"/>
                <w:color w:val="auto"/>
              </w:rPr>
            </w:pPr>
            <w:r>
              <w:rPr>
                <w:rFonts w:ascii="Arial" w:cs="Arial" w:eastAsia="Arial" w:hAnsi="Arial"/>
                <w:sz w:val="13"/>
                <w:szCs w:val="13"/>
                <w:color w:val="auto"/>
              </w:rPr>
              <w:t>Shaw’s Supermarket</w:t>
            </w:r>
          </w:p>
        </w:tc>
        <w:tc>
          <w:tcPr>
            <w:tcW w:w="1440" w:type="dxa"/>
            <w:vAlign w:val="bottom"/>
          </w:tcPr>
          <w:p>
            <w:pPr>
              <w:ind w:left="60"/>
              <w:spacing w:after="0" w:line="147" w:lineRule="exact"/>
              <w:rPr>
                <w:sz w:val="20"/>
                <w:szCs w:val="20"/>
                <w:color w:val="auto"/>
              </w:rPr>
            </w:pPr>
            <w:r>
              <w:rPr>
                <w:rFonts w:ascii="Arial" w:cs="Arial" w:eastAsia="Arial" w:hAnsi="Arial"/>
                <w:sz w:val="13"/>
                <w:szCs w:val="13"/>
                <w:color w:val="auto"/>
              </w:rPr>
              <w:t>CVS</w:t>
            </w:r>
          </w:p>
        </w:tc>
      </w:tr>
      <w:tr>
        <w:trPr>
          <w:trHeight w:val="147"/>
        </w:trPr>
        <w:tc>
          <w:tcPr>
            <w:tcW w:w="20" w:type="dxa"/>
            <w:vAlign w:val="bottom"/>
          </w:tcPr>
          <w:p>
            <w:pPr>
              <w:spacing w:after="0"/>
              <w:rPr>
                <w:sz w:val="12"/>
                <w:szCs w:val="12"/>
                <w:color w:val="auto"/>
              </w:rPr>
            </w:pPr>
          </w:p>
        </w:tc>
        <w:tc>
          <w:tcPr>
            <w:tcW w:w="136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Chelsea Commons</w:t>
            </w: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w w:val="99"/>
              </w:rPr>
              <w:t>2006-2007</w:t>
            </w:r>
          </w:p>
        </w:tc>
        <w:tc>
          <w:tcPr>
            <w:tcW w:w="11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3"/>
                <w:szCs w:val="13"/>
                <w:color w:val="auto"/>
              </w:rPr>
              <w:t>20,601</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8,350</w:t>
            </w: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196,000</w:t>
            </w:r>
          </w:p>
        </w:tc>
        <w:tc>
          <w:tcPr>
            <w:tcW w:w="8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91%</w:t>
            </w: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16,000</w:t>
            </w:r>
          </w:p>
        </w:tc>
        <w:tc>
          <w:tcPr>
            <w:tcW w:w="168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color w:val="auto"/>
              </w:rPr>
              <w:t>Sav-A-Lot</w:t>
            </w:r>
          </w:p>
        </w:tc>
        <w:tc>
          <w:tcPr>
            <w:tcW w:w="1440" w:type="dxa"/>
            <w:vAlign w:val="bottom"/>
            <w:shd w:val="clear" w:color="auto" w:fill="CCEEFF"/>
          </w:tcPr>
          <w:p>
            <w:pPr>
              <w:ind w:left="60"/>
              <w:spacing w:after="0" w:line="147" w:lineRule="exact"/>
              <w:rPr>
                <w:sz w:val="20"/>
                <w:szCs w:val="20"/>
                <w:color w:val="auto"/>
              </w:rPr>
            </w:pPr>
            <w:r>
              <w:rPr>
                <w:rFonts w:ascii="Arial" w:cs="Arial" w:eastAsia="Arial" w:hAnsi="Arial"/>
                <w:sz w:val="13"/>
                <w:szCs w:val="13"/>
                <w:color w:val="auto"/>
              </w:rPr>
              <w:t>Home Depot</w:t>
            </w:r>
          </w:p>
        </w:tc>
      </w:tr>
      <w:tr>
        <w:trPr>
          <w:trHeight w:val="147"/>
        </w:trPr>
        <w:tc>
          <w:tcPr>
            <w:tcW w:w="20" w:type="dxa"/>
            <w:vAlign w:val="bottom"/>
          </w:tcPr>
          <w:p>
            <w:pPr>
              <w:spacing w:after="0"/>
              <w:rPr>
                <w:sz w:val="12"/>
                <w:szCs w:val="12"/>
                <w:color w:val="auto"/>
              </w:rPr>
            </w:pPr>
          </w:p>
        </w:tc>
        <w:tc>
          <w:tcPr>
            <w:tcW w:w="1360" w:type="dxa"/>
            <w:vAlign w:val="bottom"/>
            <w:gridSpan w:val="2"/>
          </w:tcPr>
          <w:p>
            <w:pPr>
              <w:spacing w:after="0" w:line="147" w:lineRule="exact"/>
              <w:rPr>
                <w:sz w:val="20"/>
                <w:szCs w:val="20"/>
                <w:color w:val="auto"/>
              </w:rPr>
            </w:pPr>
            <w:r>
              <w:rPr>
                <w:rFonts w:ascii="Arial" w:cs="Arial" w:eastAsia="Arial" w:hAnsi="Arial"/>
                <w:sz w:val="13"/>
                <w:szCs w:val="13"/>
                <w:color w:val="auto"/>
              </w:rPr>
              <w:t>Dedham Plaza</w:t>
            </w:r>
          </w:p>
        </w:tc>
        <w:tc>
          <w:tcPr>
            <w:tcW w:w="460" w:type="dxa"/>
            <w:vAlign w:val="bottom"/>
          </w:tcPr>
          <w:p>
            <w:pPr>
              <w:spacing w:after="0"/>
              <w:rPr>
                <w:sz w:val="12"/>
                <w:szCs w:val="12"/>
                <w:color w:val="auto"/>
              </w:rPr>
            </w:pPr>
          </w:p>
        </w:tc>
        <w:tc>
          <w:tcPr>
            <w:tcW w:w="2060" w:type="dxa"/>
            <w:vAlign w:val="bottom"/>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1993</w:t>
            </w:r>
          </w:p>
        </w:tc>
        <w:tc>
          <w:tcPr>
            <w:tcW w:w="1100" w:type="dxa"/>
            <w:vAlign w:val="bottom"/>
            <w:gridSpan w:val="2"/>
          </w:tcPr>
          <w:p>
            <w:pPr>
              <w:jc w:val="right"/>
              <w:ind w:right="280"/>
              <w:spacing w:after="0" w:line="147" w:lineRule="exact"/>
              <w:rPr>
                <w:sz w:val="20"/>
                <w:szCs w:val="20"/>
                <w:color w:val="auto"/>
              </w:rPr>
            </w:pPr>
            <w:r>
              <w:rPr>
                <w:rFonts w:ascii="Arial" w:cs="Arial" w:eastAsia="Arial" w:hAnsi="Arial"/>
                <w:sz w:val="13"/>
                <w:szCs w:val="13"/>
                <w:color w:val="auto"/>
              </w:rPr>
              <w:t>29,832</w:t>
            </w:r>
          </w:p>
        </w:tc>
        <w:tc>
          <w:tcPr>
            <w:tcW w:w="6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241,000</w:t>
            </w:r>
          </w:p>
        </w:tc>
        <w:tc>
          <w:tcPr>
            <w:tcW w:w="8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90%</w:t>
            </w: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80,000</w:t>
            </w:r>
          </w:p>
        </w:tc>
        <w:tc>
          <w:tcPr>
            <w:tcW w:w="1680" w:type="dxa"/>
            <w:vAlign w:val="bottom"/>
          </w:tcPr>
          <w:p>
            <w:pPr>
              <w:ind w:left="40"/>
              <w:spacing w:after="0" w:line="147" w:lineRule="exact"/>
              <w:rPr>
                <w:sz w:val="20"/>
                <w:szCs w:val="20"/>
                <w:color w:val="auto"/>
              </w:rPr>
            </w:pPr>
            <w:r>
              <w:rPr>
                <w:rFonts w:ascii="Arial" w:cs="Arial" w:eastAsia="Arial" w:hAnsi="Arial"/>
                <w:sz w:val="13"/>
                <w:szCs w:val="13"/>
                <w:color w:val="auto"/>
              </w:rPr>
              <w:t>Star Market</w:t>
            </w:r>
          </w:p>
        </w:tc>
        <w:tc>
          <w:tcPr>
            <w:tcW w:w="14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6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Key Road</w:t>
            </w: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2006</w:t>
            </w:r>
          </w:p>
        </w:tc>
        <w:tc>
          <w:tcPr>
            <w:tcW w:w="11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3"/>
                <w:szCs w:val="13"/>
                <w:color w:val="auto"/>
              </w:rPr>
              <w:t>14,650</w:t>
            </w: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76,000</w:t>
            </w:r>
          </w:p>
        </w:tc>
        <w:tc>
          <w:tcPr>
            <w:tcW w:w="8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40" w:type="dxa"/>
            <w:vAlign w:val="bottom"/>
            <w:shd w:val="clear" w:color="auto" w:fill="CCEEFF"/>
          </w:tcPr>
          <w:p>
            <w:pPr>
              <w:ind w:left="60"/>
              <w:spacing w:after="0" w:line="147" w:lineRule="exact"/>
              <w:rPr>
                <w:sz w:val="20"/>
                <w:szCs w:val="20"/>
                <w:color w:val="auto"/>
              </w:rPr>
            </w:pPr>
            <w:r>
              <w:rPr>
                <w:rFonts w:ascii="Arial" w:cs="Arial" w:eastAsia="Arial" w:hAnsi="Arial"/>
                <w:sz w:val="13"/>
                <w:szCs w:val="13"/>
                <w:color w:val="auto"/>
              </w:rPr>
              <w:t>Petco</w:t>
            </w:r>
          </w:p>
        </w:tc>
      </w:tr>
      <w:tr>
        <w:trPr>
          <w:trHeight w:val="136"/>
        </w:trPr>
        <w:tc>
          <w:tcPr>
            <w:tcW w:w="20" w:type="dxa"/>
            <w:vAlign w:val="bottom"/>
          </w:tcPr>
          <w:p>
            <w:pPr>
              <w:spacing w:after="0"/>
              <w:rPr>
                <w:sz w:val="11"/>
                <w:szCs w:val="11"/>
                <w:color w:val="auto"/>
              </w:rPr>
            </w:pPr>
          </w:p>
        </w:tc>
        <w:tc>
          <w:tcPr>
            <w:tcW w:w="1360" w:type="dxa"/>
            <w:vAlign w:val="bottom"/>
            <w:gridSpan w:val="2"/>
          </w:tcPr>
          <w:p>
            <w:pPr>
              <w:spacing w:after="0" w:line="136" w:lineRule="exact"/>
              <w:rPr>
                <w:sz w:val="20"/>
                <w:szCs w:val="20"/>
                <w:color w:val="auto"/>
              </w:rPr>
            </w:pPr>
            <w:r>
              <w:rPr>
                <w:rFonts w:ascii="Arial" w:cs="Arial" w:eastAsia="Arial" w:hAnsi="Arial"/>
                <w:sz w:val="13"/>
                <w:szCs w:val="13"/>
                <w:color w:val="auto"/>
              </w:rPr>
              <w:t>Linden Square</w:t>
            </w:r>
          </w:p>
        </w:tc>
        <w:tc>
          <w:tcPr>
            <w:tcW w:w="460" w:type="dxa"/>
            <w:vAlign w:val="bottom"/>
          </w:tcPr>
          <w:p>
            <w:pPr>
              <w:spacing w:after="0"/>
              <w:rPr>
                <w:sz w:val="11"/>
                <w:szCs w:val="11"/>
                <w:color w:val="auto"/>
              </w:rPr>
            </w:pPr>
          </w:p>
        </w:tc>
        <w:tc>
          <w:tcPr>
            <w:tcW w:w="2060" w:type="dxa"/>
            <w:vAlign w:val="bottom"/>
          </w:tcPr>
          <w:p>
            <w:pPr>
              <w:ind w:left="40"/>
              <w:spacing w:after="0" w:line="136"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tcPr>
          <w:p>
            <w:pPr>
              <w:jc w:val="right"/>
              <w:ind w:right="13"/>
              <w:spacing w:after="0" w:line="136" w:lineRule="exact"/>
              <w:rPr>
                <w:sz w:val="20"/>
                <w:szCs w:val="20"/>
                <w:color w:val="auto"/>
              </w:rPr>
            </w:pPr>
            <w:r>
              <w:rPr>
                <w:rFonts w:ascii="Arial" w:cs="Arial" w:eastAsia="Arial" w:hAnsi="Arial"/>
                <w:sz w:val="13"/>
                <w:szCs w:val="13"/>
                <w:color w:val="auto"/>
                <w:w w:val="99"/>
              </w:rPr>
              <w:t>2006-2007</w:t>
            </w:r>
          </w:p>
        </w:tc>
        <w:tc>
          <w:tcPr>
            <w:tcW w:w="1100" w:type="dxa"/>
            <w:vAlign w:val="bottom"/>
            <w:gridSpan w:val="2"/>
          </w:tcPr>
          <w:p>
            <w:pPr>
              <w:jc w:val="right"/>
              <w:ind w:right="280"/>
              <w:spacing w:after="0" w:line="136" w:lineRule="exact"/>
              <w:rPr>
                <w:sz w:val="20"/>
                <w:szCs w:val="20"/>
                <w:color w:val="auto"/>
              </w:rPr>
            </w:pPr>
            <w:r>
              <w:rPr>
                <w:rFonts w:ascii="Arial" w:cs="Arial" w:eastAsia="Arial" w:hAnsi="Arial"/>
                <w:sz w:val="13"/>
                <w:szCs w:val="13"/>
                <w:color w:val="auto"/>
              </w:rPr>
              <w:t>115,135</w:t>
            </w:r>
          </w:p>
        </w:tc>
        <w:tc>
          <w:tcPr>
            <w:tcW w:w="6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100,000</w:t>
            </w:r>
          </w:p>
        </w:tc>
        <w:tc>
          <w:tcPr>
            <w:tcW w:w="8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94%</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33,000</w:t>
            </w:r>
          </w:p>
        </w:tc>
        <w:tc>
          <w:tcPr>
            <w:tcW w:w="1680" w:type="dxa"/>
            <w:vAlign w:val="bottom"/>
          </w:tcPr>
          <w:p>
            <w:pPr>
              <w:ind w:left="40"/>
              <w:spacing w:after="0" w:line="136" w:lineRule="exact"/>
              <w:rPr>
                <w:sz w:val="20"/>
                <w:szCs w:val="20"/>
                <w:color w:val="auto"/>
              </w:rPr>
            </w:pPr>
            <w:r>
              <w:rPr>
                <w:rFonts w:ascii="Arial" w:cs="Arial" w:eastAsia="Arial" w:hAnsi="Arial"/>
                <w:sz w:val="13"/>
                <w:szCs w:val="13"/>
                <w:color w:val="auto"/>
                <w:w w:val="92"/>
              </w:rPr>
              <w:t>Roche Brothers Supermarkets</w:t>
            </w:r>
          </w:p>
        </w:tc>
        <w:tc>
          <w:tcPr>
            <w:tcW w:w="1440" w:type="dxa"/>
            <w:vAlign w:val="bottom"/>
          </w:tcPr>
          <w:p>
            <w:pPr>
              <w:ind w:left="60"/>
              <w:spacing w:after="0" w:line="136" w:lineRule="exact"/>
              <w:rPr>
                <w:sz w:val="20"/>
                <w:szCs w:val="20"/>
                <w:color w:val="auto"/>
              </w:rPr>
            </w:pPr>
            <w:r>
              <w:rPr>
                <w:rFonts w:ascii="Arial" w:cs="Arial" w:eastAsia="Arial" w:hAnsi="Arial"/>
                <w:sz w:val="13"/>
                <w:szCs w:val="13"/>
                <w:color w:val="auto"/>
                <w:w w:val="92"/>
              </w:rPr>
              <w:t>Fitness Club for Women /</w:t>
            </w:r>
          </w:p>
        </w:tc>
      </w:tr>
      <w:tr>
        <w:trPr>
          <w:trHeight w:val="147"/>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ind w:left="60"/>
              <w:spacing w:after="0" w:line="147" w:lineRule="exact"/>
              <w:rPr>
                <w:sz w:val="20"/>
                <w:szCs w:val="20"/>
                <w:color w:val="auto"/>
              </w:rPr>
            </w:pPr>
            <w:r>
              <w:rPr>
                <w:rFonts w:ascii="Arial" w:cs="Arial" w:eastAsia="Arial" w:hAnsi="Arial"/>
                <w:sz w:val="13"/>
                <w:szCs w:val="13"/>
                <w:color w:val="auto"/>
              </w:rPr>
              <w:t>Wellesley Volkswagen,</w:t>
            </w:r>
          </w:p>
        </w:tc>
      </w:tr>
      <w:tr>
        <w:trPr>
          <w:trHeight w:val="157"/>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Buick</w:t>
            </w:r>
          </w:p>
        </w:tc>
      </w:tr>
      <w:tr>
        <w:trPr>
          <w:trHeight w:val="147"/>
        </w:trPr>
        <w:tc>
          <w:tcPr>
            <w:tcW w:w="20" w:type="dxa"/>
            <w:vAlign w:val="bottom"/>
          </w:tcPr>
          <w:p>
            <w:pPr>
              <w:spacing w:after="0"/>
              <w:rPr>
                <w:sz w:val="12"/>
                <w:szCs w:val="12"/>
                <w:color w:val="auto"/>
              </w:rPr>
            </w:pPr>
          </w:p>
        </w:tc>
        <w:tc>
          <w:tcPr>
            <w:tcW w:w="136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North Dartmouth</w:t>
            </w: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2006</w:t>
            </w:r>
          </w:p>
        </w:tc>
        <w:tc>
          <w:tcPr>
            <w:tcW w:w="11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3"/>
                <w:szCs w:val="13"/>
                <w:color w:val="auto"/>
              </w:rPr>
              <w:t>27,214</w:t>
            </w: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183,000</w:t>
            </w:r>
          </w:p>
        </w:tc>
        <w:tc>
          <w:tcPr>
            <w:tcW w:w="8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48,000</w:t>
            </w:r>
          </w:p>
        </w:tc>
        <w:tc>
          <w:tcPr>
            <w:tcW w:w="168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color w:val="auto"/>
              </w:rPr>
              <w:t>Stop &amp; Shop</w:t>
            </w:r>
          </w:p>
        </w:tc>
        <w:tc>
          <w:tcPr>
            <w:tcW w:w="1440" w:type="dxa"/>
            <w:vAlign w:val="bottom"/>
            <w:shd w:val="clear" w:color="auto" w:fill="CCEEFF"/>
          </w:tcPr>
          <w:p>
            <w:pPr>
              <w:ind w:left="60"/>
              <w:spacing w:after="0" w:line="147" w:lineRule="exact"/>
              <w:rPr>
                <w:sz w:val="20"/>
                <w:szCs w:val="20"/>
                <w:color w:val="auto"/>
              </w:rPr>
            </w:pPr>
            <w:r>
              <w:rPr>
                <w:rFonts w:ascii="Arial" w:cs="Arial" w:eastAsia="Arial" w:hAnsi="Arial"/>
                <w:sz w:val="13"/>
                <w:szCs w:val="13"/>
                <w:color w:val="auto"/>
              </w:rPr>
              <w:t>Lowe’s Home Center</w:t>
            </w:r>
          </w:p>
        </w:tc>
      </w:tr>
      <w:tr>
        <w:trPr>
          <w:trHeight w:val="147"/>
        </w:trPr>
        <w:tc>
          <w:tcPr>
            <w:tcW w:w="20" w:type="dxa"/>
            <w:vAlign w:val="bottom"/>
          </w:tcPr>
          <w:p>
            <w:pPr>
              <w:spacing w:after="0"/>
              <w:rPr>
                <w:sz w:val="12"/>
                <w:szCs w:val="12"/>
                <w:color w:val="auto"/>
              </w:rPr>
            </w:pPr>
          </w:p>
        </w:tc>
        <w:tc>
          <w:tcPr>
            <w:tcW w:w="1360" w:type="dxa"/>
            <w:vAlign w:val="bottom"/>
            <w:gridSpan w:val="2"/>
          </w:tcPr>
          <w:p>
            <w:pPr>
              <w:spacing w:after="0" w:line="147" w:lineRule="exact"/>
              <w:rPr>
                <w:sz w:val="20"/>
                <w:szCs w:val="20"/>
                <w:color w:val="auto"/>
              </w:rPr>
            </w:pPr>
            <w:r>
              <w:rPr>
                <w:rFonts w:ascii="Arial" w:cs="Arial" w:eastAsia="Arial" w:hAnsi="Arial"/>
                <w:sz w:val="13"/>
                <w:szCs w:val="13"/>
                <w:color w:val="auto"/>
              </w:rPr>
              <w:t>Queen Anne Plaza</w:t>
            </w:r>
          </w:p>
        </w:tc>
        <w:tc>
          <w:tcPr>
            <w:tcW w:w="460" w:type="dxa"/>
            <w:vAlign w:val="bottom"/>
          </w:tcPr>
          <w:p>
            <w:pPr>
              <w:spacing w:after="0"/>
              <w:rPr>
                <w:sz w:val="12"/>
                <w:szCs w:val="12"/>
                <w:color w:val="auto"/>
              </w:rPr>
            </w:pPr>
          </w:p>
        </w:tc>
        <w:tc>
          <w:tcPr>
            <w:tcW w:w="2060" w:type="dxa"/>
            <w:vAlign w:val="bottom"/>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1994</w:t>
            </w:r>
          </w:p>
        </w:tc>
        <w:tc>
          <w:tcPr>
            <w:tcW w:w="1100" w:type="dxa"/>
            <w:vAlign w:val="bottom"/>
            <w:gridSpan w:val="2"/>
          </w:tcPr>
          <w:p>
            <w:pPr>
              <w:jc w:val="right"/>
              <w:ind w:right="280"/>
              <w:spacing w:after="0" w:line="147" w:lineRule="exact"/>
              <w:rPr>
                <w:sz w:val="20"/>
                <w:szCs w:val="20"/>
                <w:color w:val="auto"/>
              </w:rPr>
            </w:pPr>
            <w:r>
              <w:rPr>
                <w:rFonts w:ascii="Arial" w:cs="Arial" w:eastAsia="Arial" w:hAnsi="Arial"/>
                <w:sz w:val="13"/>
                <w:szCs w:val="13"/>
                <w:color w:val="auto"/>
              </w:rPr>
              <w:t>15,017</w:t>
            </w:r>
          </w:p>
        </w:tc>
        <w:tc>
          <w:tcPr>
            <w:tcW w:w="640" w:type="dxa"/>
            <w:vAlign w:val="bottom"/>
          </w:tcPr>
          <w:p>
            <w:pPr>
              <w:spacing w:after="0"/>
              <w:rPr>
                <w:sz w:val="12"/>
                <w:szCs w:val="12"/>
                <w:color w:val="auto"/>
              </w:rPr>
            </w:pPr>
          </w:p>
        </w:tc>
        <w:tc>
          <w:tcPr>
            <w:tcW w:w="5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149,000</w:t>
            </w:r>
          </w:p>
        </w:tc>
        <w:tc>
          <w:tcPr>
            <w:tcW w:w="8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98%</w:t>
            </w: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50,000</w:t>
            </w:r>
          </w:p>
        </w:tc>
        <w:tc>
          <w:tcPr>
            <w:tcW w:w="1680" w:type="dxa"/>
            <w:vAlign w:val="bottom"/>
          </w:tcPr>
          <w:p>
            <w:pPr>
              <w:ind w:left="40"/>
              <w:spacing w:after="0" w:line="147" w:lineRule="exact"/>
              <w:rPr>
                <w:sz w:val="20"/>
                <w:szCs w:val="20"/>
                <w:color w:val="auto"/>
              </w:rPr>
            </w:pPr>
            <w:r>
              <w:rPr>
                <w:rFonts w:ascii="Arial" w:cs="Arial" w:eastAsia="Arial" w:hAnsi="Arial"/>
                <w:sz w:val="13"/>
                <w:szCs w:val="13"/>
                <w:color w:val="auto"/>
              </w:rPr>
              <w:t>Victory Supermarket</w:t>
            </w:r>
          </w:p>
        </w:tc>
        <w:tc>
          <w:tcPr>
            <w:tcW w:w="1440" w:type="dxa"/>
            <w:vAlign w:val="bottom"/>
          </w:tcPr>
          <w:p>
            <w:pPr>
              <w:ind w:left="60"/>
              <w:spacing w:after="0" w:line="147" w:lineRule="exact"/>
              <w:rPr>
                <w:sz w:val="20"/>
                <w:szCs w:val="20"/>
                <w:color w:val="auto"/>
              </w:rPr>
            </w:pPr>
            <w:r>
              <w:rPr>
                <w:rFonts w:ascii="Arial" w:cs="Arial" w:eastAsia="Arial" w:hAnsi="Arial"/>
                <w:sz w:val="13"/>
                <w:szCs w:val="13"/>
                <w:color w:val="auto"/>
              </w:rPr>
              <w:t>TJ Maxx</w:t>
            </w:r>
          </w:p>
        </w:tc>
      </w:tr>
      <w:tr>
        <w:trPr>
          <w:trHeight w:val="136"/>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Riverside</w:t>
            </w:r>
          </w:p>
        </w:tc>
        <w:tc>
          <w:tcPr>
            <w:tcW w:w="460" w:type="dxa"/>
            <w:vAlign w:val="bottom"/>
            <w:shd w:val="clear" w:color="auto" w:fill="CCEEFF"/>
          </w:tcPr>
          <w:p>
            <w:pPr>
              <w:spacing w:after="0"/>
              <w:rPr>
                <w:sz w:val="11"/>
                <w:szCs w:val="11"/>
                <w:color w:val="auto"/>
              </w:rPr>
            </w:pPr>
          </w:p>
        </w:tc>
        <w:tc>
          <w:tcPr>
            <w:tcW w:w="206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2006</w:t>
            </w:r>
          </w:p>
        </w:tc>
        <w:tc>
          <w:tcPr>
            <w:tcW w:w="110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28,882</w:t>
            </w:r>
          </w:p>
        </w:tc>
        <w:tc>
          <w:tcPr>
            <w:tcW w:w="6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218,000</w:t>
            </w: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w:t>
            </w:r>
          </w:p>
        </w:tc>
        <w:tc>
          <w:tcPr>
            <w:tcW w:w="168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Shaw’s Supermarket</w:t>
            </w:r>
          </w:p>
        </w:tc>
        <w:tc>
          <w:tcPr>
            <w:tcW w:w="1440" w:type="dxa"/>
            <w:vAlign w:val="bottom"/>
            <w:shd w:val="clear" w:color="auto" w:fill="CCEEFF"/>
          </w:tcPr>
          <w:p>
            <w:pPr>
              <w:ind w:left="60"/>
              <w:spacing w:after="0" w:line="136" w:lineRule="exact"/>
              <w:rPr>
                <w:sz w:val="20"/>
                <w:szCs w:val="20"/>
                <w:color w:val="auto"/>
              </w:rPr>
            </w:pPr>
            <w:r>
              <w:rPr>
                <w:rFonts w:ascii="Arial" w:cs="Arial" w:eastAsia="Arial" w:hAnsi="Arial"/>
                <w:sz w:val="13"/>
                <w:szCs w:val="13"/>
                <w:color w:val="auto"/>
              </w:rPr>
              <w:t>Brooks Pharmacy /</w:t>
            </w:r>
          </w:p>
        </w:tc>
      </w:tr>
      <w:tr>
        <w:trPr>
          <w:trHeight w:val="157"/>
        </w:trPr>
        <w:tc>
          <w:tcPr>
            <w:tcW w:w="20" w:type="dxa"/>
            <w:vAlign w:val="bottom"/>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Walmart</w:t>
            </w:r>
          </w:p>
        </w:tc>
      </w:tr>
      <w:tr>
        <w:trPr>
          <w:trHeight w:val="153"/>
        </w:trPr>
        <w:tc>
          <w:tcPr>
            <w:tcW w:w="20" w:type="dxa"/>
            <w:vAlign w:val="bottom"/>
          </w:tcPr>
          <w:p>
            <w:pPr>
              <w:spacing w:after="0"/>
              <w:rPr>
                <w:sz w:val="13"/>
                <w:szCs w:val="13"/>
                <w:color w:val="auto"/>
              </w:rPr>
            </w:pPr>
          </w:p>
        </w:tc>
        <w:tc>
          <w:tcPr>
            <w:tcW w:w="1360" w:type="dxa"/>
            <w:vAlign w:val="bottom"/>
            <w:gridSpan w:val="2"/>
          </w:tcPr>
          <w:p>
            <w:pPr>
              <w:spacing w:after="0" w:line="147" w:lineRule="exact"/>
              <w:rPr>
                <w:sz w:val="20"/>
                <w:szCs w:val="20"/>
                <w:color w:val="auto"/>
              </w:rPr>
            </w:pPr>
            <w:r>
              <w:rPr>
                <w:rFonts w:ascii="Arial" w:cs="Arial" w:eastAsia="Arial" w:hAnsi="Arial"/>
                <w:sz w:val="13"/>
                <w:szCs w:val="13"/>
                <w:color w:val="auto"/>
              </w:rPr>
              <w:t>Saugus Plaza</w:t>
            </w:r>
          </w:p>
        </w:tc>
        <w:tc>
          <w:tcPr>
            <w:tcW w:w="460" w:type="dxa"/>
            <w:vAlign w:val="bottom"/>
          </w:tcPr>
          <w:p>
            <w:pPr>
              <w:spacing w:after="0"/>
              <w:rPr>
                <w:sz w:val="13"/>
                <w:szCs w:val="13"/>
                <w:color w:val="auto"/>
              </w:rPr>
            </w:pPr>
          </w:p>
        </w:tc>
        <w:tc>
          <w:tcPr>
            <w:tcW w:w="2060" w:type="dxa"/>
            <w:vAlign w:val="bottom"/>
          </w:tcPr>
          <w:p>
            <w:pPr>
              <w:ind w:left="40"/>
              <w:spacing w:after="0" w:line="147" w:lineRule="exact"/>
              <w:rPr>
                <w:sz w:val="20"/>
                <w:szCs w:val="20"/>
                <w:color w:val="auto"/>
              </w:rPr>
            </w:pPr>
            <w:r>
              <w:rPr>
                <w:rFonts w:ascii="Arial" w:cs="Arial" w:eastAsia="Arial" w:hAnsi="Arial"/>
                <w:sz w:val="13"/>
                <w:szCs w:val="13"/>
                <w:color w:val="auto"/>
                <w:w w:val="98"/>
              </w:rPr>
              <w:t>Boston-Cambridge-Quincy, MA-NH</w:t>
            </w:r>
          </w:p>
        </w:tc>
        <w:tc>
          <w:tcPr>
            <w:tcW w:w="72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1996</w:t>
            </w:r>
          </w:p>
        </w:tc>
        <w:tc>
          <w:tcPr>
            <w:tcW w:w="8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13,597</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171,000</w:t>
            </w:r>
          </w:p>
        </w:tc>
        <w:tc>
          <w:tcPr>
            <w:tcW w:w="8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100%</w:t>
            </w: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55,000</w:t>
            </w:r>
          </w:p>
        </w:tc>
        <w:tc>
          <w:tcPr>
            <w:tcW w:w="1680" w:type="dxa"/>
            <w:vAlign w:val="bottom"/>
          </w:tcPr>
          <w:p>
            <w:pPr>
              <w:ind w:left="40"/>
              <w:spacing w:after="0" w:line="147" w:lineRule="exact"/>
              <w:rPr>
                <w:sz w:val="20"/>
                <w:szCs w:val="20"/>
                <w:color w:val="auto"/>
              </w:rPr>
            </w:pPr>
            <w:r>
              <w:rPr>
                <w:rFonts w:ascii="Arial" w:cs="Arial" w:eastAsia="Arial" w:hAnsi="Arial"/>
                <w:sz w:val="13"/>
                <w:szCs w:val="13"/>
                <w:color w:val="auto"/>
              </w:rPr>
              <w:t>Super Stop &amp; Shop</w:t>
            </w:r>
          </w:p>
        </w:tc>
        <w:tc>
          <w:tcPr>
            <w:tcW w:w="1440" w:type="dxa"/>
            <w:vAlign w:val="bottom"/>
          </w:tcPr>
          <w:p>
            <w:pPr>
              <w:ind w:left="60"/>
              <w:spacing w:after="0" w:line="147" w:lineRule="exact"/>
              <w:rPr>
                <w:sz w:val="20"/>
                <w:szCs w:val="20"/>
                <w:color w:val="auto"/>
              </w:rPr>
            </w:pPr>
            <w:r>
              <w:rPr>
                <w:rFonts w:ascii="Arial" w:cs="Arial" w:eastAsia="Arial" w:hAnsi="Arial"/>
                <w:sz w:val="13"/>
                <w:szCs w:val="13"/>
                <w:color w:val="auto"/>
              </w:rPr>
              <w:t>Kmart</w:t>
            </w:r>
          </w:p>
        </w:tc>
      </w:tr>
      <w:tr>
        <w:trPr>
          <w:trHeight w:val="147"/>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7" w:lineRule="exact"/>
              <w:rPr>
                <w:sz w:val="20"/>
                <w:szCs w:val="20"/>
                <w:color w:val="auto"/>
              </w:rPr>
            </w:pPr>
            <w:r>
              <w:rPr>
                <w:rFonts w:ascii="Arial" w:cs="Arial" w:eastAsia="Arial" w:hAnsi="Arial"/>
                <w:sz w:val="13"/>
                <w:szCs w:val="13"/>
                <w:b w:val="1"/>
                <w:bCs w:val="1"/>
                <w:color w:val="auto"/>
              </w:rPr>
              <w:t>Total New England</w:t>
            </w:r>
          </w:p>
        </w:tc>
        <w:tc>
          <w:tcPr>
            <w:tcW w:w="7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3"/>
                <w:szCs w:val="13"/>
                <w:color w:val="auto"/>
              </w:rPr>
              <w:t>398,345</w:t>
            </w: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w w:val="93"/>
              </w:rPr>
              <w:t>1,989,000</w:t>
            </w:r>
          </w:p>
        </w:tc>
        <w:tc>
          <w:tcPr>
            <w:tcW w:w="8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97%</w:t>
            </w: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w w:val="89"/>
              </w:rPr>
              <w:t>Baltimore</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13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Byron Station</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w:t>
            </w:r>
          </w:p>
        </w:tc>
        <w:tc>
          <w:tcPr>
            <w:tcW w:w="206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13"/>
              <w:spacing w:after="0" w:line="140" w:lineRule="exact"/>
              <w:rPr>
                <w:sz w:val="20"/>
                <w:szCs w:val="20"/>
                <w:color w:val="auto"/>
              </w:rPr>
            </w:pPr>
            <w:r>
              <w:rPr>
                <w:rFonts w:ascii="Arial" w:cs="Arial" w:eastAsia="Arial" w:hAnsi="Arial"/>
                <w:sz w:val="13"/>
                <w:szCs w:val="13"/>
                <w:color w:val="auto"/>
              </w:rPr>
              <w:t>2007</w:t>
            </w:r>
          </w:p>
        </w:tc>
        <w:tc>
          <w:tcPr>
            <w:tcW w:w="110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3,335</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1,180</w:t>
            </w: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13,000</w:t>
            </w:r>
          </w:p>
        </w:tc>
        <w:tc>
          <w:tcPr>
            <w:tcW w:w="860" w:type="dxa"/>
            <w:vAlign w:val="bottom"/>
            <w:shd w:val="clear" w:color="auto" w:fill="CCEEFF"/>
          </w:tcPr>
          <w:p>
            <w:pPr>
              <w:jc w:val="right"/>
              <w:ind w:right="13"/>
              <w:spacing w:after="0" w:line="140"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360" w:type="dxa"/>
            <w:vAlign w:val="bottom"/>
            <w:gridSpan w:val="2"/>
          </w:tcPr>
          <w:p>
            <w:pPr>
              <w:spacing w:after="0" w:line="136" w:lineRule="exact"/>
              <w:rPr>
                <w:sz w:val="20"/>
                <w:szCs w:val="20"/>
                <w:color w:val="auto"/>
              </w:rPr>
            </w:pPr>
            <w:r>
              <w:rPr>
                <w:rFonts w:ascii="Arial" w:cs="Arial" w:eastAsia="Arial" w:hAnsi="Arial"/>
                <w:sz w:val="13"/>
                <w:szCs w:val="13"/>
                <w:color w:val="auto"/>
              </w:rPr>
              <w:t>Governor Plaza</w:t>
            </w:r>
          </w:p>
        </w:tc>
        <w:tc>
          <w:tcPr>
            <w:tcW w:w="460" w:type="dxa"/>
            <w:vAlign w:val="bottom"/>
          </w:tcPr>
          <w:p>
            <w:pPr>
              <w:spacing w:after="0"/>
              <w:rPr>
                <w:sz w:val="11"/>
                <w:szCs w:val="11"/>
                <w:color w:val="auto"/>
              </w:rPr>
            </w:pPr>
          </w:p>
        </w:tc>
        <w:tc>
          <w:tcPr>
            <w:tcW w:w="2060" w:type="dxa"/>
            <w:vAlign w:val="bottom"/>
          </w:tcPr>
          <w:p>
            <w:pPr>
              <w:ind w:left="40"/>
              <w:spacing w:after="0" w:line="136" w:lineRule="exact"/>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1985</w:t>
            </w:r>
          </w:p>
        </w:tc>
        <w:tc>
          <w:tcPr>
            <w:tcW w:w="1100" w:type="dxa"/>
            <w:vAlign w:val="bottom"/>
            <w:gridSpan w:val="2"/>
          </w:tcPr>
          <w:p>
            <w:pPr>
              <w:jc w:val="right"/>
              <w:ind w:right="280"/>
              <w:spacing w:after="0" w:line="136" w:lineRule="exact"/>
              <w:rPr>
                <w:sz w:val="20"/>
                <w:szCs w:val="20"/>
                <w:color w:val="auto"/>
              </w:rPr>
            </w:pPr>
            <w:r>
              <w:rPr>
                <w:rFonts w:ascii="Arial" w:cs="Arial" w:eastAsia="Arial" w:hAnsi="Arial"/>
                <w:sz w:val="13"/>
                <w:szCs w:val="13"/>
                <w:color w:val="auto"/>
              </w:rPr>
              <w:t>21,549</w:t>
            </w:r>
          </w:p>
        </w:tc>
        <w:tc>
          <w:tcPr>
            <w:tcW w:w="64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269,000</w:t>
            </w:r>
          </w:p>
        </w:tc>
        <w:tc>
          <w:tcPr>
            <w:tcW w:w="8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100%</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16,500</w:t>
            </w:r>
          </w:p>
        </w:tc>
        <w:tc>
          <w:tcPr>
            <w:tcW w:w="1680" w:type="dxa"/>
            <w:vAlign w:val="bottom"/>
          </w:tcPr>
          <w:p>
            <w:pPr>
              <w:ind w:left="40"/>
              <w:spacing w:after="0" w:line="136" w:lineRule="exact"/>
              <w:rPr>
                <w:sz w:val="20"/>
                <w:szCs w:val="20"/>
                <w:color w:val="auto"/>
              </w:rPr>
            </w:pPr>
            <w:r>
              <w:rPr>
                <w:rFonts w:ascii="Arial" w:cs="Arial" w:eastAsia="Arial" w:hAnsi="Arial"/>
                <w:sz w:val="13"/>
                <w:szCs w:val="13"/>
                <w:color w:val="auto"/>
              </w:rPr>
              <w:t>Aldi</w:t>
            </w:r>
          </w:p>
        </w:tc>
        <w:tc>
          <w:tcPr>
            <w:tcW w:w="1440" w:type="dxa"/>
            <w:vAlign w:val="bottom"/>
          </w:tcPr>
          <w:p>
            <w:pPr>
              <w:ind w:left="60"/>
              <w:spacing w:after="0" w:line="136" w:lineRule="exact"/>
              <w:rPr>
                <w:sz w:val="20"/>
                <w:szCs w:val="20"/>
                <w:color w:val="auto"/>
              </w:rPr>
            </w:pPr>
            <w:r>
              <w:rPr>
                <w:rFonts w:ascii="Arial" w:cs="Arial" w:eastAsia="Arial" w:hAnsi="Arial"/>
                <w:sz w:val="13"/>
                <w:szCs w:val="13"/>
                <w:color w:val="auto"/>
              </w:rPr>
              <w:t>Bally’s / Comp USA /</w:t>
            </w: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Office Depot</w:t>
            </w:r>
          </w:p>
        </w:tc>
      </w:tr>
    </w:tbl>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Mortgage or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Grocery</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7" w:lineRule="exact"/>
              <w:rPr>
                <w:sz w:val="20"/>
                <w:szCs w:val="20"/>
                <w:color w:val="auto"/>
              </w:rPr>
            </w:pPr>
            <w:r>
              <w:rPr>
                <w:rFonts w:ascii="Arial" w:cs="Arial" w:eastAsia="Arial" w:hAnsi="Arial"/>
                <w:sz w:val="13"/>
                <w:szCs w:val="13"/>
                <w:b w:val="1"/>
                <w:bCs w:val="1"/>
                <w:color w:val="auto"/>
              </w:rPr>
              <w:t>Year</w:t>
            </w:r>
          </w:p>
        </w:tc>
        <w:tc>
          <w:tcPr>
            <w:tcW w:w="860" w:type="dxa"/>
            <w:vAlign w:val="bottom"/>
            <w:gridSpan w:val="2"/>
          </w:tcPr>
          <w:p>
            <w:pPr>
              <w:jc w:val="center"/>
              <w:ind w:right="40"/>
              <w:spacing w:after="0" w:line="147"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2"/>
                <w:szCs w:val="12"/>
                <w:color w:val="auto"/>
              </w:rPr>
            </w:pPr>
          </w:p>
        </w:tc>
        <w:tc>
          <w:tcPr>
            <w:tcW w:w="800" w:type="dxa"/>
            <w:vAlign w:val="bottom"/>
            <w:gridSpan w:val="2"/>
          </w:tcPr>
          <w:p>
            <w:pPr>
              <w:ind w:left="20"/>
              <w:spacing w:after="0" w:line="147" w:lineRule="exact"/>
              <w:rPr>
                <w:sz w:val="20"/>
                <w:szCs w:val="20"/>
                <w:color w:val="auto"/>
              </w:rPr>
            </w:pPr>
            <w:r>
              <w:rPr>
                <w:rFonts w:ascii="Arial" w:cs="Arial" w:eastAsia="Arial" w:hAnsi="Arial"/>
                <w:sz w:val="13"/>
                <w:szCs w:val="13"/>
                <w:b w:val="1"/>
                <w:bCs w:val="1"/>
                <w:color w:val="auto"/>
                <w:w w:val="90"/>
              </w:rPr>
              <w:t>Capital Lease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3"/>
                <w:szCs w:val="13"/>
                <w:b w:val="1"/>
                <w:bCs w:val="1"/>
                <w:color w:val="auto"/>
              </w:rPr>
              <w:t>Anchor</w:t>
            </w:r>
          </w:p>
        </w:tc>
        <w:tc>
          <w:tcPr>
            <w:tcW w:w="27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5"/>
              </w:rPr>
              <w:t>Grocery Anchor (3)   Other Principal Tenants</w:t>
            </w:r>
          </w:p>
        </w:tc>
        <w:tc>
          <w:tcPr>
            <w:tcW w:w="0" w:type="dxa"/>
            <w:vAlign w:val="bottom"/>
          </w:tcPr>
          <w:p>
            <w:pPr>
              <w:spacing w:after="0"/>
              <w:rPr>
                <w:sz w:val="1"/>
                <w:szCs w:val="1"/>
                <w:color w:val="auto"/>
              </w:rPr>
            </w:pPr>
          </w:p>
        </w:tc>
      </w:tr>
      <w:tr>
        <w:trPr>
          <w:trHeight w:val="166"/>
        </w:trPr>
        <w:tc>
          <w:tcPr>
            <w:tcW w:w="2140" w:type="dxa"/>
            <w:vAlign w:val="bottom"/>
            <w:gridSpan w:val="8"/>
          </w:tcPr>
          <w:p>
            <w:pPr>
              <w:spacing w:after="0"/>
              <w:rPr>
                <w:sz w:val="20"/>
                <w:szCs w:val="20"/>
                <w:color w:val="auto"/>
              </w:rPr>
            </w:pPr>
            <w:r>
              <w:rPr>
                <w:rFonts w:ascii="Arial" w:cs="Arial" w:eastAsia="Arial" w:hAnsi="Arial"/>
                <w:sz w:val="13"/>
                <w:szCs w:val="13"/>
                <w:b w:val="1"/>
                <w:bCs w:val="1"/>
                <w:color w:val="auto"/>
              </w:rPr>
              <w:t>Property Name</w:t>
            </w:r>
          </w:p>
        </w:tc>
        <w:tc>
          <w:tcPr>
            <w:tcW w:w="56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Acquired</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Investment</w:t>
            </w:r>
          </w:p>
        </w:tc>
        <w:tc>
          <w:tcPr>
            <w:tcW w:w="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3"/>
              </w:rPr>
              <w:t>Obligation (1)</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GLA (2)</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 Leased</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3"/>
              </w:rPr>
              <w:t>GLA (3)</w:t>
            </w:r>
          </w:p>
        </w:tc>
        <w:tc>
          <w:tcPr>
            <w:tcW w:w="2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91"/>
              </w:rPr>
              <w:t>(in thousands)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Baltimore, MD</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1985</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26,404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402,000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58,000</w:t>
            </w:r>
          </w:p>
        </w:tc>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Shoppers Food</w:t>
            </w: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5"/>
              </w:rPr>
              <w:t>Home Depot / Burlington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Warehouse</w:t>
            </w: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Coat Factory / Jo-Ann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Stores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THE AVENUE at White Marsh</w:t>
            </w:r>
          </w:p>
        </w:tc>
        <w:tc>
          <w:tcPr>
            <w:tcW w:w="5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(10,11)</w:t>
            </w: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rPr>
              <w:t>Baltimore, MD</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97,361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61,764</w:t>
            </w: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296,000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95%</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Loews Theatres / Old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Navy / Barns &amp; Noble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The Shoppes at Nottingham Square</w:t>
            </w:r>
          </w:p>
        </w:tc>
        <w:tc>
          <w:tcPr>
            <w:tcW w:w="5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(11)</w:t>
            </w: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Baltimore, MD</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2007</w:t>
            </w:r>
          </w:p>
        </w:tc>
        <w:tc>
          <w:tcPr>
            <w:tcW w:w="8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18,051</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186,000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White Marsh Ground Leases</w:t>
            </w:r>
          </w:p>
        </w:tc>
        <w:tc>
          <w:tcPr>
            <w:tcW w:w="5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(11)</w:t>
            </w: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Baltimore, MD</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2007</w:t>
            </w: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57,709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40,000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White Marsh Plaza</w:t>
            </w:r>
          </w:p>
        </w:tc>
        <w:tc>
          <w:tcPr>
            <w:tcW w:w="5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(11)</w:t>
            </w: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Baltimore, MD</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2007</w:t>
            </w: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22,509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10,546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79,000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98%</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54,000</w:t>
            </w: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Giant Food</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Baltimore</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246,918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1,285,000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85"/>
              </w:rPr>
              <w:t>Chicago</w:t>
            </w:r>
          </w:p>
        </w:tc>
        <w:tc>
          <w:tcPr>
            <w:tcW w:w="1660" w:type="dxa"/>
            <w:vAlign w:val="bottom"/>
            <w:tcBorders>
              <w:bottom w:val="single" w:sz="8" w:color="CCEEFF"/>
            </w:tcBorders>
            <w:gridSpan w:val="6"/>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7"/>
          </w:tcPr>
          <w:p>
            <w:pPr>
              <w:spacing w:after="0" w:line="129" w:lineRule="exact"/>
              <w:rPr>
                <w:sz w:val="20"/>
                <w:szCs w:val="20"/>
                <w:color w:val="auto"/>
              </w:rPr>
            </w:pPr>
            <w:r>
              <w:rPr>
                <w:rFonts w:ascii="Arial" w:cs="Arial" w:eastAsia="Arial" w:hAnsi="Arial"/>
                <w:sz w:val="13"/>
                <w:szCs w:val="13"/>
                <w:color w:val="auto"/>
              </w:rPr>
              <w:t>Crossroads</w:t>
            </w:r>
          </w:p>
        </w:tc>
        <w:tc>
          <w:tcPr>
            <w:tcW w:w="560" w:type="dxa"/>
            <w:vAlign w:val="bottom"/>
          </w:tcPr>
          <w:p>
            <w:pPr>
              <w:spacing w:after="0"/>
              <w:rPr>
                <w:sz w:val="11"/>
                <w:szCs w:val="11"/>
                <w:color w:val="auto"/>
              </w:rPr>
            </w:pPr>
          </w:p>
        </w:tc>
        <w:tc>
          <w:tcPr>
            <w:tcW w:w="1500" w:type="dxa"/>
            <w:vAlign w:val="bottom"/>
            <w:gridSpan w:val="2"/>
          </w:tcPr>
          <w:p>
            <w:pPr>
              <w:spacing w:after="0" w:line="129" w:lineRule="exact"/>
              <w:rPr>
                <w:sz w:val="20"/>
                <w:szCs w:val="20"/>
                <w:color w:val="auto"/>
              </w:rPr>
            </w:pPr>
            <w:r>
              <w:rPr>
                <w:rFonts w:ascii="Arial" w:cs="Arial" w:eastAsia="Arial" w:hAnsi="Arial"/>
                <w:sz w:val="13"/>
                <w:szCs w:val="13"/>
                <w:color w:val="auto"/>
              </w:rPr>
              <w:t>Chicago, IL</w:t>
            </w:r>
          </w:p>
        </w:tc>
        <w:tc>
          <w:tcPr>
            <w:tcW w:w="6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1993</w:t>
            </w:r>
          </w:p>
        </w:tc>
        <w:tc>
          <w:tcPr>
            <w:tcW w:w="86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22,826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173,000</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90%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29" w:lineRule="exact"/>
              <w:rPr>
                <w:sz w:val="20"/>
                <w:szCs w:val="20"/>
                <w:color w:val="auto"/>
              </w:rPr>
            </w:pPr>
            <w:r>
              <w:rPr>
                <w:rFonts w:ascii="Arial" w:cs="Arial" w:eastAsia="Arial" w:hAnsi="Arial"/>
                <w:sz w:val="13"/>
                <w:szCs w:val="13"/>
                <w:color w:val="auto"/>
                <w:w w:val="98"/>
              </w:rPr>
              <w:t>Comp USA / Golfsmith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color w:val="auto"/>
              </w:rPr>
              <w:t>Guitar Center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Finley Square</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Chicago, IL</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1995</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29,140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315,000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Garden Market</w:t>
            </w: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Chicago, IL</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1994</w:t>
            </w: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11,276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140,000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96%</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63,000</w:t>
            </w: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Dominick’s</w:t>
            </w: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North Lake Commons</w:t>
            </w:r>
          </w:p>
        </w:tc>
        <w:tc>
          <w:tcPr>
            <w:tcW w:w="5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Chicago, IL</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1994</w:t>
            </w: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13,221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129,000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94%</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77,000</w:t>
            </w: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Dominick’s</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Chicago</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76,463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757,000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East Region - Other</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3"/>
                <w:szCs w:val="13"/>
                <w:color w:val="auto"/>
              </w:rPr>
              <w:t>Barracks Road</w:t>
            </w:r>
          </w:p>
        </w:tc>
        <w:tc>
          <w:tcPr>
            <w:tcW w:w="1000" w:type="dxa"/>
            <w:vAlign w:val="bottom"/>
            <w:tcBorders>
              <w:top w:val="single" w:sz="8" w:color="CCEEFF"/>
            </w:tcBorders>
            <w:gridSpan w:val="2"/>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500" w:type="dxa"/>
            <w:vAlign w:val="bottom"/>
            <w:tcBorders>
              <w:top w:val="single" w:sz="8" w:color="CCEEFF"/>
            </w:tcBorders>
            <w:gridSpan w:val="2"/>
          </w:tcPr>
          <w:p>
            <w:pPr>
              <w:spacing w:after="0" w:line="129" w:lineRule="exact"/>
              <w:rPr>
                <w:sz w:val="20"/>
                <w:szCs w:val="20"/>
                <w:color w:val="auto"/>
              </w:rPr>
            </w:pPr>
            <w:r>
              <w:rPr>
                <w:rFonts w:ascii="Arial" w:cs="Arial" w:eastAsia="Arial" w:hAnsi="Arial"/>
                <w:sz w:val="13"/>
                <w:szCs w:val="13"/>
                <w:color w:val="auto"/>
              </w:rPr>
              <w:t>Charlottesville, VA</w:t>
            </w:r>
          </w:p>
        </w:tc>
        <w:tc>
          <w:tcPr>
            <w:tcW w:w="660" w:type="dxa"/>
            <w:vAlign w:val="bottom"/>
            <w:tcBorders>
              <w:top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1985</w:t>
            </w:r>
          </w:p>
        </w:tc>
        <w:tc>
          <w:tcPr>
            <w:tcW w:w="860" w:type="dxa"/>
            <w:vAlign w:val="bottom"/>
            <w:tcBorders>
              <w:top w:val="single" w:sz="8" w:color="CCEEFF"/>
            </w:tcBorders>
            <w:gridSpan w:val="2"/>
          </w:tcPr>
          <w:p>
            <w:pPr>
              <w:jc w:val="right"/>
              <w:ind w:right="40"/>
              <w:spacing w:after="0" w:line="129" w:lineRule="exact"/>
              <w:rPr>
                <w:sz w:val="20"/>
                <w:szCs w:val="20"/>
                <w:color w:val="auto"/>
              </w:rPr>
            </w:pPr>
            <w:r>
              <w:rPr>
                <w:rFonts w:ascii="Arial" w:cs="Arial" w:eastAsia="Arial" w:hAnsi="Arial"/>
                <w:sz w:val="13"/>
                <w:szCs w:val="13"/>
                <w:color w:val="auto"/>
              </w:rPr>
              <w:t>42,580</w:t>
            </w: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42,462</w:t>
            </w:r>
          </w:p>
        </w:tc>
        <w:tc>
          <w:tcPr>
            <w:tcW w:w="760" w:type="dxa"/>
            <w:vAlign w:val="bottom"/>
            <w:tcBorders>
              <w:top w:val="single" w:sz="8" w:color="CCEEFF"/>
            </w:tcBorders>
            <w:gridSpan w:val="3"/>
          </w:tcPr>
          <w:p>
            <w:pPr>
              <w:jc w:val="right"/>
              <w:ind w:right="80"/>
              <w:spacing w:after="0" w:line="129" w:lineRule="exact"/>
              <w:rPr>
                <w:sz w:val="20"/>
                <w:szCs w:val="20"/>
                <w:color w:val="auto"/>
              </w:rPr>
            </w:pPr>
            <w:r>
              <w:rPr>
                <w:rFonts w:ascii="Arial" w:cs="Arial" w:eastAsia="Arial" w:hAnsi="Arial"/>
                <w:sz w:val="13"/>
                <w:szCs w:val="13"/>
                <w:color w:val="auto"/>
              </w:rPr>
              <w:t>488,000</w:t>
            </w:r>
          </w:p>
        </w:tc>
        <w:tc>
          <w:tcPr>
            <w:tcW w:w="800" w:type="dxa"/>
            <w:vAlign w:val="bottom"/>
            <w:tcBorders>
              <w:top w:val="single" w:sz="8" w:color="CCEEFF"/>
            </w:tcBorders>
            <w:gridSpan w:val="2"/>
          </w:tcPr>
          <w:p>
            <w:pPr>
              <w:jc w:val="right"/>
              <w:ind w:right="100"/>
              <w:spacing w:after="0" w:line="129" w:lineRule="exact"/>
              <w:rPr>
                <w:sz w:val="20"/>
                <w:szCs w:val="20"/>
                <w:color w:val="auto"/>
              </w:rPr>
            </w:pPr>
            <w:r>
              <w:rPr>
                <w:rFonts w:ascii="Arial" w:cs="Arial" w:eastAsia="Arial" w:hAnsi="Arial"/>
                <w:sz w:val="13"/>
                <w:szCs w:val="13"/>
                <w:color w:val="auto"/>
              </w:rPr>
              <w:t>100%</w:t>
            </w:r>
          </w:p>
        </w:tc>
        <w:tc>
          <w:tcPr>
            <w:tcW w:w="560" w:type="dxa"/>
            <w:vAlign w:val="bottom"/>
            <w:tcBorders>
              <w:top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99,000</w:t>
            </w:r>
          </w:p>
        </w:tc>
        <w:tc>
          <w:tcPr>
            <w:tcW w:w="1280" w:type="dxa"/>
            <w:vAlign w:val="bottom"/>
            <w:tcBorders>
              <w:top w:val="single" w:sz="8" w:color="CCEEFF"/>
            </w:tcBorders>
          </w:tcPr>
          <w:p>
            <w:pPr>
              <w:spacing w:after="0" w:line="129" w:lineRule="exact"/>
              <w:rPr>
                <w:sz w:val="20"/>
                <w:szCs w:val="20"/>
                <w:color w:val="auto"/>
              </w:rPr>
            </w:pPr>
            <w:r>
              <w:rPr>
                <w:rFonts w:ascii="Arial" w:cs="Arial" w:eastAsia="Arial" w:hAnsi="Arial"/>
                <w:sz w:val="13"/>
                <w:szCs w:val="13"/>
                <w:color w:val="auto"/>
              </w:rPr>
              <w:t>Harris Teeter / Kroger</w:t>
            </w:r>
          </w:p>
        </w:tc>
        <w:tc>
          <w:tcPr>
            <w:tcW w:w="1460" w:type="dxa"/>
            <w:vAlign w:val="bottom"/>
            <w:tcBorders>
              <w:top w:val="single" w:sz="8" w:color="CCEEFF"/>
            </w:tcBorders>
            <w:gridSpan w:val="2"/>
          </w:tcPr>
          <w:p>
            <w:pPr>
              <w:ind w:left="80"/>
              <w:spacing w:after="0" w:line="129"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Barnes &amp; Noble / Old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color w:val="auto"/>
              </w:rPr>
              <w:t>Navy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Bristol Plaza</w:t>
            </w:r>
          </w:p>
        </w:tc>
        <w:tc>
          <w:tcPr>
            <w:tcW w:w="5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Hartford, CT</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1995</w:t>
            </w:r>
          </w:p>
        </w:tc>
        <w:tc>
          <w:tcPr>
            <w:tcW w:w="8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24,393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273,000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74,000</w:t>
            </w: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Stop &amp; Shop</w:t>
            </w: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Eastgate</w:t>
            </w:r>
          </w:p>
        </w:tc>
        <w:tc>
          <w:tcPr>
            <w:tcW w:w="560" w:type="dxa"/>
            <w:vAlign w:val="bottom"/>
          </w:tcPr>
          <w:p>
            <w:pPr>
              <w:spacing w:after="0"/>
              <w:rPr>
                <w:sz w:val="11"/>
                <w:szCs w:val="11"/>
                <w:color w:val="auto"/>
              </w:rPr>
            </w:pP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rPr>
              <w:t>Raleigh-Durham-Chapel</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1986</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17,384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159,000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84%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Hill, NC</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Gratiot Plaza</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Detroit, MI</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1973</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18,061</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217,000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69,000</w:t>
            </w:r>
          </w:p>
        </w:tc>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Farmer Jacks</w:t>
            </w: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Best Buy / DSW</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Greenwich Avenue</w:t>
            </w:r>
          </w:p>
        </w:tc>
        <w:tc>
          <w:tcPr>
            <w:tcW w:w="560" w:type="dxa"/>
            <w:vAlign w:val="bottom"/>
          </w:tcPr>
          <w:p>
            <w:pPr>
              <w:spacing w:after="0"/>
              <w:rPr>
                <w:sz w:val="11"/>
                <w:szCs w:val="11"/>
                <w:color w:val="auto"/>
              </w:rPr>
            </w:pP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rPr>
              <w:t>New Haven-Bridgeport-</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1995</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15,998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42,000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Stamford-Waterbury</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Lancaster</w:t>
            </w:r>
          </w:p>
        </w:tc>
        <w:tc>
          <w:tcPr>
            <w:tcW w:w="5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(7)</w:t>
            </w: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Lancaster, PA</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1980</w:t>
            </w:r>
          </w:p>
        </w:tc>
        <w:tc>
          <w:tcPr>
            <w:tcW w:w="8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10,793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4,907</w:t>
            </w:r>
          </w:p>
        </w:tc>
        <w:tc>
          <w:tcPr>
            <w:tcW w:w="76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107,000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39,000</w:t>
            </w: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Giant Food</w:t>
            </w: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Shops at Willow Lawn</w:t>
            </w: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w w:val="97"/>
              </w:rPr>
              <w:t>Richmond-Petersburg, VA</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1983</w:t>
            </w: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74,688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477,000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89%</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60,000</w:t>
            </w: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Kroger</w:t>
            </w: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Old Navy / Staples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b w:val="1"/>
                <w:bCs w:val="1"/>
                <w:color w:val="auto"/>
                <w:w w:val="94"/>
              </w:rPr>
              <w:t>Total East Region - Other</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203,897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1,763,000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Total East Region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2,485,848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16,981,000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West Region</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line="127" w:lineRule="exact"/>
              <w:rPr>
                <w:sz w:val="20"/>
                <w:szCs w:val="20"/>
                <w:color w:val="auto"/>
              </w:rPr>
            </w:pPr>
            <w:r>
              <w:rPr>
                <w:rFonts w:ascii="Arial" w:cs="Arial" w:eastAsia="Arial" w:hAnsi="Arial"/>
                <w:sz w:val="13"/>
                <w:szCs w:val="13"/>
                <w:b w:val="1"/>
                <w:bCs w:val="1"/>
                <w:color w:val="auto"/>
                <w:w w:val="93"/>
              </w:rPr>
              <w:t>California</w:t>
            </w: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CCEEFF"/>
            </w:tcBorders>
            <w:gridSpan w:val="4"/>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4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29" w:lineRule="exact"/>
              <w:rPr>
                <w:sz w:val="20"/>
                <w:szCs w:val="20"/>
                <w:color w:val="auto"/>
              </w:rPr>
            </w:pPr>
            <w:r>
              <w:rPr>
                <w:rFonts w:ascii="Arial" w:cs="Arial" w:eastAsia="Arial" w:hAnsi="Arial"/>
                <w:sz w:val="13"/>
                <w:szCs w:val="13"/>
                <w:color w:val="auto"/>
              </w:rPr>
              <w:t>Colorado Blvd</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Los Angeles-Long Beach,</w:t>
            </w:r>
          </w:p>
        </w:tc>
        <w:tc>
          <w:tcPr>
            <w:tcW w:w="6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90"/>
              </w:rPr>
              <w:t>1996-1998</w:t>
            </w:r>
          </w:p>
        </w:tc>
        <w:tc>
          <w:tcPr>
            <w:tcW w:w="8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16,695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69,000</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Pottery Barn / Banana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Crow Canyon</w:t>
            </w: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San Ramon, CA</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w w:val="90"/>
              </w:rPr>
              <w:t>2005-2007</w:t>
            </w: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63,664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21,854</w:t>
            </w:r>
          </w:p>
        </w:tc>
        <w:tc>
          <w:tcPr>
            <w:tcW w:w="76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242,000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95%</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58,000</w:t>
            </w: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Albertson’s</w:t>
            </w: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Escondido</w:t>
            </w:r>
          </w:p>
        </w:tc>
        <w:tc>
          <w:tcPr>
            <w:tcW w:w="5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(12)</w:t>
            </w: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San Diego, CA</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1996</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27,045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222,000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Cost Plus / TJ Maxx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Fifth Ave</w:t>
            </w:r>
          </w:p>
        </w:tc>
        <w:tc>
          <w:tcPr>
            <w:tcW w:w="560" w:type="dxa"/>
            <w:vAlign w:val="bottom"/>
          </w:tcPr>
          <w:p>
            <w:pPr>
              <w:jc w:val="right"/>
              <w:ind w:right="13"/>
              <w:spacing w:after="0" w:line="147" w:lineRule="exact"/>
              <w:rPr>
                <w:sz w:val="20"/>
                <w:szCs w:val="20"/>
                <w:color w:val="auto"/>
              </w:rPr>
            </w:pPr>
            <w:r>
              <w:rPr>
                <w:rFonts w:ascii="Arial" w:cs="Arial" w:eastAsia="Arial" w:hAnsi="Arial"/>
                <w:sz w:val="13"/>
                <w:szCs w:val="13"/>
                <w:color w:val="auto"/>
              </w:rPr>
              <w:t>(13)</w:t>
            </w: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San Diego, CA</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w w:val="90"/>
              </w:rPr>
              <w:t>1996-1997</w:t>
            </w: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12,698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right"/>
              <w:ind w:right="80"/>
              <w:spacing w:after="0" w:line="147" w:lineRule="exact"/>
              <w:rPr>
                <w:sz w:val="20"/>
                <w:szCs w:val="20"/>
                <w:color w:val="auto"/>
              </w:rPr>
            </w:pPr>
            <w:r>
              <w:rPr>
                <w:rFonts w:ascii="Arial" w:cs="Arial" w:eastAsia="Arial" w:hAnsi="Arial"/>
                <w:sz w:val="13"/>
                <w:szCs w:val="13"/>
                <w:color w:val="auto"/>
              </w:rPr>
              <w:t>51,000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84%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Hermosa Ave</w:t>
            </w:r>
          </w:p>
        </w:tc>
        <w:tc>
          <w:tcPr>
            <w:tcW w:w="5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(14)</w:t>
            </w: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w w:val="99"/>
              </w:rPr>
              <w:t>Los Angeles-Long Beach,</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1997</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4,721</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22,000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Hollywood Blvd</w:t>
            </w:r>
          </w:p>
        </w:tc>
        <w:tc>
          <w:tcPr>
            <w:tcW w:w="5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(14)</w:t>
            </w: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w w:val="99"/>
              </w:rPr>
              <w:t>Los Angeles-Long Beach,</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1999</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35,687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149,000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72%</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DSW / L.A. Fitness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CA</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color w:val="auto"/>
              </w:rPr>
              <w:t>Kings Court</w:t>
            </w:r>
          </w:p>
        </w:tc>
        <w:tc>
          <w:tcPr>
            <w:tcW w:w="560" w:type="dxa"/>
            <w:vAlign w:val="bottom"/>
            <w:shd w:val="clear" w:color="auto" w:fill="CCEEFF"/>
          </w:tcPr>
          <w:p>
            <w:pPr>
              <w:jc w:val="right"/>
              <w:ind w:right="13"/>
              <w:spacing w:after="0" w:line="147" w:lineRule="exact"/>
              <w:rPr>
                <w:sz w:val="20"/>
                <w:szCs w:val="20"/>
                <w:color w:val="auto"/>
              </w:rPr>
            </w:pPr>
            <w:r>
              <w:rPr>
                <w:rFonts w:ascii="Arial" w:cs="Arial" w:eastAsia="Arial" w:hAnsi="Arial"/>
                <w:sz w:val="13"/>
                <w:szCs w:val="13"/>
                <w:color w:val="auto"/>
              </w:rPr>
              <w:t>(6)</w:t>
            </w: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San Jose, CA</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1998</w:t>
            </w:r>
          </w:p>
        </w:tc>
        <w:tc>
          <w:tcPr>
            <w:tcW w:w="8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11,517</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79,000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25,000</w:t>
            </w:r>
          </w:p>
        </w:tc>
        <w:tc>
          <w:tcPr>
            <w:tcW w:w="12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93"/>
              </w:rPr>
              <w:t>Lunardi’s Super Market</w:t>
            </w: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Old Town Center</w:t>
            </w:r>
          </w:p>
        </w:tc>
        <w:tc>
          <w:tcPr>
            <w:tcW w:w="560" w:type="dxa"/>
            <w:vAlign w:val="bottom"/>
          </w:tcPr>
          <w:p>
            <w:pPr>
              <w:spacing w:after="0"/>
              <w:rPr>
                <w:sz w:val="11"/>
                <w:szCs w:val="11"/>
                <w:color w:val="auto"/>
              </w:rPr>
            </w:pP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1997</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33,390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94,000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Borders / Gap Kids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color w:val="auto"/>
              </w:rPr>
              <w:t>Banana Republic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Santana Row</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1997</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464,290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563,000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Crate &amp; Barrel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Container Store / Best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w w:val="97"/>
              </w:rPr>
              <w:t>Buy / Borders / CineArts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Theatre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tcPr>
          <w:p>
            <w:pPr>
              <w:spacing w:after="0" w:line="136" w:lineRule="exact"/>
              <w:rPr>
                <w:sz w:val="20"/>
                <w:szCs w:val="20"/>
                <w:color w:val="auto"/>
              </w:rPr>
            </w:pPr>
            <w:r>
              <w:rPr>
                <w:rFonts w:ascii="Arial" w:cs="Arial" w:eastAsia="Arial" w:hAnsi="Arial"/>
                <w:sz w:val="13"/>
                <w:szCs w:val="13"/>
                <w:color w:val="auto"/>
              </w:rPr>
              <w:t>Third St Promenade</w:t>
            </w:r>
          </w:p>
        </w:tc>
        <w:tc>
          <w:tcPr>
            <w:tcW w:w="5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(15)</w:t>
            </w:r>
          </w:p>
        </w:tc>
        <w:tc>
          <w:tcPr>
            <w:tcW w:w="1500" w:type="dxa"/>
            <w:vAlign w:val="bottom"/>
            <w:gridSpan w:val="2"/>
          </w:tcPr>
          <w:p>
            <w:pPr>
              <w:spacing w:after="0" w:line="136" w:lineRule="exact"/>
              <w:rPr>
                <w:sz w:val="20"/>
                <w:szCs w:val="20"/>
                <w:color w:val="auto"/>
              </w:rPr>
            </w:pPr>
            <w:r>
              <w:rPr>
                <w:rFonts w:ascii="Arial" w:cs="Arial" w:eastAsia="Arial" w:hAnsi="Arial"/>
                <w:sz w:val="13"/>
                <w:szCs w:val="13"/>
                <w:color w:val="auto"/>
                <w:w w:val="99"/>
              </w:rPr>
              <w:t>Los Angeles-Long Beach,</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w w:val="90"/>
              </w:rPr>
              <w:t>1996-2000</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74,071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211,000</w:t>
            </w: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J. Crew / Banana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CA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Republic / Old Navy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color w:val="auto"/>
              </w:rPr>
              <w:t>Abercrombie &amp; Fitch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Westgate</w:t>
            </w:r>
          </w:p>
        </w:tc>
        <w:tc>
          <w:tcPr>
            <w:tcW w:w="5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2004</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115,632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645,000</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38,000</w:t>
            </w:r>
          </w:p>
        </w:tc>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Safeway</w:t>
            </w:r>
          </w:p>
        </w:tc>
        <w:tc>
          <w:tcPr>
            <w:tcW w:w="14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8"/>
              </w:rPr>
              <w:t>Target / Burlington Coat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w w:val="93"/>
              </w:rPr>
              <w:t>Factory / Barnes &amp; Noble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Ross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20" w:type="dxa"/>
            <w:vAlign w:val="bottom"/>
            <w:gridSpan w:val="7"/>
          </w:tcPr>
          <w:p>
            <w:pPr>
              <w:spacing w:after="0" w:line="147" w:lineRule="exact"/>
              <w:rPr>
                <w:sz w:val="20"/>
                <w:szCs w:val="20"/>
                <w:color w:val="auto"/>
              </w:rPr>
            </w:pPr>
            <w:r>
              <w:rPr>
                <w:rFonts w:ascii="Arial" w:cs="Arial" w:eastAsia="Arial" w:hAnsi="Arial"/>
                <w:sz w:val="13"/>
                <w:szCs w:val="13"/>
                <w:color w:val="auto"/>
              </w:rPr>
              <w:t>150 Post Street</w:t>
            </w: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color w:val="auto"/>
              </w:rPr>
              <w:t>San Francisco, CA</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1997</w:t>
            </w: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36,228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103,000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Brooks Brothers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Total California</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895,638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2,450,000</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Borders>
              <w:bottom w:val="single" w:sz="8" w:color="auto"/>
            </w:tcBorders>
            <w:gridSpan w:val="6"/>
          </w:tcPr>
          <w:p>
            <w:pPr>
              <w:spacing w:after="0" w:line="134" w:lineRule="exact"/>
              <w:rPr>
                <w:sz w:val="20"/>
                <w:szCs w:val="20"/>
                <w:color w:val="auto"/>
              </w:rPr>
            </w:pPr>
            <w:r>
              <w:rPr>
                <w:rFonts w:ascii="Arial" w:cs="Arial" w:eastAsia="Arial" w:hAnsi="Arial"/>
                <w:sz w:val="13"/>
                <w:szCs w:val="13"/>
                <w:b w:val="1"/>
                <w:bCs w:val="1"/>
                <w:color w:val="auto"/>
                <w:w w:val="91"/>
              </w:rPr>
              <w:t>West Region - Other</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20" w:type="dxa"/>
            <w:vAlign w:val="bottom"/>
            <w:gridSpan w:val="7"/>
            <w:shd w:val="clear" w:color="auto" w:fill="CCEEFF"/>
          </w:tcPr>
          <w:p>
            <w:pPr>
              <w:spacing w:after="0" w:line="140" w:lineRule="exact"/>
              <w:rPr>
                <w:sz w:val="20"/>
                <w:szCs w:val="20"/>
                <w:color w:val="auto"/>
              </w:rPr>
            </w:pPr>
            <w:r>
              <w:rPr>
                <w:rFonts w:ascii="Arial" w:cs="Arial" w:eastAsia="Arial" w:hAnsi="Arial"/>
                <w:sz w:val="13"/>
                <w:szCs w:val="13"/>
                <w:color w:val="auto"/>
              </w:rPr>
              <w:t>Houston St</w:t>
            </w:r>
          </w:p>
        </w:tc>
        <w:tc>
          <w:tcPr>
            <w:tcW w:w="5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San Antonio, TX</w:t>
            </w:r>
          </w:p>
        </w:tc>
        <w:tc>
          <w:tcPr>
            <w:tcW w:w="6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1998</w:t>
            </w:r>
          </w:p>
        </w:tc>
        <w:tc>
          <w:tcPr>
            <w:tcW w:w="86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61,835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86</w:t>
            </w:r>
          </w:p>
        </w:tc>
        <w:tc>
          <w:tcPr>
            <w:tcW w:w="760" w:type="dxa"/>
            <w:vAlign w:val="bottom"/>
            <w:gridSpan w:val="3"/>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176,000</w:t>
            </w:r>
          </w:p>
        </w:tc>
        <w:tc>
          <w:tcPr>
            <w:tcW w:w="8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73%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Total West Region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957,473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2,626,000</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120" w:type="dxa"/>
            <w:vAlign w:val="bottom"/>
            <w:gridSpan w:val="7"/>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Grand Total</w:t>
            </w: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rPr>
              <w:t>$   3,443,321</w:t>
            </w: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line="147"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rPr>
              <w:t>532,365</w:t>
            </w:r>
          </w:p>
        </w:tc>
        <w:tc>
          <w:tcPr>
            <w:tcW w:w="76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3"/>
                <w:szCs w:val="13"/>
                <w:b w:val="1"/>
                <w:bCs w:val="1"/>
                <w:color w:val="auto"/>
              </w:rPr>
              <w:t>19,607,000</w:t>
            </w: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b w:val="1"/>
                <w:bCs w:val="1"/>
                <w:color w:val="auto"/>
              </w:rPr>
              <w:t>97%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right="240" w:hanging="453"/>
        <w:spacing w:after="0" w:line="261"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mortgage payables.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29" w:lineRule="exact"/>
        <w:rPr>
          <w:rFonts w:ascii="Arial" w:cs="Arial" w:eastAsia="Arial" w:hAnsi="Arial"/>
          <w:sz w:val="16"/>
          <w:szCs w:val="16"/>
          <w:color w:val="auto"/>
        </w:rPr>
      </w:pPr>
    </w:p>
    <w:p>
      <w:pPr>
        <w:ind w:left="460" w:right="320" w:hanging="453"/>
        <w:spacing w:after="0" w:line="261"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7" w:lineRule="exact"/>
        <w:rPr>
          <w:rFonts w:ascii="Arial" w:cs="Arial" w:eastAsia="Arial" w:hAnsi="Arial"/>
          <w:sz w:val="17"/>
          <w:szCs w:val="17"/>
          <w:color w:val="auto"/>
        </w:rPr>
      </w:pPr>
    </w:p>
    <w:p>
      <w:pPr>
        <w:ind w:left="460" w:right="520" w:hanging="453"/>
        <w:spacing w:after="0" w:line="27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was sold on April 5, 2007.</w:t>
      </w:r>
    </w:p>
    <w:p>
      <w:pPr>
        <w:spacing w:after="0" w:line="17" w:lineRule="exact"/>
        <w:rPr>
          <w:rFonts w:ascii="Arial" w:cs="Arial" w:eastAsia="Arial" w:hAnsi="Arial"/>
          <w:sz w:val="17"/>
          <w:szCs w:val="17"/>
          <w:color w:val="auto"/>
        </w:rPr>
      </w:pPr>
    </w:p>
    <w:p>
      <w:pPr>
        <w:ind w:left="460" w:right="200" w:hanging="453"/>
        <w:spacing w:after="0" w:line="261"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preliminary allocation of the purchase price has been made and will be finalized after various valuation studies are complete.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four properties, three owned 100% by the Trust and one in which the Trust has a 90% ownership interest.</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nine properties, eight owned 100% by the Trust and one in which the Trust has a 90% ownership interest.</w:t>
      </w:r>
    </w:p>
    <w:p>
      <w:pPr>
        <w:sectPr>
          <w:pgSz w:w="11900" w:h="16838" w:orient="portrait"/>
          <w:cols w:equalWidth="0" w:num="1">
            <w:col w:w="11420"/>
          </w:cols>
          <w:pgMar w:left="240" w:top="272" w:right="239" w:bottom="311"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gridSpan w:val="10"/>
          </w:tcPr>
          <w:p>
            <w:pPr>
              <w:spacing w:after="0"/>
              <w:rPr>
                <w:sz w:val="20"/>
                <w:szCs w:val="20"/>
                <w:color w:val="auto"/>
              </w:rPr>
            </w:pPr>
            <w:r>
              <w:rPr>
                <w:rFonts w:ascii="Arial" w:cs="Arial" w:eastAsia="Arial" w:hAnsi="Arial"/>
                <w:sz w:val="13"/>
                <w:szCs w:val="13"/>
                <w:b w:val="1"/>
                <w:bCs w:val="1"/>
                <w:color w:val="auto"/>
              </w:rPr>
              <w:t>Total Lease Summary - Comparable (2)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Cash Basis</w:t>
            </w:r>
          </w:p>
        </w:tc>
        <w:tc>
          <w:tcPr>
            <w:tcW w:w="11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Straight-lined</w:t>
            </w:r>
          </w:p>
        </w:tc>
        <w:tc>
          <w:tcPr>
            <w:tcW w:w="88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Tenant</w:t>
            </w:r>
          </w:p>
        </w:tc>
        <w:tc>
          <w:tcPr>
            <w:tcW w:w="84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5"/>
              </w:rPr>
              <w:t>Number of</w:t>
            </w:r>
          </w:p>
        </w:tc>
        <w:tc>
          <w:tcPr>
            <w:tcW w:w="1180" w:type="dxa"/>
            <w:vAlign w:val="bottom"/>
            <w:gridSpan w:val="5"/>
          </w:tcPr>
          <w:p>
            <w:pPr>
              <w:jc w:val="center"/>
              <w:ind w:right="160"/>
              <w:spacing w:after="0" w:line="147" w:lineRule="exact"/>
              <w:rPr>
                <w:sz w:val="20"/>
                <w:szCs w:val="20"/>
                <w:color w:val="auto"/>
              </w:rPr>
            </w:pPr>
            <w:r>
              <w:rPr>
                <w:rFonts w:ascii="Arial" w:cs="Arial" w:eastAsia="Arial" w:hAnsi="Arial"/>
                <w:sz w:val="13"/>
                <w:szCs w:val="13"/>
                <w:b w:val="1"/>
                <w:bCs w:val="1"/>
                <w:color w:val="auto"/>
                <w:w w:val="96"/>
              </w:rPr>
              <w:t>% of Comparable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4"/>
              </w:rPr>
              <w:t>Rent (3)</w:t>
            </w:r>
          </w:p>
        </w:tc>
        <w:tc>
          <w:tcPr>
            <w:tcW w:w="94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7"/>
              </w:rPr>
              <w:t>Prior 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5"/>
              </w:rPr>
              <w:t>Annual</w:t>
            </w:r>
          </w:p>
        </w:tc>
        <w:tc>
          <w:tcPr>
            <w:tcW w:w="1080" w:type="dxa"/>
            <w:vAlign w:val="bottom"/>
            <w:gridSpan w:val="2"/>
          </w:tcPr>
          <w:p>
            <w:pPr>
              <w:ind w:left="140"/>
              <w:spacing w:after="0" w:line="147" w:lineRule="exact"/>
              <w:rPr>
                <w:sz w:val="20"/>
                <w:szCs w:val="20"/>
                <w:color w:val="auto"/>
              </w:rPr>
            </w:pPr>
            <w:r>
              <w:rPr>
                <w:rFonts w:ascii="Arial" w:cs="Arial" w:eastAsia="Arial" w:hAnsi="Arial"/>
                <w:sz w:val="13"/>
                <w:szCs w:val="13"/>
                <w:b w:val="1"/>
                <w:bCs w:val="1"/>
                <w:color w:val="auto"/>
              </w:rPr>
              <w:t>% Increase</w:t>
            </w: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0"/>
              </w:rPr>
              <w:t>Basis % Increase</w:t>
            </w:r>
          </w:p>
        </w:tc>
        <w:tc>
          <w:tcPr>
            <w:tcW w:w="880" w:type="dxa"/>
            <w:vAlign w:val="bottom"/>
            <w:gridSpan w:val="2"/>
          </w:tcPr>
          <w:p>
            <w:pPr>
              <w:jc w:val="center"/>
              <w:ind w:right="40"/>
              <w:spacing w:after="0" w:line="147" w:lineRule="exact"/>
              <w:rPr>
                <w:sz w:val="20"/>
                <w:szCs w:val="20"/>
                <w:color w:val="auto"/>
              </w:rPr>
            </w:pPr>
            <w:r>
              <w:rPr>
                <w:rFonts w:ascii="Arial" w:cs="Arial" w:eastAsia="Arial" w:hAnsi="Arial"/>
                <w:sz w:val="13"/>
                <w:szCs w:val="13"/>
                <w:b w:val="1"/>
                <w:bCs w:val="1"/>
                <w:color w:val="auto"/>
                <w:w w:val="93"/>
              </w:rPr>
              <w:t>Average</w:t>
            </w:r>
          </w:p>
        </w:tc>
        <w:tc>
          <w:tcPr>
            <w:tcW w:w="96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2"/>
              </w:rPr>
              <w:t>Improvements</w:t>
            </w:r>
          </w:p>
        </w:tc>
        <w:tc>
          <w:tcPr>
            <w:tcW w:w="840" w:type="dxa"/>
            <w:vAlign w:val="bottom"/>
            <w:gridSpan w:val="2"/>
          </w:tcPr>
          <w:p>
            <w:pPr>
              <w:jc w:val="center"/>
              <w:spacing w:after="0" w:line="147"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9"/>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Leases Signed</w:t>
            </w:r>
          </w:p>
        </w:tc>
        <w:tc>
          <w:tcPr>
            <w:tcW w:w="11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Leases Signed</w:t>
            </w: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6"/>
              </w:rPr>
              <w:t>GLA Signed</w:t>
            </w: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2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Over Prior Rent</w:t>
            </w:r>
          </w:p>
        </w:tc>
        <w:tc>
          <w:tcPr>
            <w:tcW w:w="18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2"/>
              </w:rPr>
              <w:t>Lease Term (5) &amp; Incentives (6)</w:t>
            </w:r>
          </w:p>
        </w:tc>
        <w:tc>
          <w:tcPr>
            <w:tcW w:w="100" w:type="dxa"/>
            <w:vAlign w:val="bottom"/>
          </w:tcPr>
          <w:p>
            <w:pPr>
              <w:spacing w:after="0"/>
              <w:rPr>
                <w:sz w:val="13"/>
                <w:szCs w:val="13"/>
                <w:color w:val="auto"/>
              </w:rPr>
            </w:pP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2"/>
              </w:rPr>
              <w:t>1st Quarter 2007</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81</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333,563</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29.18</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24.59</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1,532,269</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19%</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30%</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6.3</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2,988,801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91"/>
              </w:rPr>
              <w:t>4th Quarter 2006</w:t>
            </w:r>
          </w:p>
        </w:tc>
        <w:tc>
          <w:tcPr>
            <w:tcW w:w="88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75</w:t>
            </w: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304,036</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26.72</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22.80</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1,192,428</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17%</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30%</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6.0</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985,306</w:t>
            </w:r>
          </w:p>
        </w:tc>
        <w:tc>
          <w:tcPr>
            <w:tcW w:w="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0"/>
              </w:rPr>
              <w:t>3rd Quarter 2006</w:t>
            </w:r>
          </w:p>
        </w:tc>
        <w:tc>
          <w:tcPr>
            <w:tcW w:w="88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58</w:t>
            </w: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332,200</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20.02</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16.25</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1,251,137</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23%</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36%</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9.7</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4,182,700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88"/>
              </w:rPr>
              <w:t>2nd Quarter 2006</w:t>
            </w:r>
          </w:p>
        </w:tc>
        <w:tc>
          <w:tcPr>
            <w:tcW w:w="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60</w:t>
            </w:r>
          </w:p>
        </w:tc>
        <w:tc>
          <w:tcPr>
            <w:tcW w:w="40" w:type="dxa"/>
            <w:vAlign w:val="bottom"/>
          </w:tcPr>
          <w:p>
            <w:pPr>
              <w:spacing w:after="0"/>
              <w:rPr>
                <w:sz w:val="12"/>
                <w:szCs w:val="12"/>
                <w:color w:val="auto"/>
              </w:rPr>
            </w:pP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275,764</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24.40</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20.90</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966,200</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17%</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25%</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6.7</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2,189,643</w:t>
            </w:r>
          </w:p>
        </w:tc>
        <w:tc>
          <w:tcPr>
            <w:tcW w:w="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88"/>
              </w:rPr>
              <w:t>Total - 12 months</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274</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1,245,563</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25.08</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21.11</w:t>
            </w: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4,942,034</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19%</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30%</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7.0</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10,346,450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020" w:type="dxa"/>
            <w:vAlign w:val="bottom"/>
            <w:gridSpan w:val="10"/>
          </w:tcPr>
          <w:p>
            <w:pPr>
              <w:spacing w:after="0"/>
              <w:rPr>
                <w:sz w:val="20"/>
                <w:szCs w:val="20"/>
                <w:color w:val="auto"/>
              </w:rPr>
            </w:pPr>
            <w:r>
              <w:rPr>
                <w:rFonts w:ascii="Arial" w:cs="Arial" w:eastAsia="Arial" w:hAnsi="Arial"/>
                <w:sz w:val="13"/>
                <w:szCs w:val="13"/>
                <w:b w:val="1"/>
                <w:bCs w:val="1"/>
                <w:color w:val="auto"/>
              </w:rPr>
              <w:t>New Lease Summary - Comparable (2)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Cash Basis</w:t>
            </w:r>
          </w:p>
        </w:tc>
        <w:tc>
          <w:tcPr>
            <w:tcW w:w="11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Straight-lined</w:t>
            </w:r>
          </w:p>
        </w:tc>
        <w:tc>
          <w:tcPr>
            <w:tcW w:w="88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Tenant</w:t>
            </w:r>
          </w:p>
        </w:tc>
        <w:tc>
          <w:tcPr>
            <w:tcW w:w="84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5"/>
              </w:rPr>
              <w:t>Number of</w:t>
            </w:r>
          </w:p>
        </w:tc>
        <w:tc>
          <w:tcPr>
            <w:tcW w:w="1180" w:type="dxa"/>
            <w:vAlign w:val="bottom"/>
            <w:gridSpan w:val="5"/>
          </w:tcPr>
          <w:p>
            <w:pPr>
              <w:jc w:val="center"/>
              <w:ind w:right="160"/>
              <w:spacing w:after="0" w:line="147" w:lineRule="exact"/>
              <w:rPr>
                <w:sz w:val="20"/>
                <w:szCs w:val="20"/>
                <w:color w:val="auto"/>
              </w:rPr>
            </w:pPr>
            <w:r>
              <w:rPr>
                <w:rFonts w:ascii="Arial" w:cs="Arial" w:eastAsia="Arial" w:hAnsi="Arial"/>
                <w:sz w:val="13"/>
                <w:szCs w:val="13"/>
                <w:b w:val="1"/>
                <w:bCs w:val="1"/>
                <w:color w:val="auto"/>
                <w:w w:val="96"/>
              </w:rPr>
              <w:t>% of Comparable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4"/>
              </w:rPr>
              <w:t>Rent (3)</w:t>
            </w:r>
          </w:p>
        </w:tc>
        <w:tc>
          <w:tcPr>
            <w:tcW w:w="94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7"/>
              </w:rPr>
              <w:t>Prior 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5"/>
              </w:rPr>
              <w:t>Annual</w:t>
            </w:r>
          </w:p>
        </w:tc>
        <w:tc>
          <w:tcPr>
            <w:tcW w:w="1080" w:type="dxa"/>
            <w:vAlign w:val="bottom"/>
            <w:gridSpan w:val="2"/>
          </w:tcPr>
          <w:p>
            <w:pPr>
              <w:ind w:left="140"/>
              <w:spacing w:after="0" w:line="147" w:lineRule="exact"/>
              <w:rPr>
                <w:sz w:val="20"/>
                <w:szCs w:val="20"/>
                <w:color w:val="auto"/>
              </w:rPr>
            </w:pPr>
            <w:r>
              <w:rPr>
                <w:rFonts w:ascii="Arial" w:cs="Arial" w:eastAsia="Arial" w:hAnsi="Arial"/>
                <w:sz w:val="13"/>
                <w:szCs w:val="13"/>
                <w:b w:val="1"/>
                <w:bCs w:val="1"/>
                <w:color w:val="auto"/>
              </w:rPr>
              <w:t>% Increase</w:t>
            </w: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0"/>
              </w:rPr>
              <w:t>Basis % Increase</w:t>
            </w:r>
          </w:p>
        </w:tc>
        <w:tc>
          <w:tcPr>
            <w:tcW w:w="880" w:type="dxa"/>
            <w:vAlign w:val="bottom"/>
            <w:gridSpan w:val="2"/>
          </w:tcPr>
          <w:p>
            <w:pPr>
              <w:jc w:val="center"/>
              <w:ind w:right="40"/>
              <w:spacing w:after="0" w:line="147" w:lineRule="exact"/>
              <w:rPr>
                <w:sz w:val="20"/>
                <w:szCs w:val="20"/>
                <w:color w:val="auto"/>
              </w:rPr>
            </w:pPr>
            <w:r>
              <w:rPr>
                <w:rFonts w:ascii="Arial" w:cs="Arial" w:eastAsia="Arial" w:hAnsi="Arial"/>
                <w:sz w:val="13"/>
                <w:szCs w:val="13"/>
                <w:b w:val="1"/>
                <w:bCs w:val="1"/>
                <w:color w:val="auto"/>
                <w:w w:val="93"/>
              </w:rPr>
              <w:t>Average</w:t>
            </w:r>
          </w:p>
        </w:tc>
        <w:tc>
          <w:tcPr>
            <w:tcW w:w="96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2"/>
              </w:rPr>
              <w:t>Improvements</w:t>
            </w:r>
          </w:p>
        </w:tc>
        <w:tc>
          <w:tcPr>
            <w:tcW w:w="840" w:type="dxa"/>
            <w:vAlign w:val="bottom"/>
            <w:gridSpan w:val="2"/>
          </w:tcPr>
          <w:p>
            <w:pPr>
              <w:jc w:val="center"/>
              <w:spacing w:after="0" w:line="147"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9"/>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Leases Signed</w:t>
            </w:r>
          </w:p>
        </w:tc>
        <w:tc>
          <w:tcPr>
            <w:tcW w:w="11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Leases Signed</w:t>
            </w: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6"/>
              </w:rPr>
              <w:t>GLA Signed</w:t>
            </w: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2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Over Prior Rent</w:t>
            </w:r>
          </w:p>
        </w:tc>
        <w:tc>
          <w:tcPr>
            <w:tcW w:w="18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2"/>
              </w:rPr>
              <w:t>Lease Term (5) &amp; Incentives (6)</w:t>
            </w:r>
          </w:p>
        </w:tc>
        <w:tc>
          <w:tcPr>
            <w:tcW w:w="100" w:type="dxa"/>
            <w:vAlign w:val="bottom"/>
          </w:tcPr>
          <w:p>
            <w:pPr>
              <w:spacing w:after="0"/>
              <w:rPr>
                <w:sz w:val="13"/>
                <w:szCs w:val="13"/>
                <w:color w:val="auto"/>
              </w:rPr>
            </w:pP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2"/>
              </w:rPr>
              <w:t>1st Quarter 2007</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160,286</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32.46</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26.23</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997,918</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24%</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33%</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8.2</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2,937,651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91"/>
              </w:rPr>
              <w:t>4th Quarter 2006</w:t>
            </w:r>
          </w:p>
        </w:tc>
        <w:tc>
          <w:tcPr>
            <w:tcW w:w="88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23</w:t>
            </w: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99,787</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25.58</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21.73</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383,822</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18%</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32%</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8.5</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973,406</w:t>
            </w:r>
          </w:p>
        </w:tc>
        <w:tc>
          <w:tcPr>
            <w:tcW w:w="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0"/>
              </w:rPr>
              <w:t>3rd Quarter 2006</w:t>
            </w:r>
          </w:p>
        </w:tc>
        <w:tc>
          <w:tcPr>
            <w:tcW w:w="88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30</w:t>
            </w: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232,845</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19.21</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14.84</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1,016,796</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29%</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41%</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11.9</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4,182,700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17.96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88"/>
              </w:rPr>
              <w:t>2nd Quarter 2006</w:t>
            </w:r>
          </w:p>
        </w:tc>
        <w:tc>
          <w:tcPr>
            <w:tcW w:w="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2"/>
                <w:szCs w:val="12"/>
                <w:color w:val="auto"/>
              </w:rPr>
            </w:pP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123,652</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22.18</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18.28</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483,059</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21%</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32%</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7.8</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2,089,643</w:t>
            </w:r>
          </w:p>
        </w:tc>
        <w:tc>
          <w:tcPr>
            <w:tcW w:w="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88"/>
              </w:rPr>
              <w:t>Total - 12 months</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616,570</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24.28</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19.61</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2,881,595</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24%</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35%</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10,183,400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020" w:type="dxa"/>
            <w:vAlign w:val="bottom"/>
            <w:gridSpan w:val="10"/>
          </w:tcPr>
          <w:p>
            <w:pPr>
              <w:spacing w:after="0"/>
              <w:rPr>
                <w:sz w:val="20"/>
                <w:szCs w:val="20"/>
                <w:color w:val="auto"/>
              </w:rPr>
            </w:pPr>
            <w:r>
              <w:rPr>
                <w:rFonts w:ascii="Arial" w:cs="Arial" w:eastAsia="Arial" w:hAnsi="Arial"/>
                <w:sz w:val="13"/>
                <w:szCs w:val="13"/>
                <w:b w:val="1"/>
                <w:bCs w:val="1"/>
                <w:color w:val="auto"/>
              </w:rPr>
              <w:t>Renewal Lease Summary - Comparable (2) (7)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Cash Basis</w:t>
            </w:r>
          </w:p>
        </w:tc>
        <w:tc>
          <w:tcPr>
            <w:tcW w:w="11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Straight-lined</w:t>
            </w:r>
          </w:p>
        </w:tc>
        <w:tc>
          <w:tcPr>
            <w:tcW w:w="88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Tenant</w:t>
            </w:r>
          </w:p>
        </w:tc>
        <w:tc>
          <w:tcPr>
            <w:tcW w:w="84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5"/>
              </w:rPr>
              <w:t>Number of</w:t>
            </w:r>
          </w:p>
        </w:tc>
        <w:tc>
          <w:tcPr>
            <w:tcW w:w="1180" w:type="dxa"/>
            <w:vAlign w:val="bottom"/>
            <w:gridSpan w:val="5"/>
          </w:tcPr>
          <w:p>
            <w:pPr>
              <w:jc w:val="center"/>
              <w:ind w:right="160"/>
              <w:spacing w:after="0" w:line="147" w:lineRule="exact"/>
              <w:rPr>
                <w:sz w:val="20"/>
                <w:szCs w:val="20"/>
                <w:color w:val="auto"/>
              </w:rPr>
            </w:pPr>
            <w:r>
              <w:rPr>
                <w:rFonts w:ascii="Arial" w:cs="Arial" w:eastAsia="Arial" w:hAnsi="Arial"/>
                <w:sz w:val="13"/>
                <w:szCs w:val="13"/>
                <w:b w:val="1"/>
                <w:bCs w:val="1"/>
                <w:color w:val="auto"/>
                <w:w w:val="96"/>
              </w:rPr>
              <w:t>% of Comparable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4"/>
              </w:rPr>
              <w:t>Rent (3)</w:t>
            </w:r>
          </w:p>
        </w:tc>
        <w:tc>
          <w:tcPr>
            <w:tcW w:w="94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7"/>
              </w:rPr>
              <w:t>Prior 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5"/>
              </w:rPr>
              <w:t>Annual</w:t>
            </w:r>
          </w:p>
        </w:tc>
        <w:tc>
          <w:tcPr>
            <w:tcW w:w="1080" w:type="dxa"/>
            <w:vAlign w:val="bottom"/>
            <w:gridSpan w:val="2"/>
          </w:tcPr>
          <w:p>
            <w:pPr>
              <w:ind w:left="140"/>
              <w:spacing w:after="0" w:line="147" w:lineRule="exact"/>
              <w:rPr>
                <w:sz w:val="20"/>
                <w:szCs w:val="20"/>
                <w:color w:val="auto"/>
              </w:rPr>
            </w:pPr>
            <w:r>
              <w:rPr>
                <w:rFonts w:ascii="Arial" w:cs="Arial" w:eastAsia="Arial" w:hAnsi="Arial"/>
                <w:sz w:val="13"/>
                <w:szCs w:val="13"/>
                <w:b w:val="1"/>
                <w:bCs w:val="1"/>
                <w:color w:val="auto"/>
              </w:rPr>
              <w:t>% Increase</w:t>
            </w: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0"/>
              </w:rPr>
              <w:t>Basis % Increase</w:t>
            </w:r>
          </w:p>
        </w:tc>
        <w:tc>
          <w:tcPr>
            <w:tcW w:w="880" w:type="dxa"/>
            <w:vAlign w:val="bottom"/>
            <w:gridSpan w:val="2"/>
          </w:tcPr>
          <w:p>
            <w:pPr>
              <w:jc w:val="center"/>
              <w:ind w:right="40"/>
              <w:spacing w:after="0" w:line="147" w:lineRule="exact"/>
              <w:rPr>
                <w:sz w:val="20"/>
                <w:szCs w:val="20"/>
                <w:color w:val="auto"/>
              </w:rPr>
            </w:pPr>
            <w:r>
              <w:rPr>
                <w:rFonts w:ascii="Arial" w:cs="Arial" w:eastAsia="Arial" w:hAnsi="Arial"/>
                <w:sz w:val="13"/>
                <w:szCs w:val="13"/>
                <w:b w:val="1"/>
                <w:bCs w:val="1"/>
                <w:color w:val="auto"/>
                <w:w w:val="93"/>
              </w:rPr>
              <w:t>Average</w:t>
            </w:r>
          </w:p>
        </w:tc>
        <w:tc>
          <w:tcPr>
            <w:tcW w:w="96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2"/>
              </w:rPr>
              <w:t>Improvements</w:t>
            </w:r>
          </w:p>
        </w:tc>
        <w:tc>
          <w:tcPr>
            <w:tcW w:w="840" w:type="dxa"/>
            <w:vAlign w:val="bottom"/>
            <w:gridSpan w:val="2"/>
          </w:tcPr>
          <w:p>
            <w:pPr>
              <w:jc w:val="center"/>
              <w:spacing w:after="0" w:line="147"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9"/>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Leases Signed</w:t>
            </w:r>
          </w:p>
        </w:tc>
        <w:tc>
          <w:tcPr>
            <w:tcW w:w="11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Leases Signed</w:t>
            </w: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6"/>
              </w:rPr>
              <w:t>GLA Signed</w:t>
            </w: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20" w:type="dxa"/>
            <w:vAlign w:val="bottom"/>
          </w:tcPr>
          <w:p>
            <w:pPr>
              <w:spacing w:after="0"/>
              <w:rPr>
                <w:sz w:val="13"/>
                <w:szCs w:val="13"/>
                <w:color w:val="auto"/>
              </w:rPr>
            </w:pPr>
          </w:p>
        </w:tc>
        <w:tc>
          <w:tcPr>
            <w:tcW w:w="206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Over Prior Rent</w:t>
            </w:r>
          </w:p>
        </w:tc>
        <w:tc>
          <w:tcPr>
            <w:tcW w:w="18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2"/>
              </w:rPr>
              <w:t>Lease Term (5) &amp; Incentives (6)</w:t>
            </w:r>
          </w:p>
        </w:tc>
        <w:tc>
          <w:tcPr>
            <w:tcW w:w="100" w:type="dxa"/>
            <w:vAlign w:val="bottom"/>
          </w:tcPr>
          <w:p>
            <w:pPr>
              <w:spacing w:after="0"/>
              <w:rPr>
                <w:sz w:val="13"/>
                <w:szCs w:val="13"/>
                <w:color w:val="auto"/>
              </w:rPr>
            </w:pP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2"/>
              </w:rPr>
              <w:t>1st Quarter 2007</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173,277</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26.15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23.06</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534,351</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13%</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27%</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4.2</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51,150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91"/>
              </w:rPr>
              <w:t>4th Quarter 2006</w:t>
            </w:r>
          </w:p>
        </w:tc>
        <w:tc>
          <w:tcPr>
            <w:tcW w:w="88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52</w:t>
            </w: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204,249</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27.28</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23.33</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808,606</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17%</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29%</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4.9</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11,900</w:t>
            </w: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0"/>
              </w:rPr>
              <w:t>3rd Quarter 2006</w:t>
            </w:r>
          </w:p>
        </w:tc>
        <w:tc>
          <w:tcPr>
            <w:tcW w:w="88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28</w:t>
            </w: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99,355</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21.92</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19.56</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234,341</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12%</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27%</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5.2</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88"/>
              </w:rPr>
              <w:t>2nd Quarter 2006</w:t>
            </w:r>
          </w:p>
        </w:tc>
        <w:tc>
          <w:tcPr>
            <w:tcW w:w="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2"/>
                <w:szCs w:val="12"/>
                <w:color w:val="auto"/>
              </w:rPr>
            </w:pPr>
          </w:p>
        </w:tc>
        <w:tc>
          <w:tcPr>
            <w:tcW w:w="1180" w:type="dxa"/>
            <w:vAlign w:val="bottom"/>
            <w:gridSpan w:val="5"/>
          </w:tcPr>
          <w:p>
            <w:pPr>
              <w:jc w:val="right"/>
              <w:ind w:right="40"/>
              <w:spacing w:after="0" w:line="147"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152,112</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26.21</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23.03</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483,141</w:t>
            </w:r>
          </w:p>
        </w:tc>
        <w:tc>
          <w:tcPr>
            <w:tcW w:w="40" w:type="dxa"/>
            <w:vAlign w:val="bottom"/>
          </w:tcPr>
          <w:p>
            <w:pPr>
              <w:spacing w:after="0"/>
              <w:rPr>
                <w:sz w:val="12"/>
                <w:szCs w:val="12"/>
                <w:color w:val="auto"/>
              </w:rPr>
            </w:pP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14%</w:t>
            </w:r>
          </w:p>
        </w:tc>
        <w:tc>
          <w:tcPr>
            <w:tcW w:w="11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21%</w:t>
            </w:r>
          </w:p>
        </w:tc>
        <w:tc>
          <w:tcPr>
            <w:tcW w:w="8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6.0</w:t>
            </w:r>
          </w:p>
        </w:tc>
        <w:tc>
          <w:tcPr>
            <w:tcW w:w="18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100,000</w:t>
            </w:r>
          </w:p>
        </w:tc>
        <w:tc>
          <w:tcPr>
            <w:tcW w:w="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88"/>
              </w:rPr>
              <w:t>Total - 12 months</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159</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628,993</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25.86</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22.59</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2,060,439</w:t>
            </w: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15%</w:t>
            </w:r>
          </w:p>
        </w:tc>
        <w:tc>
          <w:tcPr>
            <w:tcW w:w="11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26%</w:t>
            </w:r>
          </w:p>
        </w:tc>
        <w:tc>
          <w:tcPr>
            <w:tcW w:w="8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5.0</w:t>
            </w:r>
          </w:p>
        </w:tc>
        <w:tc>
          <w:tcPr>
            <w:tcW w:w="180" w:type="dxa"/>
            <w:vAlign w:val="bottom"/>
            <w:shd w:val="clear" w:color="auto" w:fill="CCEEFF"/>
          </w:tcPr>
          <w:p>
            <w:pPr>
              <w:jc w:val="right"/>
              <w:ind w:right="33"/>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163,050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760" w:type="dxa"/>
            <w:vAlign w:val="bottom"/>
            <w:gridSpan w:val="14"/>
          </w:tcPr>
          <w:p>
            <w:pPr>
              <w:spacing w:after="0"/>
              <w:rPr>
                <w:sz w:val="20"/>
                <w:szCs w:val="20"/>
                <w:color w:val="auto"/>
              </w:rPr>
            </w:pPr>
            <w:r>
              <w:rPr>
                <w:rFonts w:ascii="Arial" w:cs="Arial" w:eastAsia="Arial" w:hAnsi="Arial"/>
                <w:sz w:val="13"/>
                <w:szCs w:val="13"/>
                <w:b w:val="1"/>
                <w:bCs w:val="1"/>
                <w:color w:val="auto"/>
              </w:rPr>
              <w:t>Total Lease Summary - Comparable and Non-comparable (2)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Tenant</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3"/>
              </w:rPr>
              <w:t>Tenant</w:t>
            </w:r>
          </w:p>
        </w:tc>
        <w:tc>
          <w:tcPr>
            <w:tcW w:w="20" w:type="dxa"/>
            <w:vAlign w:val="bottom"/>
          </w:tcPr>
          <w:p>
            <w:pPr>
              <w:spacing w:after="0"/>
              <w:rPr>
                <w:sz w:val="11"/>
                <w:szCs w:val="11"/>
                <w:color w:val="auto"/>
              </w:rPr>
            </w:pPr>
          </w:p>
        </w:tc>
        <w:tc>
          <w:tcPr>
            <w:tcW w:w="980" w:type="dxa"/>
            <w:vAlign w:val="bottom"/>
            <w:gridSpan w:val="3"/>
          </w:tcPr>
          <w:p>
            <w:pPr>
              <w:jc w:val="center"/>
              <w:ind w:right="40"/>
              <w:spacing w:after="0" w:line="134" w:lineRule="exact"/>
              <w:rPr>
                <w:sz w:val="20"/>
                <w:szCs w:val="20"/>
                <w:color w:val="auto"/>
              </w:rPr>
            </w:pPr>
            <w:r>
              <w:rPr>
                <w:rFonts w:ascii="Arial" w:cs="Arial" w:eastAsia="Arial" w:hAnsi="Arial"/>
                <w:sz w:val="13"/>
                <w:szCs w:val="13"/>
                <w:b w:val="1"/>
                <w:bCs w:val="1"/>
                <w:color w:val="auto"/>
                <w:w w:val="92"/>
              </w:rPr>
              <w:t>Improvements</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5"/>
              </w:rPr>
              <w:t>Number of</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160"/>
              <w:spacing w:after="0" w:line="147" w:lineRule="exact"/>
              <w:rPr>
                <w:sz w:val="20"/>
                <w:szCs w:val="20"/>
                <w:color w:val="auto"/>
              </w:rPr>
            </w:pPr>
            <w:r>
              <w:rPr>
                <w:rFonts w:ascii="Arial" w:cs="Arial" w:eastAsia="Arial" w:hAnsi="Arial"/>
                <w:sz w:val="13"/>
                <w:szCs w:val="13"/>
                <w:b w:val="1"/>
                <w:bCs w:val="1"/>
                <w:color w:val="auto"/>
                <w:w w:val="94"/>
              </w:rPr>
              <w:t>Rent (3)</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89"/>
              </w:rPr>
              <w:t>Average</w:t>
            </w:r>
          </w:p>
        </w:tc>
        <w:tc>
          <w:tcPr>
            <w:tcW w:w="94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4"/>
              </w:rPr>
              <w:t>Improvements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w w:val="93"/>
              </w:rPr>
              <w:t>&amp; Incentives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Leases Signed</w:t>
            </w:r>
          </w:p>
        </w:tc>
        <w:tc>
          <w:tcPr>
            <w:tcW w:w="11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4"/>
              </w:rPr>
              <w:t>GLA Signed</w:t>
            </w:r>
          </w:p>
        </w:tc>
        <w:tc>
          <w:tcPr>
            <w:tcW w:w="7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9"/>
              </w:rPr>
              <w:t>Per Sq. Ft.</w:t>
            </w:r>
          </w:p>
        </w:tc>
        <w:tc>
          <w:tcPr>
            <w:tcW w:w="1840" w:type="dxa"/>
            <w:vAlign w:val="bottom"/>
            <w:gridSpan w:val="6"/>
          </w:tcPr>
          <w:p>
            <w:pPr>
              <w:spacing w:after="0"/>
              <w:rPr>
                <w:sz w:val="20"/>
                <w:szCs w:val="20"/>
                <w:color w:val="auto"/>
              </w:rPr>
            </w:pPr>
            <w:r>
              <w:rPr>
                <w:rFonts w:ascii="Arial" w:cs="Arial" w:eastAsia="Arial" w:hAnsi="Arial"/>
                <w:sz w:val="13"/>
                <w:szCs w:val="13"/>
                <w:b w:val="1"/>
                <w:bCs w:val="1"/>
                <w:color w:val="auto"/>
                <w:w w:val="95"/>
              </w:rPr>
              <w:t>Lease Term (5) &amp; Incentives (6)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Per Sq. Ft.</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2"/>
              </w:rPr>
              <w:t>1st Quarter 2007</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394,695</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29.04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4,358,045</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11.04</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91"/>
              </w:rPr>
              <w:t>4th Quarter 2006</w:t>
            </w:r>
          </w:p>
        </w:tc>
        <w:tc>
          <w:tcPr>
            <w:tcW w:w="88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84</w:t>
            </w:r>
          </w:p>
        </w:tc>
        <w:tc>
          <w:tcPr>
            <w:tcW w:w="1180" w:type="dxa"/>
            <w:vAlign w:val="bottom"/>
            <w:gridSpan w:val="5"/>
          </w:tcPr>
          <w:p>
            <w:pPr>
              <w:jc w:val="right"/>
              <w:ind w:right="160"/>
              <w:spacing w:after="0" w:line="147" w:lineRule="exact"/>
              <w:rPr>
                <w:sz w:val="20"/>
                <w:szCs w:val="20"/>
                <w:color w:val="auto"/>
              </w:rPr>
            </w:pPr>
            <w:r>
              <w:rPr>
                <w:rFonts w:ascii="Arial" w:cs="Arial" w:eastAsia="Arial" w:hAnsi="Arial"/>
                <w:sz w:val="13"/>
                <w:szCs w:val="13"/>
                <w:color w:val="auto"/>
              </w:rPr>
              <w:t>320,655</w:t>
            </w: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27.36</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6.3</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2,198,145</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6.86</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90"/>
              </w:rPr>
              <w:t>3rd Quarter 2006</w:t>
            </w:r>
          </w:p>
        </w:tc>
        <w:tc>
          <w:tcPr>
            <w:tcW w:w="88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75</w:t>
            </w:r>
          </w:p>
        </w:tc>
        <w:tc>
          <w:tcPr>
            <w:tcW w:w="1180" w:type="dxa"/>
            <w:vAlign w:val="bottom"/>
            <w:gridSpan w:val="5"/>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394,331</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22.98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8,992,951</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22.81</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line="147" w:lineRule="exact"/>
              <w:rPr>
                <w:sz w:val="20"/>
                <w:szCs w:val="20"/>
                <w:color w:val="auto"/>
              </w:rPr>
            </w:pPr>
            <w:r>
              <w:rPr>
                <w:rFonts w:ascii="Arial" w:cs="Arial" w:eastAsia="Arial" w:hAnsi="Arial"/>
                <w:sz w:val="13"/>
                <w:szCs w:val="13"/>
                <w:color w:val="auto"/>
                <w:w w:val="88"/>
              </w:rPr>
              <w:t>2nd Quarter 2006</w:t>
            </w:r>
          </w:p>
        </w:tc>
        <w:tc>
          <w:tcPr>
            <w:tcW w:w="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76</w:t>
            </w:r>
          </w:p>
        </w:tc>
        <w:tc>
          <w:tcPr>
            <w:tcW w:w="40" w:type="dxa"/>
            <w:vAlign w:val="bottom"/>
          </w:tcPr>
          <w:p>
            <w:pPr>
              <w:spacing w:after="0"/>
              <w:rPr>
                <w:sz w:val="12"/>
                <w:szCs w:val="12"/>
                <w:color w:val="auto"/>
              </w:rPr>
            </w:pPr>
          </w:p>
        </w:tc>
        <w:tc>
          <w:tcPr>
            <w:tcW w:w="1180" w:type="dxa"/>
            <w:vAlign w:val="bottom"/>
            <w:gridSpan w:val="5"/>
          </w:tcPr>
          <w:p>
            <w:pPr>
              <w:jc w:val="right"/>
              <w:ind w:right="160"/>
              <w:spacing w:after="0" w:line="147" w:lineRule="exact"/>
              <w:rPr>
                <w:sz w:val="20"/>
                <w:szCs w:val="20"/>
                <w:color w:val="auto"/>
              </w:rPr>
            </w:pPr>
            <w:r>
              <w:rPr>
                <w:rFonts w:ascii="Arial" w:cs="Arial" w:eastAsia="Arial" w:hAnsi="Arial"/>
                <w:sz w:val="13"/>
                <w:szCs w:val="13"/>
                <w:color w:val="auto"/>
              </w:rPr>
              <w:t>324,367</w:t>
            </w: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24.82</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6.9</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4,582,028</w:t>
            </w:r>
          </w:p>
        </w:tc>
        <w:tc>
          <w:tcPr>
            <w:tcW w:w="20" w:type="dxa"/>
            <w:vAlign w:val="bottom"/>
          </w:tcPr>
          <w:p>
            <w:pPr>
              <w:spacing w:after="0"/>
              <w:rPr>
                <w:sz w:val="12"/>
                <w:szCs w:val="12"/>
                <w:color w:val="auto"/>
              </w:rPr>
            </w:pPr>
          </w:p>
        </w:tc>
        <w:tc>
          <w:tcPr>
            <w:tcW w:w="100" w:type="dxa"/>
            <w:vAlign w:val="bottom"/>
            <w:gridSpan w:val="2"/>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14.13</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4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w w:val="88"/>
              </w:rPr>
              <w:t>Total - 12 months</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325</w:t>
            </w:r>
          </w:p>
        </w:tc>
        <w:tc>
          <w:tcPr>
            <w:tcW w:w="4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1,434,048</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26.04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20,131,169</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14.04</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520"/>
          </w:cols>
          <w:pgMar w:left="240" w:top="272"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Anchor Tenants (1)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Small Shop Tenants</w:t>
            </w: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4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Year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97"/>
              </w:rPr>
              <w:t>% of Small</w:t>
            </w:r>
          </w:p>
        </w:tc>
        <w:tc>
          <w:tcPr>
            <w:tcW w:w="1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gridSpan w:val="4"/>
            <w:vMerge w:val="continue"/>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9"/>
              </w:rPr>
              <w:t>Expiring SF</w:t>
            </w:r>
          </w:p>
        </w:tc>
        <w:tc>
          <w:tcPr>
            <w:tcW w:w="240" w:type="dxa"/>
            <w:vAlign w:val="bottom"/>
          </w:tcPr>
          <w:p>
            <w:pPr>
              <w:spacing w:after="0"/>
              <w:rPr>
                <w:sz w:val="12"/>
                <w:szCs w:val="12"/>
                <w:color w:val="auto"/>
              </w:rPr>
            </w:pPr>
          </w:p>
        </w:tc>
        <w:tc>
          <w:tcPr>
            <w:tcW w:w="9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4"/>
              </w:rPr>
              <w:t>Anchor SF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PSF (2)</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w w:val="91"/>
              </w:rPr>
              <w:t>Expiring SF</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0"/>
              </w:rPr>
              <w:t>Shop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PSF (2)</w:t>
            </w:r>
          </w:p>
        </w:tc>
        <w:tc>
          <w:tcPr>
            <w:tcW w:w="102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w w:val="99"/>
              </w:rPr>
              <w:t>Expiring SF</w:t>
            </w:r>
          </w:p>
        </w:tc>
        <w:tc>
          <w:tcPr>
            <w:tcW w:w="76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3"/>
              </w:rPr>
              <w:t>Total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2007</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12.77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23.36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947,000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9%</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9.15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1,005,000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22.47</w:t>
            </w:r>
          </w:p>
        </w:tc>
        <w:tc>
          <w:tcPr>
            <w:tcW w:w="780" w:type="dxa"/>
            <w:vAlign w:val="bottom"/>
          </w:tcPr>
          <w:p>
            <w:pPr>
              <w:jc w:val="right"/>
              <w:spacing w:after="0"/>
              <w:rPr>
                <w:sz w:val="20"/>
                <w:szCs w:val="20"/>
                <w:color w:val="auto"/>
              </w:rPr>
            </w:pPr>
            <w:r>
              <w:rPr>
                <w:rFonts w:ascii="Arial" w:cs="Arial" w:eastAsia="Arial" w:hAnsi="Arial"/>
                <w:sz w:val="17"/>
                <w:szCs w:val="17"/>
                <w:color w:val="auto"/>
              </w:rPr>
              <w:t>1,952,000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2009</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11.55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1,060,000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671,000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12.21</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951,000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26.50</w:t>
            </w:r>
          </w:p>
        </w:tc>
        <w:tc>
          <w:tcPr>
            <w:tcW w:w="780" w:type="dxa"/>
            <w:vAlign w:val="bottom"/>
          </w:tcPr>
          <w:p>
            <w:pPr>
              <w:jc w:val="right"/>
              <w:spacing w:after="0"/>
              <w:rPr>
                <w:sz w:val="20"/>
                <w:szCs w:val="20"/>
                <w:color w:val="auto"/>
              </w:rPr>
            </w:pPr>
            <w:r>
              <w:rPr>
                <w:rFonts w:ascii="Arial" w:cs="Arial" w:eastAsia="Arial" w:hAnsi="Arial"/>
                <w:sz w:val="17"/>
                <w:szCs w:val="17"/>
                <w:color w:val="auto"/>
              </w:rPr>
              <w:t>1,621,000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16.77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1,100,000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29.70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2012</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1,088,000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10%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10.16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802,000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29.45</w:t>
            </w:r>
          </w:p>
        </w:tc>
        <w:tc>
          <w:tcPr>
            <w:tcW w:w="780" w:type="dxa"/>
            <w:vAlign w:val="bottom"/>
          </w:tcPr>
          <w:p>
            <w:pPr>
              <w:jc w:val="right"/>
              <w:spacing w:after="0"/>
              <w:rPr>
                <w:sz w:val="20"/>
                <w:szCs w:val="20"/>
                <w:color w:val="auto"/>
              </w:rPr>
            </w:pPr>
            <w:r>
              <w:rPr>
                <w:rFonts w:ascii="Arial" w:cs="Arial" w:eastAsia="Arial" w:hAnsi="Arial"/>
                <w:sz w:val="17"/>
                <w:szCs w:val="17"/>
                <w:color w:val="auto"/>
              </w:rPr>
              <w:t>1,890,000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14.02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366,000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832,000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8%</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18.13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303,000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36.46</w:t>
            </w:r>
          </w:p>
        </w:tc>
        <w:tc>
          <w:tcPr>
            <w:tcW w:w="780" w:type="dxa"/>
            <w:vAlign w:val="bottom"/>
          </w:tcPr>
          <w:p>
            <w:pPr>
              <w:jc w:val="right"/>
              <w:spacing w:after="0"/>
              <w:rPr>
                <w:sz w:val="20"/>
                <w:szCs w:val="20"/>
                <w:color w:val="auto"/>
              </w:rPr>
            </w:pPr>
            <w:r>
              <w:rPr>
                <w:rFonts w:ascii="Arial" w:cs="Arial" w:eastAsia="Arial" w:hAnsi="Arial"/>
                <w:sz w:val="17"/>
                <w:szCs w:val="17"/>
                <w:color w:val="auto"/>
              </w:rPr>
              <w:t>1,135,000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28.29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493,000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4%</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16.33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481,000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28.20</w:t>
            </w:r>
          </w:p>
        </w:tc>
        <w:tc>
          <w:tcPr>
            <w:tcW w:w="780" w:type="dxa"/>
            <w:vAlign w:val="bottom"/>
          </w:tcPr>
          <w:p>
            <w:pPr>
              <w:jc w:val="right"/>
              <w:spacing w:after="0"/>
              <w:rPr>
                <w:sz w:val="20"/>
                <w:szCs w:val="20"/>
                <w:color w:val="auto"/>
              </w:rPr>
            </w:pPr>
            <w:r>
              <w:rPr>
                <w:rFonts w:ascii="Arial" w:cs="Arial" w:eastAsia="Arial" w:hAnsi="Arial"/>
                <w:sz w:val="17"/>
                <w:szCs w:val="17"/>
                <w:color w:val="auto"/>
              </w:rPr>
              <w:t>974,000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28.54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3,965,000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11,024,000</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13.64</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7,546,000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27.46</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18,570,000</w:t>
            </w: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200" w:type="dxa"/>
            <w:vAlign w:val="bottom"/>
            <w:gridSpan w:val="5"/>
          </w:tcPr>
          <w:p>
            <w:pPr>
              <w:spacing w:after="0"/>
              <w:rPr>
                <w:sz w:val="20"/>
                <w:szCs w:val="20"/>
                <w:color w:val="auto"/>
              </w:rPr>
            </w:pPr>
            <w:r>
              <w:rPr>
                <w:rFonts w:ascii="Arial" w:cs="Arial" w:eastAsia="Arial" w:hAnsi="Arial"/>
                <w:sz w:val="17"/>
                <w:szCs w:val="17"/>
                <w:b w:val="1"/>
                <w:bCs w:val="1"/>
                <w:color w:val="auto"/>
                <w:w w:val="97"/>
              </w:rPr>
              <w:t>Assumes all lease options are exercised</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Anchor Tenants (1)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Small Shop Tenants</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4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Year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97"/>
              </w:rPr>
              <w:t>% of Small</w:t>
            </w:r>
          </w:p>
        </w:tc>
        <w:tc>
          <w:tcPr>
            <w:tcW w:w="1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5"/>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gridSpan w:val="4"/>
            <w:vMerge w:val="continue"/>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9"/>
              </w:rPr>
              <w:t>Expiring SF</w:t>
            </w:r>
          </w:p>
        </w:tc>
        <w:tc>
          <w:tcPr>
            <w:tcW w:w="240" w:type="dxa"/>
            <w:vAlign w:val="bottom"/>
          </w:tcPr>
          <w:p>
            <w:pPr>
              <w:spacing w:after="0"/>
              <w:rPr>
                <w:sz w:val="12"/>
                <w:szCs w:val="12"/>
                <w:color w:val="auto"/>
              </w:rPr>
            </w:pPr>
          </w:p>
        </w:tc>
        <w:tc>
          <w:tcPr>
            <w:tcW w:w="9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4"/>
              </w:rPr>
              <w:t>Anchor SF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PSF (2)</w:t>
            </w:r>
          </w:p>
        </w:tc>
        <w:tc>
          <w:tcPr>
            <w:tcW w:w="76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w w:val="91"/>
              </w:rPr>
              <w:t>Expiring SF</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0"/>
              </w:rPr>
              <w:t>Shop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PSF (2)</w:t>
            </w:r>
          </w:p>
        </w:tc>
        <w:tc>
          <w:tcPr>
            <w:tcW w:w="102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w w:val="99"/>
              </w:rPr>
              <w:t>Expiring SF</w:t>
            </w:r>
          </w:p>
        </w:tc>
        <w:tc>
          <w:tcPr>
            <w:tcW w:w="76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3"/>
              </w:rPr>
              <w:t>Total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2007</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23.49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386,000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4%</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7.47</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636,000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8%</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22.93</w:t>
            </w:r>
          </w:p>
        </w:tc>
        <w:tc>
          <w:tcPr>
            <w:tcW w:w="780" w:type="dxa"/>
            <w:vAlign w:val="bottom"/>
          </w:tcPr>
          <w:p>
            <w:pPr>
              <w:jc w:val="right"/>
              <w:spacing w:after="0"/>
              <w:rPr>
                <w:sz w:val="20"/>
                <w:szCs w:val="20"/>
                <w:color w:val="auto"/>
              </w:rPr>
            </w:pPr>
            <w:r>
              <w:rPr>
                <w:rFonts w:ascii="Arial" w:cs="Arial" w:eastAsia="Arial" w:hAnsi="Arial"/>
                <w:sz w:val="17"/>
                <w:szCs w:val="17"/>
                <w:color w:val="auto"/>
              </w:rPr>
              <w:t>1,022,000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2009</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11.26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27.37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8.63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510,000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7%</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27.96</w:t>
            </w:r>
          </w:p>
        </w:tc>
        <w:tc>
          <w:tcPr>
            <w:tcW w:w="780" w:type="dxa"/>
            <w:vAlign w:val="bottom"/>
          </w:tcPr>
          <w:p>
            <w:pPr>
              <w:jc w:val="right"/>
              <w:spacing w:after="0"/>
              <w:rPr>
                <w:sz w:val="20"/>
                <w:szCs w:val="20"/>
                <w:color w:val="auto"/>
              </w:rPr>
            </w:pPr>
            <w:r>
              <w:rPr>
                <w:rFonts w:ascii="Arial" w:cs="Arial" w:eastAsia="Arial" w:hAnsi="Arial"/>
                <w:sz w:val="17"/>
                <w:szCs w:val="17"/>
                <w:color w:val="auto"/>
              </w:rPr>
              <w:t>629,000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24.63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28.38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2012</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13.95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561,000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7%</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29.43</w:t>
            </w:r>
          </w:p>
        </w:tc>
        <w:tc>
          <w:tcPr>
            <w:tcW w:w="780" w:type="dxa"/>
            <w:vAlign w:val="bottom"/>
          </w:tcPr>
          <w:p>
            <w:pPr>
              <w:jc w:val="right"/>
              <w:spacing w:after="0"/>
              <w:rPr>
                <w:sz w:val="20"/>
                <w:szCs w:val="20"/>
                <w:color w:val="auto"/>
              </w:rPr>
            </w:pPr>
            <w:r>
              <w:rPr>
                <w:rFonts w:ascii="Arial" w:cs="Arial" w:eastAsia="Arial" w:hAnsi="Arial"/>
                <w:sz w:val="17"/>
                <w:szCs w:val="17"/>
                <w:color w:val="auto"/>
              </w:rPr>
              <w:t>847,000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27.78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304,000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14.74</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431,000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30.82</w:t>
            </w:r>
          </w:p>
        </w:tc>
        <w:tc>
          <w:tcPr>
            <w:tcW w:w="780" w:type="dxa"/>
            <w:vAlign w:val="bottom"/>
          </w:tcPr>
          <w:p>
            <w:pPr>
              <w:jc w:val="right"/>
              <w:spacing w:after="0"/>
              <w:rPr>
                <w:sz w:val="20"/>
                <w:szCs w:val="20"/>
                <w:color w:val="auto"/>
              </w:rPr>
            </w:pPr>
            <w:r>
              <w:rPr>
                <w:rFonts w:ascii="Arial" w:cs="Arial" w:eastAsia="Arial" w:hAnsi="Arial"/>
                <w:sz w:val="17"/>
                <w:szCs w:val="17"/>
                <w:color w:val="auto"/>
              </w:rPr>
              <w:t>735,000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24.43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19.87</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452,000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30.35</w:t>
            </w:r>
          </w:p>
        </w:tc>
        <w:tc>
          <w:tcPr>
            <w:tcW w:w="780" w:type="dxa"/>
            <w:vAlign w:val="bottom"/>
          </w:tcPr>
          <w:p>
            <w:pPr>
              <w:jc w:val="right"/>
              <w:spacing w:after="0"/>
              <w:rPr>
                <w:sz w:val="20"/>
                <w:szCs w:val="20"/>
                <w:color w:val="auto"/>
              </w:rPr>
            </w:pPr>
            <w:r>
              <w:rPr>
                <w:rFonts w:ascii="Arial" w:cs="Arial" w:eastAsia="Arial" w:hAnsi="Arial"/>
                <w:sz w:val="17"/>
                <w:szCs w:val="17"/>
                <w:color w:val="auto"/>
              </w:rPr>
              <w:t>598,000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9,054,000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2,538,000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27.91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11,590,000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11,024,000</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13.64</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7,546,000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27.46</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18,570,000</w:t>
            </w: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March 31, 2007.</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occupied square footage as of March 31, 2007.</w:t>
      </w:r>
    </w:p>
    <w:p>
      <w:pPr>
        <w:sectPr>
          <w:pgSz w:w="11900" w:h="16838" w:orient="portrait"/>
          <w:cols w:equalWidth="0" w:num="1">
            <w:col w:w="11420"/>
          </w:cols>
          <w:pgMar w:left="240" w:top="272"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At March 31, 2007</w:t>
            </w:r>
          </w:p>
        </w:tc>
        <w:tc>
          <w:tcPr>
            <w:tcW w:w="5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rPr>
              <w:t>At March 31, 2006</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740" w:type="dxa"/>
            <w:vAlign w:val="bottom"/>
            <w:gridSpan w:val="4"/>
            <w:vMerge w:val="continue"/>
          </w:tcPr>
          <w:p>
            <w:pPr>
              <w:spacing w:after="0"/>
              <w:rPr>
                <w:sz w:val="12"/>
                <w:szCs w:val="12"/>
                <w:color w:val="auto"/>
              </w:rPr>
            </w:pPr>
          </w:p>
        </w:tc>
        <w:tc>
          <w:tcPr>
            <w:tcW w:w="780" w:type="dxa"/>
            <w:vAlign w:val="bottom"/>
          </w:tcPr>
          <w:p>
            <w:pPr>
              <w:jc w:val="right"/>
              <w:ind w:right="203"/>
              <w:spacing w:after="0" w:line="140"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1000" w:type="dxa"/>
            <w:vAlign w:val="bottom"/>
            <w:gridSpan w:val="2"/>
          </w:tcPr>
          <w:p>
            <w:pPr>
              <w:jc w:val="right"/>
              <w:ind w:right="400"/>
              <w:spacing w:after="0" w:line="140" w:lineRule="exact"/>
              <w:rPr>
                <w:sz w:val="20"/>
                <w:szCs w:val="20"/>
                <w:color w:val="auto"/>
              </w:rPr>
            </w:pPr>
            <w:r>
              <w:rPr>
                <w:rFonts w:ascii="Arial" w:cs="Arial" w:eastAsia="Arial" w:hAnsi="Arial"/>
                <w:sz w:val="13"/>
                <w:szCs w:val="13"/>
                <w:b w:val="1"/>
                <w:bCs w:val="1"/>
                <w:color w:val="auto"/>
              </w:rPr>
              <w:t>Leased</w:t>
            </w:r>
          </w:p>
        </w:tc>
        <w:tc>
          <w:tcPr>
            <w:tcW w:w="940" w:type="dxa"/>
            <w:vAlign w:val="bottom"/>
            <w:gridSpan w:val="2"/>
          </w:tcPr>
          <w:p>
            <w:pPr>
              <w:jc w:val="right"/>
              <w:ind w:right="360"/>
              <w:spacing w:after="0" w:line="140" w:lineRule="exact"/>
              <w:rPr>
                <w:sz w:val="20"/>
                <w:szCs w:val="20"/>
                <w:color w:val="auto"/>
              </w:rPr>
            </w:pPr>
            <w:r>
              <w:rPr>
                <w:rFonts w:ascii="Arial" w:cs="Arial" w:eastAsia="Arial" w:hAnsi="Arial"/>
                <w:sz w:val="13"/>
                <w:szCs w:val="13"/>
                <w:b w:val="1"/>
                <w:bCs w:val="1"/>
                <w:color w:val="auto"/>
                <w:w w:val="93"/>
              </w:rPr>
              <w:t>Leased %</w:t>
            </w:r>
          </w:p>
        </w:tc>
        <w:tc>
          <w:tcPr>
            <w:tcW w:w="780" w:type="dxa"/>
            <w:vAlign w:val="bottom"/>
          </w:tcPr>
          <w:p>
            <w:pPr>
              <w:jc w:val="right"/>
              <w:ind w:right="203"/>
              <w:spacing w:after="0" w:line="140"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Leased</w:t>
            </w:r>
          </w:p>
        </w:tc>
        <w:tc>
          <w:tcPr>
            <w:tcW w:w="720" w:type="dxa"/>
            <w:vAlign w:val="bottom"/>
            <w:gridSpan w:val="2"/>
          </w:tcPr>
          <w:p>
            <w:pPr>
              <w:jc w:val="right"/>
              <w:ind w:right="140"/>
              <w:spacing w:after="0" w:line="140" w:lineRule="exact"/>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19,607,000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18,931,000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17,643,000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16,975,000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319"/>
        </w:trPr>
        <w:tc>
          <w:tcPr>
            <w:tcW w:w="574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670</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92.7%</w:t>
            </w:r>
          </w:p>
        </w:tc>
        <w:tc>
          <w:tcPr>
            <w:tcW w:w="780" w:type="dxa"/>
            <w:vAlign w:val="bottom"/>
          </w:tcPr>
          <w:p>
            <w:pPr>
              <w:jc w:val="right"/>
              <w:spacing w:after="0"/>
              <w:rPr>
                <w:sz w:val="20"/>
                <w:szCs w:val="20"/>
                <w:color w:val="auto"/>
              </w:rPr>
            </w:pPr>
            <w:r>
              <w:rPr>
                <w:rFonts w:ascii="Arial" w:cs="Arial" w:eastAsia="Arial" w:hAnsi="Arial"/>
                <w:sz w:val="17"/>
                <w:szCs w:val="17"/>
                <w:color w:val="auto"/>
              </w:rPr>
              <w:t>464</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427</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495"/>
        </w:trPr>
        <w:tc>
          <w:tcPr>
            <w:tcW w:w="574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rPr>
              <w:t>At March 31, 2007</w:t>
            </w: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4"/>
            <w:vMerge w:val="restart"/>
          </w:tcPr>
          <w:p>
            <w:pPr>
              <w:ind w:left="760"/>
              <w:spacing w:after="0"/>
              <w:rPr>
                <w:sz w:val="20"/>
                <w:szCs w:val="20"/>
                <w:color w:val="auto"/>
              </w:rPr>
            </w:pPr>
            <w:r>
              <w:rPr>
                <w:rFonts w:ascii="Arial" w:cs="Arial" w:eastAsia="Arial" w:hAnsi="Arial"/>
                <w:sz w:val="13"/>
                <w:szCs w:val="13"/>
                <w:b w:val="1"/>
                <w:bCs w:val="1"/>
                <w:color w:val="auto"/>
              </w:rPr>
              <w:t>At March 31, 2006</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7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0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740" w:type="dxa"/>
            <w:vAlign w:val="bottom"/>
            <w:gridSpan w:val="4"/>
            <w:vMerge w:val="continue"/>
          </w:tcPr>
          <w:p>
            <w:pPr>
              <w:spacing w:after="0"/>
              <w:rPr>
                <w:sz w:val="12"/>
                <w:szCs w:val="12"/>
                <w:color w:val="auto"/>
              </w:rPr>
            </w:pPr>
          </w:p>
        </w:tc>
        <w:tc>
          <w:tcPr>
            <w:tcW w:w="780" w:type="dxa"/>
            <w:vAlign w:val="bottom"/>
          </w:tcPr>
          <w:p>
            <w:pPr>
              <w:jc w:val="right"/>
              <w:ind w:right="203"/>
              <w:spacing w:after="0" w:line="140"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1000" w:type="dxa"/>
            <w:vAlign w:val="bottom"/>
            <w:gridSpan w:val="2"/>
          </w:tcPr>
          <w:p>
            <w:pPr>
              <w:jc w:val="right"/>
              <w:ind w:right="400"/>
              <w:spacing w:after="0" w:line="140" w:lineRule="exact"/>
              <w:rPr>
                <w:sz w:val="20"/>
                <w:szCs w:val="20"/>
                <w:color w:val="auto"/>
              </w:rPr>
            </w:pPr>
            <w:r>
              <w:rPr>
                <w:rFonts w:ascii="Arial" w:cs="Arial" w:eastAsia="Arial" w:hAnsi="Arial"/>
                <w:sz w:val="13"/>
                <w:szCs w:val="13"/>
                <w:b w:val="1"/>
                <w:bCs w:val="1"/>
                <w:color w:val="auto"/>
              </w:rPr>
              <w:t>Leased</w:t>
            </w:r>
          </w:p>
        </w:tc>
        <w:tc>
          <w:tcPr>
            <w:tcW w:w="940" w:type="dxa"/>
            <w:vAlign w:val="bottom"/>
            <w:gridSpan w:val="2"/>
          </w:tcPr>
          <w:p>
            <w:pPr>
              <w:jc w:val="right"/>
              <w:ind w:right="360"/>
              <w:spacing w:after="0" w:line="140" w:lineRule="exact"/>
              <w:rPr>
                <w:sz w:val="20"/>
                <w:szCs w:val="20"/>
                <w:color w:val="auto"/>
              </w:rPr>
            </w:pPr>
            <w:r>
              <w:rPr>
                <w:rFonts w:ascii="Arial" w:cs="Arial" w:eastAsia="Arial" w:hAnsi="Arial"/>
                <w:sz w:val="13"/>
                <w:szCs w:val="13"/>
                <w:b w:val="1"/>
                <w:bCs w:val="1"/>
                <w:color w:val="auto"/>
                <w:w w:val="93"/>
              </w:rPr>
              <w:t>Leased %</w:t>
            </w:r>
          </w:p>
        </w:tc>
        <w:tc>
          <w:tcPr>
            <w:tcW w:w="780" w:type="dxa"/>
            <w:vAlign w:val="bottom"/>
          </w:tcPr>
          <w:p>
            <w:pPr>
              <w:jc w:val="right"/>
              <w:ind w:right="203"/>
              <w:spacing w:after="0" w:line="140"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Leased</w:t>
            </w:r>
          </w:p>
        </w:tc>
        <w:tc>
          <w:tcPr>
            <w:tcW w:w="720" w:type="dxa"/>
            <w:vAlign w:val="bottom"/>
            <w:gridSpan w:val="2"/>
          </w:tcPr>
          <w:p>
            <w:pPr>
              <w:jc w:val="right"/>
              <w:ind w:right="140"/>
              <w:spacing w:after="0" w:line="140" w:lineRule="exact"/>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15,126,000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14,629,000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15,100,000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14,679,000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319"/>
        </w:trPr>
        <w:tc>
          <w:tcPr>
            <w:tcW w:w="574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428</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405</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94.6%</w:t>
            </w:r>
          </w:p>
        </w:tc>
        <w:tc>
          <w:tcPr>
            <w:tcW w:w="780" w:type="dxa"/>
            <w:vAlign w:val="bottom"/>
          </w:tcPr>
          <w:p>
            <w:pPr>
              <w:jc w:val="right"/>
              <w:spacing w:after="0"/>
              <w:rPr>
                <w:sz w:val="20"/>
                <w:szCs w:val="20"/>
                <w:color w:val="auto"/>
              </w:rPr>
            </w:pPr>
            <w:r>
              <w:rPr>
                <w:rFonts w:ascii="Arial" w:cs="Arial" w:eastAsia="Arial" w:hAnsi="Arial"/>
                <w:sz w:val="17"/>
                <w:szCs w:val="17"/>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397</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592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7" w:lineRule="exact"/>
        <w:rPr>
          <w:rFonts w:ascii="Arial" w:cs="Arial" w:eastAsia="Arial" w:hAnsi="Arial"/>
          <w:sz w:val="17"/>
          <w:szCs w:val="17"/>
          <w:color w:val="auto"/>
        </w:rPr>
      </w:pPr>
    </w:p>
    <w:p>
      <w:pPr>
        <w:ind w:left="460" w:right="160" w:hanging="453"/>
        <w:spacing w:after="0" w:line="296"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Overall portfolio statistics at March 31, 2007 include Rollingwood, The Crest at Congressional and the residential units in Buildings Eight (36 units) and Seven (259 units) at Santana Row. Overall portfolio statistics at March 31, 2006 included Rollingwood, The Crest at Congressional and the residential units in Building Eight (36 units) at Santana Row. Same center statistics at March 31, 2007 and 2006 include Rollingwood and The Crest at Congressional.</w:t>
      </w:r>
    </w:p>
    <w:p>
      <w:pPr>
        <w:spacing w:after="0" w:line="1" w:lineRule="exact"/>
        <w:rPr>
          <w:rFonts w:ascii="Arial" w:cs="Arial" w:eastAsia="Arial" w:hAnsi="Arial"/>
          <w:sz w:val="15"/>
          <w:szCs w:val="15"/>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272"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Percentage of</w:t>
            </w: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2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Tenant Name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700"/>
              <w:spacing w:after="0" w:line="147" w:lineRule="exact"/>
              <w:rPr>
                <w:sz w:val="20"/>
                <w:szCs w:val="20"/>
                <w:color w:val="auto"/>
              </w:rPr>
            </w:pPr>
            <w:r>
              <w:rPr>
                <w:rFonts w:ascii="Arial" w:cs="Arial" w:eastAsia="Arial" w:hAnsi="Arial"/>
                <w:sz w:val="13"/>
                <w:szCs w:val="13"/>
                <w:b w:val="1"/>
                <w:bCs w:val="1"/>
                <w:color w:val="auto"/>
              </w:rPr>
              <w:t>Annualized</w:t>
            </w:r>
          </w:p>
        </w:tc>
        <w:tc>
          <w:tcPr>
            <w:tcW w:w="1460" w:type="dxa"/>
            <w:vAlign w:val="bottom"/>
            <w:gridSpan w:val="2"/>
          </w:tcPr>
          <w:p>
            <w:pPr>
              <w:jc w:val="center"/>
              <w:ind w:right="500"/>
              <w:spacing w:after="0" w:line="147" w:lineRule="exact"/>
              <w:rPr>
                <w:sz w:val="20"/>
                <w:szCs w:val="20"/>
                <w:color w:val="auto"/>
              </w:rPr>
            </w:pPr>
            <w:r>
              <w:rPr>
                <w:rFonts w:ascii="Arial" w:cs="Arial" w:eastAsia="Arial" w:hAnsi="Arial"/>
                <w:sz w:val="13"/>
                <w:szCs w:val="13"/>
                <w:b w:val="1"/>
                <w:bCs w:val="1"/>
                <w:color w:val="auto"/>
                <w:w w:val="92"/>
              </w:rPr>
              <w:t>Total Annualized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500"/>
              <w:spacing w:after="0" w:line="147" w:lineRule="exact"/>
              <w:rPr>
                <w:sz w:val="20"/>
                <w:szCs w:val="20"/>
                <w:color w:val="auto"/>
              </w:rPr>
            </w:pPr>
            <w:r>
              <w:rPr>
                <w:rFonts w:ascii="Arial" w:cs="Arial" w:eastAsia="Arial" w:hAnsi="Arial"/>
                <w:sz w:val="13"/>
                <w:szCs w:val="13"/>
                <w:b w:val="1"/>
                <w:bCs w:val="1"/>
                <w:color w:val="auto"/>
                <w:w w:val="88"/>
              </w:rPr>
              <w:t>Percentage of</w:t>
            </w:r>
          </w:p>
        </w:tc>
        <w:tc>
          <w:tcPr>
            <w:tcW w:w="640" w:type="dxa"/>
            <w:vAlign w:val="bottom"/>
            <w:gridSpan w:val="2"/>
          </w:tcPr>
          <w:p>
            <w:pPr>
              <w:jc w:val="center"/>
              <w:ind w:right="20"/>
              <w:spacing w:after="0" w:line="147"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9"/>
        </w:trPr>
        <w:tc>
          <w:tcPr>
            <w:tcW w:w="5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4"/>
              </w:rPr>
              <w:t>Rank</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Base Rent</w:t>
            </w: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Base Rent</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Tenant GLA</w:t>
            </w:r>
          </w:p>
        </w:tc>
        <w:tc>
          <w:tcPr>
            <w:tcW w:w="12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Total GLA</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Ahold USA,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8"/>
              </w:rPr>
              <w:t>10,426,000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2.92%</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752,000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3.84%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Bed, Bath &amp; Beyond,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7,711,000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2.16%</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481,000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2.45%</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Gap,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7,149,000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241,000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TJX Companies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6,820,000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1.91%</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589,000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3.00%</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Safeway,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6,684,000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1.87%</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481,000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w w:val="98"/>
              </w:rPr>
              <w:t>Supervalu (Acme/Albertson’s/Star Mkt/Shaw’s/Shoppers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5,143,000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1.44%</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513,000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2.62%</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Food)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Barnes &amp; Noble,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4,487,000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201,000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CVS Corporation</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4,229,000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1.18%</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156,000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0.80%</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OPNET Technologies,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3,539,000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83,000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0.42%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Best Buy Stores, L.P.</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3,394,000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0.95%</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97,000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0.49%</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Kohl’s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3,297,000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0.92%</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448,000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L.A. Fitness International LLC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3,212,000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0.90%</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191,000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0.97%</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Staples,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3,136,000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0.88%</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165,000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Wakefern Food Corporation</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3,077,000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0.86%</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232,000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1.18%</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Michaels Stores,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2,861,000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Dollar Tree Stores,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2,856,000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0.80%</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208,000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1.06%</w:t>
            </w: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Home Depot,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2,832,000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335,000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DSW</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2,775,000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0.78%</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109,000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0.56%</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Borders Group,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2,759,000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0.77%</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129,000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CompUSA,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2,499,000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0.70%</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134,000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0.68%</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 Moore,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2,481,000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Great Atlantic &amp; Pacific Tea Co</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2,467,000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0.69%</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244,000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1.24%</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Ross Stores,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2,432,000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0.68%</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c>
          <w:tcPr>
            <w:tcW w:w="4360" w:type="dxa"/>
            <w:vAlign w:val="bottom"/>
            <w:gridSpan w:val="3"/>
          </w:tcPr>
          <w:p>
            <w:pPr>
              <w:ind w:left="160"/>
              <w:spacing w:after="0"/>
              <w:rPr>
                <w:sz w:val="20"/>
                <w:szCs w:val="20"/>
                <w:color w:val="auto"/>
              </w:rPr>
            </w:pPr>
            <w:r>
              <w:rPr>
                <w:rFonts w:ascii="Arial" w:cs="Arial" w:eastAsia="Arial" w:hAnsi="Arial"/>
                <w:sz w:val="17"/>
                <w:szCs w:val="17"/>
                <w:color w:val="auto"/>
              </w:rPr>
              <w:t>Office Depot,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2,421,000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0.68%</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163,000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0.83%</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w:t>
            </w: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Container Store,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2,354,000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0.66%</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52,000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3"/>
            <w:vMerge w:val="restart"/>
          </w:tcPr>
          <w:p>
            <w:pPr>
              <w:ind w:left="160"/>
              <w:spacing w:after="0"/>
              <w:rPr>
                <w:sz w:val="20"/>
                <w:szCs w:val="20"/>
                <w:color w:val="auto"/>
              </w:rPr>
            </w:pPr>
            <w:r>
              <w:rPr>
                <w:rFonts w:ascii="Arial" w:cs="Arial" w:eastAsia="Arial" w:hAnsi="Arial"/>
                <w:sz w:val="17"/>
                <w:szCs w:val="17"/>
                <w:color w:val="auto"/>
              </w:rPr>
              <w:t>Totals - Top 25 Tenants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w w:val="88"/>
              </w:rPr>
              <w:t>101,041,000</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28.27%</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6,481,000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33.04%</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0"/>
              </w:rPr>
              <w:t>357,542,000(1)</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0"/>
              </w:rPr>
              <w:t>19,607,000(2)</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March 31, 2007.</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272"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1"/>
              </w:rPr>
              <w:t>2007 Guidance</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7"/>
        </w:trPr>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5"/>
          </w:tcPr>
          <w:p>
            <w:pPr>
              <w:jc w:val="center"/>
              <w:ind w:right="33"/>
              <w:spacing w:after="0" w:line="128" w:lineRule="exact"/>
              <w:rPr>
                <w:sz w:val="20"/>
                <w:szCs w:val="20"/>
                <w:color w:val="auto"/>
              </w:rPr>
            </w:pPr>
            <w:r>
              <w:rPr>
                <w:rFonts w:ascii="Arial" w:cs="Arial" w:eastAsia="Arial" w:hAnsi="Arial"/>
                <w:sz w:val="13"/>
                <w:szCs w:val="13"/>
                <w:b w:val="1"/>
                <w:bCs w:val="1"/>
                <w:color w:val="auto"/>
                <w:w w:val="93"/>
              </w:rPr>
              <w:t>(in millions except per</w:t>
            </w:r>
          </w:p>
        </w:tc>
        <w:tc>
          <w:tcPr>
            <w:tcW w:w="60" w:type="dxa"/>
            <w:vAlign w:val="bottom"/>
          </w:tcPr>
          <w:p>
            <w:pPr>
              <w:spacing w:after="0"/>
              <w:rPr>
                <w:sz w:val="11"/>
                <w:szCs w:val="11"/>
                <w:color w:val="auto"/>
              </w:rPr>
            </w:pPr>
          </w:p>
        </w:tc>
      </w:tr>
      <w:tr>
        <w:trPr>
          <w:trHeight w:val="159"/>
        </w:trPr>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center"/>
              <w:ind w:left="117"/>
              <w:spacing w:after="0"/>
              <w:rPr>
                <w:sz w:val="20"/>
                <w:szCs w:val="20"/>
                <w:color w:val="auto"/>
              </w:rPr>
            </w:pPr>
            <w:r>
              <w:rPr>
                <w:rFonts w:ascii="Arial" w:cs="Arial" w:eastAsia="Arial" w:hAnsi="Arial"/>
                <w:sz w:val="13"/>
                <w:szCs w:val="13"/>
                <w:b w:val="1"/>
                <w:bCs w:val="1"/>
                <w:color w:val="auto"/>
                <w:w w:val="92"/>
              </w:rPr>
              <w:t>share amounts) (1)</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3"/>
        </w:trPr>
        <w:tc>
          <w:tcPr>
            <w:tcW w:w="4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60" w:type="dxa"/>
            <w:vAlign w:val="bottom"/>
            <w:shd w:val="clear" w:color="auto" w:fill="CCEEFF"/>
          </w:tcPr>
          <w:p>
            <w:pPr>
              <w:jc w:val="center"/>
              <w:ind w:left="140"/>
              <w:spacing w:after="0"/>
              <w:rPr>
                <w:sz w:val="20"/>
                <w:szCs w:val="20"/>
                <w:color w:val="auto"/>
              </w:rPr>
            </w:pPr>
            <w:r>
              <w:rPr>
                <w:rFonts w:ascii="Arial" w:cs="Arial" w:eastAsia="Arial" w:hAnsi="Arial"/>
                <w:sz w:val="17"/>
                <w:szCs w:val="17"/>
                <w:color w:val="auto"/>
                <w:w w:val="84"/>
              </w:rPr>
              <w:t>to</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6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4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60" w:type="dxa"/>
            <w:vAlign w:val="bottom"/>
            <w:shd w:val="clear" w:color="auto" w:fill="CCEEFF"/>
          </w:tcPr>
          <w:p>
            <w:pPr>
              <w:spacing w:after="0"/>
              <w:rPr>
                <w:sz w:val="18"/>
                <w:szCs w:val="18"/>
                <w:color w:val="auto"/>
              </w:rPr>
            </w:pPr>
          </w:p>
        </w:tc>
      </w:tr>
      <w:tr>
        <w:trPr>
          <w:trHeight w:val="220"/>
        </w:trPr>
        <w:tc>
          <w:tcPr>
            <w:tcW w:w="48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9"/>
                <w:szCs w:val="19"/>
                <w:color w:val="auto"/>
              </w:rPr>
            </w:pPr>
          </w:p>
        </w:tc>
      </w:tr>
      <w:tr>
        <w:trPr>
          <w:trHeight w:val="213"/>
        </w:trPr>
        <w:tc>
          <w:tcPr>
            <w:tcW w:w="4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6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8"/>
                <w:szCs w:val="18"/>
                <w:color w:val="auto"/>
              </w:rPr>
            </w:pPr>
          </w:p>
        </w:tc>
      </w:tr>
      <w:tr>
        <w:trPr>
          <w:trHeight w:val="219"/>
        </w:trPr>
        <w:tc>
          <w:tcPr>
            <w:tcW w:w="9140" w:type="dxa"/>
            <w:vAlign w:val="bottom"/>
            <w:gridSpan w:val="3"/>
          </w:tcPr>
          <w:p>
            <w:pPr>
              <w:ind w:left="460"/>
              <w:spacing w:after="0"/>
              <w:rPr>
                <w:sz w:val="20"/>
                <w:szCs w:val="20"/>
                <w:color w:val="auto"/>
              </w:rPr>
            </w:pPr>
            <w:r>
              <w:rPr>
                <w:rFonts w:ascii="Arial" w:cs="Arial" w:eastAsia="Arial" w:hAnsi="Arial"/>
                <w:sz w:val="17"/>
                <w:szCs w:val="17"/>
                <w:color w:val="auto"/>
              </w:rPr>
              <w:t>Funds from operations available for common shareholders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660" w:type="dxa"/>
            <w:vAlign w:val="bottom"/>
          </w:tcPr>
          <w:p>
            <w:pPr>
              <w:jc w:val="center"/>
              <w:ind w:left="140"/>
              <w:spacing w:after="0"/>
              <w:rPr>
                <w:sz w:val="20"/>
                <w:szCs w:val="20"/>
                <w:color w:val="auto"/>
              </w:rPr>
            </w:pPr>
            <w:r>
              <w:rPr>
                <w:rFonts w:ascii="Arial" w:cs="Arial" w:eastAsia="Arial" w:hAnsi="Arial"/>
                <w:sz w:val="17"/>
                <w:szCs w:val="17"/>
                <w:color w:val="auto"/>
                <w:w w:val="84"/>
              </w:rPr>
              <w:t>to</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56.8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9"/>
        </w:trPr>
        <w:tc>
          <w:tcPr>
            <w:tcW w:w="9140" w:type="dxa"/>
            <w:vAlign w:val="bottom"/>
            <w:gridSpan w:val="3"/>
          </w:tcPr>
          <w:p>
            <w:pPr>
              <w:ind w:left="460"/>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0"/>
              </w:rPr>
              <w:t>3.60</w:t>
            </w:r>
          </w:p>
        </w:tc>
        <w:tc>
          <w:tcPr>
            <w:tcW w:w="66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3.65</w:t>
            </w:r>
          </w:p>
        </w:tc>
        <w:tc>
          <w:tcPr>
            <w:tcW w:w="60" w:type="dxa"/>
            <w:vAlign w:val="bottom"/>
          </w:tcPr>
          <w:p>
            <w:pPr>
              <w:spacing w:after="0"/>
              <w:rPr>
                <w:sz w:val="19"/>
                <w:szCs w:val="19"/>
                <w:color w:val="auto"/>
              </w:rPr>
            </w:pPr>
          </w:p>
        </w:tc>
      </w:tr>
      <w:tr>
        <w:trPr>
          <w:trHeight w:val="114"/>
        </w:trPr>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Individual items may not add up to total due to rounding.</w:t>
      </w:r>
    </w:p>
    <w:p>
      <w:pPr>
        <w:sectPr>
          <w:pgSz w:w="11900" w:h="16838" w:orient="portrait"/>
          <w:cols w:equalWidth="0" w:num="1">
            <w:col w:w="10960"/>
          </w:cols>
          <w:pgMar w:left="240" w:top="272" w:right="69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248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right"/>
        <w:ind w:right="3399"/>
        <w:spacing w:after="0"/>
        <w:rPr>
          <w:sz w:val="20"/>
          <w:szCs w:val="20"/>
          <w:color w:val="auto"/>
        </w:rPr>
      </w:pPr>
      <w:r>
        <w:rPr>
          <w:rFonts w:ascii="Arial" w:cs="Arial" w:eastAsia="Arial" w:hAnsi="Arial"/>
          <w:sz w:val="17"/>
          <w:szCs w:val="17"/>
          <w:b w:val="1"/>
          <w:bCs w:val="1"/>
          <w:color w:val="auto"/>
        </w:rPr>
        <w:t>Clarion Lion Properties Fund</w:t>
      </w:r>
    </w:p>
    <w:p>
      <w:pPr>
        <w:sectPr>
          <w:pgSz w:w="11900" w:h="16838" w:orient="portrait"/>
          <w:cols w:equalWidth="0" w:num="1">
            <w:col w:w="10219"/>
          </w:cols>
          <w:pgMar w:left="240" w:top="272"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Sheets—Joint Venture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248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CONSOLIDATED INCOME STATEMENTS</w:t>
            </w:r>
          </w:p>
        </w:tc>
        <w:tc>
          <w:tcPr>
            <w:tcW w:w="458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95"/>
              </w:rPr>
              <w:t>Three months ended</w:t>
            </w:r>
          </w:p>
        </w:tc>
        <w:tc>
          <w:tcPr>
            <w:tcW w:w="0" w:type="dxa"/>
            <w:vAlign w:val="bottom"/>
          </w:tcPr>
          <w:p>
            <w:pPr>
              <w:spacing w:after="0"/>
              <w:rPr>
                <w:sz w:val="1"/>
                <w:szCs w:val="1"/>
                <w:color w:val="auto"/>
              </w:rPr>
            </w:pPr>
          </w:p>
        </w:tc>
      </w:tr>
      <w:tr>
        <w:trPr>
          <w:trHeight w:val="153"/>
        </w:trPr>
        <w:tc>
          <w:tcPr>
            <w:tcW w:w="3860" w:type="dxa"/>
            <w:vAlign w:val="bottom"/>
            <w:gridSpan w:val="2"/>
            <w:vMerge w:val="continue"/>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593"/>
              <w:spacing w:after="0" w:line="146" w:lineRule="exact"/>
              <w:rPr>
                <w:sz w:val="20"/>
                <w:szCs w:val="20"/>
                <w:color w:val="auto"/>
              </w:rPr>
            </w:pPr>
            <w:r>
              <w:rPr>
                <w:rFonts w:ascii="Arial" w:cs="Arial" w:eastAsia="Arial" w:hAnsi="Arial"/>
                <w:sz w:val="13"/>
                <w:szCs w:val="13"/>
                <w:b w:val="1"/>
                <w:bCs w:val="1"/>
                <w:color w:val="auto"/>
                <w:w w:val="95"/>
              </w:rPr>
              <w:t>March 31, 2007</w:t>
            </w:r>
          </w:p>
        </w:tc>
        <w:tc>
          <w:tcPr>
            <w:tcW w:w="140" w:type="dxa"/>
            <w:vAlign w:val="bottom"/>
          </w:tcPr>
          <w:p>
            <w:pPr>
              <w:spacing w:after="0"/>
              <w:rPr>
                <w:sz w:val="13"/>
                <w:szCs w:val="13"/>
                <w:color w:val="auto"/>
              </w:rPr>
            </w:pPr>
          </w:p>
        </w:tc>
        <w:tc>
          <w:tcPr>
            <w:tcW w:w="110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5"/>
              </w:rPr>
              <w:t>March 31, 2006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74"/>
              </w:rPr>
              <w:t>thousands)</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ind w:left="1000"/>
              <w:spacing w:after="0"/>
              <w:rPr>
                <w:sz w:val="20"/>
                <w:szCs w:val="20"/>
                <w:color w:val="auto"/>
              </w:rPr>
            </w:pPr>
            <w:r>
              <w:rPr>
                <w:rFonts w:ascii="Arial" w:cs="Arial" w:eastAsia="Arial" w:hAnsi="Arial"/>
                <w:sz w:val="13"/>
                <w:szCs w:val="13"/>
                <w:b w:val="1"/>
                <w:bCs w:val="1"/>
                <w:color w:val="auto"/>
              </w:rPr>
              <w:t>(unaudited)</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4700" w:type="dxa"/>
            <w:vAlign w:val="bottom"/>
            <w:gridSpan w:val="2"/>
          </w:tcPr>
          <w:p>
            <w:pPr>
              <w:ind w:left="45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3,485</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4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3,531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7"/>
                <w:szCs w:val="17"/>
                <w:color w:val="auto"/>
              </w:rPr>
              <w:t>Rental</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563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1,651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33"/>
              <w:spacing w:after="0"/>
              <w:rPr>
                <w:sz w:val="20"/>
                <w:szCs w:val="20"/>
                <w:color w:val="auto"/>
              </w:rPr>
            </w:pPr>
            <w:r>
              <w:rPr>
                <w:rFonts w:ascii="Arial" w:cs="Arial" w:eastAsia="Arial" w:hAnsi="Arial"/>
                <w:sz w:val="17"/>
                <w:szCs w:val="17"/>
                <w:color w:val="auto"/>
              </w:rPr>
              <w:t>(1,074)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19"/>
        </w:trPr>
        <w:tc>
          <w:tcPr>
            <w:tcW w:w="38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4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CONSOLIDATED BALANCE SHEETS</w:t>
            </w: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53"/>
        </w:trPr>
        <w:tc>
          <w:tcPr>
            <w:tcW w:w="3860" w:type="dxa"/>
            <w:vAlign w:val="bottom"/>
            <w:gridSpan w:val="2"/>
            <w:vMerge w:val="continue"/>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593"/>
              <w:spacing w:after="0" w:line="146" w:lineRule="exact"/>
              <w:rPr>
                <w:sz w:val="20"/>
                <w:szCs w:val="20"/>
                <w:color w:val="auto"/>
              </w:rPr>
            </w:pPr>
            <w:r>
              <w:rPr>
                <w:rFonts w:ascii="Arial" w:cs="Arial" w:eastAsia="Arial" w:hAnsi="Arial"/>
                <w:sz w:val="13"/>
                <w:szCs w:val="13"/>
                <w:b w:val="1"/>
                <w:bCs w:val="1"/>
                <w:color w:val="auto"/>
                <w:w w:val="95"/>
              </w:rPr>
              <w:t>March 31, 2007</w:t>
            </w:r>
          </w:p>
        </w:tc>
        <w:tc>
          <w:tcPr>
            <w:tcW w:w="1240" w:type="dxa"/>
            <w:vAlign w:val="bottom"/>
            <w:gridSpan w:val="3"/>
          </w:tcPr>
          <w:p>
            <w:pPr>
              <w:jc w:val="center"/>
              <w:ind w:right="60"/>
              <w:spacing w:after="0" w:line="146" w:lineRule="exact"/>
              <w:rPr>
                <w:sz w:val="20"/>
                <w:szCs w:val="20"/>
                <w:color w:val="auto"/>
              </w:rPr>
            </w:pPr>
            <w:r>
              <w:rPr>
                <w:rFonts w:ascii="Arial" w:cs="Arial" w:eastAsia="Arial" w:hAnsi="Arial"/>
                <w:sz w:val="13"/>
                <w:szCs w:val="13"/>
                <w:b w:val="1"/>
                <w:bCs w:val="1"/>
                <w:color w:val="auto"/>
                <w:w w:val="90"/>
              </w:rPr>
              <w:t>December 31, 2006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74"/>
              </w:rPr>
              <w:t>thousands)</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Real estate, at cost</w:t>
            </w:r>
          </w:p>
        </w:tc>
        <w:tc>
          <w:tcPr>
            <w:tcW w:w="4700" w:type="dxa"/>
            <w:vAlign w:val="bottom"/>
            <w:gridSpan w:val="2"/>
          </w:tcPr>
          <w:p>
            <w:pPr>
              <w:ind w:left="45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201,089</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Less accumulated depreciation and amortization</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33"/>
              <w:spacing w:after="0"/>
              <w:rPr>
                <w:sz w:val="20"/>
                <w:szCs w:val="20"/>
                <w:color w:val="auto"/>
              </w:rPr>
            </w:pPr>
            <w:r>
              <w:rPr>
                <w:rFonts w:ascii="Arial" w:cs="Arial" w:eastAsia="Arial" w:hAnsi="Arial"/>
                <w:sz w:val="17"/>
                <w:szCs w:val="17"/>
                <w:color w:val="auto"/>
              </w:rPr>
              <w:t>(6,434)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(5,468)</w:t>
            </w:r>
          </w:p>
        </w:tc>
        <w:tc>
          <w:tcPr>
            <w:tcW w:w="0" w:type="dxa"/>
            <w:vAlign w:val="bottom"/>
          </w:tcPr>
          <w:p>
            <w:pPr>
              <w:spacing w:after="0"/>
              <w:rPr>
                <w:sz w:val="1"/>
                <w:szCs w:val="1"/>
                <w:color w:val="auto"/>
              </w:rPr>
            </w:pPr>
          </w:p>
        </w:tc>
      </w:tr>
      <w:tr>
        <w:trPr>
          <w:trHeight w:val="219"/>
        </w:trPr>
        <w:tc>
          <w:tcPr>
            <w:tcW w:w="3860" w:type="dxa"/>
            <w:vAlign w:val="bottom"/>
            <w:gridSpan w:val="2"/>
          </w:tcPr>
          <w:p>
            <w:pPr>
              <w:spacing w:after="0"/>
              <w:rPr>
                <w:sz w:val="20"/>
                <w:szCs w:val="20"/>
                <w:color w:val="auto"/>
              </w:rPr>
            </w:pPr>
            <w:r>
              <w:rPr>
                <w:rFonts w:ascii="Arial" w:cs="Arial" w:eastAsia="Arial" w:hAnsi="Arial"/>
                <w:sz w:val="17"/>
                <w:szCs w:val="17"/>
                <w:color w:val="auto"/>
              </w:rPr>
              <w:t>Net real estate investments</w:t>
            </w:r>
          </w:p>
        </w:tc>
        <w:tc>
          <w:tcPr>
            <w:tcW w:w="4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194,655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Accounts receivable and other assets</w:t>
            </w:r>
          </w:p>
        </w:tc>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4700" w:type="dxa"/>
            <w:vAlign w:val="bottom"/>
            <w:gridSpan w:val="2"/>
            <w:shd w:val="clear" w:color="auto" w:fill="CCEEFF"/>
          </w:tcPr>
          <w:p>
            <w:pPr>
              <w:ind w:left="45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204,099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60" w:type="dxa"/>
            <w:vAlign w:val="bottom"/>
            <w:gridSpan w:val="2"/>
            <w:vMerge w:val="continue"/>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7"/>
                <w:szCs w:val="17"/>
                <w:color w:val="auto"/>
              </w:rPr>
              <w:t>Mortgages</w:t>
            </w:r>
          </w:p>
        </w:tc>
        <w:tc>
          <w:tcPr>
            <w:tcW w:w="4700" w:type="dxa"/>
            <w:vAlign w:val="bottom"/>
            <w:gridSpan w:val="2"/>
          </w:tcPr>
          <w:p>
            <w:pPr>
              <w:ind w:left="45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77,425</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77,425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liabilities</w:t>
            </w:r>
          </w:p>
        </w:tc>
        <w:tc>
          <w:tcPr>
            <w:tcW w:w="4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87,224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4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spacing w:after="0"/>
              <w:rPr>
                <w:sz w:val="20"/>
                <w:szCs w:val="20"/>
                <w:color w:val="auto"/>
              </w:rPr>
            </w:pPr>
            <w:r>
              <w:rPr>
                <w:rFonts w:ascii="Arial" w:cs="Arial" w:eastAsia="Arial" w:hAnsi="Arial"/>
                <w:sz w:val="17"/>
                <w:szCs w:val="17"/>
                <w:color w:val="auto"/>
              </w:rPr>
              <w:t>TOTAL LIABILITIES AND PARTNERS’ CAPITAL</w:t>
            </w:r>
          </w:p>
        </w:tc>
        <w:tc>
          <w:tcPr>
            <w:tcW w:w="4700" w:type="dxa"/>
            <w:vAlign w:val="bottom"/>
            <w:gridSpan w:val="2"/>
          </w:tcPr>
          <w:p>
            <w:pPr>
              <w:ind w:left="45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204,099</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129,658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Stated</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47"/>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2"/>
              </w:rPr>
              <w:t>Interest Rate as of</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5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00" w:type="dxa"/>
            <w:vAlign w:val="bottom"/>
            <w:gridSpan w:val="2"/>
          </w:tcPr>
          <w:p>
            <w:pPr>
              <w:ind w:left="560"/>
              <w:spacing w:after="0"/>
              <w:rPr>
                <w:sz w:val="20"/>
                <w:szCs w:val="20"/>
                <w:color w:val="auto"/>
              </w:rPr>
            </w:pPr>
            <w:r>
              <w:rPr>
                <w:rFonts w:ascii="Arial" w:cs="Arial" w:eastAsia="Arial" w:hAnsi="Arial"/>
                <w:sz w:val="13"/>
                <w:szCs w:val="13"/>
                <w:b w:val="1"/>
                <w:bCs w:val="1"/>
                <w:color w:val="auto"/>
              </w:rPr>
              <w:t>Maturity</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March 31, 2007</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r>
      <w:tr>
        <w:trPr>
          <w:trHeight w:val="140"/>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3"/>
                <w:szCs w:val="13"/>
                <w:b w:val="1"/>
                <w:bCs w:val="1"/>
                <w:color w:val="auto"/>
                <w:w w:val="89"/>
              </w:rPr>
              <w:t>(in thousands)</w:t>
            </w:r>
          </w:p>
        </w:tc>
        <w:tc>
          <w:tcPr>
            <w:tcW w:w="1420" w:type="dxa"/>
            <w:vAlign w:val="bottom"/>
          </w:tcPr>
          <w:p>
            <w:pPr>
              <w:spacing w:after="0"/>
              <w:rPr>
                <w:sz w:val="12"/>
                <w:szCs w:val="12"/>
                <w:color w:val="auto"/>
              </w:rPr>
            </w:pPr>
          </w:p>
        </w:tc>
      </w:tr>
      <w:tr>
        <w:trPr>
          <w:trHeight w:val="193"/>
        </w:trPr>
        <w:tc>
          <w:tcPr>
            <w:tcW w:w="5000" w:type="dxa"/>
            <w:vAlign w:val="bottom"/>
            <w:gridSpan w:val="2"/>
            <w:shd w:val="clear" w:color="auto" w:fill="CCEEFF"/>
          </w:tcPr>
          <w:p>
            <w:pPr>
              <w:spacing w:after="0" w:line="173" w:lineRule="exact"/>
              <w:rPr>
                <w:sz w:val="20"/>
                <w:szCs w:val="20"/>
                <w:color w:val="auto"/>
              </w:rPr>
            </w:pPr>
            <w:r>
              <w:rPr>
                <w:rFonts w:ascii="Arial" w:cs="Arial" w:eastAsia="Arial" w:hAnsi="Arial"/>
                <w:sz w:val="17"/>
                <w:szCs w:val="17"/>
                <w:color w:val="auto"/>
              </w:rPr>
              <w:t>Mortgage Loans</w:t>
            </w:r>
          </w:p>
        </w:tc>
        <w:tc>
          <w:tcPr>
            <w:tcW w:w="1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0"/>
        </w:trPr>
        <w:tc>
          <w:tcPr>
            <w:tcW w:w="1140" w:type="dxa"/>
            <w:vAlign w:val="bottom"/>
            <w:tcBorders>
              <w:top w:val="single" w:sz="8" w:color="auto"/>
            </w:tcBorders>
          </w:tcPr>
          <w:p>
            <w:pPr>
              <w:spacing w:after="0"/>
              <w:rPr>
                <w:sz w:val="19"/>
                <w:szCs w:val="19"/>
                <w:color w:val="auto"/>
              </w:rPr>
            </w:pPr>
          </w:p>
        </w:tc>
        <w:tc>
          <w:tcPr>
            <w:tcW w:w="3860" w:type="dxa"/>
            <w:vAlign w:val="bottom"/>
            <w:tcBorders>
              <w:top w:val="single" w:sz="8" w:color="CCEEFF"/>
            </w:tcBorders>
          </w:tcPr>
          <w:p>
            <w:pPr>
              <w:ind w:left="580"/>
              <w:spacing w:after="0"/>
              <w:rPr>
                <w:sz w:val="20"/>
                <w:szCs w:val="20"/>
                <w:color w:val="auto"/>
              </w:rPr>
            </w:pPr>
            <w:r>
              <w:rPr>
                <w:rFonts w:ascii="Arial" w:cs="Arial" w:eastAsia="Arial" w:hAnsi="Arial"/>
                <w:sz w:val="17"/>
                <w:szCs w:val="17"/>
                <w:i w:val="1"/>
                <w:iCs w:val="1"/>
                <w:color w:val="auto"/>
              </w:rPr>
              <w:t>Secured Fixed Rate</w:t>
            </w:r>
          </w:p>
        </w:tc>
        <w:tc>
          <w:tcPr>
            <w:tcW w:w="16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r>
      <w:tr>
        <w:trPr>
          <w:trHeight w:val="100"/>
        </w:trPr>
        <w:tc>
          <w:tcPr>
            <w:tcW w:w="11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3"/>
        </w:trPr>
        <w:tc>
          <w:tcPr>
            <w:tcW w:w="1140" w:type="dxa"/>
            <w:vAlign w:val="bottom"/>
            <w:shd w:val="clear" w:color="auto" w:fill="CCEEFF"/>
          </w:tcPr>
          <w:p>
            <w:pPr>
              <w:spacing w:after="0"/>
              <w:rPr>
                <w:sz w:val="18"/>
                <w:szCs w:val="18"/>
                <w:color w:val="auto"/>
              </w:rPr>
            </w:pPr>
          </w:p>
        </w:tc>
        <w:tc>
          <w:tcPr>
            <w:tcW w:w="38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Campus Plaza</w:t>
            </w:r>
          </w:p>
        </w:tc>
        <w:tc>
          <w:tcPr>
            <w:tcW w:w="2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12/01/09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4.530%</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11,000</w:t>
            </w:r>
          </w:p>
        </w:tc>
      </w:tr>
      <w:tr>
        <w:trPr>
          <w:trHeight w:val="213"/>
        </w:trPr>
        <w:tc>
          <w:tcPr>
            <w:tcW w:w="1140" w:type="dxa"/>
            <w:vAlign w:val="bottom"/>
          </w:tcPr>
          <w:p>
            <w:pPr>
              <w:spacing w:after="0"/>
              <w:rPr>
                <w:sz w:val="18"/>
                <w:szCs w:val="18"/>
                <w:color w:val="auto"/>
              </w:rPr>
            </w:pPr>
          </w:p>
        </w:tc>
        <w:tc>
          <w:tcPr>
            <w:tcW w:w="3860" w:type="dxa"/>
            <w:vAlign w:val="bottom"/>
          </w:tcPr>
          <w:p>
            <w:pPr>
              <w:ind w:left="580"/>
              <w:spacing w:after="0"/>
              <w:rPr>
                <w:sz w:val="20"/>
                <w:szCs w:val="20"/>
                <w:color w:val="auto"/>
              </w:rPr>
            </w:pPr>
            <w:r>
              <w:rPr>
                <w:rFonts w:ascii="Arial" w:cs="Arial" w:eastAsia="Arial" w:hAnsi="Arial"/>
                <w:sz w:val="17"/>
                <w:szCs w:val="17"/>
                <w:color w:val="auto"/>
              </w:rPr>
              <w:t>Pleasant Shops</w:t>
            </w:r>
          </w:p>
        </w:tc>
        <w:tc>
          <w:tcPr>
            <w:tcW w:w="2100" w:type="dxa"/>
            <w:vAlign w:val="bottom"/>
            <w:gridSpan w:val="2"/>
          </w:tcPr>
          <w:p>
            <w:pPr>
              <w:jc w:val="right"/>
              <w:ind w:right="460"/>
              <w:spacing w:after="0"/>
              <w:rPr>
                <w:sz w:val="20"/>
                <w:szCs w:val="20"/>
                <w:color w:val="auto"/>
              </w:rPr>
            </w:pPr>
            <w:r>
              <w:rPr>
                <w:rFonts w:ascii="Arial" w:cs="Arial" w:eastAsia="Arial" w:hAnsi="Arial"/>
                <w:sz w:val="17"/>
                <w:szCs w:val="17"/>
                <w:color w:val="auto"/>
              </w:rPr>
              <w:t>12/01/09</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4.530%</w:t>
            </w:r>
          </w:p>
        </w:tc>
        <w:tc>
          <w:tcPr>
            <w:tcW w:w="640" w:type="dxa"/>
            <w:vAlign w:val="bottom"/>
          </w:tcPr>
          <w:p>
            <w:pPr>
              <w:ind w:left="20"/>
              <w:spacing w:after="0"/>
              <w:rPr>
                <w:sz w:val="20"/>
                <w:szCs w:val="20"/>
                <w:color w:val="auto"/>
              </w:rPr>
            </w:pPr>
            <w:r>
              <w:rPr>
                <w:rFonts w:ascii="Arial" w:cs="Arial" w:eastAsia="Arial" w:hAnsi="Arial"/>
                <w:sz w:val="17"/>
                <w:szCs w:val="17"/>
                <w:color w:val="auto"/>
              </w:rPr>
              <w:t>(a)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12,400</w:t>
            </w:r>
          </w:p>
        </w:tc>
        <w:tc>
          <w:tcPr>
            <w:tcW w:w="1420" w:type="dxa"/>
            <w:vAlign w:val="bottom"/>
          </w:tcPr>
          <w:p>
            <w:pPr>
              <w:spacing w:after="0"/>
              <w:rPr>
                <w:sz w:val="18"/>
                <w:szCs w:val="18"/>
                <w:color w:val="auto"/>
              </w:rPr>
            </w:pPr>
          </w:p>
        </w:tc>
      </w:tr>
      <w:tr>
        <w:trPr>
          <w:trHeight w:val="213"/>
        </w:trPr>
        <w:tc>
          <w:tcPr>
            <w:tcW w:w="1140" w:type="dxa"/>
            <w:vAlign w:val="bottom"/>
            <w:shd w:val="clear" w:color="auto" w:fill="CCEEFF"/>
          </w:tcPr>
          <w:p>
            <w:pPr>
              <w:spacing w:after="0"/>
              <w:rPr>
                <w:sz w:val="18"/>
                <w:szCs w:val="18"/>
                <w:color w:val="auto"/>
              </w:rPr>
            </w:pPr>
          </w:p>
        </w:tc>
        <w:tc>
          <w:tcPr>
            <w:tcW w:w="38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Plaza del Mercado</w:t>
            </w:r>
          </w:p>
        </w:tc>
        <w:tc>
          <w:tcPr>
            <w:tcW w:w="2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07/05/14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5.770%</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1420" w:type="dxa"/>
            <w:vAlign w:val="bottom"/>
            <w:shd w:val="clear" w:color="auto" w:fill="CCEEFF"/>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3860" w:type="dxa"/>
            <w:vAlign w:val="bottom"/>
          </w:tcPr>
          <w:p>
            <w:pPr>
              <w:ind w:left="580"/>
              <w:spacing w:after="0"/>
              <w:rPr>
                <w:sz w:val="20"/>
                <w:szCs w:val="20"/>
                <w:color w:val="auto"/>
              </w:rPr>
            </w:pPr>
            <w:r>
              <w:rPr>
                <w:rFonts w:ascii="Arial" w:cs="Arial" w:eastAsia="Arial" w:hAnsi="Arial"/>
                <w:sz w:val="17"/>
                <w:szCs w:val="17"/>
                <w:color w:val="auto"/>
              </w:rPr>
              <w:t>Atlantic Plaza</w:t>
            </w:r>
          </w:p>
        </w:tc>
        <w:tc>
          <w:tcPr>
            <w:tcW w:w="2100" w:type="dxa"/>
            <w:vAlign w:val="bottom"/>
            <w:gridSpan w:val="2"/>
          </w:tcPr>
          <w:p>
            <w:pPr>
              <w:jc w:val="right"/>
              <w:ind w:right="460"/>
              <w:spacing w:after="0"/>
              <w:rPr>
                <w:sz w:val="20"/>
                <w:szCs w:val="20"/>
                <w:color w:val="auto"/>
              </w:rPr>
            </w:pPr>
            <w:r>
              <w:rPr>
                <w:rFonts w:ascii="Arial" w:cs="Arial" w:eastAsia="Arial" w:hAnsi="Arial"/>
                <w:sz w:val="17"/>
                <w:szCs w:val="17"/>
                <w:color w:val="auto"/>
              </w:rPr>
              <w:t>12/01/14</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5.120%</w:t>
            </w:r>
          </w:p>
        </w:tc>
        <w:tc>
          <w:tcPr>
            <w:tcW w:w="640" w:type="dxa"/>
            <w:vAlign w:val="bottom"/>
          </w:tcPr>
          <w:p>
            <w:pPr>
              <w:ind w:left="20"/>
              <w:spacing w:after="0"/>
              <w:rPr>
                <w:sz w:val="20"/>
                <w:szCs w:val="20"/>
                <w:color w:val="auto"/>
              </w:rPr>
            </w:pPr>
            <w:r>
              <w:rPr>
                <w:rFonts w:ascii="Arial" w:cs="Arial" w:eastAsia="Arial" w:hAnsi="Arial"/>
                <w:sz w:val="17"/>
                <w:szCs w:val="17"/>
                <w:color w:val="auto"/>
              </w:rPr>
              <w:t>(a)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10,500</w:t>
            </w:r>
          </w:p>
        </w:tc>
        <w:tc>
          <w:tcPr>
            <w:tcW w:w="1420" w:type="dxa"/>
            <w:vAlign w:val="bottom"/>
          </w:tcPr>
          <w:p>
            <w:pPr>
              <w:spacing w:after="0"/>
              <w:rPr>
                <w:sz w:val="18"/>
                <w:szCs w:val="18"/>
                <w:color w:val="auto"/>
              </w:rPr>
            </w:pPr>
          </w:p>
        </w:tc>
      </w:tr>
      <w:tr>
        <w:trPr>
          <w:trHeight w:val="213"/>
        </w:trPr>
        <w:tc>
          <w:tcPr>
            <w:tcW w:w="1140" w:type="dxa"/>
            <w:vAlign w:val="bottom"/>
            <w:shd w:val="clear" w:color="auto" w:fill="CCEEFF"/>
          </w:tcPr>
          <w:p>
            <w:pPr>
              <w:spacing w:after="0"/>
              <w:rPr>
                <w:sz w:val="18"/>
                <w:szCs w:val="18"/>
                <w:color w:val="auto"/>
              </w:rPr>
            </w:pPr>
          </w:p>
        </w:tc>
        <w:tc>
          <w:tcPr>
            <w:tcW w:w="38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Barcroft Plaza</w:t>
            </w:r>
          </w:p>
        </w:tc>
        <w:tc>
          <w:tcPr>
            <w:tcW w:w="2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07/01/16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6.060%</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w:t>
            </w:r>
          </w:p>
        </w:tc>
        <w:tc>
          <w:tcPr>
            <w:tcW w:w="1420" w:type="dxa"/>
            <w:vAlign w:val="bottom"/>
            <w:shd w:val="clear" w:color="auto" w:fill="CCEEFF"/>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ind w:left="580"/>
              <w:spacing w:after="0"/>
              <w:rPr>
                <w:sz w:val="20"/>
                <w:szCs w:val="20"/>
                <w:color w:val="auto"/>
              </w:rPr>
            </w:pPr>
            <w:r>
              <w:rPr>
                <w:rFonts w:ascii="Arial" w:cs="Arial" w:eastAsia="Arial" w:hAnsi="Arial"/>
                <w:sz w:val="17"/>
                <w:szCs w:val="17"/>
                <w:color w:val="auto"/>
              </w:rPr>
              <w:t>Greenlawn Plaza</w:t>
            </w:r>
          </w:p>
        </w:tc>
        <w:tc>
          <w:tcPr>
            <w:tcW w:w="2100" w:type="dxa"/>
            <w:vAlign w:val="bottom"/>
            <w:gridSpan w:val="2"/>
          </w:tcPr>
          <w:p>
            <w:pPr>
              <w:jc w:val="right"/>
              <w:ind w:right="460"/>
              <w:spacing w:after="0"/>
              <w:rPr>
                <w:sz w:val="20"/>
                <w:szCs w:val="20"/>
                <w:color w:val="auto"/>
              </w:rPr>
            </w:pPr>
            <w:r>
              <w:rPr>
                <w:rFonts w:ascii="Arial" w:cs="Arial" w:eastAsia="Arial" w:hAnsi="Arial"/>
                <w:sz w:val="17"/>
                <w:szCs w:val="17"/>
                <w:color w:val="auto"/>
              </w:rPr>
              <w:t>07/01/16</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5.900%</w:t>
            </w:r>
          </w:p>
        </w:tc>
        <w:tc>
          <w:tcPr>
            <w:tcW w:w="640" w:type="dxa"/>
            <w:vAlign w:val="bottom"/>
          </w:tcPr>
          <w:p>
            <w:pPr>
              <w:ind w:left="20"/>
              <w:spacing w:after="0"/>
              <w:rPr>
                <w:sz w:val="20"/>
                <w:szCs w:val="20"/>
                <w:color w:val="auto"/>
              </w:rPr>
            </w:pPr>
            <w:r>
              <w:rPr>
                <w:rFonts w:ascii="Arial" w:cs="Arial" w:eastAsia="Arial" w:hAnsi="Arial"/>
                <w:sz w:val="17"/>
                <w:szCs w:val="17"/>
                <w:color w:val="auto"/>
              </w:rPr>
              <w:t>(a)</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13,600</w:t>
            </w:r>
          </w:p>
        </w:tc>
        <w:tc>
          <w:tcPr>
            <w:tcW w:w="1420" w:type="dxa"/>
            <w:vAlign w:val="bottom"/>
          </w:tcPr>
          <w:p>
            <w:pPr>
              <w:spacing w:after="0"/>
              <w:rPr>
                <w:sz w:val="19"/>
                <w:szCs w:val="19"/>
                <w:color w:val="auto"/>
              </w:rPr>
            </w:pPr>
          </w:p>
        </w:tc>
      </w:tr>
      <w:tr>
        <w:trPr>
          <w:trHeight w:val="213"/>
        </w:trPr>
        <w:tc>
          <w:tcPr>
            <w:tcW w:w="11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Total Fixed Rate Debt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77,425</w:t>
            </w:r>
          </w:p>
        </w:tc>
        <w:tc>
          <w:tcPr>
            <w:tcW w:w="142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Maturities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gridSpan w:val="2"/>
          </w:tcPr>
          <w:p>
            <w:pPr>
              <w:jc w:val="center"/>
              <w:ind w:right="380"/>
              <w:spacing w:after="0" w:line="147" w:lineRule="exact"/>
              <w:rPr>
                <w:sz w:val="20"/>
                <w:szCs w:val="20"/>
                <w:color w:val="auto"/>
              </w:rPr>
            </w:pPr>
            <w:r>
              <w:rPr>
                <w:rFonts w:ascii="Arial" w:cs="Arial" w:eastAsia="Arial" w:hAnsi="Arial"/>
                <w:sz w:val="13"/>
                <w:szCs w:val="13"/>
                <w:b w:val="1"/>
                <w:bCs w:val="1"/>
                <w:color w:val="auto"/>
                <w:w w:val="91"/>
              </w:rPr>
              <w:t>Percent of</w:t>
            </w:r>
          </w:p>
        </w:tc>
        <w:tc>
          <w:tcPr>
            <w:tcW w:w="220" w:type="dxa"/>
            <w:vAlign w:val="bottom"/>
          </w:tcPr>
          <w:p>
            <w:pPr>
              <w:spacing w:after="0"/>
              <w:rPr>
                <w:sz w:val="12"/>
                <w:szCs w:val="12"/>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47"/>
        </w:trPr>
        <w:tc>
          <w:tcPr>
            <w:tcW w:w="1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460" w:type="dxa"/>
            <w:vAlign w:val="bottom"/>
          </w:tcPr>
          <w:p>
            <w:pPr>
              <w:spacing w:after="0"/>
              <w:rPr>
                <w:sz w:val="12"/>
                <w:szCs w:val="12"/>
                <w:color w:val="auto"/>
              </w:rPr>
            </w:pPr>
          </w:p>
        </w:tc>
        <w:tc>
          <w:tcPr>
            <w:tcW w:w="306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Scheduled Amortization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gridSpan w:val="2"/>
          </w:tcPr>
          <w:p>
            <w:pPr>
              <w:jc w:val="center"/>
              <w:ind w:right="380"/>
              <w:spacing w:after="0" w:line="147" w:lineRule="exact"/>
              <w:rPr>
                <w:sz w:val="20"/>
                <w:szCs w:val="20"/>
                <w:color w:val="auto"/>
              </w:rPr>
            </w:pPr>
            <w:r>
              <w:rPr>
                <w:rFonts w:ascii="Arial" w:cs="Arial" w:eastAsia="Arial" w:hAnsi="Arial"/>
                <w:sz w:val="13"/>
                <w:szCs w:val="13"/>
                <w:b w:val="1"/>
                <w:bCs w:val="1"/>
                <w:color w:val="auto"/>
                <w:w w:val="89"/>
              </w:rPr>
              <w:t>Debt</w:t>
            </w:r>
          </w:p>
        </w:tc>
        <w:tc>
          <w:tcPr>
            <w:tcW w:w="220" w:type="dxa"/>
            <w:vAlign w:val="bottom"/>
          </w:tcPr>
          <w:p>
            <w:pPr>
              <w:spacing w:after="0"/>
              <w:rPr>
                <w:sz w:val="12"/>
                <w:szCs w:val="12"/>
                <w:color w:val="auto"/>
              </w:rPr>
            </w:pPr>
          </w:p>
        </w:tc>
        <w:tc>
          <w:tcPr>
            <w:tcW w:w="82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w w:val="96"/>
              </w:rPr>
              <w:t>Debt</w:t>
            </w:r>
          </w:p>
        </w:tc>
        <w:tc>
          <w:tcPr>
            <w:tcW w:w="0" w:type="dxa"/>
            <w:vAlign w:val="bottom"/>
          </w:tcPr>
          <w:p>
            <w:pPr>
              <w:spacing w:after="0"/>
              <w:rPr>
                <w:sz w:val="1"/>
                <w:szCs w:val="1"/>
                <w:color w:val="auto"/>
              </w:rPr>
            </w:pPr>
          </w:p>
        </w:tc>
      </w:tr>
      <w:tr>
        <w:trPr>
          <w:trHeight w:val="146"/>
        </w:trPr>
        <w:tc>
          <w:tcPr>
            <w:tcW w:w="12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ind w:left="220"/>
              <w:spacing w:after="0" w:line="146" w:lineRule="exact"/>
              <w:rPr>
                <w:sz w:val="20"/>
                <w:szCs w:val="20"/>
                <w:color w:val="auto"/>
              </w:rPr>
            </w:pPr>
            <w:r>
              <w:rPr>
                <w:rFonts w:ascii="Arial" w:cs="Arial" w:eastAsia="Arial" w:hAnsi="Arial"/>
                <w:sz w:val="13"/>
                <w:szCs w:val="13"/>
                <w:b w:val="1"/>
                <w:bCs w:val="1"/>
                <w:color w:val="auto"/>
              </w:rPr>
              <w:t>Maturities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right"/>
              <w:ind w:right="1420"/>
              <w:spacing w:after="0" w:line="146" w:lineRule="exact"/>
              <w:rPr>
                <w:sz w:val="20"/>
                <w:szCs w:val="20"/>
                <w:color w:val="auto"/>
              </w:rPr>
            </w:pPr>
            <w:r>
              <w:rPr>
                <w:rFonts w:ascii="Arial" w:cs="Arial" w:eastAsia="Arial" w:hAnsi="Arial"/>
                <w:sz w:val="13"/>
                <w:szCs w:val="13"/>
                <w:b w:val="1"/>
                <w:bCs w:val="1"/>
                <w:color w:val="auto"/>
              </w:rPr>
              <w:t>Total</w:t>
            </w:r>
          </w:p>
        </w:tc>
        <w:tc>
          <w:tcPr>
            <w:tcW w:w="12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8"/>
              </w:rPr>
              <w:t>Maturing</w:t>
            </w:r>
          </w:p>
        </w:tc>
        <w:tc>
          <w:tcPr>
            <w:tcW w:w="220" w:type="dxa"/>
            <w:vAlign w:val="bottom"/>
          </w:tcPr>
          <w:p>
            <w:pPr>
              <w:spacing w:after="0"/>
              <w:rPr>
                <w:sz w:val="12"/>
                <w:szCs w:val="12"/>
                <w:color w:val="auto"/>
              </w:rPr>
            </w:pPr>
          </w:p>
        </w:tc>
        <w:tc>
          <w:tcPr>
            <w:tcW w:w="82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rPr>
              <w:t>Maturing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560"/>
              <w:spacing w:after="0"/>
              <w:rPr>
                <w:sz w:val="20"/>
                <w:szCs w:val="20"/>
                <w:color w:val="auto"/>
              </w:rPr>
            </w:pPr>
            <w:r>
              <w:rPr>
                <w:rFonts w:ascii="Arial" w:cs="Arial" w:eastAsia="Arial" w:hAnsi="Arial"/>
                <w:sz w:val="17"/>
                <w:szCs w:val="17"/>
                <w:color w:val="auto"/>
              </w:rPr>
              <w:t>$70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70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2008</w:t>
            </w:r>
          </w:p>
        </w:tc>
        <w:tc>
          <w:tcPr>
            <w:tcW w:w="320" w:type="dxa"/>
            <w:vAlign w:val="bottom"/>
          </w:tcPr>
          <w:p>
            <w:pPr>
              <w:spacing w:after="0"/>
              <w:rPr>
                <w:sz w:val="18"/>
                <w:szCs w:val="18"/>
                <w:color w:val="auto"/>
              </w:rPr>
            </w:pPr>
          </w:p>
        </w:tc>
        <w:tc>
          <w:tcPr>
            <w:tcW w:w="3520" w:type="dxa"/>
            <w:vAlign w:val="bottom"/>
            <w:gridSpan w:val="3"/>
          </w:tcPr>
          <w:p>
            <w:pPr>
              <w:ind w:left="3020"/>
              <w:spacing w:after="0"/>
              <w:rPr>
                <w:sz w:val="20"/>
                <w:szCs w:val="20"/>
                <w:color w:val="auto"/>
              </w:rPr>
            </w:pPr>
            <w:r>
              <w:rPr>
                <w:rFonts w:ascii="Arial" w:cs="Arial" w:eastAsia="Arial" w:hAnsi="Arial"/>
                <w:sz w:val="17"/>
                <w:szCs w:val="17"/>
                <w:color w:val="auto"/>
              </w:rPr>
              <w:t>175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7"/>
                <w:szCs w:val="17"/>
                <w:color w:val="auto"/>
              </w:rPr>
              <w:t>175</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0.2%</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3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3020"/>
              <w:spacing w:after="0"/>
              <w:rPr>
                <w:sz w:val="20"/>
                <w:szCs w:val="20"/>
                <w:color w:val="auto"/>
              </w:rPr>
            </w:pPr>
            <w:r>
              <w:rPr>
                <w:rFonts w:ascii="Arial" w:cs="Arial" w:eastAsia="Arial" w:hAnsi="Arial"/>
                <w:sz w:val="17"/>
                <w:szCs w:val="17"/>
                <w:color w:val="auto"/>
              </w:rPr>
              <w:t>185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23,400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23,585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2010</w:t>
            </w:r>
          </w:p>
        </w:tc>
        <w:tc>
          <w:tcPr>
            <w:tcW w:w="320" w:type="dxa"/>
            <w:vAlign w:val="bottom"/>
          </w:tcPr>
          <w:p>
            <w:pPr>
              <w:spacing w:after="0"/>
              <w:rPr>
                <w:sz w:val="18"/>
                <w:szCs w:val="18"/>
                <w:color w:val="auto"/>
              </w:rPr>
            </w:pPr>
          </w:p>
        </w:tc>
        <w:tc>
          <w:tcPr>
            <w:tcW w:w="3520" w:type="dxa"/>
            <w:vAlign w:val="bottom"/>
            <w:gridSpan w:val="3"/>
          </w:tcPr>
          <w:p>
            <w:pPr>
              <w:ind w:left="3020"/>
              <w:spacing w:after="0"/>
              <w:rPr>
                <w:sz w:val="20"/>
                <w:szCs w:val="20"/>
                <w:color w:val="auto"/>
              </w:rPr>
            </w:pPr>
            <w:r>
              <w:rPr>
                <w:rFonts w:ascii="Arial" w:cs="Arial" w:eastAsia="Arial" w:hAnsi="Arial"/>
                <w:sz w:val="17"/>
                <w:szCs w:val="17"/>
                <w:color w:val="auto"/>
              </w:rPr>
              <w:t>196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7"/>
                <w:szCs w:val="17"/>
                <w:color w:val="auto"/>
              </w:rPr>
              <w:t>196</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0.3%</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3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3020"/>
              <w:spacing w:after="0"/>
              <w:rPr>
                <w:sz w:val="20"/>
                <w:szCs w:val="20"/>
                <w:color w:val="auto"/>
              </w:rPr>
            </w:pPr>
            <w:r>
              <w:rPr>
                <w:rFonts w:ascii="Arial" w:cs="Arial" w:eastAsia="Arial" w:hAnsi="Arial"/>
                <w:sz w:val="17"/>
                <w:szCs w:val="17"/>
                <w:color w:val="auto"/>
              </w:rPr>
              <w:t>208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208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8"/>
                <w:szCs w:val="18"/>
                <w:color w:val="auto"/>
              </w:rPr>
            </w:pPr>
          </w:p>
        </w:tc>
        <w:tc>
          <w:tcPr>
            <w:tcW w:w="3520" w:type="dxa"/>
            <w:vAlign w:val="bottom"/>
            <w:gridSpan w:val="3"/>
          </w:tcPr>
          <w:p>
            <w:pPr>
              <w:ind w:left="3020"/>
              <w:spacing w:after="0"/>
              <w:rPr>
                <w:sz w:val="20"/>
                <w:szCs w:val="20"/>
                <w:color w:val="auto"/>
              </w:rPr>
            </w:pPr>
            <w:r>
              <w:rPr>
                <w:rFonts w:ascii="Arial" w:cs="Arial" w:eastAsia="Arial" w:hAnsi="Arial"/>
                <w:sz w:val="17"/>
                <w:szCs w:val="17"/>
                <w:color w:val="auto"/>
              </w:rPr>
              <w:t>220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7"/>
                <w:szCs w:val="17"/>
                <w:color w:val="auto"/>
              </w:rPr>
              <w:t>220</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0.3%</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3020"/>
              <w:spacing w:after="0"/>
              <w:rPr>
                <w:sz w:val="20"/>
                <w:szCs w:val="20"/>
                <w:color w:val="auto"/>
              </w:rPr>
            </w:pPr>
            <w:r>
              <w:rPr>
                <w:rFonts w:ascii="Arial" w:cs="Arial" w:eastAsia="Arial" w:hAnsi="Arial"/>
                <w:sz w:val="17"/>
                <w:szCs w:val="17"/>
                <w:color w:val="auto"/>
              </w:rPr>
              <w:t>233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233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2014</w:t>
            </w:r>
          </w:p>
        </w:tc>
        <w:tc>
          <w:tcPr>
            <w:tcW w:w="320" w:type="dxa"/>
            <w:vAlign w:val="bottom"/>
          </w:tcPr>
          <w:p>
            <w:pPr>
              <w:spacing w:after="0"/>
              <w:rPr>
                <w:sz w:val="18"/>
                <w:szCs w:val="18"/>
                <w:color w:val="auto"/>
              </w:rPr>
            </w:pPr>
          </w:p>
        </w:tc>
        <w:tc>
          <w:tcPr>
            <w:tcW w:w="3520" w:type="dxa"/>
            <w:vAlign w:val="bottom"/>
            <w:gridSpan w:val="3"/>
          </w:tcPr>
          <w:p>
            <w:pPr>
              <w:ind w:left="3020"/>
              <w:spacing w:after="0"/>
              <w:rPr>
                <w:sz w:val="20"/>
                <w:szCs w:val="20"/>
                <w:color w:val="auto"/>
              </w:rPr>
            </w:pPr>
            <w:r>
              <w:rPr>
                <w:rFonts w:ascii="Arial" w:cs="Arial" w:eastAsia="Arial" w:hAnsi="Arial"/>
                <w:sz w:val="17"/>
                <w:szCs w:val="17"/>
                <w:color w:val="auto"/>
              </w:rPr>
              <w:t>142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860"/>
              <w:spacing w:after="0"/>
              <w:rPr>
                <w:sz w:val="20"/>
                <w:szCs w:val="20"/>
                <w:color w:val="auto"/>
              </w:rPr>
            </w:pPr>
            <w:r>
              <w:rPr>
                <w:rFonts w:ascii="Arial" w:cs="Arial" w:eastAsia="Arial" w:hAnsi="Arial"/>
                <w:sz w:val="17"/>
                <w:szCs w:val="17"/>
                <w:color w:val="auto"/>
              </w:rPr>
              <w:t>22,396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7"/>
                <w:szCs w:val="17"/>
                <w:color w:val="auto"/>
              </w:rPr>
              <w:t>22,538</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29.0%</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2016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tcPr>
          <w:p>
            <w:pPr>
              <w:ind w:left="25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7"/>
                <w:szCs w:val="17"/>
                <w:color w:val="auto"/>
                <w:w w:val="88"/>
              </w:rPr>
              <w:t>30,200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7"/>
                <w:szCs w:val="17"/>
                <w:color w:val="auto"/>
              </w:rPr>
              <w:t>30,200</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39.0%</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$1,429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75,996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77,425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5"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Loan is interest only until July 5, 2007, after which principal and interest payments are due based on a 30-year amortization schedule.</w:t>
      </w:r>
    </w:p>
    <w:p>
      <w:pPr>
        <w:spacing w:after="0" w:line="17" w:lineRule="exact"/>
        <w:rPr>
          <w:rFonts w:ascii="Arial" w:cs="Arial" w:eastAsia="Arial" w:hAnsi="Arial"/>
          <w:sz w:val="17"/>
          <w:szCs w:val="17"/>
          <w:color w:val="auto"/>
        </w:rPr>
      </w:pPr>
    </w:p>
    <w:p>
      <w:pPr>
        <w:ind w:left="460" w:right="160" w:hanging="453"/>
        <w:spacing w:after="0" w:line="297"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10, 2007, our unconsolidated real estate partnership entered into a mortgage loan for approximately $4.2 million. The mortgage loan is secured by Lake Barcroft Shopping Center which was acquired on February 20, 2007 and is adjacent to and operated as part of Barcroft Plaza. The loan on Lake Barcroft Shopping Center matures on July 1, 2016, bears interest at 5.71% per annum and requires monthly payments of interest only.</w:t>
      </w:r>
    </w:p>
    <w:p>
      <w:pPr>
        <w:sectPr>
          <w:pgSz w:w="11900" w:h="16838" w:orient="portrait"/>
          <w:cols w:equalWidth="0" w:num="1">
            <w:col w:w="11420"/>
          </w:cols>
          <w:pgMar w:left="240" w:top="272"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 Acquisitions and Dispositions - Joint Venture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Joint Venture Acquisitions - Unconsolidated (30% owned)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4"/>
                <w:szCs w:val="14"/>
                <w:color w:val="auto"/>
              </w:rPr>
            </w:pPr>
          </w:p>
        </w:tc>
        <w:tc>
          <w:tcPr>
            <w:tcW w:w="300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4"/>
                <w:szCs w:val="14"/>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City / State</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GLA</w:t>
            </w: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Purchase price</w:t>
            </w:r>
          </w:p>
        </w:tc>
        <w:tc>
          <w:tcPr>
            <w:tcW w:w="240" w:type="dxa"/>
            <w:vAlign w:val="bottom"/>
          </w:tcPr>
          <w:p>
            <w:pPr>
              <w:spacing w:after="0"/>
              <w:rPr>
                <w:sz w:val="14"/>
                <w:szCs w:val="14"/>
                <w:color w:val="auto"/>
              </w:rPr>
            </w:pPr>
          </w:p>
        </w:tc>
        <w:tc>
          <w:tcPr>
            <w:tcW w:w="294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Anchor tenants</w:t>
            </w:r>
          </w:p>
        </w:tc>
      </w:tr>
      <w:tr>
        <w:trPr>
          <w:trHeight w:val="147"/>
        </w:trPr>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ind w:left="20"/>
              <w:spacing w:after="0" w:line="147" w:lineRule="exact"/>
              <w:rPr>
                <w:sz w:val="20"/>
                <w:szCs w:val="20"/>
                <w:color w:val="auto"/>
              </w:rPr>
            </w:pPr>
            <w:r>
              <w:rPr>
                <w:rFonts w:ascii="Arial" w:cs="Arial" w:eastAsia="Arial" w:hAnsi="Arial"/>
                <w:sz w:val="13"/>
                <w:szCs w:val="13"/>
                <w:b w:val="1"/>
                <w:bCs w:val="1"/>
                <w:color w:val="auto"/>
                <w:w w:val="89"/>
              </w:rPr>
              <w:t>(in thousands)</w:t>
            </w: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205"/>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February 15, 2007</w:t>
            </w:r>
          </w:p>
        </w:tc>
        <w:tc>
          <w:tcPr>
            <w:tcW w:w="2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Freestate Shopping Center</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Bowie, MD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278,000</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2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Super Giant, Ross, AMF Bowling, TJ</w:t>
            </w:r>
          </w:p>
        </w:tc>
      </w:tr>
      <w:tr>
        <w:trPr>
          <w:trHeight w:val="222"/>
        </w:trPr>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Maxx, Office Depot</w:t>
            </w:r>
          </w:p>
        </w:tc>
      </w:tr>
      <w:tr>
        <w:trPr>
          <w:trHeight w:val="213"/>
        </w:trPr>
        <w:tc>
          <w:tcPr>
            <w:tcW w:w="1460" w:type="dxa"/>
            <w:vAlign w:val="bottom"/>
          </w:tcPr>
          <w:p>
            <w:pPr>
              <w:spacing w:after="0"/>
              <w:rPr>
                <w:sz w:val="20"/>
                <w:szCs w:val="20"/>
                <w:color w:val="auto"/>
              </w:rPr>
            </w:pPr>
            <w:r>
              <w:rPr>
                <w:rFonts w:ascii="Arial" w:cs="Arial" w:eastAsia="Arial" w:hAnsi="Arial"/>
                <w:sz w:val="17"/>
                <w:szCs w:val="17"/>
                <w:color w:val="auto"/>
              </w:rPr>
              <w:t>February 20, 2007</w:t>
            </w:r>
          </w:p>
        </w:tc>
        <w:tc>
          <w:tcPr>
            <w:tcW w:w="2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Lake Barcroft Shopping Center</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Falls Church, VA</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9,000</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Bank of America</w:t>
            </w: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13"/>
        </w:trPr>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287,000</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2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248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Mortgage or</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Grocery</w:t>
            </w:r>
          </w:p>
        </w:tc>
        <w:tc>
          <w:tcPr>
            <w:tcW w:w="124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Other Principal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3"/>
              <w:spacing w:after="0" w:line="134"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1"/>
                <w:szCs w:val="11"/>
                <w:color w:val="auto"/>
              </w:rPr>
            </w:pPr>
          </w:p>
        </w:tc>
        <w:tc>
          <w:tcPr>
            <w:tcW w:w="92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rPr>
              <w:t>Capital Lease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6"/>
              </w:rPr>
              <w:t>Anchor</w:t>
            </w:r>
          </w:p>
        </w:tc>
        <w:tc>
          <w:tcPr>
            <w:tcW w:w="1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20" w:type="dxa"/>
            <w:vAlign w:val="bottom"/>
            <w:gridSpan w:val="5"/>
          </w:tcPr>
          <w:p>
            <w:pPr>
              <w:spacing w:after="0"/>
              <w:rPr>
                <w:sz w:val="20"/>
                <w:szCs w:val="20"/>
                <w:color w:val="auto"/>
              </w:rPr>
            </w:pPr>
            <w:r>
              <w:rPr>
                <w:rFonts w:ascii="Arial" w:cs="Arial" w:eastAsia="Arial" w:hAnsi="Arial"/>
                <w:sz w:val="13"/>
                <w:szCs w:val="13"/>
                <w:b w:val="1"/>
                <w:bCs w:val="1"/>
                <w:color w:val="auto"/>
              </w:rPr>
              <w:t>Property Name</w:t>
            </w:r>
          </w:p>
        </w:tc>
        <w:tc>
          <w:tcPr>
            <w:tcW w:w="160" w:type="dxa"/>
            <w:vAlign w:val="bottom"/>
          </w:tcPr>
          <w:p>
            <w:pPr>
              <w:spacing w:after="0"/>
              <w:rPr>
                <w:sz w:val="14"/>
                <w:szCs w:val="14"/>
                <w:color w:val="auto"/>
              </w:rPr>
            </w:pPr>
          </w:p>
        </w:tc>
        <w:tc>
          <w:tcPr>
            <w:tcW w:w="2380" w:type="dxa"/>
            <w:vAlign w:val="bottom"/>
          </w:tcPr>
          <w:p>
            <w:pPr>
              <w:ind w:left="66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Obligation</w:t>
            </w:r>
          </w:p>
        </w:tc>
        <w:tc>
          <w:tcPr>
            <w:tcW w:w="520" w:type="dxa"/>
            <w:vAlign w:val="bottom"/>
            <w:gridSpan w:val="2"/>
          </w:tcPr>
          <w:p>
            <w:pPr>
              <w:ind w:left="60"/>
              <w:spacing w:after="0"/>
              <w:rPr>
                <w:sz w:val="20"/>
                <w:szCs w:val="20"/>
                <w:color w:val="auto"/>
              </w:rPr>
            </w:pPr>
            <w:r>
              <w:rPr>
                <w:rFonts w:ascii="Arial" w:cs="Arial" w:eastAsia="Arial" w:hAnsi="Arial"/>
                <w:sz w:val="13"/>
                <w:szCs w:val="13"/>
                <w:b w:val="1"/>
                <w:bCs w:val="1"/>
                <w:color w:val="auto"/>
              </w:rPr>
              <w:t>GLA</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 Leased</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GLA (1)</w:t>
            </w:r>
          </w:p>
        </w:tc>
        <w:tc>
          <w:tcPr>
            <w:tcW w:w="1240" w:type="dxa"/>
            <w:vAlign w:val="bottom"/>
          </w:tcPr>
          <w:p>
            <w:pPr>
              <w:ind w:left="300"/>
              <w:spacing w:after="0"/>
              <w:rPr>
                <w:sz w:val="20"/>
                <w:szCs w:val="20"/>
                <w:color w:val="auto"/>
              </w:rPr>
            </w:pPr>
            <w:r>
              <w:rPr>
                <w:rFonts w:ascii="Arial" w:cs="Arial" w:eastAsia="Arial" w:hAnsi="Arial"/>
                <w:sz w:val="13"/>
                <w:szCs w:val="13"/>
                <w:b w:val="1"/>
                <w:bCs w:val="1"/>
                <w:color w:val="auto"/>
              </w:rPr>
              <w:t>Anchor (1)</w:t>
            </w: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3"/>
                <w:szCs w:val="13"/>
                <w:b w:val="1"/>
                <w:bCs w:val="1"/>
                <w:color w:val="auto"/>
                <w:w w:val="91"/>
              </w:rPr>
              <w:t>(in thousands)</w:t>
            </w: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87"/>
              </w:rPr>
              <w:t>East Region</w:t>
            </w:r>
          </w:p>
        </w:tc>
        <w:tc>
          <w:tcPr>
            <w:tcW w:w="920" w:type="dxa"/>
            <w:vAlign w:val="bottom"/>
            <w:tcBorders>
              <w:bottom w:val="single" w:sz="8" w:color="CCEEFF"/>
            </w:tcBorders>
            <w:gridSpan w:val="3"/>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2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160" w:type="dxa"/>
            <w:vAlign w:val="bottom"/>
            <w:gridSpan w:val="7"/>
          </w:tcPr>
          <w:p>
            <w:pPr>
              <w:spacing w:after="0"/>
              <w:rPr>
                <w:sz w:val="20"/>
                <w:szCs w:val="20"/>
                <w:color w:val="auto"/>
              </w:rPr>
            </w:pPr>
            <w:r>
              <w:rPr>
                <w:rFonts w:ascii="Arial" w:cs="Arial" w:eastAsia="Arial" w:hAnsi="Arial"/>
                <w:sz w:val="13"/>
                <w:szCs w:val="13"/>
                <w:b w:val="1"/>
                <w:bCs w:val="1"/>
                <w:color w:val="auto"/>
              </w:rPr>
              <w:t>Washington Metropolitan Area</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line="140" w:lineRule="exact"/>
              <w:rPr>
                <w:sz w:val="20"/>
                <w:szCs w:val="20"/>
                <w:color w:val="auto"/>
              </w:rPr>
            </w:pPr>
            <w:r>
              <w:rPr>
                <w:rFonts w:ascii="Arial" w:cs="Arial" w:eastAsia="Arial" w:hAnsi="Arial"/>
                <w:sz w:val="13"/>
                <w:szCs w:val="13"/>
                <w:color w:val="auto"/>
              </w:rPr>
              <w:t>Barcroft Plaza</w:t>
            </w:r>
          </w:p>
        </w:tc>
        <w:tc>
          <w:tcPr>
            <w:tcW w:w="160" w:type="dxa"/>
            <w:vAlign w:val="bottom"/>
            <w:tcBorders>
              <w:right w:val="single" w:sz="8" w:color="CCEEFF"/>
            </w:tcBorders>
            <w:shd w:val="clear" w:color="auto" w:fill="CCEEFF"/>
          </w:tcPr>
          <w:p>
            <w:pPr>
              <w:spacing w:after="0"/>
              <w:rPr>
                <w:sz w:val="12"/>
                <w:szCs w:val="12"/>
                <w:color w:val="auto"/>
              </w:rPr>
            </w:pPr>
          </w:p>
        </w:tc>
        <w:tc>
          <w:tcPr>
            <w:tcW w:w="23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2006-2007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33,867</w:t>
            </w: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16,600</w:t>
            </w: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w w:val="89"/>
              </w:rPr>
              <w:t>100,000</w:t>
            </w:r>
          </w:p>
        </w:tc>
        <w:tc>
          <w:tcPr>
            <w:tcW w:w="7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46,000</w:t>
            </w:r>
          </w:p>
        </w:tc>
        <w:tc>
          <w:tcPr>
            <w:tcW w:w="12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Harris Teeter</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gridSpan w:val="4"/>
          </w:tcPr>
          <w:p>
            <w:pPr>
              <w:spacing w:after="0" w:line="147" w:lineRule="exact"/>
              <w:rPr>
                <w:sz w:val="20"/>
                <w:szCs w:val="20"/>
                <w:color w:val="auto"/>
              </w:rPr>
            </w:pPr>
            <w:r>
              <w:rPr>
                <w:rFonts w:ascii="Arial" w:cs="Arial" w:eastAsia="Arial" w:hAnsi="Arial"/>
                <w:sz w:val="13"/>
                <w:szCs w:val="13"/>
                <w:color w:val="auto"/>
                <w:w w:val="97"/>
              </w:rPr>
              <w:t>Free State Shopping Center</w:t>
            </w:r>
          </w:p>
        </w:tc>
        <w:tc>
          <w:tcPr>
            <w:tcW w:w="160" w:type="dxa"/>
            <w:vAlign w:val="bottom"/>
          </w:tcPr>
          <w:p>
            <w:pPr>
              <w:spacing w:after="0"/>
              <w:rPr>
                <w:sz w:val="12"/>
                <w:szCs w:val="12"/>
                <w:color w:val="auto"/>
              </w:rPr>
            </w:pPr>
          </w:p>
        </w:tc>
        <w:tc>
          <w:tcPr>
            <w:tcW w:w="2380" w:type="dxa"/>
            <w:vAlign w:val="bottom"/>
          </w:tcPr>
          <w:p>
            <w:pPr>
              <w:spacing w:after="0" w:line="147"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65,756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w w:val="89"/>
              </w:rPr>
              <w:t>278,000</w:t>
            </w:r>
          </w:p>
        </w:tc>
        <w:tc>
          <w:tcPr>
            <w:tcW w:w="7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100%</w:t>
            </w:r>
          </w:p>
        </w:tc>
        <w:tc>
          <w:tcPr>
            <w:tcW w:w="58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73,000</w:t>
            </w: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line="147" w:lineRule="exact"/>
              <w:rPr>
                <w:sz w:val="20"/>
                <w:szCs w:val="20"/>
                <w:color w:val="auto"/>
              </w:rPr>
            </w:pPr>
            <w:r>
              <w:rPr>
                <w:rFonts w:ascii="Arial" w:cs="Arial" w:eastAsia="Arial" w:hAnsi="Arial"/>
                <w:sz w:val="13"/>
                <w:szCs w:val="13"/>
                <w:color w:val="auto"/>
              </w:rPr>
              <w:t>Plaza del Mercado</w:t>
            </w:r>
          </w:p>
        </w:tc>
        <w:tc>
          <w:tcPr>
            <w:tcW w:w="160" w:type="dxa"/>
            <w:vAlign w:val="bottom"/>
            <w:tcBorders>
              <w:right w:val="single" w:sz="8" w:color="CCEEFF"/>
            </w:tcBorders>
            <w:shd w:val="clear" w:color="auto" w:fill="CCEEFF"/>
          </w:tcPr>
          <w:p>
            <w:pPr>
              <w:spacing w:after="0"/>
              <w:rPr>
                <w:sz w:val="12"/>
                <w:szCs w:val="12"/>
                <w:color w:val="auto"/>
              </w:rPr>
            </w:pPr>
          </w:p>
        </w:tc>
        <w:tc>
          <w:tcPr>
            <w:tcW w:w="23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20,555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13,325</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96,000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92%</w:t>
            </w:r>
          </w:p>
        </w:tc>
        <w:tc>
          <w:tcPr>
            <w:tcW w:w="5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25,000</w:t>
            </w:r>
          </w:p>
        </w:tc>
        <w:tc>
          <w:tcPr>
            <w:tcW w:w="12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Giant Food</w:t>
            </w:r>
          </w:p>
        </w:tc>
        <w:tc>
          <w:tcPr>
            <w:tcW w:w="154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Total Washington Metropolitan Area</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474,000</w:t>
            </w: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00" w:type="dxa"/>
            <w:vAlign w:val="bottom"/>
            <w:gridSpan w:val="4"/>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New York / New Jersey</w:t>
            </w:r>
          </w:p>
        </w:tc>
        <w:tc>
          <w:tcPr>
            <w:tcW w:w="160" w:type="dxa"/>
            <w:vAlign w:val="bottom"/>
            <w:tcBorders>
              <w:right w:val="single" w:sz="8" w:color="CCEEFF"/>
            </w:tcBorders>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0" w:lineRule="exact"/>
              <w:rPr>
                <w:sz w:val="20"/>
                <w:szCs w:val="20"/>
                <w:color w:val="auto"/>
              </w:rPr>
            </w:pPr>
            <w:r>
              <w:rPr>
                <w:rFonts w:ascii="Arial" w:cs="Arial" w:eastAsia="Arial" w:hAnsi="Arial"/>
                <w:sz w:val="13"/>
                <w:szCs w:val="13"/>
                <w:color w:val="auto"/>
              </w:rPr>
              <w:t>Greenlawn Plaza</w:t>
            </w:r>
          </w:p>
        </w:tc>
        <w:tc>
          <w:tcPr>
            <w:tcW w:w="3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380" w:type="dxa"/>
            <w:vAlign w:val="bottom"/>
            <w:tcBorders>
              <w:top w:val="single" w:sz="8" w:color="CCEEFF"/>
            </w:tcBorders>
          </w:tcPr>
          <w:p>
            <w:pPr>
              <w:spacing w:after="0" w:line="140" w:lineRule="exact"/>
              <w:rPr>
                <w:sz w:val="20"/>
                <w:szCs w:val="20"/>
                <w:color w:val="auto"/>
              </w:rPr>
            </w:pPr>
            <w:r>
              <w:rPr>
                <w:rFonts w:ascii="Arial" w:cs="Arial" w:eastAsia="Arial" w:hAnsi="Arial"/>
                <w:sz w:val="13"/>
                <w:szCs w:val="13"/>
                <w:color w:val="auto"/>
              </w:rPr>
              <w:t>Nassau-Suffolk, NY</w:t>
            </w:r>
          </w:p>
        </w:tc>
        <w:tc>
          <w:tcPr>
            <w:tcW w:w="680" w:type="dxa"/>
            <w:vAlign w:val="bottom"/>
            <w:tcBorders>
              <w:top w:val="single" w:sz="8" w:color="CCEEFF"/>
            </w:tcBorders>
            <w:gridSpan w:val="2"/>
          </w:tcPr>
          <w:p>
            <w:pPr>
              <w:jc w:val="right"/>
              <w:spacing w:after="0" w:line="140" w:lineRule="exact"/>
              <w:rPr>
                <w:sz w:val="20"/>
                <w:szCs w:val="20"/>
                <w:color w:val="auto"/>
              </w:rPr>
            </w:pPr>
            <w:r>
              <w:rPr>
                <w:rFonts w:ascii="Arial" w:cs="Arial" w:eastAsia="Arial" w:hAnsi="Arial"/>
                <w:sz w:val="13"/>
                <w:szCs w:val="13"/>
                <w:color w:val="auto"/>
              </w:rPr>
              <w:t>2006</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line="140" w:lineRule="exact"/>
              <w:rPr>
                <w:sz w:val="20"/>
                <w:szCs w:val="20"/>
                <w:color w:val="auto"/>
              </w:rPr>
            </w:pPr>
            <w:r>
              <w:rPr>
                <w:rFonts w:ascii="Arial" w:cs="Arial" w:eastAsia="Arial" w:hAnsi="Arial"/>
                <w:sz w:val="13"/>
                <w:szCs w:val="13"/>
                <w:color w:val="auto"/>
              </w:rPr>
              <w:t>19,836</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gridSpan w:val="2"/>
          </w:tcPr>
          <w:p>
            <w:pPr>
              <w:jc w:val="right"/>
              <w:ind w:right="100"/>
              <w:spacing w:after="0" w:line="140" w:lineRule="exact"/>
              <w:rPr>
                <w:sz w:val="20"/>
                <w:szCs w:val="20"/>
                <w:color w:val="auto"/>
              </w:rPr>
            </w:pPr>
            <w:r>
              <w:rPr>
                <w:rFonts w:ascii="Arial" w:cs="Arial" w:eastAsia="Arial" w:hAnsi="Arial"/>
                <w:sz w:val="13"/>
                <w:szCs w:val="13"/>
                <w:color w:val="auto"/>
              </w:rPr>
              <w:t>13,600</w:t>
            </w:r>
          </w:p>
        </w:tc>
        <w:tc>
          <w:tcPr>
            <w:tcW w:w="440" w:type="dxa"/>
            <w:vAlign w:val="bottom"/>
            <w:tcBorders>
              <w:top w:val="single" w:sz="8" w:color="CCEEFF"/>
            </w:tcBorders>
          </w:tcPr>
          <w:p>
            <w:pPr>
              <w:jc w:val="right"/>
              <w:spacing w:after="0" w:line="140" w:lineRule="exact"/>
              <w:rPr>
                <w:sz w:val="20"/>
                <w:szCs w:val="20"/>
                <w:color w:val="auto"/>
              </w:rPr>
            </w:pPr>
            <w:r>
              <w:rPr>
                <w:rFonts w:ascii="Arial" w:cs="Arial" w:eastAsia="Arial" w:hAnsi="Arial"/>
                <w:sz w:val="13"/>
                <w:szCs w:val="13"/>
                <w:color w:val="auto"/>
                <w:w w:val="89"/>
              </w:rPr>
              <w:t>102,000</w:t>
            </w: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gridSpan w:val="2"/>
          </w:tcPr>
          <w:p>
            <w:pPr>
              <w:jc w:val="right"/>
              <w:ind w:right="80"/>
              <w:spacing w:after="0" w:line="140" w:lineRule="exact"/>
              <w:rPr>
                <w:sz w:val="20"/>
                <w:szCs w:val="20"/>
                <w:color w:val="auto"/>
              </w:rPr>
            </w:pPr>
            <w:r>
              <w:rPr>
                <w:rFonts w:ascii="Arial" w:cs="Arial" w:eastAsia="Arial" w:hAnsi="Arial"/>
                <w:sz w:val="13"/>
                <w:szCs w:val="13"/>
                <w:color w:val="auto"/>
              </w:rPr>
              <w:t>100%</w:t>
            </w:r>
          </w:p>
        </w:tc>
        <w:tc>
          <w:tcPr>
            <w:tcW w:w="580" w:type="dxa"/>
            <w:vAlign w:val="bottom"/>
            <w:tcBorders>
              <w:top w:val="single" w:sz="8" w:color="CCEEFF"/>
            </w:tcBorders>
            <w:gridSpan w:val="2"/>
          </w:tcPr>
          <w:p>
            <w:pPr>
              <w:jc w:val="right"/>
              <w:ind w:right="100"/>
              <w:spacing w:after="0" w:line="140" w:lineRule="exact"/>
              <w:rPr>
                <w:sz w:val="20"/>
                <w:szCs w:val="20"/>
                <w:color w:val="auto"/>
              </w:rPr>
            </w:pPr>
            <w:r>
              <w:rPr>
                <w:rFonts w:ascii="Arial" w:cs="Arial" w:eastAsia="Arial" w:hAnsi="Arial"/>
                <w:sz w:val="13"/>
                <w:szCs w:val="13"/>
                <w:color w:val="auto"/>
              </w:rPr>
              <w:t>46,000</w:t>
            </w:r>
          </w:p>
        </w:tc>
        <w:tc>
          <w:tcPr>
            <w:tcW w:w="1240" w:type="dxa"/>
            <w:vAlign w:val="bottom"/>
            <w:tcBorders>
              <w:top w:val="single" w:sz="8" w:color="CCEEFF"/>
            </w:tcBorders>
          </w:tcPr>
          <w:p>
            <w:pPr>
              <w:spacing w:after="0" w:line="140" w:lineRule="exact"/>
              <w:rPr>
                <w:sz w:val="20"/>
                <w:szCs w:val="20"/>
                <w:color w:val="auto"/>
              </w:rPr>
            </w:pPr>
            <w:r>
              <w:rPr>
                <w:rFonts w:ascii="Arial" w:cs="Arial" w:eastAsia="Arial" w:hAnsi="Arial"/>
                <w:sz w:val="13"/>
                <w:szCs w:val="13"/>
                <w:color w:val="auto"/>
              </w:rPr>
              <w:t>Waldbaum’s</w:t>
            </w:r>
          </w:p>
        </w:tc>
        <w:tc>
          <w:tcPr>
            <w:tcW w:w="1540" w:type="dxa"/>
            <w:vAlign w:val="bottom"/>
            <w:tcBorders>
              <w:top w:val="single" w:sz="8" w:color="CCEEFF"/>
            </w:tcBorders>
            <w:gridSpan w:val="2"/>
          </w:tcPr>
          <w:p>
            <w:pPr>
              <w:ind w:left="80"/>
              <w:spacing w:after="0" w:line="140" w:lineRule="exact"/>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380" w:type="dxa"/>
            <w:vAlign w:val="bottom"/>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Total New York / New Jersey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19,836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89"/>
              </w:rPr>
              <w:t>102,000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620" w:type="dxa"/>
            <w:vAlign w:val="bottom"/>
            <w:gridSpan w:val="5"/>
          </w:tcPr>
          <w:p>
            <w:pPr>
              <w:spacing w:after="0"/>
              <w:rPr>
                <w:sz w:val="20"/>
                <w:szCs w:val="20"/>
                <w:color w:val="auto"/>
              </w:rPr>
            </w:pPr>
            <w:r>
              <w:rPr>
                <w:rFonts w:ascii="Arial" w:cs="Arial" w:eastAsia="Arial" w:hAnsi="Arial"/>
                <w:sz w:val="13"/>
                <w:szCs w:val="13"/>
                <w:b w:val="1"/>
                <w:bCs w:val="1"/>
                <w:color w:val="auto"/>
              </w:rPr>
              <w:t>New England</w:t>
            </w: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3"/>
              </w:rPr>
              <w:t>Atlantic Plaza</w:t>
            </w:r>
          </w:p>
        </w:tc>
        <w:tc>
          <w:tcPr>
            <w:tcW w:w="840" w:type="dxa"/>
            <w:vAlign w:val="bottom"/>
            <w:gridSpan w:val="2"/>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Boston-Worcester-Lawrence-Lowell-</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Brockton, MA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123,000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63,000</w:t>
            </w: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Shaw’s Supermarket</w:t>
            </w:r>
          </w:p>
        </w:tc>
        <w:tc>
          <w:tcPr>
            <w:tcW w:w="15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00" w:type="dxa"/>
            <w:vAlign w:val="bottom"/>
            <w:gridSpan w:val="4"/>
          </w:tcPr>
          <w:p>
            <w:pPr>
              <w:spacing w:after="0" w:line="136" w:lineRule="exact"/>
              <w:rPr>
                <w:sz w:val="20"/>
                <w:szCs w:val="20"/>
                <w:color w:val="auto"/>
              </w:rPr>
            </w:pPr>
            <w:r>
              <w:rPr>
                <w:rFonts w:ascii="Arial" w:cs="Arial" w:eastAsia="Arial" w:hAnsi="Arial"/>
                <w:sz w:val="13"/>
                <w:szCs w:val="13"/>
                <w:color w:val="auto"/>
              </w:rPr>
              <w:t>Campus Plaza</w:t>
            </w:r>
          </w:p>
        </w:tc>
        <w:tc>
          <w:tcPr>
            <w:tcW w:w="160" w:type="dxa"/>
            <w:vAlign w:val="bottom"/>
          </w:tcPr>
          <w:p>
            <w:pPr>
              <w:spacing w:after="0"/>
              <w:rPr>
                <w:sz w:val="11"/>
                <w:szCs w:val="11"/>
                <w:color w:val="auto"/>
              </w:rPr>
            </w:pPr>
          </w:p>
        </w:tc>
        <w:tc>
          <w:tcPr>
            <w:tcW w:w="2380" w:type="dxa"/>
            <w:vAlign w:val="bottom"/>
          </w:tcPr>
          <w:p>
            <w:pPr>
              <w:spacing w:after="0" w:line="136" w:lineRule="exact"/>
              <w:rPr>
                <w:sz w:val="20"/>
                <w:szCs w:val="20"/>
                <w:color w:val="auto"/>
              </w:rPr>
            </w:pPr>
            <w:r>
              <w:rPr>
                <w:rFonts w:ascii="Arial" w:cs="Arial" w:eastAsia="Arial" w:hAnsi="Arial"/>
                <w:sz w:val="13"/>
                <w:szCs w:val="13"/>
                <w:color w:val="auto"/>
              </w:rPr>
              <w:t>Boston-Worcester-Lawrence-Lowell-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Brockton, MA</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22,076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11,000</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116,000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100%</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46,000</w:t>
            </w:r>
          </w:p>
        </w:tc>
        <w:tc>
          <w:tcPr>
            <w:tcW w:w="1240" w:type="dxa"/>
            <w:vAlign w:val="bottom"/>
          </w:tcPr>
          <w:p>
            <w:pPr>
              <w:spacing w:after="0"/>
              <w:rPr>
                <w:sz w:val="20"/>
                <w:szCs w:val="20"/>
                <w:color w:val="auto"/>
              </w:rPr>
            </w:pPr>
            <w:r>
              <w:rPr>
                <w:rFonts w:ascii="Arial" w:cs="Arial" w:eastAsia="Arial" w:hAnsi="Arial"/>
                <w:sz w:val="13"/>
                <w:szCs w:val="13"/>
                <w:color w:val="auto"/>
              </w:rPr>
              <w:t>Roche Brothers</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Burlington Coat Factory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Pleasant Shops</w:t>
            </w:r>
          </w:p>
        </w:tc>
        <w:tc>
          <w:tcPr>
            <w:tcW w:w="160" w:type="dxa"/>
            <w:vAlign w:val="bottom"/>
            <w:tcBorders>
              <w:right w:val="single" w:sz="8" w:color="CCEEFF"/>
            </w:tcBorders>
            <w:shd w:val="clear" w:color="auto" w:fill="CCEEFF"/>
          </w:tcPr>
          <w:p>
            <w:pPr>
              <w:spacing w:after="0"/>
              <w:rPr>
                <w:sz w:val="11"/>
                <w:szCs w:val="11"/>
                <w:color w:val="auto"/>
              </w:rPr>
            </w:pPr>
          </w:p>
        </w:tc>
        <w:tc>
          <w:tcPr>
            <w:tcW w:w="2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Boston-Worcester-Lawrence-Lowell-</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Brockton, MA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12,400</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130,000</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38,000</w:t>
            </w: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Foodmaster</w:t>
            </w:r>
          </w:p>
        </w:tc>
        <w:tc>
          <w:tcPr>
            <w:tcW w:w="15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Total New England</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61,075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369,000</w:t>
            </w: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380" w:type="dxa"/>
            <w:vAlign w:val="bottom"/>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Total East Region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201,089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89"/>
              </w:rPr>
              <w:t>945,000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gridSpan w:val="5"/>
            <w:vMerge w:val="restart"/>
          </w:tcPr>
          <w:p>
            <w:pPr>
              <w:spacing w:after="0"/>
              <w:rPr>
                <w:sz w:val="20"/>
                <w:szCs w:val="20"/>
                <w:color w:val="auto"/>
              </w:rPr>
            </w:pPr>
            <w:r>
              <w:rPr>
                <w:rFonts w:ascii="Arial" w:cs="Arial" w:eastAsia="Arial" w:hAnsi="Arial"/>
                <w:sz w:val="13"/>
                <w:szCs w:val="13"/>
                <w:color w:val="auto"/>
              </w:rPr>
              <w:t>Grand Totals</w:t>
            </w: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6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201,089</w:t>
            </w:r>
          </w:p>
        </w:tc>
        <w:tc>
          <w:tcPr>
            <w:tcW w:w="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77,425</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945,000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Note:</w:t>
      </w:r>
    </w:p>
    <w:p>
      <w:pPr>
        <w:spacing w:after="0" w:line="25" w:lineRule="exact"/>
        <w:rPr>
          <w:sz w:val="20"/>
          <w:szCs w:val="20"/>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420"/>
          </w:cols>
          <w:pgMar w:left="240" w:top="27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Glossary of Terms</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 Adjusted EBITDA is a non-GAAP measure that means net income or loss plus depreciation and amortization, net interest expense,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months ended March 31, 2007 and 2006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4"/>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3"/>
                <w:szCs w:val="13"/>
                <w:b w:val="1"/>
                <w:bCs w:val="1"/>
                <w:color w:val="auto"/>
                <w:w w:val="96"/>
              </w:rPr>
              <w:t>March 31,</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5"/>
          </w:tcPr>
          <w:p>
            <w:pPr>
              <w:jc w:val="center"/>
              <w:ind w:right="16"/>
              <w:spacing w:after="0" w:line="128"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23,136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26,484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Other interest income</w:t>
            </w:r>
          </w:p>
        </w:tc>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3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78,746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6"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results from discontinued operations.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78"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being compared, excludes properties that were redeveloped, expanded or under development and properties purchased or sold at any time during the periods being compared.</w:t>
      </w:r>
    </w:p>
    <w:p>
      <w:pPr>
        <w:spacing w:after="0" w:line="116" w:lineRule="exact"/>
        <w:rPr>
          <w:sz w:val="20"/>
          <w:szCs w:val="20"/>
          <w:color w:val="auto"/>
        </w:rPr>
      </w:pPr>
    </w:p>
    <w:p>
      <w:pPr>
        <w:jc w:val="both"/>
        <w:ind w:right="40"/>
        <w:spacing w:after="0" w:line="280" w:lineRule="auto"/>
        <w:rPr>
          <w:sz w:val="20"/>
          <w:szCs w:val="20"/>
          <w:color w:val="auto"/>
        </w:rPr>
      </w:pPr>
      <w:r>
        <w:rPr>
          <w:rFonts w:ascii="Arial" w:cs="Arial" w:eastAsia="Arial" w:hAnsi="Arial"/>
          <w:sz w:val="17"/>
          <w:szCs w:val="17"/>
          <w:b w:val="1"/>
          <w:bCs w:val="1"/>
          <w:color w:val="auto"/>
        </w:rPr>
        <w:t>Tenant Improvements and Incentives</w:t>
      </w:r>
      <w:r>
        <w:rPr>
          <w:rFonts w:ascii="Arial" w:cs="Arial" w:eastAsia="Arial" w:hAnsi="Arial"/>
          <w:sz w:val="17"/>
          <w:szCs w:val="17"/>
          <w:color w:val="auto"/>
        </w:rPr>
        <w:t>: 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3"/>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Ø"/>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4"/>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2019-12-13T00:52:30Z</dcterms:created>
  <dcterms:modified xsi:type="dcterms:W3CDTF">2019-12-13T00:52:30Z</dcterms:modified>
</cp:coreProperties>
</file>