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294640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337820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SECURITIES AND EXCHANGE COMMISSION</w:t>
      </w:r>
    </w:p>
    <w:p>
      <w:pPr>
        <w:ind w:left="428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(Rule 14a-101)</w:t>
      </w:r>
    </w:p>
    <w:p>
      <w:pPr>
        <w:jc w:val="center"/>
        <w:ind w:right="-1004"/>
        <w:spacing w:after="0" w:line="230" w:lineRule="auto"/>
        <w:rPr>
          <w:sz w:val="20"/>
          <w:szCs w:val="20"/>
          <w:color w:val="auto"/>
        </w:rPr>
      </w:pPr>
      <w:r>
        <w:rPr>
          <w:rFonts w:ascii="Arial" w:cs="Arial" w:eastAsia="Arial" w:hAnsi="Arial"/>
          <w:sz w:val="22"/>
          <w:szCs w:val="22"/>
          <w:b w:val="1"/>
          <w:bCs w:val="1"/>
          <w:color w:val="auto"/>
        </w:rPr>
        <w:t>INFORMATION REQUIRED IN PROXY STATEMENT</w:t>
      </w:r>
    </w:p>
    <w:p>
      <w:pPr>
        <w:spacing w:after="0" w:line="1"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SCHEDULE 14A INFORMATION</w:t>
      </w:r>
    </w:p>
    <w:p>
      <w:pPr>
        <w:spacing w:after="0" w:line="76"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4"/>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rFonts w:ascii="Arial" w:cs="Arial" w:eastAsia="Arial" w:hAnsi="Arial"/>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194"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w:t>
      </w:r>
    </w:p>
    <w:p>
      <w:pPr>
        <w:spacing w:after="0" w:line="15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63" w:lineRule="exact"/>
        <w:rPr>
          <w:rFonts w:ascii="MS PGothic" w:cs="MS PGothic" w:eastAsia="MS PGothic" w:hAnsi="MS PGothic"/>
          <w:sz w:val="14"/>
          <w:szCs w:val="1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63" w:lineRule="exact"/>
        <w:rPr>
          <w:rFonts w:ascii="MS PGothic" w:cs="MS PGothic" w:eastAsia="MS PGothic" w:hAnsi="MS PGothic"/>
          <w:sz w:val="14"/>
          <w:szCs w:val="1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63"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63"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0" w:lineRule="exact"/>
        <w:rPr>
          <w:sz w:val="24"/>
          <w:szCs w:val="24"/>
          <w:color w:val="auto"/>
        </w:rPr>
      </w:pPr>
    </w:p>
    <w:p>
      <w:pPr>
        <w:spacing w:after="0" w:line="222" w:lineRule="exact"/>
        <w:rPr>
          <w:sz w:val="24"/>
          <w:szCs w:val="24"/>
          <w:color w:val="auto"/>
        </w:rPr>
      </w:pPr>
    </w:p>
    <w:p>
      <w:pPr>
        <w:jc w:val="center"/>
        <w:ind w:right="-1004"/>
        <w:spacing w:after="0"/>
        <w:rPr>
          <w:sz w:val="20"/>
          <w:szCs w:val="20"/>
          <w:color w:val="auto"/>
        </w:rPr>
      </w:pPr>
      <w:r>
        <w:rPr>
          <w:rFonts w:ascii="Arial" w:cs="Arial" w:eastAsia="Arial" w:hAnsi="Arial"/>
          <w:sz w:val="39"/>
          <w:szCs w:val="39"/>
          <w:b w:val="1"/>
          <w:bCs w:val="1"/>
          <w:color w:val="auto"/>
        </w:rPr>
        <w:t>FEDERAL REALTY INVESTMENT TRUST</w:t>
      </w:r>
    </w:p>
    <w:p>
      <w:pPr>
        <w:spacing w:after="0" w:line="44"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86"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Not applicable.</w:t>
      </w:r>
    </w:p>
    <w:p>
      <w:pPr>
        <w:spacing w:after="0" w:line="19" w:lineRule="exact"/>
        <w:rPr>
          <w:sz w:val="24"/>
          <w:szCs w:val="24"/>
          <w:color w:val="auto"/>
        </w:rPr>
      </w:pPr>
    </w:p>
    <w:p>
      <w:pPr>
        <w:ind w:left="306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5" w:lineRule="exact"/>
        <w:rPr>
          <w:sz w:val="24"/>
          <w:szCs w:val="24"/>
          <w:color w:val="auto"/>
        </w:rPr>
      </w:pPr>
    </w:p>
    <w:p>
      <w:pPr>
        <w:ind w:left="4"/>
        <w:spacing w:after="0"/>
        <w:rPr>
          <w:sz w:val="20"/>
          <w:szCs w:val="20"/>
          <w:color w:val="auto"/>
        </w:rPr>
      </w:pPr>
      <w:r>
        <w:rPr>
          <w:rFonts w:ascii="Arial" w:cs="Arial" w:eastAsia="Arial" w:hAnsi="Arial"/>
          <w:sz w:val="14"/>
          <w:szCs w:val="14"/>
          <w:color w:val="auto"/>
        </w:rPr>
        <w:t>Payment of Filing Fee (Check all boxes that apply):</w:t>
      </w:r>
    </w:p>
    <w:p>
      <w:pPr>
        <w:spacing w:after="0" w:line="109"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564" w:hanging="564"/>
        <w:spacing w:after="0"/>
        <w:tabs>
          <w:tab w:leader="none" w:pos="564"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452120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495300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94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 Regarding the Availability of Proxy Materials for the Shareholder Meeting of</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FEDERAL REALTY INVESTMENT TRUST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7, 2025 at 9:00 a.m.</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https://web.lumiconnect.com/202329683 (password: federal2025)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4489450</wp:posOffset>
            </wp:positionH>
            <wp:positionV relativeFrom="paragraph">
              <wp:posOffset>167640</wp:posOffset>
            </wp:positionV>
            <wp:extent cx="2434590" cy="891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34590" cy="891540"/>
                    </a:xfrm>
                    <a:prstGeom prst="rect">
                      <a:avLst/>
                    </a:prstGeom>
                    <a:noFill/>
                  </pic:spPr>
                </pic:pic>
              </a:graphicData>
            </a:graphic>
          </wp:anchor>
        </w:drawing>
      </w:r>
    </w:p>
    <w:p>
      <w:pPr>
        <w:spacing w:after="0" w:line="371" w:lineRule="exact"/>
        <w:rPr>
          <w:sz w:val="20"/>
          <w:szCs w:val="20"/>
          <w:color w:val="auto"/>
        </w:rPr>
      </w:pPr>
    </w:p>
    <w:p>
      <w:pPr>
        <w:ind w:left="7200"/>
        <w:spacing w:after="0"/>
        <w:tabs>
          <w:tab w:leader="none" w:pos="9240" w:val="left"/>
        </w:tabs>
        <w:rPr>
          <w:sz w:val="20"/>
          <w:szCs w:val="20"/>
          <w:color w:val="auto"/>
        </w:rPr>
      </w:pPr>
      <w:r>
        <w:rPr>
          <w:rFonts w:ascii="Times New Roman" w:cs="Times New Roman" w:eastAsia="Times New Roman" w:hAnsi="Times New Roman"/>
          <w:sz w:val="18"/>
          <w:szCs w:val="18"/>
          <w:b w:val="1"/>
          <w:bCs w:val="1"/>
          <w:color w:val="auto"/>
        </w:rPr>
        <w:t>COMPANY NUMBER</w:t>
      </w:r>
      <w:r>
        <w:rPr>
          <w:sz w:val="20"/>
          <w:szCs w:val="20"/>
          <w:color w:val="auto"/>
        </w:rPr>
        <w:tab/>
      </w:r>
      <w:r>
        <w:rPr>
          <w:rFonts w:ascii="Times New Roman" w:cs="Times New Roman" w:eastAsia="Times New Roman" w:hAnsi="Times New Roman"/>
          <w:sz w:val="18"/>
          <w:szCs w:val="18"/>
          <w:color w:val="auto"/>
        </w:rPr>
        <w:t xml:space="preserve">                      </w:t>
      </w:r>
    </w:p>
    <w:p>
      <w:pPr>
        <w:spacing w:after="0" w:line="25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ACCOUNT NUMBER</w:t>
      </w:r>
    </w:p>
    <w:p>
      <w:pPr>
        <w:spacing w:after="0" w:line="23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CONTROL NUMBER</w:t>
      </w:r>
    </w:p>
    <w:p>
      <w:pPr>
        <w:spacing w:after="0" w:line="36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This communication presents only an overview of the more completed proxy materials that are available to you on the Internet. We encourage you to access and review all of the important information contained in the proxy materials before voting.</w:t>
      </w:r>
    </w:p>
    <w:p>
      <w:pPr>
        <w:spacing w:after="0" w:line="4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If you want to receive a paper or e-mail copy of the proxy materials you must request one. There is no charge to you for requesting a copy. To facilitate timely delivery please make the request as instructed below before 04/28/25.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visit http://www.federalrealty.com/shareholder-meeting, where the following is available for view: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48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79"/>
              </w:rPr>
              <w:t>• </w:t>
            </w:r>
          </w:p>
        </w:tc>
        <w:tc>
          <w:tcPr>
            <w:tcW w:w="81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Annual Report/Form 10-K/Notice &amp; Proxy Statement</w:t>
            </w:r>
          </w:p>
        </w:tc>
      </w:tr>
      <w:tr>
        <w:trPr>
          <w:trHeight w:val="234"/>
        </w:trPr>
        <w:tc>
          <w:tcPr>
            <w:tcW w:w="244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4"/>
              </w:rPr>
              <w:t>    </w:t>
            </w:r>
          </w:p>
        </w:tc>
        <w:tc>
          <w:tcPr>
            <w:tcW w:w="810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(Including Instructions on How to Access and Participate in the Annual Shareholder Meeting)</w:t>
            </w:r>
          </w:p>
        </w:tc>
      </w:tr>
      <w:tr>
        <w:trPr>
          <w:trHeight w:val="30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REQUEST MATERIAL:</w:t>
            </w:r>
          </w:p>
        </w:tc>
        <w:tc>
          <w:tcPr>
            <w:tcW w:w="858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TELEPHONE: 888-Proxy-NA (888-776-9962) or 201-299-6210 (for international callers)</w:t>
            </w:r>
          </w:p>
        </w:tc>
      </w:tr>
      <w:tr>
        <w:trPr>
          <w:trHeight w:val="216"/>
        </w:trPr>
        <w:tc>
          <w:tcPr>
            <w:tcW w:w="2440" w:type="dxa"/>
            <w:vAlign w:val="bottom"/>
          </w:tcPr>
          <w:p>
            <w:pPr>
              <w:spacing w:after="0"/>
              <w:rPr>
                <w:sz w:val="18"/>
                <w:szCs w:val="18"/>
                <w:color w:val="auto"/>
              </w:rPr>
            </w:pPr>
          </w:p>
        </w:tc>
        <w:tc>
          <w:tcPr>
            <w:tcW w:w="858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E-MAIL: help@equiniti.com</w:t>
            </w:r>
          </w:p>
        </w:tc>
      </w:tr>
      <w:tr>
        <w:trPr>
          <w:trHeight w:val="216"/>
        </w:trPr>
        <w:tc>
          <w:tcPr>
            <w:tcW w:w="2440" w:type="dxa"/>
            <w:vAlign w:val="bottom"/>
          </w:tcPr>
          <w:p>
            <w:pPr>
              <w:spacing w:after="0"/>
              <w:rPr>
                <w:sz w:val="18"/>
                <w:szCs w:val="18"/>
                <w:color w:val="auto"/>
              </w:rPr>
            </w:pPr>
          </w:p>
        </w:tc>
        <w:tc>
          <w:tcPr>
            <w:tcW w:w="858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WEBSITE: https://us.astfinancial.com/OnlineProxyVoting/ProxyVoting/RequestMaterials</w:t>
            </w:r>
          </w:p>
        </w:tc>
      </w:tr>
      <w:tr>
        <w:trPr>
          <w:trHeight w:val="198"/>
        </w:trPr>
        <w:tc>
          <w:tcPr>
            <w:tcW w:w="24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TO VOTE:</w:t>
            </w:r>
          </w:p>
        </w:tc>
        <w:tc>
          <w:tcPr>
            <w:tcW w:w="8580" w:type="dxa"/>
            <w:vAlign w:val="bottom"/>
            <w:gridSpan w:val="8"/>
          </w:tcPr>
          <w:p>
            <w:pPr>
              <w:ind w:left="32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ONLINE: </w:t>
            </w:r>
            <w:r>
              <w:rPr>
                <w:rFonts w:ascii="Times New Roman" w:cs="Times New Roman" w:eastAsia="Times New Roman" w:hAnsi="Times New Roman"/>
                <w:sz w:val="18"/>
                <w:szCs w:val="18"/>
                <w:color w:val="auto"/>
              </w:rPr>
              <w:t>To access your online proxy card, please visit</w:t>
            </w:r>
            <w:r>
              <w:rPr>
                <w:rFonts w:ascii="Times New Roman" w:cs="Times New Roman" w:eastAsia="Times New Roman" w:hAnsi="Times New Roman"/>
                <w:sz w:val="18"/>
                <w:szCs w:val="18"/>
                <w:b w:val="1"/>
                <w:bCs w:val="1"/>
                <w:color w:val="auto"/>
              </w:rPr>
              <w:t xml:space="preserve"> www.voteproxy.com </w:t>
            </w:r>
            <w:r>
              <w:rPr>
                <w:rFonts w:ascii="Times New Roman" w:cs="Times New Roman" w:eastAsia="Times New Roman" w:hAnsi="Times New Roman"/>
                <w:sz w:val="18"/>
                <w:szCs w:val="18"/>
                <w:color w:val="auto"/>
              </w:rPr>
              <w:t>and follow the on-screen</w:t>
            </w:r>
          </w:p>
        </w:tc>
      </w:tr>
      <w:tr>
        <w:trPr>
          <w:trHeight w:val="20"/>
        </w:trPr>
        <w:tc>
          <w:tcPr>
            <w:tcW w:w="244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18"/>
        </w:trPr>
        <w:tc>
          <w:tcPr>
            <w:tcW w:w="2440" w:type="dxa"/>
            <w:vAlign w:val="bottom"/>
          </w:tcPr>
          <w:p>
            <w:pPr>
              <w:spacing w:after="0"/>
              <w:rPr>
                <w:sz w:val="18"/>
                <w:szCs w:val="18"/>
                <w:color w:val="auto"/>
              </w:rPr>
            </w:pPr>
          </w:p>
        </w:tc>
        <w:tc>
          <w:tcPr>
            <w:tcW w:w="858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instructions or scan the QR code with your smartphone. You may enter your voting instructions at</w:t>
            </w:r>
          </w:p>
        </w:tc>
      </w:tr>
      <w:tr>
        <w:trPr>
          <w:trHeight w:val="234"/>
        </w:trPr>
        <w:tc>
          <w:tcPr>
            <w:tcW w:w="2440" w:type="dxa"/>
            <w:vAlign w:val="bottom"/>
          </w:tcPr>
          <w:p>
            <w:pPr>
              <w:spacing w:after="0"/>
              <w:rPr>
                <w:sz w:val="20"/>
                <w:szCs w:val="20"/>
                <w:color w:val="auto"/>
              </w:rPr>
            </w:pPr>
          </w:p>
        </w:tc>
        <w:tc>
          <w:tcPr>
            <w:tcW w:w="858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www.voteproxy.com up until 11:59 PM Eastern Time the day before the cut-off or meeting date.</w:t>
            </w:r>
          </w:p>
        </w:tc>
      </w:tr>
      <w:tr>
        <w:trPr>
          <w:trHeight w:val="265"/>
        </w:trPr>
        <w:tc>
          <w:tcPr>
            <w:tcW w:w="2440" w:type="dxa"/>
            <w:vAlign w:val="bottom"/>
          </w:tcPr>
          <w:p>
            <w:pPr>
              <w:spacing w:after="0"/>
              <w:rPr>
                <w:sz w:val="23"/>
                <w:szCs w:val="23"/>
                <w:color w:val="auto"/>
              </w:rPr>
            </w:pPr>
          </w:p>
        </w:tc>
        <w:tc>
          <w:tcPr>
            <w:tcW w:w="858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DURING THE MEETING: </w:t>
            </w:r>
            <w:r>
              <w:rPr>
                <w:rFonts w:ascii="Times New Roman" w:cs="Times New Roman" w:eastAsia="Times New Roman" w:hAnsi="Times New Roman"/>
                <w:sz w:val="18"/>
                <w:szCs w:val="18"/>
                <w:color w:val="auto"/>
              </w:rPr>
              <w:t>You may virtually attend the meeting and vote your shares through the internet. Go</w:t>
            </w:r>
          </w:p>
        </w:tc>
      </w:tr>
      <w:tr>
        <w:trPr>
          <w:trHeight w:val="234"/>
        </w:trPr>
        <w:tc>
          <w:tcPr>
            <w:tcW w:w="2440" w:type="dxa"/>
            <w:vAlign w:val="bottom"/>
          </w:tcPr>
          <w:p>
            <w:pPr>
              <w:spacing w:after="0"/>
              <w:rPr>
                <w:sz w:val="20"/>
                <w:szCs w:val="20"/>
                <w:color w:val="auto"/>
              </w:rPr>
            </w:pPr>
          </w:p>
        </w:tc>
        <w:tc>
          <w:tcPr>
            <w:tcW w:w="858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to: https://web.lumiconnect.com/202329683 (password: federal2025).</w:t>
            </w:r>
          </w:p>
        </w:tc>
      </w:tr>
      <w:tr>
        <w:trPr>
          <w:trHeight w:val="257"/>
        </w:trPr>
        <w:tc>
          <w:tcPr>
            <w:tcW w:w="2440" w:type="dxa"/>
            <w:vAlign w:val="bottom"/>
          </w:tcPr>
          <w:p>
            <w:pPr>
              <w:spacing w:after="0"/>
              <w:rPr>
                <w:sz w:val="22"/>
                <w:szCs w:val="22"/>
                <w:color w:val="auto"/>
              </w:rPr>
            </w:pPr>
          </w:p>
        </w:tc>
        <w:tc>
          <w:tcPr>
            <w:tcW w:w="858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TELEPHONE: </w:t>
            </w:r>
            <w:r>
              <w:rPr>
                <w:rFonts w:ascii="Times New Roman" w:cs="Times New Roman" w:eastAsia="Times New Roman" w:hAnsi="Times New Roman"/>
                <w:sz w:val="18"/>
                <w:szCs w:val="18"/>
                <w:color w:val="auto"/>
              </w:rPr>
              <w:t>To vote by telephone, please visit</w:t>
            </w:r>
            <w:r>
              <w:rPr>
                <w:rFonts w:ascii="Times New Roman" w:cs="Times New Roman" w:eastAsia="Times New Roman" w:hAnsi="Times New Roman"/>
                <w:sz w:val="18"/>
                <w:szCs w:val="18"/>
                <w:b w:val="1"/>
                <w:bCs w:val="1"/>
                <w:color w:val="auto"/>
              </w:rPr>
              <w:t xml:space="preserve"> www.voteproxy.com </w:t>
            </w:r>
            <w:r>
              <w:rPr>
                <w:rFonts w:ascii="Times New Roman" w:cs="Times New Roman" w:eastAsia="Times New Roman" w:hAnsi="Times New Roman"/>
                <w:sz w:val="18"/>
                <w:szCs w:val="18"/>
                <w:color w:val="auto"/>
              </w:rPr>
              <w:t>to view the materials and to obtain the</w:t>
            </w:r>
          </w:p>
        </w:tc>
      </w:tr>
      <w:tr>
        <w:trPr>
          <w:trHeight w:val="237"/>
        </w:trPr>
        <w:tc>
          <w:tcPr>
            <w:tcW w:w="2440" w:type="dxa"/>
            <w:vAlign w:val="bottom"/>
          </w:tcPr>
          <w:p>
            <w:pPr>
              <w:spacing w:after="0"/>
              <w:rPr>
                <w:sz w:val="20"/>
                <w:szCs w:val="20"/>
                <w:color w:val="auto"/>
              </w:rPr>
            </w:pPr>
          </w:p>
        </w:tc>
        <w:tc>
          <w:tcPr>
            <w:tcW w:w="23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toll free number to call.</w:t>
            </w:r>
          </w:p>
        </w:tc>
        <w:tc>
          <w:tcPr>
            <w:tcW w:w="16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97"/>
        </w:trPr>
        <w:tc>
          <w:tcPr>
            <w:tcW w:w="2440" w:type="dxa"/>
            <w:vAlign w:val="bottom"/>
          </w:tcPr>
          <w:p>
            <w:pPr>
              <w:spacing w:after="0"/>
              <w:rPr>
                <w:sz w:val="24"/>
                <w:szCs w:val="24"/>
                <w:color w:val="auto"/>
              </w:rPr>
            </w:pPr>
          </w:p>
        </w:tc>
        <w:tc>
          <w:tcPr>
            <w:tcW w:w="858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MAIL: </w:t>
            </w:r>
            <w:r>
              <w:rPr>
                <w:rFonts w:ascii="Times New Roman" w:cs="Times New Roman" w:eastAsia="Times New Roman" w:hAnsi="Times New Roman"/>
                <w:sz w:val="18"/>
                <w:szCs w:val="18"/>
                <w:color w:val="auto"/>
              </w:rPr>
              <w:t>You may request a card by following the instructions above.</w:t>
            </w:r>
          </w:p>
        </w:tc>
      </w:tr>
      <w:tr>
        <w:trPr>
          <w:trHeight w:val="135"/>
        </w:trPr>
        <w:tc>
          <w:tcPr>
            <w:tcW w:w="24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2"/>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r>
      <w:tr>
        <w:trPr>
          <w:trHeight w:val="280"/>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648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1.   To elect the following nominees as Trustees as set forth in our Proxy Statement:</w:t>
            </w:r>
          </w:p>
        </w:tc>
      </w:tr>
      <w:tr>
        <w:trPr>
          <w:trHeight w:val="338"/>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David W. Faeder</w:t>
            </w:r>
          </w:p>
        </w:tc>
      </w:tr>
      <w:tr>
        <w:trPr>
          <w:trHeight w:val="32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Elizabeth I. Holland</w:t>
            </w:r>
          </w:p>
        </w:tc>
      </w:tr>
      <w:tr>
        <w:trPr>
          <w:trHeight w:val="32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Nicole Y. Lamb-Hale</w:t>
            </w:r>
          </w:p>
        </w:tc>
      </w:tr>
      <w:tr>
        <w:trPr>
          <w:trHeight w:val="32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Thomas A. McEachin</w:t>
            </w:r>
          </w:p>
        </w:tc>
      </w:tr>
      <w:tr>
        <w:trPr>
          <w:trHeight w:val="32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Anthony P. Nader, III</w:t>
            </w:r>
          </w:p>
        </w:tc>
      </w:tr>
      <w:tr>
        <w:trPr>
          <w:trHeight w:val="32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Gail P. Steinel</w:t>
            </w:r>
          </w:p>
        </w:tc>
      </w:tr>
      <w:tr>
        <w:trPr>
          <w:trHeight w:val="32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Donald C. Wood</w:t>
            </w:r>
          </w:p>
        </w:tc>
      </w:tr>
      <w:tr>
        <w:trPr>
          <w:trHeight w:val="32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648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2.   To approve, on a non-binding, advisory basis, the compensation of our named executive officers.</w:t>
            </w:r>
          </w:p>
        </w:tc>
      </w:tr>
      <w:tr>
        <w:trPr>
          <w:trHeight w:val="28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648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3.   To ratify the appointment of Grant Thornton LLP as our independent registered public accounting firm for</w:t>
            </w:r>
          </w:p>
        </w:tc>
      </w:tr>
      <w:tr>
        <w:trPr>
          <w:trHeight w:val="188"/>
        </w:trPr>
        <w:tc>
          <w:tcPr>
            <w:tcW w:w="2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28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the fiscal year ending December 31, 2025.</w:t>
            </w:r>
          </w:p>
        </w:tc>
      </w:tr>
      <w:tr>
        <w:trPr>
          <w:trHeight w:val="28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5"/>
              </w:rPr>
              <w:t>  </w:t>
            </w:r>
          </w:p>
        </w:tc>
        <w:tc>
          <w:tcPr>
            <w:tcW w:w="62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 To consider and act upon any other matters properly coming before the meeting or any postponement(s) or</w:t>
            </w:r>
          </w:p>
        </w:tc>
      </w:tr>
      <w:tr>
        <w:trPr>
          <w:trHeight w:val="188"/>
        </w:trPr>
        <w:tc>
          <w:tcPr>
            <w:tcW w:w="2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28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adjournment(s) thereof.</w:t>
            </w:r>
          </w:p>
        </w:tc>
      </w:tr>
      <w:tr>
        <w:trPr>
          <w:trHeight w:val="320"/>
        </w:trPr>
        <w:tc>
          <w:tcPr>
            <w:tcW w:w="45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Please note that you cannot use this notice to vote by mail.</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75"/>
              </w:rPr>
              <w:t>  </w:t>
            </w:r>
          </w:p>
        </w:tc>
        <w:tc>
          <w:tcPr>
            <w:tcW w:w="62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 THE BOARD OF TRUSTEES RECOMMENDS YOU VOTE “FOR” THE ELECTION OF ALL</w:t>
            </w:r>
          </w:p>
        </w:tc>
      </w:tr>
      <w:tr>
        <w:trPr>
          <w:trHeight w:val="190"/>
        </w:trPr>
        <w:tc>
          <w:tcPr>
            <w:tcW w:w="2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2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THE NOMINEES AND “FOR” PROPOSALS 2 AND 3.</w:t>
            </w:r>
          </w:p>
        </w:tc>
      </w:tr>
      <w:tr>
        <w:trPr>
          <w:trHeight w:val="269"/>
        </w:trPr>
        <w:tc>
          <w:tcPr>
            <w:tcW w:w="2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2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5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-4268470</wp:posOffset>
            </wp:positionV>
            <wp:extent cx="531495"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1495" cy="522605"/>
                    </a:xfrm>
                    <a:prstGeom prst="rect">
                      <a:avLst/>
                    </a:prstGeom>
                    <a:noFill/>
                  </pic:spPr>
                </pic:pic>
              </a:graphicData>
            </a:graphic>
          </wp:anchor>
        </w:drawing>
      </w:r>
    </w:p>
    <w:p>
      <w:pPr>
        <w:sectPr>
          <w:pgSz w:w="11900" w:h="16838" w:orient="portrait"/>
          <w:cols w:equalWidth="0" w:num="1">
            <w:col w:w="11020"/>
          </w:cols>
          <w:pgMar w:left="440" w:top="257"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7"/>
        </w:trPr>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80" w:type="dxa"/>
            <w:vAlign w:val="bottom"/>
            <w:shd w:val="clear" w:color="auto" w:fill="007BB6"/>
          </w:tcPr>
          <w:p>
            <w:pPr>
              <w:ind w:left="120"/>
              <w:spacing w:after="0"/>
              <w:rPr>
                <w:sz w:val="20"/>
                <w:szCs w:val="20"/>
                <w:color w:val="auto"/>
              </w:rPr>
            </w:pPr>
            <w:r>
              <w:rPr>
                <w:rFonts w:ascii="Times New Roman" w:cs="Times New Roman" w:eastAsia="Times New Roman" w:hAnsi="Times New Roman"/>
                <w:sz w:val="25"/>
                <w:szCs w:val="25"/>
                <w:color w:val="auto"/>
              </w:rPr>
              <w:t xml:space="preserve">          </w:t>
            </w:r>
          </w:p>
        </w:tc>
        <w:tc>
          <w:tcPr>
            <w:tcW w:w="860" w:type="dxa"/>
            <w:vAlign w:val="bottom"/>
            <w:shd w:val="clear" w:color="auto" w:fill="007BB6"/>
          </w:tcPr>
          <w:p>
            <w:pPr>
              <w:ind w:left="140"/>
              <w:spacing w:after="0"/>
              <w:rPr>
                <w:sz w:val="20"/>
                <w:szCs w:val="20"/>
                <w:color w:val="auto"/>
              </w:rPr>
            </w:pPr>
            <w:r>
              <w:rPr>
                <w:rFonts w:ascii="Times New Roman" w:cs="Times New Roman" w:eastAsia="Times New Roman" w:hAnsi="Times New Roman"/>
                <w:sz w:val="25"/>
                <w:szCs w:val="25"/>
                <w:color w:val="auto"/>
              </w:rPr>
              <w:t xml:space="preserve">    </w:t>
            </w:r>
          </w:p>
        </w:tc>
        <w:tc>
          <w:tcPr>
            <w:tcW w:w="240" w:type="dxa"/>
            <w:vAlign w:val="bottom"/>
            <w:shd w:val="clear" w:color="auto" w:fill="007BB6"/>
          </w:tcPr>
          <w:p>
            <w:pPr>
              <w:spacing w:after="0"/>
              <w:rPr>
                <w:sz w:val="24"/>
                <w:szCs w:val="24"/>
                <w:color w:val="auto"/>
              </w:rPr>
            </w:pPr>
          </w:p>
        </w:tc>
        <w:tc>
          <w:tcPr>
            <w:tcW w:w="120" w:type="dxa"/>
            <w:vAlign w:val="bottom"/>
            <w:shd w:val="clear" w:color="auto" w:fill="007BB6"/>
          </w:tcPr>
          <w:p>
            <w:pPr>
              <w:spacing w:after="0"/>
              <w:rPr>
                <w:sz w:val="24"/>
                <w:szCs w:val="24"/>
                <w:color w:val="auto"/>
              </w:rPr>
            </w:pPr>
          </w:p>
        </w:tc>
        <w:tc>
          <w:tcPr>
            <w:tcW w:w="160" w:type="dxa"/>
            <w:vAlign w:val="bottom"/>
            <w:shd w:val="clear" w:color="auto" w:fill="007BB6"/>
          </w:tcPr>
          <w:p>
            <w:pPr>
              <w:spacing w:after="0"/>
              <w:rPr>
                <w:sz w:val="24"/>
                <w:szCs w:val="24"/>
                <w:color w:val="auto"/>
              </w:rPr>
            </w:pPr>
          </w:p>
        </w:tc>
        <w:tc>
          <w:tcPr>
            <w:tcW w:w="340" w:type="dxa"/>
            <w:vAlign w:val="bottom"/>
            <w:shd w:val="clear" w:color="auto" w:fill="007BB6"/>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80" w:type="dxa"/>
            <w:vAlign w:val="bottom"/>
            <w:shd w:val="clear" w:color="auto" w:fill="007BB6"/>
          </w:tcPr>
          <w:p>
            <w:pPr>
              <w:spacing w:after="0"/>
              <w:rPr>
                <w:sz w:val="15"/>
                <w:szCs w:val="15"/>
                <w:color w:val="auto"/>
              </w:rPr>
            </w:pPr>
          </w:p>
        </w:tc>
        <w:tc>
          <w:tcPr>
            <w:tcW w:w="860" w:type="dxa"/>
            <w:vAlign w:val="bottom"/>
            <w:shd w:val="clear" w:color="auto" w:fill="007BB6"/>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shd w:val="clear" w:color="auto" w:fill="007BB6"/>
          </w:tcPr>
          <w:p>
            <w:pPr>
              <w:spacing w:after="0"/>
              <w:rPr>
                <w:sz w:val="15"/>
                <w:szCs w:val="15"/>
                <w:color w:val="auto"/>
              </w:rPr>
            </w:pPr>
          </w:p>
        </w:tc>
        <w:tc>
          <w:tcPr>
            <w:tcW w:w="120" w:type="dxa"/>
            <w:vAlign w:val="bottom"/>
            <w:shd w:val="clear" w:color="auto" w:fill="007BB6"/>
          </w:tcPr>
          <w:p>
            <w:pPr>
              <w:spacing w:after="0"/>
              <w:rPr>
                <w:sz w:val="15"/>
                <w:szCs w:val="15"/>
                <w:color w:val="auto"/>
              </w:rPr>
            </w:pPr>
          </w:p>
        </w:tc>
        <w:tc>
          <w:tcPr>
            <w:tcW w:w="160" w:type="dxa"/>
            <w:vAlign w:val="bottom"/>
            <w:shd w:val="clear" w:color="auto" w:fill="007BB6"/>
          </w:tcPr>
          <w:p>
            <w:pPr>
              <w:spacing w:after="0"/>
              <w:rPr>
                <w:sz w:val="15"/>
                <w:szCs w:val="15"/>
                <w:color w:val="auto"/>
              </w:rPr>
            </w:pPr>
          </w:p>
        </w:tc>
        <w:tc>
          <w:tcPr>
            <w:tcW w:w="340" w:type="dxa"/>
            <w:vAlign w:val="bottom"/>
            <w:vMerge w:val="restart"/>
            <w:shd w:val="clear" w:color="auto" w:fill="007BB6"/>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520" w:type="dxa"/>
            <w:vAlign w:val="bottom"/>
            <w:gridSpan w:val="3"/>
            <w:vMerge w:val="restart"/>
          </w:tcPr>
          <w:p>
            <w:pPr>
              <w:jc w:val="center"/>
              <w:ind w:left="415"/>
              <w:spacing w:after="0"/>
              <w:rPr>
                <w:sz w:val="20"/>
                <w:szCs w:val="20"/>
                <w:color w:val="auto"/>
              </w:rPr>
            </w:pPr>
            <w:r>
              <w:rPr>
                <w:rFonts w:ascii="Times New Roman" w:cs="Times New Roman" w:eastAsia="Times New Roman" w:hAnsi="Times New Roman"/>
                <w:sz w:val="47"/>
                <w:szCs w:val="47"/>
                <w:color w:val="004877"/>
                <w:w w:val="96"/>
              </w:rPr>
              <w:t xml:space="preserve">Your </w:t>
            </w:r>
            <w:r>
              <w:rPr>
                <w:rFonts w:ascii="Times New Roman" w:cs="Times New Roman" w:eastAsia="Times New Roman" w:hAnsi="Times New Roman"/>
                <w:sz w:val="47"/>
                <w:szCs w:val="47"/>
                <w:b w:val="1"/>
                <w:bCs w:val="1"/>
                <w:color w:val="004877"/>
                <w:w w:val="96"/>
              </w:rPr>
              <w:t>Vote</w:t>
            </w:r>
            <w:r>
              <w:rPr>
                <w:rFonts w:ascii="Times New Roman" w:cs="Times New Roman" w:eastAsia="Times New Roman" w:hAnsi="Times New Roman"/>
                <w:sz w:val="47"/>
                <w:szCs w:val="47"/>
                <w:color w:val="004877"/>
                <w:w w:val="96"/>
              </w:rPr>
              <w:t xml:space="preserve"> Counts!</w:t>
            </w:r>
          </w:p>
        </w:tc>
        <w:tc>
          <w:tcPr>
            <w:tcW w:w="240" w:type="dxa"/>
            <w:vAlign w:val="bottom"/>
          </w:tcPr>
          <w:p>
            <w:pPr>
              <w:spacing w:after="0"/>
              <w:rPr>
                <w:sz w:val="18"/>
                <w:szCs w:val="18"/>
                <w:color w:val="auto"/>
              </w:rPr>
            </w:pPr>
          </w:p>
        </w:tc>
        <w:tc>
          <w:tcPr>
            <w:tcW w:w="120" w:type="dxa"/>
            <w:vAlign w:val="bottom"/>
            <w:shd w:val="clear" w:color="auto" w:fill="007BB6"/>
          </w:tcPr>
          <w:p>
            <w:pPr>
              <w:spacing w:after="0"/>
              <w:rPr>
                <w:sz w:val="18"/>
                <w:szCs w:val="18"/>
                <w:color w:val="auto"/>
              </w:rPr>
            </w:pPr>
          </w:p>
        </w:tc>
        <w:tc>
          <w:tcPr>
            <w:tcW w:w="160" w:type="dxa"/>
            <w:vAlign w:val="bottom"/>
            <w:shd w:val="clear" w:color="auto" w:fill="007BB6"/>
          </w:tcPr>
          <w:p>
            <w:pPr>
              <w:spacing w:after="0"/>
              <w:rPr>
                <w:sz w:val="18"/>
                <w:szCs w:val="18"/>
                <w:color w:val="auto"/>
              </w:rPr>
            </w:pPr>
          </w:p>
        </w:tc>
        <w:tc>
          <w:tcPr>
            <w:tcW w:w="340" w:type="dxa"/>
            <w:vAlign w:val="bottom"/>
            <w:vMerge w:val="continue"/>
            <w:shd w:val="clear" w:color="auto" w:fill="007BB6"/>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5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shd w:val="clear" w:color="auto" w:fill="007BB6"/>
          </w:tcPr>
          <w:p>
            <w:pPr>
              <w:spacing w:after="0"/>
              <w:rPr>
                <w:sz w:val="24"/>
                <w:szCs w:val="24"/>
                <w:color w:val="auto"/>
              </w:rPr>
            </w:pPr>
          </w:p>
        </w:tc>
        <w:tc>
          <w:tcPr>
            <w:tcW w:w="160" w:type="dxa"/>
            <w:vAlign w:val="bottom"/>
            <w:shd w:val="clear" w:color="auto" w:fill="007BB6"/>
          </w:tcPr>
          <w:p>
            <w:pPr>
              <w:spacing w:after="0"/>
              <w:rPr>
                <w:sz w:val="24"/>
                <w:szCs w:val="24"/>
                <w:color w:val="auto"/>
              </w:rPr>
            </w:pPr>
          </w:p>
        </w:tc>
        <w:tc>
          <w:tcPr>
            <w:tcW w:w="340" w:type="dxa"/>
            <w:vAlign w:val="bottom"/>
            <w:vMerge w:val="restart"/>
            <w:shd w:val="clear" w:color="auto" w:fill="007BB6"/>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520" w:type="dxa"/>
            <w:vAlign w:val="bottom"/>
            <w:gridSpan w:val="3"/>
            <w:vMerge w:val="restart"/>
          </w:tcPr>
          <w:p>
            <w:pPr>
              <w:jc w:val="center"/>
              <w:ind w:left="415"/>
              <w:spacing w:after="0"/>
              <w:rPr>
                <w:sz w:val="20"/>
                <w:szCs w:val="20"/>
                <w:color w:val="auto"/>
              </w:rPr>
            </w:pPr>
            <w:r>
              <w:rPr>
                <w:rFonts w:ascii="Times New Roman" w:cs="Times New Roman" w:eastAsia="Times New Roman" w:hAnsi="Times New Roman"/>
                <w:sz w:val="20"/>
                <w:szCs w:val="20"/>
                <w:b w:val="1"/>
                <w:bCs w:val="1"/>
                <w:color w:val="004877"/>
                <w:w w:val="98"/>
              </w:rPr>
              <w:t>FEDERAL REALTY INVESTMENT TRUST</w:t>
            </w:r>
          </w:p>
        </w:tc>
        <w:tc>
          <w:tcPr>
            <w:tcW w:w="240" w:type="dxa"/>
            <w:vAlign w:val="bottom"/>
          </w:tcPr>
          <w:p>
            <w:pPr>
              <w:spacing w:after="0"/>
              <w:rPr>
                <w:sz w:val="18"/>
                <w:szCs w:val="18"/>
                <w:color w:val="auto"/>
              </w:rPr>
            </w:pPr>
          </w:p>
        </w:tc>
        <w:tc>
          <w:tcPr>
            <w:tcW w:w="120" w:type="dxa"/>
            <w:vAlign w:val="bottom"/>
            <w:shd w:val="clear" w:color="auto" w:fill="007BB6"/>
          </w:tcPr>
          <w:p>
            <w:pPr>
              <w:spacing w:after="0"/>
              <w:rPr>
                <w:sz w:val="18"/>
                <w:szCs w:val="18"/>
                <w:color w:val="auto"/>
              </w:rPr>
            </w:pPr>
          </w:p>
        </w:tc>
        <w:tc>
          <w:tcPr>
            <w:tcW w:w="160" w:type="dxa"/>
            <w:vAlign w:val="bottom"/>
            <w:shd w:val="clear" w:color="auto" w:fill="007BB6"/>
          </w:tcPr>
          <w:p>
            <w:pPr>
              <w:spacing w:after="0"/>
              <w:rPr>
                <w:sz w:val="18"/>
                <w:szCs w:val="18"/>
                <w:color w:val="auto"/>
              </w:rPr>
            </w:pPr>
          </w:p>
        </w:tc>
        <w:tc>
          <w:tcPr>
            <w:tcW w:w="340" w:type="dxa"/>
            <w:vAlign w:val="bottom"/>
            <w:vMerge w:val="continue"/>
            <w:shd w:val="clear" w:color="auto" w:fill="007BB6"/>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5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shd w:val="clear" w:color="auto" w:fill="007BB6"/>
          </w:tcPr>
          <w:p>
            <w:pPr>
              <w:spacing w:after="0"/>
              <w:rPr>
                <w:sz w:val="12"/>
                <w:szCs w:val="12"/>
                <w:color w:val="auto"/>
              </w:rPr>
            </w:pPr>
          </w:p>
        </w:tc>
        <w:tc>
          <w:tcPr>
            <w:tcW w:w="160" w:type="dxa"/>
            <w:vAlign w:val="bottom"/>
            <w:shd w:val="clear" w:color="auto" w:fill="007BB6"/>
          </w:tcPr>
          <w:p>
            <w:pPr>
              <w:spacing w:after="0"/>
              <w:rPr>
                <w:sz w:val="12"/>
                <w:szCs w:val="12"/>
                <w:color w:val="auto"/>
              </w:rPr>
            </w:pPr>
          </w:p>
        </w:tc>
        <w:tc>
          <w:tcPr>
            <w:tcW w:w="340" w:type="dxa"/>
            <w:vAlign w:val="bottom"/>
            <w:shd w:val="clear" w:color="auto" w:fill="007BB6"/>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60" w:type="dxa"/>
            <w:vAlign w:val="bottom"/>
            <w:gridSpan w:val="2"/>
          </w:tcPr>
          <w:p>
            <w:pPr>
              <w:jc w:val="center"/>
              <w:ind w:left="1255"/>
              <w:spacing w:after="0"/>
              <w:rPr>
                <w:sz w:val="20"/>
                <w:szCs w:val="20"/>
                <w:color w:val="auto"/>
              </w:rPr>
            </w:pPr>
            <w:r>
              <w:rPr>
                <w:rFonts w:ascii="Times New Roman" w:cs="Times New Roman" w:eastAsia="Times New Roman" w:hAnsi="Times New Roman"/>
                <w:sz w:val="20"/>
                <w:szCs w:val="20"/>
                <w:color w:val="004877"/>
                <w:w w:val="99"/>
              </w:rPr>
              <w:t>2025 Annual Meeting</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shd w:val="clear" w:color="auto" w:fill="007BB6"/>
          </w:tcPr>
          <w:p>
            <w:pPr>
              <w:spacing w:after="0"/>
              <w:rPr>
                <w:sz w:val="24"/>
                <w:szCs w:val="24"/>
                <w:color w:val="auto"/>
              </w:rPr>
            </w:pPr>
          </w:p>
        </w:tc>
        <w:tc>
          <w:tcPr>
            <w:tcW w:w="160" w:type="dxa"/>
            <w:vAlign w:val="bottom"/>
            <w:shd w:val="clear" w:color="auto" w:fill="007BB6"/>
          </w:tcPr>
          <w:p>
            <w:pPr>
              <w:spacing w:after="0"/>
              <w:rPr>
                <w:sz w:val="24"/>
                <w:szCs w:val="24"/>
                <w:color w:val="auto"/>
              </w:rPr>
            </w:pPr>
          </w:p>
        </w:tc>
        <w:tc>
          <w:tcPr>
            <w:tcW w:w="340" w:type="dxa"/>
            <w:vAlign w:val="bottom"/>
            <w:shd w:val="clear" w:color="auto" w:fill="007BB6"/>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660" w:type="dxa"/>
            <w:vAlign w:val="bottom"/>
            <w:gridSpan w:val="2"/>
          </w:tcPr>
          <w:p>
            <w:pPr>
              <w:jc w:val="center"/>
              <w:ind w:left="1275"/>
              <w:spacing w:after="0"/>
              <w:rPr>
                <w:sz w:val="20"/>
                <w:szCs w:val="20"/>
                <w:color w:val="auto"/>
              </w:rPr>
            </w:pPr>
            <w:r>
              <w:rPr>
                <w:rFonts w:ascii="Times New Roman" w:cs="Times New Roman" w:eastAsia="Times New Roman" w:hAnsi="Times New Roman"/>
                <w:sz w:val="16"/>
                <w:szCs w:val="16"/>
                <w:color w:val="004877"/>
                <w:w w:val="99"/>
              </w:rPr>
              <w:t>Vote by May 06, 2025</w:t>
            </w: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shd w:val="clear" w:color="auto" w:fill="007BB6"/>
          </w:tcPr>
          <w:p>
            <w:pPr>
              <w:spacing w:after="0"/>
              <w:rPr>
                <w:sz w:val="22"/>
                <w:szCs w:val="22"/>
                <w:color w:val="auto"/>
              </w:rPr>
            </w:pPr>
          </w:p>
        </w:tc>
        <w:tc>
          <w:tcPr>
            <w:tcW w:w="160" w:type="dxa"/>
            <w:vAlign w:val="bottom"/>
            <w:shd w:val="clear" w:color="auto" w:fill="007BB6"/>
          </w:tcPr>
          <w:p>
            <w:pPr>
              <w:spacing w:after="0"/>
              <w:rPr>
                <w:sz w:val="22"/>
                <w:szCs w:val="22"/>
                <w:color w:val="auto"/>
              </w:rPr>
            </w:pPr>
          </w:p>
        </w:tc>
        <w:tc>
          <w:tcPr>
            <w:tcW w:w="340" w:type="dxa"/>
            <w:vAlign w:val="bottom"/>
            <w:shd w:val="clear" w:color="auto" w:fill="007BB6"/>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40" w:type="dxa"/>
            <w:vAlign w:val="bottom"/>
            <w:vMerge w:val="restart"/>
          </w:tcPr>
          <w:p>
            <w:pPr>
              <w:jc w:val="right"/>
              <w:ind w:right="37"/>
              <w:spacing w:after="0"/>
              <w:rPr>
                <w:sz w:val="20"/>
                <w:szCs w:val="20"/>
                <w:color w:val="auto"/>
              </w:rPr>
            </w:pPr>
            <w:r>
              <w:rPr>
                <w:rFonts w:ascii="Times New Roman" w:cs="Times New Roman" w:eastAsia="Times New Roman" w:hAnsi="Times New Roman"/>
                <w:sz w:val="16"/>
                <w:szCs w:val="16"/>
                <w:color w:val="auto"/>
              </w:rPr>
              <w:t xml:space="preserve">          </w:t>
            </w:r>
          </w:p>
        </w:tc>
        <w:tc>
          <w:tcPr>
            <w:tcW w:w="31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660" w:type="dxa"/>
            <w:vAlign w:val="bottom"/>
            <w:gridSpan w:val="2"/>
          </w:tcPr>
          <w:p>
            <w:pPr>
              <w:jc w:val="center"/>
              <w:ind w:left="1275"/>
              <w:spacing w:after="0"/>
              <w:rPr>
                <w:sz w:val="20"/>
                <w:szCs w:val="20"/>
                <w:color w:val="auto"/>
              </w:rPr>
            </w:pPr>
            <w:r>
              <w:rPr>
                <w:rFonts w:ascii="Times New Roman" w:cs="Times New Roman" w:eastAsia="Times New Roman" w:hAnsi="Times New Roman"/>
                <w:sz w:val="16"/>
                <w:szCs w:val="16"/>
                <w:color w:val="004877"/>
              </w:rPr>
              <w:t>11:59 PM ET</w:t>
            </w: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shd w:val="clear" w:color="auto" w:fill="007BB6"/>
          </w:tcPr>
          <w:p>
            <w:pPr>
              <w:spacing w:after="0"/>
              <w:rPr>
                <w:sz w:val="23"/>
                <w:szCs w:val="23"/>
                <w:color w:val="auto"/>
              </w:rPr>
            </w:pPr>
          </w:p>
        </w:tc>
        <w:tc>
          <w:tcPr>
            <w:tcW w:w="160" w:type="dxa"/>
            <w:vAlign w:val="bottom"/>
            <w:shd w:val="clear" w:color="auto" w:fill="007BB6"/>
          </w:tcPr>
          <w:p>
            <w:pPr>
              <w:spacing w:after="0"/>
              <w:rPr>
                <w:sz w:val="23"/>
                <w:szCs w:val="23"/>
                <w:color w:val="auto"/>
              </w:rPr>
            </w:pPr>
          </w:p>
        </w:tc>
        <w:tc>
          <w:tcPr>
            <w:tcW w:w="340" w:type="dxa"/>
            <w:vAlign w:val="bottom"/>
            <w:shd w:val="clear" w:color="auto" w:fill="007BB6"/>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40" w:type="dxa"/>
            <w:vAlign w:val="bottom"/>
            <w:vMerge w:val="continue"/>
          </w:tcPr>
          <w:p>
            <w:pPr>
              <w:spacing w:after="0"/>
              <w:rPr>
                <w:sz w:val="11"/>
                <w:szCs w:val="11"/>
                <w:color w:val="auto"/>
              </w:rPr>
            </w:pPr>
          </w:p>
        </w:tc>
        <w:tc>
          <w:tcPr>
            <w:tcW w:w="3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shd w:val="clear" w:color="auto" w:fill="007BB6"/>
          </w:tcPr>
          <w:p>
            <w:pPr>
              <w:spacing w:after="0"/>
              <w:rPr>
                <w:sz w:val="11"/>
                <w:szCs w:val="11"/>
                <w:color w:val="auto"/>
              </w:rPr>
            </w:pPr>
          </w:p>
        </w:tc>
        <w:tc>
          <w:tcPr>
            <w:tcW w:w="160" w:type="dxa"/>
            <w:vAlign w:val="bottom"/>
            <w:shd w:val="clear" w:color="auto" w:fill="007BB6"/>
          </w:tcPr>
          <w:p>
            <w:pPr>
              <w:spacing w:after="0"/>
              <w:rPr>
                <w:sz w:val="11"/>
                <w:szCs w:val="11"/>
                <w:color w:val="auto"/>
              </w:rPr>
            </w:pPr>
          </w:p>
        </w:tc>
        <w:tc>
          <w:tcPr>
            <w:tcW w:w="340" w:type="dxa"/>
            <w:vAlign w:val="bottom"/>
            <w:shd w:val="clear" w:color="auto" w:fill="007BB6"/>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395C8"/>
              </w:rPr>
              <w:t> </w:t>
            </w:r>
          </w:p>
        </w:tc>
        <w:tc>
          <w:tcPr>
            <w:tcW w:w="3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395C8"/>
              </w:rPr>
              <w:t>Hextone, Inc.</w:t>
            </w:r>
          </w:p>
        </w:tc>
        <w:tc>
          <w:tcPr>
            <w:tcW w:w="18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 xml:space="preserve">             </w:t>
            </w:r>
          </w:p>
        </w:tc>
        <w:tc>
          <w:tcPr>
            <w:tcW w:w="120" w:type="dxa"/>
            <w:vAlign w:val="bottom"/>
            <w:shd w:val="clear" w:color="auto" w:fill="007BB6"/>
          </w:tcPr>
          <w:p>
            <w:pPr>
              <w:spacing w:after="0"/>
              <w:rPr>
                <w:sz w:val="4"/>
                <w:szCs w:val="4"/>
                <w:color w:val="auto"/>
              </w:rPr>
            </w:pPr>
          </w:p>
        </w:tc>
        <w:tc>
          <w:tcPr>
            <w:tcW w:w="160" w:type="dxa"/>
            <w:vAlign w:val="bottom"/>
            <w:shd w:val="clear" w:color="auto" w:fill="007BB6"/>
          </w:tcPr>
          <w:p>
            <w:pPr>
              <w:spacing w:after="0"/>
              <w:rPr>
                <w:sz w:val="4"/>
                <w:szCs w:val="4"/>
                <w:color w:val="auto"/>
              </w:rPr>
            </w:pPr>
          </w:p>
        </w:tc>
        <w:tc>
          <w:tcPr>
            <w:tcW w:w="340" w:type="dxa"/>
            <w:vAlign w:val="bottom"/>
            <w:shd w:val="clear" w:color="auto" w:fill="007BB6"/>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640" w:type="dxa"/>
            <w:vAlign w:val="bottom"/>
            <w:vMerge w:val="continue"/>
          </w:tcPr>
          <w:p>
            <w:pPr>
              <w:spacing w:after="0"/>
              <w:rPr>
                <w:sz w:val="24"/>
                <w:szCs w:val="24"/>
                <w:color w:val="auto"/>
              </w:rPr>
            </w:pPr>
          </w:p>
        </w:tc>
        <w:tc>
          <w:tcPr>
            <w:tcW w:w="316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shd w:val="clear" w:color="auto" w:fill="007BB6"/>
          </w:tcPr>
          <w:p>
            <w:pPr>
              <w:spacing w:after="0"/>
              <w:rPr>
                <w:sz w:val="24"/>
                <w:szCs w:val="24"/>
                <w:color w:val="auto"/>
              </w:rPr>
            </w:pPr>
          </w:p>
        </w:tc>
        <w:tc>
          <w:tcPr>
            <w:tcW w:w="160" w:type="dxa"/>
            <w:vAlign w:val="bottom"/>
            <w:shd w:val="clear" w:color="auto" w:fill="007BB6"/>
          </w:tcPr>
          <w:p>
            <w:pPr>
              <w:spacing w:after="0"/>
              <w:rPr>
                <w:sz w:val="24"/>
                <w:szCs w:val="24"/>
                <w:color w:val="auto"/>
              </w:rPr>
            </w:pPr>
          </w:p>
        </w:tc>
        <w:tc>
          <w:tcPr>
            <w:tcW w:w="340" w:type="dxa"/>
            <w:vAlign w:val="bottom"/>
            <w:shd w:val="clear" w:color="auto" w:fill="007BB6"/>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395C8"/>
              </w:rPr>
              <w:t> </w:t>
            </w:r>
          </w:p>
        </w:tc>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395C8"/>
              </w:rPr>
              <w:t>P.O. Box 9142</w:t>
            </w:r>
          </w:p>
        </w:tc>
        <w:tc>
          <w:tcPr>
            <w:tcW w:w="18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shd w:val="clear" w:color="auto" w:fill="007BB6"/>
          </w:tcPr>
          <w:p>
            <w:pPr>
              <w:spacing w:after="0"/>
              <w:rPr>
                <w:sz w:val="12"/>
                <w:szCs w:val="12"/>
                <w:color w:val="auto"/>
              </w:rPr>
            </w:pPr>
          </w:p>
        </w:tc>
        <w:tc>
          <w:tcPr>
            <w:tcW w:w="160" w:type="dxa"/>
            <w:vAlign w:val="bottom"/>
            <w:shd w:val="clear" w:color="auto" w:fill="007BB6"/>
          </w:tcPr>
          <w:p>
            <w:pPr>
              <w:spacing w:after="0"/>
              <w:rPr>
                <w:sz w:val="12"/>
                <w:szCs w:val="12"/>
                <w:color w:val="auto"/>
              </w:rPr>
            </w:pPr>
          </w:p>
        </w:tc>
        <w:tc>
          <w:tcPr>
            <w:tcW w:w="340" w:type="dxa"/>
            <w:vAlign w:val="bottom"/>
            <w:shd w:val="clear" w:color="auto" w:fill="007BB6"/>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395C8"/>
              </w:rPr>
              <w:t> </w:t>
            </w:r>
          </w:p>
        </w:tc>
        <w:tc>
          <w:tcPr>
            <w:tcW w:w="3160" w:type="dxa"/>
            <w:vAlign w:val="bottom"/>
          </w:tcPr>
          <w:p>
            <w:pPr>
              <w:ind w:left="40"/>
              <w:spacing w:after="0"/>
              <w:rPr>
                <w:sz w:val="20"/>
                <w:szCs w:val="20"/>
                <w:color w:val="auto"/>
              </w:rPr>
            </w:pPr>
            <w:r>
              <w:rPr>
                <w:rFonts w:ascii="Times New Roman" w:cs="Times New Roman" w:eastAsia="Times New Roman" w:hAnsi="Times New Roman"/>
                <w:sz w:val="14"/>
                <w:szCs w:val="14"/>
                <w:color w:val="A395C8"/>
              </w:rPr>
              <w:t>Farmingdale, NY 11735</w:t>
            </w:r>
          </w:p>
        </w:tc>
        <w:tc>
          <w:tcPr>
            <w:tcW w:w="18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shd w:val="clear" w:color="auto" w:fill="007BB6"/>
          </w:tcPr>
          <w:p>
            <w:pPr>
              <w:spacing w:after="0"/>
              <w:rPr>
                <w:sz w:val="16"/>
                <w:szCs w:val="16"/>
                <w:color w:val="auto"/>
              </w:rPr>
            </w:pPr>
          </w:p>
        </w:tc>
        <w:tc>
          <w:tcPr>
            <w:tcW w:w="160" w:type="dxa"/>
            <w:vAlign w:val="bottom"/>
            <w:shd w:val="clear" w:color="auto" w:fill="007BB6"/>
          </w:tcPr>
          <w:p>
            <w:pPr>
              <w:spacing w:after="0"/>
              <w:rPr>
                <w:sz w:val="16"/>
                <w:szCs w:val="16"/>
                <w:color w:val="auto"/>
              </w:rPr>
            </w:pPr>
          </w:p>
        </w:tc>
        <w:tc>
          <w:tcPr>
            <w:tcW w:w="340" w:type="dxa"/>
            <w:vAlign w:val="bottom"/>
            <w:shd w:val="clear" w:color="auto" w:fill="007BB6"/>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660" w:type="dxa"/>
            <w:vAlign w:val="bottom"/>
            <w:gridSpan w:val="2"/>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shd w:val="clear" w:color="auto" w:fill="007BB6"/>
          </w:tcPr>
          <w:p>
            <w:pPr>
              <w:spacing w:after="0"/>
              <w:rPr>
                <w:sz w:val="22"/>
                <w:szCs w:val="22"/>
                <w:color w:val="auto"/>
              </w:rPr>
            </w:pPr>
          </w:p>
        </w:tc>
        <w:tc>
          <w:tcPr>
            <w:tcW w:w="160" w:type="dxa"/>
            <w:vAlign w:val="bottom"/>
            <w:shd w:val="clear" w:color="auto" w:fill="007BB6"/>
          </w:tcPr>
          <w:p>
            <w:pPr>
              <w:spacing w:after="0"/>
              <w:rPr>
                <w:sz w:val="22"/>
                <w:szCs w:val="22"/>
                <w:color w:val="auto"/>
              </w:rPr>
            </w:pPr>
          </w:p>
        </w:tc>
        <w:tc>
          <w:tcPr>
            <w:tcW w:w="340" w:type="dxa"/>
            <w:vAlign w:val="bottom"/>
            <w:shd w:val="clear" w:color="auto" w:fill="007BB6"/>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6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395C8"/>
              </w:rPr>
              <w:t>30# </w:t>
            </w:r>
          </w:p>
        </w:tc>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395C8"/>
              </w:rPr>
              <w:t> </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shd w:val="clear" w:color="auto" w:fill="004877"/>
          </w:tcPr>
          <w:p>
            <w:pPr>
              <w:spacing w:after="0"/>
              <w:rPr>
                <w:sz w:val="24"/>
                <w:szCs w:val="24"/>
                <w:color w:val="auto"/>
              </w:rPr>
            </w:pPr>
          </w:p>
        </w:tc>
        <w:tc>
          <w:tcPr>
            <w:tcW w:w="340" w:type="dxa"/>
            <w:vAlign w:val="bottom"/>
            <w:shd w:val="clear" w:color="auto" w:fill="004877"/>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395C8"/>
              </w:rPr>
              <w:t> </w:t>
            </w: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395C8"/>
              </w:rPr>
              <w:t>Ricky Campana</w:t>
            </w:r>
          </w:p>
        </w:tc>
        <w:tc>
          <w:tcPr>
            <w:tcW w:w="18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shd w:val="clear" w:color="auto" w:fill="004877"/>
          </w:tcPr>
          <w:p>
            <w:pPr>
              <w:spacing w:after="0"/>
              <w:rPr>
                <w:sz w:val="22"/>
                <w:szCs w:val="22"/>
                <w:color w:val="auto"/>
              </w:rPr>
            </w:pPr>
          </w:p>
        </w:tc>
        <w:tc>
          <w:tcPr>
            <w:tcW w:w="340" w:type="dxa"/>
            <w:vAlign w:val="bottom"/>
            <w:shd w:val="clear" w:color="auto" w:fill="004877"/>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395C8"/>
              </w:rPr>
              <w:t> </w:t>
            </w: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395C8"/>
              </w:rPr>
              <w:t>P.O. Box 123456</w:t>
            </w:r>
          </w:p>
        </w:tc>
        <w:tc>
          <w:tcPr>
            <w:tcW w:w="18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395C8"/>
              </w:rPr>
              <w:t> </w:t>
            </w: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395C8"/>
              </w:rPr>
              <w:t>Suite 500</w:t>
            </w: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xml:space="preserve">     </w:t>
            </w:r>
          </w:p>
        </w:tc>
        <w:tc>
          <w:tcPr>
            <w:tcW w:w="3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 xml:space="preserve">   </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395C8"/>
              </w:rPr>
              <w:t> </w:t>
            </w:r>
          </w:p>
        </w:tc>
        <w:tc>
          <w:tcPr>
            <w:tcW w:w="3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395C8"/>
              </w:rPr>
              <w:t>51 Mercedes Way</w:t>
            </w:r>
          </w:p>
        </w:tc>
        <w:tc>
          <w:tcPr>
            <w:tcW w:w="1840" w:type="dxa"/>
            <w:vAlign w:val="bottom"/>
            <w:vMerge w:val="continue"/>
          </w:tcPr>
          <w:p>
            <w:pPr>
              <w:spacing w:after="0"/>
              <w:rPr>
                <w:sz w:val="5"/>
                <w:szCs w:val="5"/>
                <w:color w:val="auto"/>
              </w:rPr>
            </w:pPr>
          </w:p>
        </w:tc>
        <w:tc>
          <w:tcPr>
            <w:tcW w:w="366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640" w:type="dxa"/>
            <w:vAlign w:val="bottom"/>
            <w:vMerge w:val="continue"/>
          </w:tcPr>
          <w:p>
            <w:pPr>
              <w:spacing w:after="0"/>
              <w:rPr>
                <w:sz w:val="13"/>
                <w:szCs w:val="13"/>
                <w:color w:val="auto"/>
              </w:rPr>
            </w:pPr>
          </w:p>
        </w:tc>
        <w:tc>
          <w:tcPr>
            <w:tcW w:w="316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395C8"/>
              </w:rPr>
              <w:t> </w:t>
            </w: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395C8"/>
              </w:rPr>
              <w:t>Edgewood, NY 11717</w:t>
            </w:r>
          </w:p>
        </w:tc>
        <w:tc>
          <w:tcPr>
            <w:tcW w:w="18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6971665</wp:posOffset>
            </wp:positionH>
            <wp:positionV relativeFrom="page">
              <wp:posOffset>182880</wp:posOffset>
            </wp:positionV>
            <wp:extent cx="300355"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434340</wp:posOffset>
            </wp:positionH>
            <wp:positionV relativeFrom="paragraph">
              <wp:posOffset>-2167890</wp:posOffset>
            </wp:positionV>
            <wp:extent cx="6557645" cy="3077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                 </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17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   FLASHID-JOB#</w:t>
            </w:r>
          </w:p>
        </w:tc>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740" w:type="dxa"/>
            <w:vAlign w:val="bottom"/>
            <w:vMerge w:val="continue"/>
          </w:tcPr>
          <w:p>
            <w:pPr>
              <w:spacing w:after="0"/>
              <w:rPr>
                <w:sz w:val="14"/>
                <w:szCs w:val="14"/>
                <w:color w:val="auto"/>
              </w:rPr>
            </w:pPr>
          </w:p>
        </w:tc>
        <w:tc>
          <w:tcPr>
            <w:tcW w:w="6580" w:type="dxa"/>
            <w:vAlign w:val="bottom"/>
            <w:vMerge w:val="restart"/>
          </w:tcPr>
          <w:p>
            <w:pPr>
              <w:ind w:left="4160"/>
              <w:spacing w:after="0" w:line="274" w:lineRule="exact"/>
              <w:rPr>
                <w:sz w:val="20"/>
                <w:szCs w:val="20"/>
                <w:color w:val="auto"/>
              </w:rPr>
            </w:pPr>
            <w:r>
              <w:rPr>
                <w:rFonts w:ascii="Times New Roman" w:cs="Times New Roman" w:eastAsia="Times New Roman" w:hAnsi="Times New Roman"/>
                <w:sz w:val="25"/>
                <w:szCs w:val="25"/>
                <w:color w:val="auto"/>
              </w:rPr>
              <w:t xml:space="preserve">                     </w:t>
            </w:r>
          </w:p>
        </w:tc>
        <w:tc>
          <w:tcPr>
            <w:tcW w:w="120" w:type="dxa"/>
            <w:vAlign w:val="bottom"/>
            <w:shd w:val="clear" w:color="auto" w:fill="004877"/>
          </w:tcPr>
          <w:p>
            <w:pPr>
              <w:spacing w:after="0"/>
              <w:rPr>
                <w:sz w:val="14"/>
                <w:szCs w:val="14"/>
                <w:color w:val="auto"/>
              </w:rPr>
            </w:pPr>
          </w:p>
        </w:tc>
        <w:tc>
          <w:tcPr>
            <w:tcW w:w="1960" w:type="dxa"/>
            <w:vAlign w:val="bottom"/>
            <w:vMerge w:val="restart"/>
            <w:shd w:val="clear" w:color="auto" w:fill="004877"/>
          </w:tcPr>
          <w:p>
            <w:pPr>
              <w:spacing w:after="0" w:line="274" w:lineRule="exact"/>
              <w:rPr>
                <w:sz w:val="20"/>
                <w:szCs w:val="20"/>
                <w:color w:val="auto"/>
              </w:rPr>
            </w:pPr>
            <w:r>
              <w:rPr>
                <w:rFonts w:ascii="Times New Roman" w:cs="Times New Roman" w:eastAsia="Times New Roman" w:hAnsi="Times New Roman"/>
                <w:sz w:val="25"/>
                <w:szCs w:val="25"/>
                <w:color w:val="auto"/>
              </w:rPr>
              <w:t> </w:t>
            </w:r>
          </w:p>
        </w:tc>
        <w:tc>
          <w:tcPr>
            <w:tcW w:w="0" w:type="dxa"/>
            <w:vAlign w:val="bottom"/>
          </w:tcPr>
          <w:p>
            <w:pPr>
              <w:spacing w:after="0"/>
              <w:rPr>
                <w:sz w:val="1"/>
                <w:szCs w:val="1"/>
                <w:color w:val="auto"/>
              </w:rPr>
            </w:pPr>
          </w:p>
        </w:tc>
      </w:tr>
      <w:tr>
        <w:trPr>
          <w:trHeight w:val="109"/>
        </w:trPr>
        <w:tc>
          <w:tcPr>
            <w:tcW w:w="1740" w:type="dxa"/>
            <w:vAlign w:val="bottom"/>
          </w:tcPr>
          <w:p>
            <w:pPr>
              <w:spacing w:after="0"/>
              <w:rPr>
                <w:sz w:val="9"/>
                <w:szCs w:val="9"/>
                <w:color w:val="auto"/>
              </w:rPr>
            </w:pPr>
          </w:p>
        </w:tc>
        <w:tc>
          <w:tcPr>
            <w:tcW w:w="6580" w:type="dxa"/>
            <w:vAlign w:val="bottom"/>
            <w:vMerge w:val="continue"/>
          </w:tcPr>
          <w:p>
            <w:pPr>
              <w:spacing w:after="0"/>
              <w:rPr>
                <w:sz w:val="9"/>
                <w:szCs w:val="9"/>
                <w:color w:val="auto"/>
              </w:rPr>
            </w:pPr>
          </w:p>
        </w:tc>
        <w:tc>
          <w:tcPr>
            <w:tcW w:w="120" w:type="dxa"/>
            <w:vAlign w:val="bottom"/>
            <w:shd w:val="clear" w:color="auto" w:fill="004877"/>
          </w:tcPr>
          <w:p>
            <w:pPr>
              <w:spacing w:after="0"/>
              <w:rPr>
                <w:sz w:val="9"/>
                <w:szCs w:val="9"/>
                <w:color w:val="auto"/>
              </w:rPr>
            </w:pPr>
          </w:p>
        </w:tc>
        <w:tc>
          <w:tcPr>
            <w:tcW w:w="1960" w:type="dxa"/>
            <w:vAlign w:val="bottom"/>
            <w:vMerge w:val="continue"/>
            <w:shd w:val="clear" w:color="auto" w:fill="004877"/>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line="20" w:lineRule="exact"/>
              <w:rPr>
                <w:sz w:val="1"/>
                <w:szCs w:val="1"/>
                <w:color w:val="auto"/>
              </w:rPr>
            </w:pPr>
          </w:p>
        </w:tc>
        <w:tc>
          <w:tcPr>
            <w:tcW w:w="6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004877"/>
          </w:tcPr>
          <w:p>
            <w:pPr>
              <w:spacing w:after="0" w:line="20" w:lineRule="exact"/>
              <w:rPr>
                <w:sz w:val="1"/>
                <w:szCs w:val="1"/>
                <w:color w:val="auto"/>
              </w:rPr>
            </w:pPr>
          </w:p>
        </w:tc>
        <w:tc>
          <w:tcPr>
            <w:tcW w:w="1960" w:type="dxa"/>
            <w:vAlign w:val="bottom"/>
            <w:vMerge w:val="restart"/>
            <w:shd w:val="clear" w:color="auto" w:fill="004877"/>
          </w:tcPr>
          <w:p>
            <w:pPr>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line="20" w:lineRule="exact"/>
              <w:rPr>
                <w:sz w:val="1"/>
                <w:szCs w:val="1"/>
                <w:color w:val="auto"/>
              </w:rPr>
            </w:pPr>
          </w:p>
        </w:tc>
      </w:tr>
      <w:tr>
        <w:trPr>
          <w:trHeight w:val="148"/>
        </w:trPr>
        <w:tc>
          <w:tcPr>
            <w:tcW w:w="1740" w:type="dxa"/>
            <w:vAlign w:val="bottom"/>
            <w:shd w:val="clear" w:color="auto" w:fill="007BB6"/>
          </w:tcPr>
          <w:p>
            <w:pPr>
              <w:spacing w:after="0"/>
              <w:rPr>
                <w:sz w:val="12"/>
                <w:szCs w:val="12"/>
                <w:color w:val="auto"/>
              </w:rPr>
            </w:pPr>
          </w:p>
        </w:tc>
        <w:tc>
          <w:tcPr>
            <w:tcW w:w="6580" w:type="dxa"/>
            <w:vAlign w:val="bottom"/>
            <w:vMerge w:val="continue"/>
          </w:tcPr>
          <w:p>
            <w:pPr>
              <w:spacing w:after="0"/>
              <w:rPr>
                <w:sz w:val="12"/>
                <w:szCs w:val="12"/>
                <w:color w:val="auto"/>
              </w:rPr>
            </w:pPr>
          </w:p>
        </w:tc>
        <w:tc>
          <w:tcPr>
            <w:tcW w:w="120" w:type="dxa"/>
            <w:vAlign w:val="bottom"/>
            <w:shd w:val="clear" w:color="auto" w:fill="004877"/>
          </w:tcPr>
          <w:p>
            <w:pPr>
              <w:spacing w:after="0"/>
              <w:rPr>
                <w:sz w:val="12"/>
                <w:szCs w:val="12"/>
                <w:color w:val="auto"/>
              </w:rPr>
            </w:pPr>
          </w:p>
        </w:tc>
        <w:tc>
          <w:tcPr>
            <w:tcW w:w="1960" w:type="dxa"/>
            <w:vAlign w:val="bottom"/>
            <w:vMerge w:val="continue"/>
            <w:shd w:val="clear" w:color="auto" w:fill="004877"/>
          </w:tcPr>
          <w:p>
            <w:pPr>
              <w:spacing w:after="0"/>
              <w:rPr>
                <w:sz w:val="12"/>
                <w:szCs w:val="12"/>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5"/>
          <w:szCs w:val="25"/>
          <w:b w:val="1"/>
          <w:bCs w:val="1"/>
          <w:color w:val="004877"/>
        </w:rPr>
        <w:t>You invested in FEDERAL REALTY INVESTMENT TRUST and it’s time to vote!</w:t>
      </w:r>
    </w:p>
    <w:p>
      <w:pPr>
        <w:spacing w:after="0" w:line="40" w:lineRule="exact"/>
        <w:rPr>
          <w:sz w:val="20"/>
          <w:szCs w:val="20"/>
          <w:color w:val="auto"/>
        </w:rPr>
      </w:pPr>
    </w:p>
    <w:p>
      <w:pPr>
        <w:ind w:left="220" w:right="300"/>
        <w:spacing w:after="0" w:line="258" w:lineRule="auto"/>
        <w:rPr>
          <w:sz w:val="20"/>
          <w:szCs w:val="20"/>
          <w:color w:val="auto"/>
        </w:rPr>
      </w:pPr>
      <w:r>
        <w:rPr>
          <w:rFonts w:ascii="Times New Roman" w:cs="Times New Roman" w:eastAsia="Times New Roman" w:hAnsi="Times New Roman"/>
          <w:sz w:val="18"/>
          <w:szCs w:val="18"/>
          <w:color w:val="004877"/>
        </w:rPr>
        <w:t xml:space="preserve">You have the right to vote on proposals being presented at the Annual Meeting. </w:t>
      </w:r>
      <w:r>
        <w:rPr>
          <w:rFonts w:ascii="Times New Roman" w:cs="Times New Roman" w:eastAsia="Times New Roman" w:hAnsi="Times New Roman"/>
          <w:sz w:val="18"/>
          <w:szCs w:val="18"/>
          <w:b w:val="1"/>
          <w:bCs w:val="1"/>
          <w:color w:val="004877"/>
        </w:rPr>
        <w:t>This is an important notice regarding the availability of proxy</w:t>
      </w:r>
      <w:r>
        <w:rPr>
          <w:rFonts w:ascii="Times New Roman" w:cs="Times New Roman" w:eastAsia="Times New Roman" w:hAnsi="Times New Roman"/>
          <w:sz w:val="18"/>
          <w:szCs w:val="18"/>
          <w:color w:val="004877"/>
        </w:rPr>
        <w:t xml:space="preserve"> </w:t>
      </w:r>
      <w:r>
        <w:rPr>
          <w:rFonts w:ascii="Times New Roman" w:cs="Times New Roman" w:eastAsia="Times New Roman" w:hAnsi="Times New Roman"/>
          <w:sz w:val="18"/>
          <w:szCs w:val="18"/>
          <w:b w:val="1"/>
          <w:bCs w:val="1"/>
          <w:color w:val="004877"/>
        </w:rPr>
        <w:t>material for the shareholder meeting to be held on May 07, 2025.</w:t>
      </w:r>
    </w:p>
    <w:p>
      <w:pPr>
        <w:spacing w:after="0" w:line="1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5"/>
          <w:szCs w:val="25"/>
          <w:b w:val="1"/>
          <w:bCs w:val="1"/>
          <w:color w:val="004877"/>
        </w:rPr>
        <w:t>Get informed before you vote</w:t>
      </w:r>
    </w:p>
    <w:p>
      <w:pPr>
        <w:spacing w:after="0" w:line="40" w:lineRule="exact"/>
        <w:rPr>
          <w:sz w:val="20"/>
          <w:szCs w:val="20"/>
          <w:color w:val="auto"/>
        </w:rPr>
      </w:pPr>
    </w:p>
    <w:p>
      <w:pPr>
        <w:ind w:left="220" w:right="40"/>
        <w:spacing w:after="0" w:line="253" w:lineRule="auto"/>
        <w:rPr>
          <w:sz w:val="20"/>
          <w:szCs w:val="20"/>
          <w:color w:val="auto"/>
        </w:rPr>
      </w:pPr>
      <w:r>
        <w:rPr>
          <w:rFonts w:ascii="Times New Roman" w:cs="Times New Roman" w:eastAsia="Times New Roman" w:hAnsi="Times New Roman"/>
          <w:sz w:val="18"/>
          <w:szCs w:val="18"/>
          <w:color w:val="004877"/>
        </w:rPr>
        <w:t>View the Annual Report/Form 10-K/Notice &amp; Proxy Statement online OR you can receive a free paper or email copy of the material(s) by requesting prior to April 23, 2025.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995160" cy="2443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20" w:hanging="100"/>
        <w:spacing w:after="0" w:line="261" w:lineRule="auto"/>
        <w:tabs>
          <w:tab w:leader="none" w:pos="420" w:val="left"/>
        </w:tabs>
        <w:numPr>
          <w:ilvl w:val="0"/>
          <w:numId w:val="6"/>
        </w:numPr>
        <w:rPr>
          <w:rFonts w:ascii="Times New Roman" w:cs="Times New Roman" w:eastAsia="Times New Roman" w:hAnsi="Times New Roman"/>
          <w:sz w:val="14"/>
          <w:szCs w:val="14"/>
          <w:color w:val="004877"/>
        </w:rPr>
      </w:pPr>
      <w:r>
        <w:rPr>
          <w:rFonts w:ascii="Times New Roman" w:cs="Times New Roman" w:eastAsia="Times New Roman" w:hAnsi="Times New Roman"/>
          <w:sz w:val="14"/>
          <w:szCs w:val="14"/>
          <w:color w:val="004877"/>
        </w:rPr>
        <w:t>If you choose to vote these shares in person at the meeting, you must request a “legal proxy.” To do so, please follow the instructions at www.ProxyVote.com or request a paper copy of the materials, which will contain the appropriate instructions. Please check the meeting materials for any special requirements for meeting attendance.</w:t>
      </w:r>
    </w:p>
    <w:p>
      <w:pPr>
        <w:sectPr>
          <w:pgSz w:w="11900" w:h="16838" w:orient="portrait"/>
          <w:cols w:equalWidth="0" w:num="1">
            <w:col w:w="11020"/>
          </w:cols>
          <w:pgMar w:left="440" w:top="867" w:right="439" w:bottom="1440" w:gutter="0" w:footer="0" w:header="0"/>
        </w:sectPr>
      </w:pPr>
    </w:p>
    <w:bookmarkStart w:id="3" w:name="page4"/>
    <w:bookmarkEnd w:id="3"/>
    <w:p>
      <w:pPr>
        <w:ind w:left="80"/>
        <w:spacing w:after="0"/>
        <w:tabs>
          <w:tab w:leader="none" w:pos="5700" w:val="left"/>
        </w:tabs>
        <w:rPr>
          <w:sz w:val="20"/>
          <w:szCs w:val="20"/>
          <w:color w:val="auto"/>
        </w:rPr>
      </w:pPr>
      <w:r>
        <w:rPr>
          <w:rFonts w:ascii="Times New Roman" w:cs="Times New Roman" w:eastAsia="Times New Roman" w:hAnsi="Times New Roman"/>
          <w:sz w:val="27"/>
          <w:szCs w:val="27"/>
          <w:b w:val="1"/>
          <w:bCs w:val="1"/>
          <w:color w:val="007BB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Vote at www.ProxyVote.com</w:t>
      </w:r>
      <w:r>
        <w:rPr>
          <w:sz w:val="20"/>
          <w:szCs w:val="20"/>
          <w:color w:val="auto"/>
        </w:rPr>
        <w:tab/>
      </w:r>
      <w:r>
        <w:rPr>
          <w:rFonts w:ascii="Times New Roman" w:cs="Times New Roman" w:eastAsia="Times New Roman" w:hAnsi="Times New Roman"/>
          <w:sz w:val="26"/>
          <w:szCs w:val="26"/>
          <w:b w:val="1"/>
          <w:bCs w:val="1"/>
          <w:color w:val="7A51A1"/>
        </w:rPr>
        <w:t>Control # XXXX XXXX XXXX 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167005</wp:posOffset>
            </wp:positionV>
            <wp:extent cx="699516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b w:val="1"/>
          <w:bCs w:val="1"/>
          <w:color w:val="004877"/>
        </w:rPr>
        <w:t>THIS IS NOT A VOTABLE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-186690</wp:posOffset>
            </wp:positionV>
            <wp:extent cx="3326130" cy="960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6130" cy="960120"/>
                    </a:xfrm>
                    <a:prstGeom prst="rect">
                      <a:avLst/>
                    </a:prstGeom>
                    <a:noFill/>
                  </pic:spPr>
                </pic:pic>
              </a:graphicData>
            </a:graphic>
          </wp:anchor>
        </w:drawing>
      </w:r>
    </w:p>
    <w:p>
      <w:pPr>
        <w:spacing w:after="0" w:line="220" w:lineRule="exact"/>
        <w:rPr>
          <w:sz w:val="20"/>
          <w:szCs w:val="20"/>
          <w:color w:val="auto"/>
        </w:rPr>
      </w:pPr>
    </w:p>
    <w:p>
      <w:pPr>
        <w:ind w:left="80" w:right="5680"/>
        <w:spacing w:after="0" w:line="266" w:lineRule="auto"/>
        <w:rPr>
          <w:sz w:val="20"/>
          <w:szCs w:val="20"/>
          <w:color w:val="auto"/>
        </w:rPr>
      </w:pPr>
      <w:r>
        <w:rPr>
          <w:rFonts w:ascii="Times New Roman" w:cs="Times New Roman" w:eastAsia="Times New Roman" w:hAnsi="Times New Roman"/>
          <w:sz w:val="18"/>
          <w:szCs w:val="18"/>
          <w:color w:val="004877"/>
        </w:rPr>
        <w:t>This is an overview of the proposals being presented at the upcoming shareholder meeting. Please follow the instructions on the reverse side to vote these important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60" w:type="dxa"/>
            <w:vAlign w:val="bottom"/>
          </w:tcPr>
          <w:p>
            <w:pPr>
              <w:spacing w:after="0"/>
              <w:rPr>
                <w:sz w:val="17"/>
                <w:szCs w:val="17"/>
                <w:color w:val="auto"/>
              </w:rPr>
            </w:pPr>
          </w:p>
        </w:tc>
        <w:tc>
          <w:tcPr>
            <w:tcW w:w="118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004877"/>
              </w:rPr>
              <w:t>Board</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8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004877"/>
              </w:rPr>
              <w:t>Voting Items</w:t>
            </w:r>
          </w:p>
        </w:tc>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04877"/>
              </w:rPr>
              <w:t>Recommends</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F0EFF7"/>
          </w:tcPr>
          <w:p>
            <w:pPr>
              <w:spacing w:after="0"/>
              <w:rPr>
                <w:sz w:val="20"/>
                <w:szCs w:val="20"/>
                <w:color w:val="auto"/>
              </w:rPr>
            </w:pPr>
            <w:r>
              <w:rPr>
                <w:rFonts w:ascii="Times New Roman" w:cs="Times New Roman" w:eastAsia="Times New Roman" w:hAnsi="Times New Roman"/>
                <w:sz w:val="13"/>
                <w:szCs w:val="13"/>
                <w:color w:val="004877"/>
                <w:w w:val="75"/>
              </w:rPr>
              <w:t> </w:t>
            </w:r>
          </w:p>
        </w:tc>
        <w:tc>
          <w:tcPr>
            <w:tcW w:w="440" w:type="dxa"/>
            <w:vAlign w:val="bottom"/>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1.</w:t>
            </w:r>
          </w:p>
        </w:tc>
        <w:tc>
          <w:tcPr>
            <w:tcW w:w="9360" w:type="dxa"/>
            <w:vAlign w:val="bottom"/>
            <w:tcBorders>
              <w:right w:val="single" w:sz="8" w:color="0C5990"/>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Election of Trustees</w:t>
            </w:r>
          </w:p>
        </w:tc>
        <w:tc>
          <w:tcPr>
            <w:tcW w:w="1180" w:type="dxa"/>
            <w:vAlign w:val="bottom"/>
            <w:shd w:val="clear" w:color="auto" w:fill="F0EFF7"/>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0" w:type="dxa"/>
            <w:vAlign w:val="bottom"/>
            <w:shd w:val="clear" w:color="auto" w:fill="F0EFF7"/>
          </w:tcPr>
          <w:p>
            <w:pPr>
              <w:spacing w:after="0"/>
              <w:rPr>
                <w:sz w:val="24"/>
                <w:szCs w:val="24"/>
                <w:color w:val="auto"/>
              </w:rPr>
            </w:pPr>
          </w:p>
        </w:tc>
        <w:tc>
          <w:tcPr>
            <w:tcW w:w="440" w:type="dxa"/>
            <w:vAlign w:val="bottom"/>
            <w:shd w:val="clear" w:color="auto" w:fill="F0EFF7"/>
          </w:tcPr>
          <w:p>
            <w:pPr>
              <w:spacing w:after="0"/>
              <w:rPr>
                <w:sz w:val="24"/>
                <w:szCs w:val="24"/>
                <w:color w:val="auto"/>
              </w:rPr>
            </w:pPr>
          </w:p>
        </w:tc>
        <w:tc>
          <w:tcPr>
            <w:tcW w:w="9360" w:type="dxa"/>
            <w:vAlign w:val="bottom"/>
            <w:tcBorders>
              <w:right w:val="single" w:sz="8" w:color="0C5990"/>
            </w:tcBorders>
            <w:shd w:val="clear" w:color="auto" w:fill="F0EFF7"/>
          </w:tcPr>
          <w:p>
            <w:pPr>
              <w:ind w:left="120"/>
              <w:spacing w:after="0"/>
              <w:rPr>
                <w:sz w:val="20"/>
                <w:szCs w:val="20"/>
                <w:color w:val="auto"/>
              </w:rPr>
            </w:pPr>
            <w:r>
              <w:rPr>
                <w:rFonts w:ascii="Times New Roman" w:cs="Times New Roman" w:eastAsia="Times New Roman" w:hAnsi="Times New Roman"/>
                <w:sz w:val="18"/>
                <w:szCs w:val="18"/>
                <w:b w:val="1"/>
                <w:bCs w:val="1"/>
                <w:color w:val="004877"/>
              </w:rPr>
              <w:t>Nominees:</w:t>
            </w:r>
          </w:p>
        </w:tc>
        <w:tc>
          <w:tcPr>
            <w:tcW w:w="1180" w:type="dxa"/>
            <w:vAlign w:val="bottom"/>
            <w:shd w:val="clear" w:color="auto" w:fill="F0EFF7"/>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0" w:type="dxa"/>
            <w:vAlign w:val="bottom"/>
            <w:tcBorders>
              <w:bottom w:val="single" w:sz="8" w:color="0C5990"/>
            </w:tcBorders>
            <w:shd w:val="clear" w:color="auto" w:fill="F0EFF7"/>
          </w:tcPr>
          <w:p>
            <w:pPr>
              <w:spacing w:after="0"/>
              <w:rPr>
                <w:sz w:val="24"/>
                <w:szCs w:val="24"/>
                <w:color w:val="auto"/>
              </w:rPr>
            </w:pPr>
          </w:p>
        </w:tc>
        <w:tc>
          <w:tcPr>
            <w:tcW w:w="440" w:type="dxa"/>
            <w:vAlign w:val="bottom"/>
            <w:tcBorders>
              <w:bottom w:val="single" w:sz="8" w:color="0C5990"/>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1A</w:t>
            </w:r>
          </w:p>
        </w:tc>
        <w:tc>
          <w:tcPr>
            <w:tcW w:w="9360" w:type="dxa"/>
            <w:vAlign w:val="bottom"/>
            <w:tcBorders>
              <w:bottom w:val="single" w:sz="8" w:color="0C5990"/>
              <w:right w:val="single" w:sz="8" w:color="0C5990"/>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David W. Faeder</w:t>
            </w:r>
          </w:p>
        </w:tc>
        <w:tc>
          <w:tcPr>
            <w:tcW w:w="1180" w:type="dxa"/>
            <w:vAlign w:val="bottom"/>
            <w:tcBorders>
              <w:bottom w:val="single" w:sz="8" w:color="0C5990"/>
            </w:tcBorders>
            <w:shd w:val="clear" w:color="auto" w:fill="F0EFF7"/>
          </w:tcPr>
          <w:p>
            <w:pPr>
              <w:ind w:left="340"/>
              <w:spacing w:after="0"/>
              <w:rPr>
                <w:sz w:val="20"/>
                <w:szCs w:val="20"/>
                <w:color w:val="auto"/>
              </w:rPr>
            </w:pPr>
            <w:r>
              <w:rPr>
                <w:rFonts w:ascii="Times New Roman" w:cs="Times New Roman" w:eastAsia="Times New Roman" w:hAnsi="Times New Roman"/>
                <w:sz w:val="18"/>
                <w:szCs w:val="18"/>
                <w:b w:val="1"/>
                <w:bCs w:val="1"/>
                <w:color w:val="004877"/>
              </w:rPr>
              <w:t>For</w:t>
            </w:r>
          </w:p>
        </w:tc>
        <w:tc>
          <w:tcPr>
            <w:tcW w:w="0" w:type="dxa"/>
            <w:vAlign w:val="bottom"/>
          </w:tcPr>
          <w:p>
            <w:pPr>
              <w:spacing w:after="0"/>
              <w:rPr>
                <w:sz w:val="1"/>
                <w:szCs w:val="1"/>
                <w:color w:val="auto"/>
              </w:rPr>
            </w:pPr>
          </w:p>
        </w:tc>
      </w:tr>
      <w:tr>
        <w:trPr>
          <w:trHeight w:val="336"/>
        </w:trPr>
        <w:tc>
          <w:tcPr>
            <w:tcW w:w="40" w:type="dxa"/>
            <w:vAlign w:val="bottom"/>
            <w:tcBorders>
              <w:bottom w:val="single" w:sz="8" w:color="F0EFF7"/>
            </w:tcBorders>
            <w:shd w:val="clear" w:color="auto" w:fill="F0EFF7"/>
          </w:tcPr>
          <w:p>
            <w:pPr>
              <w:spacing w:after="0"/>
              <w:rPr>
                <w:sz w:val="24"/>
                <w:szCs w:val="24"/>
                <w:color w:val="auto"/>
              </w:rPr>
            </w:pPr>
          </w:p>
        </w:tc>
        <w:tc>
          <w:tcPr>
            <w:tcW w:w="440" w:type="dxa"/>
            <w:vAlign w:val="bottom"/>
            <w:tcBorders>
              <w:bottom w:val="single" w:sz="8" w:color="F0EFF7"/>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1B</w:t>
            </w:r>
          </w:p>
        </w:tc>
        <w:tc>
          <w:tcPr>
            <w:tcW w:w="9360" w:type="dxa"/>
            <w:vAlign w:val="bottom"/>
            <w:tcBorders>
              <w:bottom w:val="single" w:sz="8" w:color="F0EFF7"/>
              <w:right w:val="single" w:sz="8" w:color="0C5990"/>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Elizabeth I. Holland</w:t>
            </w:r>
          </w:p>
        </w:tc>
        <w:tc>
          <w:tcPr>
            <w:tcW w:w="1180" w:type="dxa"/>
            <w:vAlign w:val="bottom"/>
            <w:tcBorders>
              <w:bottom w:val="single" w:sz="8" w:color="F0EFF7"/>
            </w:tcBorders>
            <w:shd w:val="clear" w:color="auto" w:fill="F0EFF7"/>
          </w:tcPr>
          <w:p>
            <w:pPr>
              <w:ind w:left="340"/>
              <w:spacing w:after="0"/>
              <w:rPr>
                <w:sz w:val="20"/>
                <w:szCs w:val="20"/>
                <w:color w:val="auto"/>
              </w:rPr>
            </w:pPr>
            <w:r>
              <w:rPr>
                <w:rFonts w:ascii="Times New Roman" w:cs="Times New Roman" w:eastAsia="Times New Roman" w:hAnsi="Times New Roman"/>
                <w:sz w:val="18"/>
                <w:szCs w:val="18"/>
                <w:b w:val="1"/>
                <w:bCs w:val="1"/>
                <w:color w:val="004877"/>
              </w:rPr>
              <w:t>For</w:t>
            </w:r>
          </w:p>
        </w:tc>
        <w:tc>
          <w:tcPr>
            <w:tcW w:w="0" w:type="dxa"/>
            <w:vAlign w:val="bottom"/>
          </w:tcPr>
          <w:p>
            <w:pPr>
              <w:spacing w:after="0"/>
              <w:rPr>
                <w:sz w:val="1"/>
                <w:szCs w:val="1"/>
                <w:color w:val="auto"/>
              </w:rPr>
            </w:pPr>
          </w:p>
        </w:tc>
      </w:tr>
      <w:tr>
        <w:trPr>
          <w:trHeight w:val="336"/>
        </w:trPr>
        <w:tc>
          <w:tcPr>
            <w:tcW w:w="40" w:type="dxa"/>
            <w:vAlign w:val="bottom"/>
            <w:tcBorders>
              <w:top w:val="single" w:sz="8" w:color="0C5990"/>
              <w:bottom w:val="single" w:sz="8" w:color="F0EFF7"/>
            </w:tcBorders>
            <w:shd w:val="clear" w:color="auto" w:fill="F0EFF7"/>
          </w:tcPr>
          <w:p>
            <w:pPr>
              <w:spacing w:after="0"/>
              <w:rPr>
                <w:sz w:val="24"/>
                <w:szCs w:val="24"/>
                <w:color w:val="auto"/>
              </w:rPr>
            </w:pPr>
          </w:p>
        </w:tc>
        <w:tc>
          <w:tcPr>
            <w:tcW w:w="440" w:type="dxa"/>
            <w:vAlign w:val="bottom"/>
            <w:tcBorders>
              <w:top w:val="single" w:sz="8" w:color="0C5990"/>
              <w:bottom w:val="single" w:sz="8" w:color="F0EFF7"/>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1C</w:t>
            </w:r>
          </w:p>
        </w:tc>
        <w:tc>
          <w:tcPr>
            <w:tcW w:w="9360" w:type="dxa"/>
            <w:vAlign w:val="bottom"/>
            <w:tcBorders>
              <w:top w:val="single" w:sz="8" w:color="0C5990"/>
              <w:bottom w:val="single" w:sz="8" w:color="F0EFF7"/>
              <w:right w:val="single" w:sz="8" w:color="0C5990"/>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Nicole Y. Lamb-Hale</w:t>
            </w:r>
          </w:p>
        </w:tc>
        <w:tc>
          <w:tcPr>
            <w:tcW w:w="1180" w:type="dxa"/>
            <w:vAlign w:val="bottom"/>
            <w:tcBorders>
              <w:top w:val="single" w:sz="8" w:color="0C5990"/>
              <w:bottom w:val="single" w:sz="8" w:color="F0EFF7"/>
            </w:tcBorders>
            <w:shd w:val="clear" w:color="auto" w:fill="F0EFF7"/>
          </w:tcPr>
          <w:p>
            <w:pPr>
              <w:ind w:left="340"/>
              <w:spacing w:after="0"/>
              <w:rPr>
                <w:sz w:val="20"/>
                <w:szCs w:val="20"/>
                <w:color w:val="auto"/>
              </w:rPr>
            </w:pPr>
            <w:r>
              <w:rPr>
                <w:rFonts w:ascii="Times New Roman" w:cs="Times New Roman" w:eastAsia="Times New Roman" w:hAnsi="Times New Roman"/>
                <w:sz w:val="18"/>
                <w:szCs w:val="18"/>
                <w:b w:val="1"/>
                <w:bCs w:val="1"/>
                <w:color w:val="004877"/>
              </w:rPr>
              <w:t>For</w:t>
            </w:r>
          </w:p>
        </w:tc>
        <w:tc>
          <w:tcPr>
            <w:tcW w:w="0" w:type="dxa"/>
            <w:vAlign w:val="bottom"/>
          </w:tcPr>
          <w:p>
            <w:pPr>
              <w:spacing w:after="0"/>
              <w:rPr>
                <w:sz w:val="1"/>
                <w:szCs w:val="1"/>
                <w:color w:val="auto"/>
              </w:rPr>
            </w:pPr>
          </w:p>
        </w:tc>
      </w:tr>
      <w:tr>
        <w:trPr>
          <w:trHeight w:val="336"/>
        </w:trPr>
        <w:tc>
          <w:tcPr>
            <w:tcW w:w="40" w:type="dxa"/>
            <w:vAlign w:val="bottom"/>
            <w:tcBorders>
              <w:top w:val="single" w:sz="8" w:color="0C5990"/>
              <w:bottom w:val="single" w:sz="8" w:color="F0EFF7"/>
            </w:tcBorders>
            <w:shd w:val="clear" w:color="auto" w:fill="F0EFF7"/>
          </w:tcPr>
          <w:p>
            <w:pPr>
              <w:spacing w:after="0"/>
              <w:rPr>
                <w:sz w:val="24"/>
                <w:szCs w:val="24"/>
                <w:color w:val="auto"/>
              </w:rPr>
            </w:pPr>
          </w:p>
        </w:tc>
        <w:tc>
          <w:tcPr>
            <w:tcW w:w="440" w:type="dxa"/>
            <w:vAlign w:val="bottom"/>
            <w:tcBorders>
              <w:top w:val="single" w:sz="8" w:color="0C5990"/>
              <w:bottom w:val="single" w:sz="8" w:color="F0EFF7"/>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1D</w:t>
            </w:r>
          </w:p>
        </w:tc>
        <w:tc>
          <w:tcPr>
            <w:tcW w:w="9360" w:type="dxa"/>
            <w:vAlign w:val="bottom"/>
            <w:tcBorders>
              <w:top w:val="single" w:sz="8" w:color="0C5990"/>
              <w:bottom w:val="single" w:sz="8" w:color="F0EFF7"/>
              <w:right w:val="single" w:sz="8" w:color="0C5990"/>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Thomas A. McEachin</w:t>
            </w:r>
          </w:p>
        </w:tc>
        <w:tc>
          <w:tcPr>
            <w:tcW w:w="1180" w:type="dxa"/>
            <w:vAlign w:val="bottom"/>
            <w:tcBorders>
              <w:top w:val="single" w:sz="8" w:color="0C5990"/>
              <w:bottom w:val="single" w:sz="8" w:color="F0EFF7"/>
            </w:tcBorders>
            <w:shd w:val="clear" w:color="auto" w:fill="F0EFF7"/>
          </w:tcPr>
          <w:p>
            <w:pPr>
              <w:ind w:left="340"/>
              <w:spacing w:after="0"/>
              <w:rPr>
                <w:sz w:val="20"/>
                <w:szCs w:val="20"/>
                <w:color w:val="auto"/>
              </w:rPr>
            </w:pPr>
            <w:r>
              <w:rPr>
                <w:rFonts w:ascii="Times New Roman" w:cs="Times New Roman" w:eastAsia="Times New Roman" w:hAnsi="Times New Roman"/>
                <w:sz w:val="18"/>
                <w:szCs w:val="18"/>
                <w:b w:val="1"/>
                <w:bCs w:val="1"/>
                <w:color w:val="004877"/>
              </w:rPr>
              <w:t>For</w:t>
            </w:r>
          </w:p>
        </w:tc>
        <w:tc>
          <w:tcPr>
            <w:tcW w:w="0" w:type="dxa"/>
            <w:vAlign w:val="bottom"/>
          </w:tcPr>
          <w:p>
            <w:pPr>
              <w:spacing w:after="0"/>
              <w:rPr>
                <w:sz w:val="1"/>
                <w:szCs w:val="1"/>
                <w:color w:val="auto"/>
              </w:rPr>
            </w:pPr>
          </w:p>
        </w:tc>
      </w:tr>
      <w:tr>
        <w:trPr>
          <w:trHeight w:val="336"/>
        </w:trPr>
        <w:tc>
          <w:tcPr>
            <w:tcW w:w="40" w:type="dxa"/>
            <w:vAlign w:val="bottom"/>
            <w:tcBorders>
              <w:top w:val="single" w:sz="8" w:color="0C5990"/>
              <w:bottom w:val="single" w:sz="8" w:color="F0EFF7"/>
            </w:tcBorders>
            <w:shd w:val="clear" w:color="auto" w:fill="F0EFF7"/>
          </w:tcPr>
          <w:p>
            <w:pPr>
              <w:spacing w:after="0"/>
              <w:rPr>
                <w:sz w:val="24"/>
                <w:szCs w:val="24"/>
                <w:color w:val="auto"/>
              </w:rPr>
            </w:pPr>
          </w:p>
        </w:tc>
        <w:tc>
          <w:tcPr>
            <w:tcW w:w="440" w:type="dxa"/>
            <w:vAlign w:val="bottom"/>
            <w:tcBorders>
              <w:top w:val="single" w:sz="8" w:color="0C5990"/>
              <w:bottom w:val="single" w:sz="8" w:color="F0EFF7"/>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1E</w:t>
            </w:r>
          </w:p>
        </w:tc>
        <w:tc>
          <w:tcPr>
            <w:tcW w:w="9360" w:type="dxa"/>
            <w:vAlign w:val="bottom"/>
            <w:tcBorders>
              <w:top w:val="single" w:sz="8" w:color="0C5990"/>
              <w:bottom w:val="single" w:sz="8" w:color="F0EFF7"/>
              <w:right w:val="single" w:sz="8" w:color="0C5990"/>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Anthony P. Nader, III</w:t>
            </w:r>
          </w:p>
        </w:tc>
        <w:tc>
          <w:tcPr>
            <w:tcW w:w="1180" w:type="dxa"/>
            <w:vAlign w:val="bottom"/>
            <w:tcBorders>
              <w:top w:val="single" w:sz="8" w:color="0C5990"/>
              <w:bottom w:val="single" w:sz="8" w:color="F0EFF7"/>
            </w:tcBorders>
            <w:shd w:val="clear" w:color="auto" w:fill="F0EFF7"/>
          </w:tcPr>
          <w:p>
            <w:pPr>
              <w:ind w:left="340"/>
              <w:spacing w:after="0"/>
              <w:rPr>
                <w:sz w:val="20"/>
                <w:szCs w:val="20"/>
                <w:color w:val="auto"/>
              </w:rPr>
            </w:pPr>
            <w:r>
              <w:rPr>
                <w:rFonts w:ascii="Times New Roman" w:cs="Times New Roman" w:eastAsia="Times New Roman" w:hAnsi="Times New Roman"/>
                <w:sz w:val="18"/>
                <w:szCs w:val="18"/>
                <w:b w:val="1"/>
                <w:bCs w:val="1"/>
                <w:color w:val="004877"/>
              </w:rPr>
              <w:t>For</w:t>
            </w:r>
          </w:p>
        </w:tc>
        <w:tc>
          <w:tcPr>
            <w:tcW w:w="0" w:type="dxa"/>
            <w:vAlign w:val="bottom"/>
          </w:tcPr>
          <w:p>
            <w:pPr>
              <w:spacing w:after="0"/>
              <w:rPr>
                <w:sz w:val="1"/>
                <w:szCs w:val="1"/>
                <w:color w:val="auto"/>
              </w:rPr>
            </w:pPr>
          </w:p>
        </w:tc>
      </w:tr>
      <w:tr>
        <w:trPr>
          <w:trHeight w:val="336"/>
        </w:trPr>
        <w:tc>
          <w:tcPr>
            <w:tcW w:w="40" w:type="dxa"/>
            <w:vAlign w:val="bottom"/>
            <w:tcBorders>
              <w:top w:val="single" w:sz="8" w:color="0C5990"/>
              <w:bottom w:val="single" w:sz="8" w:color="F0EFF7"/>
            </w:tcBorders>
            <w:shd w:val="clear" w:color="auto" w:fill="F0EFF7"/>
          </w:tcPr>
          <w:p>
            <w:pPr>
              <w:spacing w:after="0"/>
              <w:rPr>
                <w:sz w:val="24"/>
                <w:szCs w:val="24"/>
                <w:color w:val="auto"/>
              </w:rPr>
            </w:pPr>
          </w:p>
        </w:tc>
        <w:tc>
          <w:tcPr>
            <w:tcW w:w="440" w:type="dxa"/>
            <w:vAlign w:val="bottom"/>
            <w:tcBorders>
              <w:top w:val="single" w:sz="8" w:color="0C5990"/>
              <w:bottom w:val="single" w:sz="8" w:color="F0EFF7"/>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1F</w:t>
            </w:r>
          </w:p>
        </w:tc>
        <w:tc>
          <w:tcPr>
            <w:tcW w:w="9360" w:type="dxa"/>
            <w:vAlign w:val="bottom"/>
            <w:tcBorders>
              <w:top w:val="single" w:sz="8" w:color="0C5990"/>
              <w:bottom w:val="single" w:sz="8" w:color="F0EFF7"/>
              <w:right w:val="single" w:sz="8" w:color="0C5990"/>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Gail P. Steinel</w:t>
            </w:r>
          </w:p>
        </w:tc>
        <w:tc>
          <w:tcPr>
            <w:tcW w:w="1180" w:type="dxa"/>
            <w:vAlign w:val="bottom"/>
            <w:tcBorders>
              <w:top w:val="single" w:sz="8" w:color="0C5990"/>
              <w:bottom w:val="single" w:sz="8" w:color="F0EFF7"/>
            </w:tcBorders>
            <w:shd w:val="clear" w:color="auto" w:fill="F0EFF7"/>
          </w:tcPr>
          <w:p>
            <w:pPr>
              <w:ind w:left="340"/>
              <w:spacing w:after="0"/>
              <w:rPr>
                <w:sz w:val="20"/>
                <w:szCs w:val="20"/>
                <w:color w:val="auto"/>
              </w:rPr>
            </w:pPr>
            <w:r>
              <w:rPr>
                <w:rFonts w:ascii="Times New Roman" w:cs="Times New Roman" w:eastAsia="Times New Roman" w:hAnsi="Times New Roman"/>
                <w:sz w:val="18"/>
                <w:szCs w:val="18"/>
                <w:b w:val="1"/>
                <w:bCs w:val="1"/>
                <w:color w:val="004877"/>
              </w:rPr>
              <w:t>For</w:t>
            </w:r>
          </w:p>
        </w:tc>
        <w:tc>
          <w:tcPr>
            <w:tcW w:w="0" w:type="dxa"/>
            <w:vAlign w:val="bottom"/>
          </w:tcPr>
          <w:p>
            <w:pPr>
              <w:spacing w:after="0"/>
              <w:rPr>
                <w:sz w:val="1"/>
                <w:szCs w:val="1"/>
                <w:color w:val="auto"/>
              </w:rPr>
            </w:pPr>
          </w:p>
        </w:tc>
      </w:tr>
      <w:tr>
        <w:trPr>
          <w:trHeight w:val="336"/>
        </w:trPr>
        <w:tc>
          <w:tcPr>
            <w:tcW w:w="40" w:type="dxa"/>
            <w:vAlign w:val="bottom"/>
            <w:tcBorders>
              <w:top w:val="single" w:sz="8" w:color="0C5990"/>
              <w:bottom w:val="single" w:sz="8" w:color="F0EFF7"/>
            </w:tcBorders>
            <w:shd w:val="clear" w:color="auto" w:fill="F0EFF7"/>
          </w:tcPr>
          <w:p>
            <w:pPr>
              <w:spacing w:after="0"/>
              <w:rPr>
                <w:sz w:val="24"/>
                <w:szCs w:val="24"/>
                <w:color w:val="auto"/>
              </w:rPr>
            </w:pPr>
          </w:p>
        </w:tc>
        <w:tc>
          <w:tcPr>
            <w:tcW w:w="440" w:type="dxa"/>
            <w:vAlign w:val="bottom"/>
            <w:tcBorders>
              <w:top w:val="single" w:sz="8" w:color="0C5990"/>
              <w:bottom w:val="single" w:sz="8" w:color="F0EFF7"/>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1G</w:t>
            </w:r>
          </w:p>
        </w:tc>
        <w:tc>
          <w:tcPr>
            <w:tcW w:w="9360" w:type="dxa"/>
            <w:vAlign w:val="bottom"/>
            <w:tcBorders>
              <w:top w:val="single" w:sz="8" w:color="0C5990"/>
              <w:bottom w:val="single" w:sz="8" w:color="F0EFF7"/>
              <w:right w:val="single" w:sz="8" w:color="0C5990"/>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Donald C. Wood</w:t>
            </w:r>
          </w:p>
        </w:tc>
        <w:tc>
          <w:tcPr>
            <w:tcW w:w="1180" w:type="dxa"/>
            <w:vAlign w:val="bottom"/>
            <w:tcBorders>
              <w:top w:val="single" w:sz="8" w:color="0C5990"/>
              <w:bottom w:val="single" w:sz="8" w:color="F0EFF7"/>
            </w:tcBorders>
            <w:shd w:val="clear" w:color="auto" w:fill="F0EFF7"/>
          </w:tcPr>
          <w:p>
            <w:pPr>
              <w:ind w:left="340"/>
              <w:spacing w:after="0"/>
              <w:rPr>
                <w:sz w:val="20"/>
                <w:szCs w:val="20"/>
                <w:color w:val="auto"/>
              </w:rPr>
            </w:pPr>
            <w:r>
              <w:rPr>
                <w:rFonts w:ascii="Times New Roman" w:cs="Times New Roman" w:eastAsia="Times New Roman" w:hAnsi="Times New Roman"/>
                <w:sz w:val="18"/>
                <w:szCs w:val="18"/>
                <w:b w:val="1"/>
                <w:bCs w:val="1"/>
                <w:color w:val="004877"/>
              </w:rPr>
              <w:t>For</w:t>
            </w:r>
          </w:p>
        </w:tc>
        <w:tc>
          <w:tcPr>
            <w:tcW w:w="0" w:type="dxa"/>
            <w:vAlign w:val="bottom"/>
          </w:tcPr>
          <w:p>
            <w:pPr>
              <w:spacing w:after="0"/>
              <w:rPr>
                <w:sz w:val="1"/>
                <w:szCs w:val="1"/>
                <w:color w:val="auto"/>
              </w:rPr>
            </w:pPr>
          </w:p>
        </w:tc>
      </w:tr>
      <w:tr>
        <w:trPr>
          <w:trHeight w:val="336"/>
        </w:trPr>
        <w:tc>
          <w:tcPr>
            <w:tcW w:w="40" w:type="dxa"/>
            <w:vAlign w:val="bottom"/>
            <w:tcBorders>
              <w:top w:val="single" w:sz="8" w:color="0C5990"/>
              <w:bottom w:val="single" w:sz="8" w:color="F0EFF7"/>
            </w:tcBorders>
            <w:shd w:val="clear" w:color="auto" w:fill="F0EFF7"/>
          </w:tcPr>
          <w:p>
            <w:pPr>
              <w:spacing w:after="0"/>
              <w:rPr>
                <w:sz w:val="24"/>
                <w:szCs w:val="24"/>
                <w:color w:val="auto"/>
              </w:rPr>
            </w:pPr>
          </w:p>
        </w:tc>
        <w:tc>
          <w:tcPr>
            <w:tcW w:w="440" w:type="dxa"/>
            <w:vAlign w:val="bottom"/>
            <w:tcBorders>
              <w:top w:val="single" w:sz="8" w:color="0C5990"/>
              <w:bottom w:val="single" w:sz="8" w:color="F0EFF7"/>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2.</w:t>
            </w:r>
          </w:p>
        </w:tc>
        <w:tc>
          <w:tcPr>
            <w:tcW w:w="9360" w:type="dxa"/>
            <w:vAlign w:val="bottom"/>
            <w:tcBorders>
              <w:top w:val="single" w:sz="8" w:color="0C5990"/>
              <w:bottom w:val="single" w:sz="8" w:color="F0EFF7"/>
              <w:right w:val="single" w:sz="8" w:color="0C5990"/>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To approve, on a non-binding, advisory basis, the compensation of our named executive officers.</w:t>
            </w:r>
          </w:p>
        </w:tc>
        <w:tc>
          <w:tcPr>
            <w:tcW w:w="1180" w:type="dxa"/>
            <w:vAlign w:val="bottom"/>
            <w:tcBorders>
              <w:top w:val="single" w:sz="8" w:color="0C5990"/>
              <w:bottom w:val="single" w:sz="8" w:color="F0EFF7"/>
            </w:tcBorders>
            <w:shd w:val="clear" w:color="auto" w:fill="F0EFF7"/>
          </w:tcPr>
          <w:p>
            <w:pPr>
              <w:ind w:left="340"/>
              <w:spacing w:after="0"/>
              <w:rPr>
                <w:sz w:val="20"/>
                <w:szCs w:val="20"/>
                <w:color w:val="auto"/>
              </w:rPr>
            </w:pPr>
            <w:r>
              <w:rPr>
                <w:rFonts w:ascii="Times New Roman" w:cs="Times New Roman" w:eastAsia="Times New Roman" w:hAnsi="Times New Roman"/>
                <w:sz w:val="18"/>
                <w:szCs w:val="18"/>
                <w:b w:val="1"/>
                <w:bCs w:val="1"/>
                <w:color w:val="004877"/>
              </w:rPr>
              <w:t>For</w:t>
            </w:r>
          </w:p>
        </w:tc>
        <w:tc>
          <w:tcPr>
            <w:tcW w:w="0" w:type="dxa"/>
            <w:vAlign w:val="bottom"/>
          </w:tcPr>
          <w:p>
            <w:pPr>
              <w:spacing w:after="0"/>
              <w:rPr>
                <w:sz w:val="1"/>
                <w:szCs w:val="1"/>
                <w:color w:val="auto"/>
              </w:rPr>
            </w:pPr>
          </w:p>
        </w:tc>
      </w:tr>
      <w:tr>
        <w:trPr>
          <w:trHeight w:val="272"/>
        </w:trPr>
        <w:tc>
          <w:tcPr>
            <w:tcW w:w="40" w:type="dxa"/>
            <w:vAlign w:val="bottom"/>
            <w:tcBorders>
              <w:top w:val="single" w:sz="8" w:color="0C5990"/>
            </w:tcBorders>
            <w:shd w:val="clear" w:color="auto" w:fill="F0EFF7"/>
          </w:tcPr>
          <w:p>
            <w:pPr>
              <w:spacing w:after="0"/>
              <w:rPr>
                <w:sz w:val="23"/>
                <w:szCs w:val="23"/>
                <w:color w:val="auto"/>
              </w:rPr>
            </w:pPr>
          </w:p>
        </w:tc>
        <w:tc>
          <w:tcPr>
            <w:tcW w:w="440" w:type="dxa"/>
            <w:vAlign w:val="bottom"/>
            <w:tcBorders>
              <w:top w:val="single" w:sz="8" w:color="0C5990"/>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3.</w:t>
            </w:r>
          </w:p>
        </w:tc>
        <w:tc>
          <w:tcPr>
            <w:tcW w:w="9360" w:type="dxa"/>
            <w:vAlign w:val="bottom"/>
            <w:tcBorders>
              <w:top w:val="single" w:sz="8" w:color="0C5990"/>
              <w:right w:val="single" w:sz="8" w:color="0C5990"/>
            </w:tcBorders>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To ratify the appointment of Grant Thornton LLP as our independent registered public accounting firm for the fiscal year</w:t>
            </w:r>
          </w:p>
        </w:tc>
        <w:tc>
          <w:tcPr>
            <w:tcW w:w="1180" w:type="dxa"/>
            <w:vAlign w:val="bottom"/>
            <w:tcBorders>
              <w:top w:val="single" w:sz="8" w:color="0C5990"/>
            </w:tcBorders>
            <w:vMerge w:val="restart"/>
            <w:shd w:val="clear" w:color="auto" w:fill="F0EFF7"/>
          </w:tcPr>
          <w:p>
            <w:pPr>
              <w:ind w:left="340"/>
              <w:spacing w:after="0"/>
              <w:rPr>
                <w:sz w:val="20"/>
                <w:szCs w:val="20"/>
                <w:color w:val="auto"/>
              </w:rPr>
            </w:pPr>
            <w:r>
              <w:rPr>
                <w:rFonts w:ascii="Times New Roman" w:cs="Times New Roman" w:eastAsia="Times New Roman" w:hAnsi="Times New Roman"/>
                <w:sz w:val="18"/>
                <w:szCs w:val="18"/>
                <w:b w:val="1"/>
                <w:bCs w:val="1"/>
                <w:color w:val="004877"/>
              </w:rPr>
              <w:t>For</w:t>
            </w:r>
          </w:p>
        </w:tc>
        <w:tc>
          <w:tcPr>
            <w:tcW w:w="0" w:type="dxa"/>
            <w:vAlign w:val="bottom"/>
          </w:tcPr>
          <w:p>
            <w:pPr>
              <w:spacing w:after="0"/>
              <w:rPr>
                <w:sz w:val="1"/>
                <w:szCs w:val="1"/>
                <w:color w:val="auto"/>
              </w:rPr>
            </w:pPr>
          </w:p>
        </w:tc>
      </w:tr>
      <w:tr>
        <w:trPr>
          <w:trHeight w:val="99"/>
        </w:trPr>
        <w:tc>
          <w:tcPr>
            <w:tcW w:w="40" w:type="dxa"/>
            <w:vAlign w:val="bottom"/>
            <w:shd w:val="clear" w:color="auto" w:fill="F0EFF7"/>
          </w:tcPr>
          <w:p>
            <w:pPr>
              <w:spacing w:after="0"/>
              <w:rPr>
                <w:sz w:val="8"/>
                <w:szCs w:val="8"/>
                <w:color w:val="auto"/>
              </w:rPr>
            </w:pPr>
          </w:p>
        </w:tc>
        <w:tc>
          <w:tcPr>
            <w:tcW w:w="440" w:type="dxa"/>
            <w:vAlign w:val="bottom"/>
            <w:shd w:val="clear" w:color="auto" w:fill="F0EFF7"/>
          </w:tcPr>
          <w:p>
            <w:pPr>
              <w:spacing w:after="0"/>
              <w:rPr>
                <w:sz w:val="8"/>
                <w:szCs w:val="8"/>
                <w:color w:val="auto"/>
              </w:rPr>
            </w:pPr>
          </w:p>
        </w:tc>
        <w:tc>
          <w:tcPr>
            <w:tcW w:w="9360" w:type="dxa"/>
            <w:vAlign w:val="bottom"/>
            <w:tcBorders>
              <w:right w:val="single" w:sz="8" w:color="0C5990"/>
            </w:tcBorders>
            <w:vMerge w:val="restart"/>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7"/>
              </w:rPr>
              <w:t>ending December 31, 2025.</w:t>
            </w:r>
          </w:p>
        </w:tc>
        <w:tc>
          <w:tcPr>
            <w:tcW w:w="1180" w:type="dxa"/>
            <w:vAlign w:val="bottom"/>
            <w:vMerge w:val="continue"/>
            <w:shd w:val="clear" w:color="auto" w:fill="F0EFF7"/>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F0EFF7"/>
            </w:tcBorders>
            <w:shd w:val="clear" w:color="auto" w:fill="F0EFF7"/>
          </w:tcPr>
          <w:p>
            <w:pPr>
              <w:spacing w:after="0"/>
              <w:rPr>
                <w:sz w:val="15"/>
                <w:szCs w:val="15"/>
                <w:color w:val="auto"/>
              </w:rPr>
            </w:pPr>
          </w:p>
        </w:tc>
        <w:tc>
          <w:tcPr>
            <w:tcW w:w="440" w:type="dxa"/>
            <w:vAlign w:val="bottom"/>
            <w:tcBorders>
              <w:bottom w:val="single" w:sz="8" w:color="F0EFF7"/>
            </w:tcBorders>
            <w:shd w:val="clear" w:color="auto" w:fill="F0EFF7"/>
          </w:tcPr>
          <w:p>
            <w:pPr>
              <w:spacing w:after="0"/>
              <w:rPr>
                <w:sz w:val="15"/>
                <w:szCs w:val="15"/>
                <w:color w:val="auto"/>
              </w:rPr>
            </w:pPr>
          </w:p>
        </w:tc>
        <w:tc>
          <w:tcPr>
            <w:tcW w:w="9360" w:type="dxa"/>
            <w:vAlign w:val="bottom"/>
            <w:tcBorders>
              <w:bottom w:val="single" w:sz="8" w:color="F0EFF7"/>
              <w:right w:val="single" w:sz="8" w:color="0C5990"/>
            </w:tcBorders>
            <w:vMerge w:val="continue"/>
            <w:shd w:val="clear" w:color="auto" w:fill="F0EFF7"/>
          </w:tcPr>
          <w:p>
            <w:pPr>
              <w:spacing w:after="0"/>
              <w:rPr>
                <w:sz w:val="15"/>
                <w:szCs w:val="15"/>
                <w:color w:val="auto"/>
              </w:rPr>
            </w:pPr>
          </w:p>
        </w:tc>
        <w:tc>
          <w:tcPr>
            <w:tcW w:w="1180" w:type="dxa"/>
            <w:vAlign w:val="bottom"/>
            <w:tcBorders>
              <w:bottom w:val="single" w:sz="8" w:color="F0EFF7"/>
            </w:tcBorders>
            <w:shd w:val="clear" w:color="auto" w:fill="F0EFF7"/>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40" w:type="dxa"/>
            <w:vAlign w:val="bottom"/>
            <w:tcBorders>
              <w:top w:val="single" w:sz="8" w:color="0C5990"/>
              <w:bottom w:val="single" w:sz="8" w:color="F0EFF7"/>
            </w:tcBorders>
            <w:shd w:val="clear" w:color="auto" w:fill="F0EFF7"/>
          </w:tcPr>
          <w:p>
            <w:pPr>
              <w:spacing w:after="0"/>
              <w:rPr>
                <w:sz w:val="24"/>
                <w:szCs w:val="24"/>
                <w:color w:val="auto"/>
              </w:rPr>
            </w:pPr>
          </w:p>
        </w:tc>
        <w:tc>
          <w:tcPr>
            <w:tcW w:w="10980" w:type="dxa"/>
            <w:vAlign w:val="bottom"/>
            <w:tcBorders>
              <w:top w:val="single" w:sz="8" w:color="0C5990"/>
              <w:bottom w:val="single" w:sz="8" w:color="F0EFF7"/>
            </w:tcBorders>
            <w:gridSpan w:val="3"/>
            <w:shd w:val="clear" w:color="auto" w:fill="F0EFF7"/>
          </w:tcPr>
          <w:p>
            <w:pPr>
              <w:ind w:left="120"/>
              <w:spacing w:after="0"/>
              <w:rPr>
                <w:sz w:val="20"/>
                <w:szCs w:val="20"/>
                <w:color w:val="auto"/>
              </w:rPr>
            </w:pPr>
            <w:r>
              <w:rPr>
                <w:rFonts w:ascii="Times New Roman" w:cs="Times New Roman" w:eastAsia="Times New Roman" w:hAnsi="Times New Roman"/>
                <w:sz w:val="18"/>
                <w:szCs w:val="18"/>
                <w:b w:val="1"/>
                <w:bCs w:val="1"/>
                <w:color w:val="004877"/>
              </w:rPr>
              <w:t xml:space="preserve">NOTE: </w:t>
            </w:r>
            <w:r>
              <w:rPr>
                <w:rFonts w:ascii="Times New Roman" w:cs="Times New Roman" w:eastAsia="Times New Roman" w:hAnsi="Times New Roman"/>
                <w:sz w:val="18"/>
                <w:szCs w:val="18"/>
                <w:color w:val="004877"/>
              </w:rPr>
              <w:t>To consider and act upon any other matters properly coming before the meeting or any postponement(s) or adjournment(s) thereof.</w:t>
            </w:r>
          </w:p>
        </w:tc>
        <w:tc>
          <w:tcPr>
            <w:tcW w:w="0" w:type="dxa"/>
            <w:vAlign w:val="bottom"/>
          </w:tcPr>
          <w:p>
            <w:pPr>
              <w:spacing w:after="0"/>
              <w:rPr>
                <w:sz w:val="1"/>
                <w:szCs w:val="1"/>
                <w:color w:val="auto"/>
              </w:rPr>
            </w:pPr>
          </w:p>
        </w:tc>
      </w:tr>
      <w:tr>
        <w:trPr>
          <w:trHeight w:val="3868"/>
        </w:trPr>
        <w:tc>
          <w:tcPr>
            <w:tcW w:w="40" w:type="dxa"/>
            <w:vAlign w:val="bottom"/>
            <w:tcBorders>
              <w:top w:val="single" w:sz="8" w:color="0C5990"/>
            </w:tcBorders>
            <w:shd w:val="clear" w:color="auto" w:fill="F0EFF7"/>
          </w:tcPr>
          <w:p>
            <w:pPr>
              <w:spacing w:after="0"/>
              <w:rPr>
                <w:sz w:val="24"/>
                <w:szCs w:val="24"/>
                <w:color w:val="auto"/>
              </w:rPr>
            </w:pPr>
          </w:p>
        </w:tc>
        <w:tc>
          <w:tcPr>
            <w:tcW w:w="440" w:type="dxa"/>
            <w:vAlign w:val="bottom"/>
            <w:tcBorders>
              <w:top w:val="single" w:sz="8" w:color="0C5990"/>
            </w:tcBorders>
            <w:shd w:val="clear" w:color="auto" w:fill="F0EFF7"/>
          </w:tcPr>
          <w:p>
            <w:pPr>
              <w:spacing w:after="0"/>
              <w:rPr>
                <w:sz w:val="24"/>
                <w:szCs w:val="24"/>
                <w:color w:val="auto"/>
              </w:rPr>
            </w:pPr>
          </w:p>
        </w:tc>
        <w:tc>
          <w:tcPr>
            <w:tcW w:w="9360" w:type="dxa"/>
            <w:vAlign w:val="bottom"/>
            <w:tcBorders>
              <w:top w:val="single" w:sz="8" w:color="0C5990"/>
              <w:right w:val="single" w:sz="8" w:color="F0EFF7"/>
            </w:tcBorders>
            <w:shd w:val="clear" w:color="auto" w:fill="F0EFF7"/>
          </w:tcPr>
          <w:p>
            <w:pPr>
              <w:spacing w:after="0"/>
              <w:rPr>
                <w:sz w:val="24"/>
                <w:szCs w:val="24"/>
                <w:color w:val="auto"/>
              </w:rPr>
            </w:pPr>
          </w:p>
        </w:tc>
        <w:tc>
          <w:tcPr>
            <w:tcW w:w="1180" w:type="dxa"/>
            <w:vAlign w:val="bottom"/>
            <w:tcBorders>
              <w:top w:val="single" w:sz="8" w:color="0C5990"/>
            </w:tcBorders>
            <w:shd w:val="clear" w:color="auto" w:fill="F0EFF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6238240</wp:posOffset>
            </wp:positionH>
            <wp:positionV relativeFrom="paragraph">
              <wp:posOffset>-5108575</wp:posOffset>
            </wp:positionV>
            <wp:extent cx="274320" cy="2357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4320" cy="2357120"/>
                    </a:xfrm>
                    <a:prstGeom prst="rect">
                      <a:avLst/>
                    </a:prstGeom>
                    <a:noFill/>
                  </pic:spPr>
                </pic:pic>
              </a:graphicData>
            </a:graphic>
          </wp:anchor>
        </w:drawing>
      </w:r>
    </w:p>
    <w:p>
      <w:pPr>
        <w:spacing w:after="0" w:line="11" w:lineRule="exact"/>
        <w:rPr>
          <w:sz w:val="20"/>
          <w:szCs w:val="20"/>
          <w:color w:val="auto"/>
        </w:rPr>
      </w:pPr>
    </w:p>
    <w:p>
      <w:pPr>
        <w:jc w:val="both"/>
        <w:ind w:right="1540"/>
        <w:spacing w:after="0" w:line="241" w:lineRule="auto"/>
        <w:rPr>
          <w:sz w:val="20"/>
          <w:szCs w:val="20"/>
          <w:color w:val="auto"/>
        </w:rPr>
      </w:pPr>
      <w:r>
        <w:rPr>
          <w:rFonts w:ascii="Times New Roman" w:cs="Times New Roman" w:eastAsia="Times New Roman" w:hAnsi="Times New Roman"/>
          <w:sz w:val="14"/>
          <w:szCs w:val="14"/>
          <w:color w:val="7A51A1"/>
        </w:rPr>
        <w:t xml:space="preserve">Under New York Stock Exchange rules, brokers may vote “routine” matters at their discretion if your voting instructions are not communicated to us at least 10 days before the meeting. </w:t>
      </w:r>
      <w:r>
        <w:rPr>
          <w:rFonts w:ascii="Times New Roman" w:cs="Times New Roman" w:eastAsia="Times New Roman" w:hAnsi="Times New Roman"/>
          <w:sz w:val="14"/>
          <w:szCs w:val="14"/>
          <w:b w:val="1"/>
          <w:bCs w:val="1"/>
          <w:color w:val="7A51A1"/>
        </w:rPr>
        <w:t>We will nevertheless follow your instructions, even if the broker’s discretionary vote has already been given, provided your instructions</w:t>
      </w:r>
      <w:r>
        <w:rPr>
          <w:rFonts w:ascii="Times New Roman" w:cs="Times New Roman" w:eastAsia="Times New Roman" w:hAnsi="Times New Roman"/>
          <w:sz w:val="14"/>
          <w:szCs w:val="14"/>
          <w:color w:val="7A51A1"/>
        </w:rPr>
        <w:t xml:space="preserve"> </w:t>
      </w:r>
      <w:r>
        <w:rPr>
          <w:rFonts w:ascii="Times New Roman" w:cs="Times New Roman" w:eastAsia="Times New Roman" w:hAnsi="Times New Roman"/>
          <w:sz w:val="14"/>
          <w:szCs w:val="14"/>
          <w:b w:val="1"/>
          <w:bCs w:val="1"/>
          <w:color w:val="7A51A1"/>
        </w:rPr>
        <w:t>are received prior to the meeting date.</w:t>
      </w:r>
    </w:p>
    <w:p>
      <w:pPr>
        <w:spacing w:after="0" w:line="16" w:lineRule="exact"/>
        <w:rPr>
          <w:sz w:val="20"/>
          <w:szCs w:val="20"/>
          <w:color w:val="auto"/>
        </w:rPr>
      </w:pPr>
    </w:p>
    <w:tbl>
      <w:tblPr>
        <w:tblLayout w:type="fixed"/>
        <w:tblInd w:w="47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7A51A1"/>
              </w:rPr>
              <w:t>1.00000</w:t>
            </w:r>
          </w:p>
        </w:tc>
      </w:tr>
      <w:tr>
        <w:trPr>
          <w:trHeight w:val="149"/>
        </w:trPr>
        <w:tc>
          <w:tcPr>
            <w:tcW w:w="3320" w:type="dxa"/>
            <w:vAlign w:val="bottom"/>
          </w:tcPr>
          <w:p>
            <w:pPr>
              <w:spacing w:after="0"/>
              <w:rPr>
                <w:sz w:val="12"/>
                <w:szCs w:val="12"/>
                <w:color w:val="auto"/>
              </w:rPr>
            </w:pPr>
          </w:p>
        </w:tc>
        <w:tc>
          <w:tcPr>
            <w:tcW w:w="2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7A51A1"/>
              </w:rPr>
              <w:t>322,224</w:t>
            </w:r>
          </w:p>
        </w:tc>
      </w:tr>
      <w:tr>
        <w:trPr>
          <w:trHeight w:val="188"/>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FLASHID-JOB#</w:t>
            </w: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7A51A1"/>
              </w:rPr>
              <w:t>148,294</w:t>
            </w:r>
          </w:p>
        </w:tc>
      </w:tr>
    </w:tbl>
    <w:p>
      <w:pPr>
        <w:spacing w:after="0" w:line="1" w:lineRule="exact"/>
        <w:rPr>
          <w:sz w:val="20"/>
          <w:szCs w:val="20"/>
          <w:color w:val="auto"/>
        </w:rPr>
      </w:pPr>
    </w:p>
    <w:sectPr>
      <w:pgSz w:w="11900" w:h="16838" w:orient="portrait"/>
      <w:cols w:equalWidth="0" w:num="1">
        <w:col w:w="11020"/>
      </w:cols>
      <w:pgMar w:left="440" w:top="25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2025-03-28T07:43:18Z</dcterms:created>
  <dcterms:modified xsi:type="dcterms:W3CDTF">2025-03-28T07:43:18Z</dcterms:modified>
</cp:coreProperties>
</file>