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paragraph entitled “Recent Legislation Modifying Several of the Rules Applicable to REITs—Reduction in Built-in Gains Period” of Exhibit 99.1 to the Current Report on Form 8-K of Federal Realty Investment Trust filed with the Securities and Exchange Commission on February 10, 2016 is amended and restated in its entirety as follows: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Reduction in Built-in Gains Period</w:t>
      </w:r>
      <w:r>
        <w:rPr>
          <w:rFonts w:ascii="Arial" w:cs="Arial" w:eastAsia="Arial" w:hAnsi="Arial"/>
          <w:sz w:val="18"/>
          <w:szCs w:val="18"/>
          <w:color w:val="auto"/>
        </w:rPr>
        <w:t>. For taxable years beginning in 2015 and later, the “built-in gains” period (i.e., the period during which gains from the sale or disposition of property acquired by a REIT from a C corporation in a tax-free merger or other carryover basis transaction is subject to C corporation tax) is reduced from ten years to five years.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7, 2016, the IRS and Treasury Department issued temporary regulations changing the “built-in gains” recognition period for the corporate tax on built-in gains described in the discussion above. Prior to August 8, 2016, the recognition period applicable to us with respect to an asset with built-in gain is the five-year period beginning on the day the asset was acquired. Effective for assets with built-in gain acquired on or after August 8, 2016, the recognition period will be the ten-year period beginning on the day the asset was acquired.”</w:t>
      </w:r>
    </w:p>
    <w:p>
      <w:pPr>
        <w:sectPr>
          <w:pgSz w:w="11900" w:h="16838" w:orient="portrait"/>
          <w:cols w:equalWidth="0" w:num="1">
            <w:col w:w="11300"/>
          </w:cols>
          <w:pgMar w:left="240" w:top="270" w:right="3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5, 2016</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2019-12-05T05:51:13Z</dcterms:created>
  <dcterms:modified xsi:type="dcterms:W3CDTF">2019-12-05T05:51:13Z</dcterms:modified>
</cp:coreProperties>
</file>