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37"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55"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44"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1626 East Jefferson Street, Rockville, Maryland 20852-4041</w:t>
      </w:r>
    </w:p>
    <w:p>
      <w:pPr>
        <w:sectPr>
          <w:pgSz w:w="11900" w:h="16838" w:orient="portrait"/>
          <w:cols w:equalWidth="0" w:num="1">
            <w:col w:w="11420"/>
          </w:cols>
          <w:pgMar w:left="240" w:top="230" w:right="239" w:bottom="1440" w:gutter="0" w:footer="0" w:header="0"/>
          <w:type w:val="continuous"/>
        </w:sectPr>
      </w:pPr>
    </w:p>
    <w:p>
      <w:pPr>
        <w:spacing w:after="0" w:line="56" w:lineRule="exact"/>
        <w:rPr>
          <w:sz w:val="24"/>
          <w:szCs w:val="24"/>
          <w:color w:val="auto"/>
        </w:rPr>
      </w:pPr>
    </w:p>
    <w:p>
      <w:pPr>
        <w:ind w:left="42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6440" w:space="700"/>
            <w:col w:w="42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ind w:right="28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44"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32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at July 25, 2003</w:t>
            </w:r>
          </w:p>
        </w:tc>
      </w:tr>
      <w:tr>
        <w:trPr>
          <w:trHeight w:val="110"/>
        </w:trPr>
        <w:tc>
          <w:tcPr>
            <w:tcW w:w="5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r>
      <w:tr>
        <w:trPr>
          <w:trHeight w:val="316"/>
        </w:trPr>
        <w:tc>
          <w:tcPr>
            <w:tcW w:w="5540" w:type="dxa"/>
            <w:vAlign w:val="bottom"/>
          </w:tcPr>
          <w:p>
            <w:pPr>
              <w:jc w:val="center"/>
              <w:spacing w:after="0"/>
              <w:rPr>
                <w:sz w:val="20"/>
                <w:szCs w:val="20"/>
                <w:color w:val="auto"/>
              </w:rPr>
            </w:pPr>
            <w:r>
              <w:rPr>
                <w:rFonts w:ascii="Arial" w:cs="Arial" w:eastAsia="Arial" w:hAnsi="Arial"/>
                <w:sz w:val="18"/>
                <w:szCs w:val="18"/>
                <w:color w:val="auto"/>
                <w:w w:val="89"/>
              </w:rPr>
              <w:t>Common Shares of Beneficial Interest</w:t>
            </w:r>
          </w:p>
        </w:tc>
        <w:tc>
          <w:tcPr>
            <w:tcW w:w="5880" w:type="dxa"/>
            <w:vAlign w:val="bottom"/>
            <w:gridSpan w:val="2"/>
          </w:tcPr>
          <w:p>
            <w:pPr>
              <w:jc w:val="right"/>
              <w:ind w:right="2292"/>
              <w:spacing w:after="0"/>
              <w:rPr>
                <w:sz w:val="20"/>
                <w:szCs w:val="20"/>
                <w:color w:val="auto"/>
              </w:rPr>
            </w:pPr>
            <w:r>
              <w:rPr>
                <w:rFonts w:ascii="Arial" w:cs="Arial" w:eastAsia="Arial" w:hAnsi="Arial"/>
                <w:sz w:val="18"/>
                <w:szCs w:val="18"/>
                <w:color w:val="auto"/>
              </w:rPr>
              <w:t>49,051,670</w:t>
            </w:r>
          </w:p>
        </w:tc>
      </w:tr>
      <w:tr>
        <w:trPr>
          <w:trHeight w:val="201"/>
        </w:trPr>
        <w:tc>
          <w:tcPr>
            <w:tcW w:w="55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5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 FORM 10-Q</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PAGE NO.</w:t>
            </w:r>
          </w:p>
        </w:tc>
      </w:tr>
      <w:tr>
        <w:trPr>
          <w:trHeight w:val="286"/>
        </w:trPr>
        <w:tc>
          <w:tcPr>
            <w:tcW w:w="11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5920" w:type="dxa"/>
            <w:vAlign w:val="bottom"/>
            <w:gridSpan w:val="13"/>
          </w:tcPr>
          <w:p>
            <w:pPr>
              <w:spacing w:after="0"/>
              <w:rPr>
                <w:sz w:val="24"/>
                <w:szCs w:val="24"/>
                <w:color w:val="auto"/>
              </w:rPr>
            </w:pPr>
          </w:p>
        </w:tc>
        <w:tc>
          <w:tcPr>
            <w:tcW w:w="2140" w:type="dxa"/>
            <w:vAlign w:val="bottom"/>
          </w:tcPr>
          <w:p>
            <w:pPr>
              <w:spacing w:after="0"/>
              <w:rPr>
                <w:sz w:val="24"/>
                <w:szCs w:val="24"/>
                <w:color w:val="auto"/>
              </w:rPr>
            </w:pP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Arial" w:cs="Arial" w:eastAsia="Arial" w:hAnsi="Arial"/>
                <w:sz w:val="18"/>
                <w:szCs w:val="18"/>
                <w:color w:val="0000EE"/>
              </w:rPr>
              <w:t>Item 1. Financial Statements</w:t>
            </w:r>
          </w:p>
        </w:tc>
        <w:tc>
          <w:tcPr>
            <w:tcW w:w="214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June 30, 2003 (unaudited) and December 31, 2002 (audited)</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w:t>
              </w:r>
            </w:hyperlink>
          </w:p>
        </w:tc>
        <w:tc>
          <w:tcPr>
            <w:tcW w:w="2700" w:type="dxa"/>
            <w:vAlign w:val="bottom"/>
            <w:tcBorders>
              <w:top w:val="single" w:sz="8" w:color="0000EE"/>
            </w:tcBorders>
            <w:gridSpan w:val="5"/>
          </w:tcPr>
          <w:p>
            <w:pPr>
              <w:spacing w:after="0"/>
              <w:rPr>
                <w:sz w:val="24"/>
                <w:szCs w:val="24"/>
                <w:color w:val="auto"/>
              </w:rPr>
            </w:pPr>
          </w:p>
        </w:tc>
        <w:tc>
          <w:tcPr>
            <w:tcW w:w="1820" w:type="dxa"/>
            <w:vAlign w:val="bottom"/>
            <w:gridSpan w:val="2"/>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Six months ended June 30, 2003 and 2002</w:t>
              </w:r>
            </w:hyperlink>
          </w:p>
        </w:tc>
        <w:tc>
          <w:tcPr>
            <w:tcW w:w="5120" w:type="dxa"/>
            <w:vAlign w:val="bottom"/>
            <w:gridSpan w:val="9"/>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Operations (unaudited)</w:t>
              </w:r>
            </w:hyperlink>
          </w:p>
        </w:tc>
        <w:tc>
          <w:tcPr>
            <w:tcW w:w="4520" w:type="dxa"/>
            <w:vAlign w:val="bottom"/>
            <w:gridSpan w:val="7"/>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12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Three months ended June 30, 2003 and 2002</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Consolidated Statements of Shareholders’ Equity (unaudited)</w:t>
              </w:r>
            </w:hyperlink>
          </w:p>
        </w:tc>
        <w:tc>
          <w:tcPr>
            <w:tcW w:w="3800" w:type="dxa"/>
            <w:vAlign w:val="bottom"/>
            <w:gridSpan w:val="4"/>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Six months ended June 30, 2003 and 2002</w:t>
              </w:r>
            </w:hyperlink>
          </w:p>
        </w:tc>
        <w:tc>
          <w:tcPr>
            <w:tcW w:w="5120" w:type="dxa"/>
            <w:vAlign w:val="bottom"/>
            <w:gridSpan w:val="9"/>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Consolidated Statements of Cash Flows (unaudited)</w:t>
              </w:r>
            </w:hyperlink>
          </w:p>
        </w:tc>
        <w:tc>
          <w:tcPr>
            <w:tcW w:w="21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11">
              <w:r>
                <w:rPr>
                  <w:rFonts w:ascii="Arial" w:cs="Arial" w:eastAsia="Arial" w:hAnsi="Arial"/>
                  <w:sz w:val="18"/>
                  <w:szCs w:val="18"/>
                  <w:color w:val="0000EE"/>
                  <w:w w:val="86"/>
                </w:rPr>
                <w:t>Six months ended June 30, 2003 and 2002</w:t>
              </w:r>
            </w:hyperlink>
          </w:p>
        </w:tc>
        <w:tc>
          <w:tcPr>
            <w:tcW w:w="660" w:type="dxa"/>
            <w:vAlign w:val="bottom"/>
            <w:tcBorders>
              <w:top w:val="single" w:sz="8" w:color="0000EE"/>
            </w:tcBorders>
            <w:gridSpan w:val="4"/>
          </w:tcPr>
          <w:p>
            <w:pPr>
              <w:spacing w:after="0"/>
              <w:rPr>
                <w:sz w:val="17"/>
                <w:szCs w:val="17"/>
                <w:color w:val="auto"/>
              </w:rPr>
            </w:pPr>
          </w:p>
        </w:tc>
        <w:tc>
          <w:tcPr>
            <w:tcW w:w="4480" w:type="dxa"/>
            <w:vAlign w:val="bottom"/>
            <w:gridSpan w:val="6"/>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12">
              <w:r>
                <w:rPr>
                  <w:rFonts w:ascii="Arial" w:cs="Arial" w:eastAsia="Arial" w:hAnsi="Arial"/>
                  <w:sz w:val="18"/>
                  <w:szCs w:val="18"/>
                  <w:color w:val="0000EE"/>
                  <w:w w:val="86"/>
                </w:rPr>
                <w:t>Notes to Financial Statements</w:t>
              </w:r>
            </w:hyperlink>
          </w:p>
        </w:tc>
        <w:tc>
          <w:tcPr>
            <w:tcW w:w="6020" w:type="dxa"/>
            <w:vAlign w:val="bottom"/>
            <w:gridSpan w:val="14"/>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9-17</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Item 2. Management’s Discussion and Analysis of Financial Condition and Results of Operations</w:t>
              </w:r>
            </w:hyperlink>
          </w:p>
        </w:tc>
        <w:tc>
          <w:tcPr>
            <w:tcW w:w="1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18-44</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12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2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4. Controls and Procedures</w:t>
              </w:r>
            </w:hyperlink>
          </w:p>
        </w:tc>
        <w:tc>
          <w:tcPr>
            <w:tcW w:w="3340" w:type="dxa"/>
            <w:vAlign w:val="bottom"/>
            <w:gridSpan w:val="3"/>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OTHER INFORMATION</w:t>
              </w:r>
            </w:hyperlink>
          </w:p>
        </w:tc>
        <w:tc>
          <w:tcPr>
            <w:tcW w:w="420" w:type="dxa"/>
            <w:vAlign w:val="bottom"/>
            <w:tcBorders>
              <w:top w:val="single" w:sz="8" w:color="0000EE"/>
            </w:tcBorders>
            <w:gridSpan w:val="5"/>
          </w:tcPr>
          <w:p>
            <w:pPr>
              <w:spacing w:after="0"/>
              <w:rPr>
                <w:sz w:val="24"/>
                <w:szCs w:val="24"/>
                <w:color w:val="auto"/>
              </w:rPr>
            </w:pPr>
          </w:p>
        </w:tc>
        <w:tc>
          <w:tcPr>
            <w:tcW w:w="5860" w:type="dxa"/>
            <w:vAlign w:val="bottom"/>
            <w:gridSpan w:val="12"/>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304"/>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Item 1. Legal Proceedings</w:t>
              </w:r>
            </w:hyperlink>
          </w:p>
        </w:tc>
        <w:tc>
          <w:tcPr>
            <w:tcW w:w="6280" w:type="dxa"/>
            <w:vAlign w:val="bottom"/>
            <w:gridSpan w:val="17"/>
          </w:tcPr>
          <w:p>
            <w:pPr>
              <w:spacing w:after="0"/>
              <w:rPr>
                <w:sz w:val="24"/>
                <w:szCs w:val="24"/>
                <w:color w:val="auto"/>
              </w:rPr>
            </w:pPr>
          </w:p>
        </w:tc>
        <w:tc>
          <w:tcPr>
            <w:tcW w:w="214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50">
              <w:r>
                <w:rPr>
                  <w:rFonts w:ascii="Arial" w:cs="Arial" w:eastAsia="Arial" w:hAnsi="Arial"/>
                  <w:sz w:val="18"/>
                  <w:szCs w:val="18"/>
                  <w:color w:val="0000EE"/>
                  <w:w w:val="86"/>
                </w:rPr>
                <w:t>Item 2. Changes in Securities</w:t>
              </w:r>
            </w:hyperlink>
          </w:p>
        </w:tc>
        <w:tc>
          <w:tcPr>
            <w:tcW w:w="6060" w:type="dxa"/>
            <w:vAlign w:val="bottom"/>
            <w:gridSpan w:val="15"/>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12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21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Item 4. Submission of Matters to Vote to Security Holders</w:t>
              </w:r>
            </w:hyperlink>
          </w:p>
        </w:tc>
        <w:tc>
          <w:tcPr>
            <w:tcW w:w="4040" w:type="dxa"/>
            <w:vAlign w:val="bottom"/>
            <w:gridSpan w:val="5"/>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Item 5. Other Information</w:t>
              </w:r>
            </w:hyperlink>
          </w:p>
        </w:tc>
        <w:tc>
          <w:tcPr>
            <w:tcW w:w="6300" w:type="dxa"/>
            <w:vAlign w:val="bottom"/>
            <w:gridSpan w:val="18"/>
          </w:tcPr>
          <w:p>
            <w:pPr>
              <w:spacing w:after="0"/>
              <w:rPr>
                <w:sz w:val="17"/>
                <w:szCs w:val="17"/>
                <w:color w:val="auto"/>
              </w:rPr>
            </w:pPr>
          </w:p>
        </w:tc>
        <w:tc>
          <w:tcPr>
            <w:tcW w:w="21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120" w:type="dxa"/>
            <w:vAlign w:val="bottom"/>
            <w:gridSpan w:val="1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6. Exhibits and Reports on Form 8-K</w:t>
              </w:r>
            </w:hyperlink>
          </w:p>
        </w:tc>
        <w:tc>
          <w:tcPr>
            <w:tcW w:w="2140" w:type="dxa"/>
            <w:vAlign w:val="bottom"/>
          </w:tcPr>
          <w:p>
            <w:pPr>
              <w:spacing w:after="0"/>
              <w:rPr>
                <w:sz w:val="17"/>
                <w:szCs w:val="17"/>
                <w:color w:val="auto"/>
              </w:rPr>
            </w:pPr>
          </w:p>
        </w:tc>
      </w:tr>
      <w:tr>
        <w:trPr>
          <w:trHeight w:val="304"/>
        </w:trPr>
        <w:tc>
          <w:tcPr>
            <w:tcW w:w="1160" w:type="dxa"/>
            <w:vAlign w:val="bottom"/>
            <w:gridSpan w:val="2"/>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SIGNATURES</w:t>
              </w:r>
            </w:hyperlink>
          </w:p>
        </w:tc>
        <w:tc>
          <w:tcPr>
            <w:tcW w:w="1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532"/>
        </w:trPr>
        <w:tc>
          <w:tcPr>
            <w:tcW w:w="10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780" w:type="dxa"/>
            <w:vAlign w:val="bottom"/>
            <w:gridSpan w:val="16"/>
          </w:tcPr>
          <w:p>
            <w:pPr>
              <w:ind w:left="452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 FORM 10-Q</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77"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six months ended June 30, 2003, are not necessarily indicative of the results that may be expected for the full year. These financial statements should be read in conjunction with our audited consolidated financial statements and footnotes thereto included in the Trust’s Annual Report on Form 10-K for the fiscal year ended December 31, 2002.</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gridSpan w:val="2"/>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4"/>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1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2,141,958</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1,966,338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Development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226,789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2,368,747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(482,758)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(450,697)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1,885,989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37,994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Insurance reimbursement receivable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 principally property taxes and lease commissions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Debt issue costs, net of accumulated amortization of $4,982 and $6,344, respectively</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8,111</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2,050,468</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104,271</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Mortgages and construction loans payable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250,904</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343,625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59,681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Security deposits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rents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1/4% Convertible subordinated debentures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Investors’ interest in consolidated assets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30,082</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24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tcPr>
          <w:p>
            <w:pPr>
              <w:ind w:left="860"/>
              <w:spacing w:after="0"/>
              <w:rPr>
                <w:sz w:val="20"/>
                <w:szCs w:val="20"/>
                <w:color w:val="auto"/>
              </w:rPr>
            </w:pPr>
            <w:r>
              <w:rPr>
                <w:rFonts w:ascii="Arial" w:cs="Arial" w:eastAsia="Arial" w:hAnsi="Arial"/>
                <w:sz w:val="18"/>
                <w:szCs w:val="18"/>
                <w:color w:val="auto"/>
                <w:w w:val="97"/>
              </w:rPr>
              <w:t>7.95% Series A Cumulative Redeemable Preferred Shares, (stated at liquidation preference $25 per share),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1060"/>
              <w:spacing w:after="0"/>
              <w:rPr>
                <w:sz w:val="20"/>
                <w:szCs w:val="20"/>
                <w:color w:val="auto"/>
              </w:rPr>
            </w:pPr>
            <w:r>
              <w:rPr>
                <w:rFonts w:ascii="Arial" w:cs="Arial" w:eastAsia="Arial" w:hAnsi="Arial"/>
                <w:sz w:val="18"/>
                <w:szCs w:val="18"/>
                <w:color w:val="auto"/>
              </w:rPr>
              <w:t>4,000,000 shares issued in 1997</w:t>
            </w:r>
          </w:p>
        </w:tc>
        <w:tc>
          <w:tcPr>
            <w:tcW w:w="8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8"/>
              </w:rPr>
              <w:t>8.5% Series B Cumulative Redeemable Preferred Shares, (stated at liquidation preference $25 per share),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5,400,000 shares issued in 2001</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Common shares of beneficial interest, $.01 par, 100,000,000 shares authorized, 50,493,032 and 44,996,382 issued,</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972,178</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818,290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(389,373)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(368,839)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Less:1,463,611 and 1,461,147 common shares in treasury—at cost, respectively</w:t>
            </w: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(28,263)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 on restricted shares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Notes receivable from employee stock plans</w:t>
            </w:r>
          </w:p>
        </w:tc>
        <w:tc>
          <w:tcPr>
            <w:tcW w:w="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(3,744)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678,407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2,050,468</w:t>
            </w:r>
          </w:p>
        </w:tc>
        <w:tc>
          <w:tcPr>
            <w:tcW w:w="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2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-5548630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-5548630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-5548630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-5548630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-5548630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-5548630</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437"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437"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83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4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160,555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2,874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171,710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16,743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operating expenses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113,989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1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35,831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Restructuring expenses</w:t>
            </w:r>
          </w:p>
        </w:tc>
        <w:tc>
          <w:tcPr>
            <w:tcW w:w="110" w:type="dxa"/>
            <w:vAlign w:val="bottom"/>
          </w:tcPr>
          <w:p>
            <w:pPr>
              <w:spacing w:after="0"/>
              <w:rPr>
                <w:sz w:val="18"/>
                <w:szCs w:val="18"/>
                <w:color w:val="auto"/>
              </w:rPr>
            </w:pPr>
          </w:p>
        </w:tc>
        <w:tc>
          <w:tcPr>
            <w:tcW w:w="103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investors’ share of operations and discontinued operations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Investors’ share of operations</w:t>
            </w:r>
          </w:p>
        </w:tc>
        <w:tc>
          <w:tcPr>
            <w:tcW w:w="110" w:type="dxa"/>
            <w:vAlign w:val="bottom"/>
          </w:tcPr>
          <w:p>
            <w:pPr>
              <w:spacing w:after="0"/>
              <w:rPr>
                <w:sz w:val="24"/>
                <w:szCs w:val="24"/>
                <w:color w:val="auto"/>
              </w:rPr>
            </w:pPr>
          </w:p>
        </w:tc>
        <w:tc>
          <w:tcPr>
            <w:tcW w:w="1030" w:type="dxa"/>
            <w:vAlign w:val="bottom"/>
            <w:gridSpan w:val="2"/>
          </w:tcPr>
          <w:p>
            <w:pPr>
              <w:jc w:val="right"/>
              <w:ind w:right="380"/>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before gain on sale of real estate net of loss on abandoned developments held for sale and discontinued operations</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Income (loss) from operations of discontinued assets</w:t>
            </w:r>
          </w:p>
        </w:tc>
        <w:tc>
          <w:tcPr>
            <w:tcW w:w="110" w:type="dxa"/>
            <w:vAlign w:val="bottom"/>
          </w:tcPr>
          <w:p>
            <w:pPr>
              <w:spacing w:after="0"/>
              <w:rPr>
                <w:sz w:val="24"/>
                <w:szCs w:val="24"/>
                <w:color w:val="auto"/>
              </w:rPr>
            </w:pPr>
          </w:p>
        </w:tc>
        <w:tc>
          <w:tcPr>
            <w:tcW w:w="103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 net of loss on abandoned developments held for sale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110" w:type="dxa"/>
            <w:vAlign w:val="bottom"/>
          </w:tcPr>
          <w:p>
            <w:pPr>
              <w:spacing w:after="0"/>
              <w:rPr>
                <w:sz w:val="24"/>
                <w:szCs w:val="24"/>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551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10" w:type="dxa"/>
            <w:vAlign w:val="bottom"/>
          </w:tcPr>
          <w:p>
            <w:pPr>
              <w:spacing w:after="0"/>
              <w:rPr>
                <w:sz w:val="24"/>
                <w:szCs w:val="24"/>
                <w:color w:val="auto"/>
              </w:rPr>
            </w:pPr>
          </w:p>
        </w:tc>
        <w:tc>
          <w:tcPr>
            <w:tcW w:w="1030" w:type="dxa"/>
            <w:vAlign w:val="bottom"/>
            <w:gridSpan w:val="2"/>
          </w:tcPr>
          <w:p>
            <w:pPr>
              <w:jc w:val="right"/>
              <w:ind w:right="380"/>
              <w:spacing w:after="0"/>
              <w:rPr>
                <w:sz w:val="20"/>
                <w:szCs w:val="20"/>
                <w:color w:val="auto"/>
              </w:rPr>
            </w:pPr>
            <w:r>
              <w:rPr>
                <w:rFonts w:ascii="Arial" w:cs="Arial" w:eastAsia="Arial" w:hAnsi="Arial"/>
                <w:sz w:val="18"/>
                <w:szCs w:val="18"/>
                <w:color w:val="auto"/>
              </w:rPr>
              <w:t>(9,346)</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(9,712)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available for common shareholders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1"/>
              </w:rPr>
              <w:t>Income before gain on sale of real estate net of loss on abandoned developments held for sale and discontinued operations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0.54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1"/>
              </w:rPr>
              <w:t>Income before gain on sale of real estate net of loss on abandoned developments held for sale and discontinued operations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0.54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1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6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-2756535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-2756535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-2756535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-2756535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-2756535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-2756535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-1692910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-1692910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-1692910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-1692910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-1692910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-1692910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-1392555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-1392555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-1392555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-1392555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-1392555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-1392555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-329565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-329565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-329565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-329565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18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13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90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87"/>
              </w:rPr>
              <w:t>Three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50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49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2003</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95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80,564</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3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1,659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86,409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3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19,282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3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8,888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operating expenses</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28,170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58,239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30" w:type="dxa"/>
            <w:vAlign w:val="bottom"/>
          </w:tcPr>
          <w:p>
            <w:pPr>
              <w:spacing w:after="0"/>
              <w:rPr>
                <w:sz w:val="24"/>
                <w:szCs w:val="24"/>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18,252</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15,133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3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w w:val="83"/>
              </w:rPr>
              <w:t>18,125</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39,524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investors’ share of operations and discontinued operations</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18,715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Investors’ share of operations</w:t>
            </w:r>
          </w:p>
        </w:tc>
        <w:tc>
          <w:tcPr>
            <w:tcW w:w="130" w:type="dxa"/>
            <w:vAlign w:val="bottom"/>
          </w:tcPr>
          <w:p>
            <w:pPr>
              <w:spacing w:after="0"/>
              <w:rPr>
                <w:sz w:val="24"/>
                <w:szCs w:val="24"/>
                <w:color w:val="auto"/>
              </w:rPr>
            </w:pPr>
          </w:p>
        </w:tc>
        <w:tc>
          <w:tcPr>
            <w:tcW w:w="103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(1,134)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(1,579)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 and discontinued operations</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17,581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Income (loss) from operations of discontinued assets</w:t>
            </w:r>
          </w:p>
        </w:tc>
        <w:tc>
          <w:tcPr>
            <w:tcW w:w="130" w:type="dxa"/>
            <w:vAlign w:val="bottom"/>
          </w:tcPr>
          <w:p>
            <w:pPr>
              <w:spacing w:after="0"/>
              <w:rPr>
                <w:sz w:val="24"/>
                <w:szCs w:val="24"/>
                <w:color w:val="auto"/>
              </w:rPr>
            </w:pPr>
          </w:p>
        </w:tc>
        <w:tc>
          <w:tcPr>
            <w:tcW w:w="103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30" w:type="dxa"/>
            <w:vAlign w:val="bottom"/>
          </w:tcPr>
          <w:p>
            <w:pPr>
              <w:spacing w:after="0"/>
              <w:rPr>
                <w:sz w:val="24"/>
                <w:szCs w:val="24"/>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551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18,126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30" w:type="dxa"/>
            <w:vAlign w:val="bottom"/>
          </w:tcPr>
          <w:p>
            <w:pPr>
              <w:spacing w:after="0"/>
              <w:rPr>
                <w:sz w:val="24"/>
                <w:szCs w:val="24"/>
                <w:color w:val="auto"/>
              </w:rPr>
            </w:pPr>
          </w:p>
        </w:tc>
        <w:tc>
          <w:tcPr>
            <w:tcW w:w="103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(4,490)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(4,856)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available for common shareholders</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13,636</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before gain on sale of real estate and discontinued operations</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0.28</w:t>
            </w:r>
          </w:p>
        </w:tc>
        <w:tc>
          <w:tcPr>
            <w:tcW w:w="5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3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47,161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before gain on sale of real estate and discontinued operations</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0.28</w:t>
            </w:r>
          </w:p>
        </w:tc>
        <w:tc>
          <w:tcPr>
            <w:tcW w:w="5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30" w:type="dxa"/>
            <w:vAlign w:val="bottom"/>
            <w:shd w:val="clear" w:color="auto" w:fill="CCEEFF"/>
          </w:tcPr>
          <w:p>
            <w:pPr>
              <w:spacing w:after="0"/>
              <w:rPr>
                <w:sz w:val="18"/>
                <w:szCs w:val="18"/>
                <w:color w:val="auto"/>
              </w:rPr>
            </w:pPr>
          </w:p>
        </w:tc>
        <w:tc>
          <w:tcPr>
            <w:tcW w:w="103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30" w:type="dxa"/>
            <w:vAlign w:val="bottom"/>
          </w:tcPr>
          <w:p>
            <w:pPr>
              <w:spacing w:after="0"/>
              <w:rPr>
                <w:sz w:val="19"/>
                <w:szCs w:val="19"/>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30" w:type="dxa"/>
            <w:vAlign w:val="bottom"/>
          </w:tcPr>
          <w:p>
            <w:pPr>
              <w:spacing w:after="0"/>
              <w:rPr>
                <w:sz w:val="8"/>
                <w:szCs w:val="8"/>
                <w:color w:val="auto"/>
              </w:rPr>
            </w:pPr>
          </w:p>
        </w:tc>
        <w:tc>
          <w:tcPr>
            <w:tcW w:w="49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3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-2893695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-2893695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-2893695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-2893695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-2893695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-2893695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-1830070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-1830070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-1830070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-1830070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-1830070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-1830070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-1461135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-1461135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-1461135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-1461135</wp:posOffset>
            </wp:positionV>
            <wp:extent cx="42418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-398145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-398145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-398145</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-398145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-398145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-398145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42418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4180"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18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31"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1"/>
              </w:rPr>
              <w:t>Six months ended June 30,</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2003</w:t>
            </w: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193"/>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Paid-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in Capital</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Capital</w:t>
            </w:r>
          </w:p>
        </w:tc>
        <w:tc>
          <w:tcPr>
            <w:tcW w:w="0" w:type="dxa"/>
            <w:vAlign w:val="bottom"/>
          </w:tcPr>
          <w:p>
            <w:pPr>
              <w:spacing w:after="0"/>
              <w:rPr>
                <w:sz w:val="1"/>
                <w:szCs w:val="1"/>
                <w:color w:val="auto"/>
              </w:rPr>
            </w:pPr>
          </w:p>
        </w:tc>
      </w:tr>
      <w:tr>
        <w:trPr>
          <w:trHeight w:val="95"/>
        </w:trPr>
        <w:tc>
          <w:tcPr>
            <w:tcW w:w="45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share data)</w:t>
            </w: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0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of Beneficial Interest</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44,996,382</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$ 818,290</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41,524,165</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$ 730,835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2,001,055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47,979</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669,136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Shares issued under dividend reinvestment plan</w:t>
            </w:r>
          </w:p>
        </w:tc>
        <w:tc>
          <w:tcPr>
            <w:tcW w:w="780" w:type="dxa"/>
            <w:vAlign w:val="bottom"/>
          </w:tcPr>
          <w:p>
            <w:pPr>
              <w:jc w:val="right"/>
              <w:spacing w:after="0"/>
              <w:rPr>
                <w:sz w:val="20"/>
                <w:szCs w:val="20"/>
                <w:color w:val="auto"/>
              </w:rPr>
            </w:pPr>
            <w:r>
              <w:rPr>
                <w:rFonts w:ascii="Arial" w:cs="Arial" w:eastAsia="Arial" w:hAnsi="Arial"/>
                <w:sz w:val="18"/>
                <w:szCs w:val="18"/>
                <w:color w:val="auto"/>
              </w:rPr>
              <w:t>59,830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1,761</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69,579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Performance and Restricted Shares granted, net of</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Restricted Shares retired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134,568</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96,989</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Issuance of shares in public offering</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3,236,245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98,435</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2,185,000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Shares issued to purchase operating partnership</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units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64,952</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w w:val="97"/>
              </w:rPr>
              <w:t>Accelerated vesting of options and restricted shares</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50,493,032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$ 972,178</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44,644,869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$ 809,535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Dividends in Excess of Trust Net Income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w w:val="89"/>
              </w:rPr>
              <w:t>($368,839)</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w w:val="87"/>
              </w:rPr>
              <w:t>($322,428)</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34,502</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Dividends declared to common shareholders</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(45,690)</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(40,156)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 to preferred shareholders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(9,346)</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9"/>
              </w:rPr>
              <w:t>($389,373)</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7"/>
              </w:rPr>
              <w:t>($338,292)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of Beneficial Interest in Treasury</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(1,461,147)</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28,193)</w:t>
            </w:r>
          </w:p>
        </w:tc>
        <w:tc>
          <w:tcPr>
            <w:tcW w:w="70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color w:val="auto"/>
              </w:rPr>
              <w:t>(1,452,926)</w:t>
            </w:r>
          </w:p>
        </w:tc>
        <w:tc>
          <w:tcPr>
            <w:tcW w:w="140" w:type="dxa"/>
            <w:vAlign w:val="bottom"/>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27,990)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and Restricted Shares forfeited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(2,464)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w:t>
            </w:r>
          </w:p>
        </w:tc>
        <w:tc>
          <w:tcPr>
            <w:tcW w:w="7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(4,402)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(1,463,611)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28,263)</w:t>
            </w:r>
          </w:p>
        </w:tc>
        <w:tc>
          <w:tcPr>
            <w:tcW w:w="7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(1,457,328)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28,088)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on Restricted Shares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(129,448)</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2,657)</w:t>
            </w:r>
          </w:p>
        </w:tc>
        <w:tc>
          <w:tcPr>
            <w:tcW w:w="70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color w:val="auto"/>
              </w:rPr>
              <w:t>(666,656)</w:t>
            </w:r>
          </w:p>
        </w:tc>
        <w:tc>
          <w:tcPr>
            <w:tcW w:w="140" w:type="dxa"/>
            <w:vAlign w:val="bottom"/>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15,005)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Performance and Restricted Shares issued, net of</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forfeitures</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(118,000)</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(3,320)</w:t>
            </w:r>
          </w:p>
        </w:tc>
        <w:tc>
          <w:tcPr>
            <w:tcW w:w="700" w:type="dxa"/>
            <w:vAlign w:val="bottom"/>
            <w:shd w:val="clear" w:color="auto" w:fill="CCEEFF"/>
          </w:tcPr>
          <w:p>
            <w:pPr>
              <w:spacing w:after="0"/>
              <w:rPr>
                <w:sz w:val="19"/>
                <w:szCs w:val="19"/>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(73,821)</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(1,763)</w:t>
            </w: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Vesting of Performance and Restricted Shares</w:t>
            </w:r>
          </w:p>
        </w:tc>
        <w:tc>
          <w:tcPr>
            <w:tcW w:w="780" w:type="dxa"/>
            <w:vAlign w:val="bottom"/>
          </w:tcPr>
          <w:p>
            <w:pPr>
              <w:jc w:val="right"/>
              <w:spacing w:after="0"/>
              <w:rPr>
                <w:sz w:val="20"/>
                <w:szCs w:val="20"/>
                <w:color w:val="auto"/>
              </w:rPr>
            </w:pPr>
            <w:r>
              <w:rPr>
                <w:rFonts w:ascii="Arial" w:cs="Arial" w:eastAsia="Arial" w:hAnsi="Arial"/>
                <w:sz w:val="18"/>
                <w:szCs w:val="18"/>
                <w:color w:val="auto"/>
              </w:rPr>
              <w:t>21,436</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188,246</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(226,012)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5,537)</w:t>
            </w:r>
          </w:p>
        </w:tc>
        <w:tc>
          <w:tcPr>
            <w:tcW w:w="7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(552,231)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12,434)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Subscriptions receivable from employee stock plans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(184,063)</w:t>
            </w: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5,151)</w:t>
            </w:r>
          </w:p>
        </w:tc>
        <w:tc>
          <w:tcPr>
            <w:tcW w:w="700" w:type="dxa"/>
            <w:vAlign w:val="bottom"/>
          </w:tcPr>
          <w:p>
            <w:pPr>
              <w:spacing w:after="0"/>
              <w:rPr>
                <w:sz w:val="18"/>
                <w:szCs w:val="18"/>
                <w:color w:val="auto"/>
              </w:rPr>
            </w:pPr>
          </w:p>
        </w:tc>
        <w:tc>
          <w:tcPr>
            <w:tcW w:w="1740" w:type="dxa"/>
            <w:vAlign w:val="bottom"/>
            <w:gridSpan w:val="5"/>
          </w:tcPr>
          <w:p>
            <w:pPr>
              <w:jc w:val="right"/>
              <w:ind w:right="480"/>
              <w:spacing w:after="0"/>
              <w:rPr>
                <w:sz w:val="20"/>
                <w:szCs w:val="20"/>
                <w:color w:val="auto"/>
              </w:rPr>
            </w:pPr>
            <w:r>
              <w:rPr>
                <w:rFonts w:ascii="Arial" w:cs="Arial" w:eastAsia="Arial" w:hAnsi="Arial"/>
                <w:sz w:val="18"/>
                <w:szCs w:val="18"/>
                <w:color w:val="auto"/>
              </w:rPr>
              <w:t>(218,555)</w:t>
            </w:r>
          </w:p>
        </w:tc>
        <w:tc>
          <w:tcPr>
            <w:tcW w:w="140" w:type="dxa"/>
            <w:vAlign w:val="bottom"/>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7,245)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Subscription loans issued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(36,667)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(895)</w:t>
            </w:r>
          </w:p>
        </w:tc>
        <w:tc>
          <w:tcPr>
            <w:tcW w:w="7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(88,469)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Subscription loans paid</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63,329</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(165,730)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3,744)</w:t>
            </w:r>
          </w:p>
        </w:tc>
        <w:tc>
          <w:tcPr>
            <w:tcW w:w="700" w:type="dxa"/>
            <w:vAlign w:val="bottom"/>
            <w:shd w:val="clear" w:color="auto" w:fill="CCEEFF"/>
          </w:tcPr>
          <w:p>
            <w:pPr>
              <w:spacing w:after="0"/>
              <w:rPr>
                <w:sz w:val="18"/>
                <w:szCs w:val="18"/>
                <w:color w:val="auto"/>
              </w:rPr>
            </w:pPr>
          </w:p>
        </w:tc>
        <w:tc>
          <w:tcPr>
            <w:tcW w:w="174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(243,695)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8,587)</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Balance, beginning of year</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4,613)</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4,293)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due to recognizing gain on securities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Change in valuation on interest rate swap</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2,238</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2,359)</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w w:val="74"/>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4,522)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34,502</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34,004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due to recognizing gain on securities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Change in valuation on interest rate swap</w:t>
            </w: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2,238</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comprehensive income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36,756</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-6546850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-6546850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-6546850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-6546850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-6546850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-6546850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-6546850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-6546850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-6546850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-6546850</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-6546850</wp:posOffset>
            </wp:positionV>
            <wp:extent cx="49276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-6546850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-6546850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-6546850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-5346065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-5346065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-5346065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-5346065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-5346065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-5346065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-4420235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-4420235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-4420235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-4420235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-4420235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-4420235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-4420235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-4420235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-4420235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-4420235</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-3219450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-3219450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-3219450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-3219450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-3219450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-3219450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-3219450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-3219450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-3219450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-3219450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-2155825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-2155825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-2155825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-2155825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-2155825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-2155825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-2155825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-2155825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-2155825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-2155825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-1092835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-1092835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-1092835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-1092835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-1092835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-1092835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18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31"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5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03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63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34,502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Items not requiring cash outlays</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Gain on sale of real estate</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abandoned developments held for sale</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Non-cash portion of restructuring expense</w:t>
            </w:r>
          </w:p>
        </w:tc>
        <w:tc>
          <w:tcPr>
            <w:tcW w:w="110" w:type="dxa"/>
            <w:vAlign w:val="bottom"/>
          </w:tcPr>
          <w:p>
            <w:pPr>
              <w:spacing w:after="0"/>
              <w:rPr>
                <w:sz w:val="18"/>
                <w:szCs w:val="18"/>
                <w:color w:val="auto"/>
              </w:rPr>
            </w:pPr>
          </w:p>
        </w:tc>
        <w:tc>
          <w:tcPr>
            <w:tcW w:w="117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accounts receivable</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(4,136)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(Increase) in prepaid expenses and other</w:t>
            </w: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assets before depreciation and amortization</w:t>
            </w:r>
          </w:p>
        </w:tc>
        <w:tc>
          <w:tcPr>
            <w:tcW w:w="110" w:type="dxa"/>
            <w:vAlign w:val="bottom"/>
          </w:tcPr>
          <w:p>
            <w:pPr>
              <w:spacing w:after="0"/>
              <w:rPr>
                <w:sz w:val="19"/>
                <w:szCs w:val="19"/>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operating accounts payable,</w:t>
            </w:r>
          </w:p>
        </w:tc>
        <w:tc>
          <w:tcPr>
            <w:tcW w:w="11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security deposits and prepaid rent</w:t>
            </w:r>
          </w:p>
        </w:tc>
        <w:tc>
          <w:tcPr>
            <w:tcW w:w="110" w:type="dxa"/>
            <w:vAlign w:val="bottom"/>
            <w:shd w:val="clear" w:color="auto" w:fill="CCEEFF"/>
          </w:tcPr>
          <w:p>
            <w:pPr>
              <w:spacing w:after="0"/>
              <w:rPr>
                <w:sz w:val="19"/>
                <w:szCs w:val="19"/>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2,574</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(Decrease) increase in accrued expenses</w:t>
            </w:r>
          </w:p>
        </w:tc>
        <w:tc>
          <w:tcPr>
            <w:tcW w:w="110" w:type="dxa"/>
            <w:vAlign w:val="bottom"/>
          </w:tcPr>
          <w:p>
            <w:pPr>
              <w:spacing w:after="0"/>
              <w:rPr>
                <w:sz w:val="19"/>
                <w:szCs w:val="19"/>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real estate</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(15,559)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Capital expenditures—development</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(87,474)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Santana Row insurance proceeds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(23,808)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(Issuance) of mortgage notes receivable, net</w:t>
            </w:r>
          </w:p>
        </w:tc>
        <w:tc>
          <w:tcPr>
            <w:tcW w:w="110" w:type="dxa"/>
            <w:vAlign w:val="bottom"/>
          </w:tcPr>
          <w:p>
            <w:pPr>
              <w:spacing w:after="0"/>
              <w:rPr>
                <w:sz w:val="19"/>
                <w:szCs w:val="19"/>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(76,466)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(125,350)</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 of short-term debt, net</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136,000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Proceeds from mortgage and construction financing, net of costs</w:t>
            </w:r>
          </w:p>
        </w:tc>
        <w:tc>
          <w:tcPr>
            <w:tcW w:w="110" w:type="dxa"/>
            <w:vAlign w:val="bottom"/>
          </w:tcPr>
          <w:p>
            <w:pPr>
              <w:spacing w:after="0"/>
              <w:rPr>
                <w:sz w:val="18"/>
                <w:szCs w:val="18"/>
                <w:color w:val="auto"/>
              </w:rPr>
            </w:pPr>
          </w:p>
        </w:tc>
        <w:tc>
          <w:tcPr>
            <w:tcW w:w="117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148,317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Redemption of Series A Preferred Shares</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w w:val="85"/>
              </w:rPr>
              <w:t>(100,000)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mortgages, capital leases and notes payable</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(41,973)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Repayment of 5 1/4% Convertible subordinated debentures</w:t>
            </w:r>
          </w:p>
        </w:tc>
        <w:tc>
          <w:tcPr>
            <w:tcW w:w="110" w:type="dxa"/>
            <w:vAlign w:val="bottom"/>
          </w:tcPr>
          <w:p>
            <w:pPr>
              <w:spacing w:after="0"/>
              <w:rPr>
                <w:sz w:val="18"/>
                <w:szCs w:val="18"/>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(75,000)</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(52,452)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(Decrease) in minority interest, net</w:t>
            </w:r>
          </w:p>
        </w:tc>
        <w:tc>
          <w:tcPr>
            <w:tcW w:w="110" w:type="dxa"/>
            <w:vAlign w:val="bottom"/>
          </w:tcPr>
          <w:p>
            <w:pPr>
              <w:spacing w:after="0"/>
              <w:rPr>
                <w:sz w:val="19"/>
                <w:szCs w:val="19"/>
                <w:color w:val="auto"/>
              </w:rPr>
            </w:pPr>
          </w:p>
        </w:tc>
        <w:tc>
          <w:tcPr>
            <w:tcW w:w="1170" w:type="dxa"/>
            <w:vAlign w:val="bottom"/>
            <w:gridSpan w:val="3"/>
          </w:tcPr>
          <w:p>
            <w:pPr>
              <w:jc w:val="right"/>
              <w:ind w:right="480"/>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3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10" w:type="dxa"/>
            <w:vAlign w:val="bottom"/>
            <w:shd w:val="clear" w:color="auto" w:fill="CCEEFF"/>
          </w:tcPr>
          <w:p>
            <w:pPr>
              <w:spacing w:after="0"/>
              <w:rPr>
                <w:sz w:val="18"/>
                <w:szCs w:val="18"/>
                <w:color w:val="auto"/>
              </w:rPr>
            </w:pP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(4,514)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color w:val="auto"/>
              </w:rPr>
              <w:t>Cash at beginning of period</w:t>
            </w:r>
          </w:p>
        </w:tc>
        <w:tc>
          <w:tcPr>
            <w:tcW w:w="110" w:type="dxa"/>
            <w:vAlign w:val="bottom"/>
          </w:tcPr>
          <w:p>
            <w:pPr>
              <w:spacing w:after="0"/>
              <w:rPr>
                <w:sz w:val="24"/>
                <w:szCs w:val="24"/>
                <w:color w:val="auto"/>
              </w:rPr>
            </w:pPr>
          </w:p>
        </w:tc>
        <w:tc>
          <w:tcPr>
            <w:tcW w:w="650" w:type="dxa"/>
            <w:vAlign w:val="bottom"/>
            <w:gridSpan w:val="2"/>
          </w:tcPr>
          <w:p>
            <w:pPr>
              <w:jc w:val="right"/>
              <w:ind w:right="20"/>
              <w:spacing w:after="0"/>
              <w:rPr>
                <w:sz w:val="20"/>
                <w:szCs w:val="20"/>
                <w:color w:val="auto"/>
              </w:rPr>
            </w:pPr>
            <w:r>
              <w:rPr>
                <w:rFonts w:ascii="Arial" w:cs="Arial" w:eastAsia="Arial" w:hAnsi="Arial"/>
                <w:sz w:val="18"/>
                <w:szCs w:val="18"/>
                <w:color w:val="auto"/>
              </w:rPr>
              <w:t>23,123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17,563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5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280" w:type="dxa"/>
            <w:vAlign w:val="bottom"/>
            <w:gridSpan w:val="2"/>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8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-325755</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A—ACCOUNTING POLICIES AND OTHER DATA</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2003, we owned or had an interest in 60 community and neighborhood shopping centers comprising approximately 13 million square feet, primarily located in densely populated and affluent communities throughout the Northeast and Mid-Atlantic United States. In addition, we owned 55 urban, mixed-use properties comprising over 2.5 million square feet, and one apartment complex, all located in strategic metropolitan markets across the United States. Our properties, excluding Santana Row, were 93.6% leased at June 30, 2003, 95.0% leased at March 31, 2003 and 96.0% leased at June 30, 2002. Including Santana Row, we were 93.1% leased at June 30, 2003 and 94.3% leased at March 31, 2003. We have paid quarterly dividends to our shareholders continuously since our founding in 1962, and have increased our dividend rate for 35 consecutive years.</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Reference should be made to the notes to financial statements included in the Annual Report to shareholders for the year ended December 31, 2002 which contain our accounting policies and other data.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right"/>
              <w:ind w:right="155"/>
              <w:spacing w:after="0"/>
              <w:rPr>
                <w:sz w:val="20"/>
                <w:szCs w:val="20"/>
                <w:color w:val="auto"/>
              </w:rPr>
            </w:pPr>
            <w:r>
              <w:rPr>
                <w:rFonts w:ascii="Arial" w:cs="Arial" w:eastAsia="Arial" w:hAnsi="Arial"/>
                <w:sz w:val="14"/>
                <w:szCs w:val="14"/>
                <w:b w:val="1"/>
                <w:bCs w:val="1"/>
                <w:color w:val="auto"/>
                <w:w w:val="92"/>
              </w:rPr>
              <w:t>Six months ending</w:t>
            </w:r>
          </w:p>
        </w:tc>
        <w:tc>
          <w:tcPr>
            <w:tcW w:w="34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Three months 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3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income available for common shareholders – basic</w:t>
            </w:r>
          </w:p>
        </w:tc>
        <w:tc>
          <w:tcPr>
            <w:tcW w:w="4120" w:type="dxa"/>
            <w:vAlign w:val="bottom"/>
            <w:gridSpan w:val="4"/>
          </w:tcPr>
          <w:p>
            <w:pPr>
              <w:jc w:val="right"/>
              <w:ind w:right="340"/>
              <w:spacing w:after="0"/>
              <w:rPr>
                <w:sz w:val="20"/>
                <w:szCs w:val="20"/>
                <w:color w:val="auto"/>
              </w:rPr>
            </w:pPr>
            <w:r>
              <w:rPr>
                <w:rFonts w:ascii="Arial" w:cs="Arial" w:eastAsia="Arial" w:hAnsi="Arial"/>
                <w:sz w:val="18"/>
                <w:szCs w:val="18"/>
                <w:color w:val="auto"/>
              </w:rPr>
              <w:t>$ 25,156</w:t>
            </w: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$ 24,292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$ 13,636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$ 30,479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4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 diluted</w:t>
            </w:r>
          </w:p>
        </w:tc>
        <w:tc>
          <w:tcPr>
            <w:tcW w:w="4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$ 25,597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$ 24,806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$ 13,871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Denominator for basic EPS-Weighted average shares</w:t>
            </w:r>
          </w:p>
        </w:tc>
        <w:tc>
          <w:tcPr>
            <w:tcW w:w="4120" w:type="dxa"/>
            <w:vAlign w:val="bottom"/>
            <w:gridSpan w:val="4"/>
          </w:tcPr>
          <w:p>
            <w:pPr>
              <w:jc w:val="right"/>
              <w:ind w:right="340"/>
              <w:spacing w:after="0"/>
              <w:rPr>
                <w:sz w:val="20"/>
                <w:szCs w:val="20"/>
                <w:color w:val="auto"/>
              </w:rPr>
            </w:pPr>
            <w:r>
              <w:rPr>
                <w:rFonts w:ascii="Arial" w:cs="Arial" w:eastAsia="Arial" w:hAnsi="Arial"/>
                <w:sz w:val="18"/>
                <w:szCs w:val="18"/>
                <w:color w:val="auto"/>
              </w:rPr>
              <w:t>45,726</w:t>
            </w:r>
          </w:p>
        </w:tc>
        <w:tc>
          <w:tcPr>
            <w:tcW w:w="600" w:type="dxa"/>
            <w:vAlign w:val="bottom"/>
          </w:tcPr>
          <w:p>
            <w:pPr>
              <w:jc w:val="right"/>
              <w:spacing w:after="0"/>
              <w:rPr>
                <w:sz w:val="20"/>
                <w:szCs w:val="20"/>
                <w:color w:val="auto"/>
              </w:rPr>
            </w:pPr>
            <w:r>
              <w:rPr>
                <w:rFonts w:ascii="Arial" w:cs="Arial" w:eastAsia="Arial" w:hAnsi="Arial"/>
                <w:sz w:val="18"/>
                <w:szCs w:val="18"/>
                <w:color w:val="auto"/>
              </w:rPr>
              <w:t>40,286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47,161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40,798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Stock options and awards</w:t>
            </w:r>
          </w:p>
        </w:tc>
        <w:tc>
          <w:tcPr>
            <w:tcW w:w="4120" w:type="dxa"/>
            <w:vAlign w:val="bottom"/>
            <w:gridSpan w:val="4"/>
          </w:tcPr>
          <w:p>
            <w:pPr>
              <w:jc w:val="right"/>
              <w:ind w:right="340"/>
              <w:spacing w:after="0"/>
              <w:rPr>
                <w:sz w:val="20"/>
                <w:szCs w:val="20"/>
                <w:color w:val="auto"/>
              </w:rPr>
            </w:pPr>
            <w:r>
              <w:rPr>
                <w:rFonts w:ascii="Arial" w:cs="Arial" w:eastAsia="Arial" w:hAnsi="Arial"/>
                <w:sz w:val="18"/>
                <w:szCs w:val="18"/>
                <w:color w:val="auto"/>
              </w:rPr>
              <w:t>333</w:t>
            </w:r>
          </w:p>
        </w:tc>
        <w:tc>
          <w:tcPr>
            <w:tcW w:w="600" w:type="dxa"/>
            <w:vAlign w:val="bottom"/>
          </w:tcPr>
          <w:p>
            <w:pPr>
              <w:jc w:val="right"/>
              <w:spacing w:after="0"/>
              <w:rPr>
                <w:sz w:val="20"/>
                <w:szCs w:val="20"/>
                <w:color w:val="auto"/>
              </w:rPr>
            </w:pPr>
            <w:r>
              <w:rPr>
                <w:rFonts w:ascii="Arial" w:cs="Arial" w:eastAsia="Arial" w:hAnsi="Arial"/>
                <w:sz w:val="18"/>
                <w:szCs w:val="18"/>
                <w:color w:val="auto"/>
              </w:rPr>
              <w:t>396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partnership units</w:t>
            </w:r>
          </w:p>
        </w:tc>
        <w:tc>
          <w:tcPr>
            <w:tcW w:w="4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817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EPS</w:t>
            </w:r>
          </w:p>
        </w:tc>
        <w:tc>
          <w:tcPr>
            <w:tcW w:w="41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46,876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48,376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200" w:type="dxa"/>
            <w:vAlign w:val="bottom"/>
            <w:vMerge w:val="restart"/>
          </w:tcPr>
          <w:p>
            <w:pPr>
              <w:jc w:val="right"/>
              <w:ind w:right="2194"/>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-1552575</wp:posOffset>
            </wp:positionV>
            <wp:extent cx="3816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-1552575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-1552575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-1552575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-1552575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-1552575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-1552575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-1552575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-1552575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-1552575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-420370</wp:posOffset>
            </wp:positionV>
            <wp:extent cx="3816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-420370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-420370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-420370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-420370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-420370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-420370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-420370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-420370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-420370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components of rental income, other property income, rental expense, real estate tax expense and depreciation and amortization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June 30, 2002 Consolidated Statements of Operations have been reclassified to Income from operations of discontinued assets to assure comparability of all periods presented. In addition, certain December 31, 2002 Balance Sheet accounts and components of the June 30, 2002 Consolidated Statement of Cash Flows have been reclassified to assure comparability of all periods presented.</w:t>
      </w:r>
    </w:p>
    <w:p>
      <w:pPr>
        <w:spacing w:after="0" w:line="9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In December 2002 the FASB issued SFAS No. 148, “Accounting for Stock Based Compensation-Transition and Disclosure” an</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of FASB Statement No. 123, “Accounting for Stock-Based Compensation”. SFAS No. 148 amends the disclosure provisions to require prominent disclosure about the effects on reported net income of an entity’s accounting policy decisions with respect to stock-based compensation. We account for stock options using the intrinsic method in accordance with APB No. 25, “Accounting for Stock Issued to Employees,” as interpreted, whereby if options are priced at fair market value or above at the date of grant, no compensation expense is recognized. The pro forma information is as follows (in thousands except for earnings per share):</w:t>
      </w:r>
    </w:p>
    <w:p>
      <w:pPr>
        <w:spacing w:after="0" w:line="126"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9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6282690</wp:posOffset>
            </wp:positionH>
            <wp:positionV relativeFrom="paragraph">
              <wp:posOffset>60325</wp:posOffset>
            </wp:positionV>
            <wp:extent cx="9690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8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9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34,502</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Stock-based employee compensation cost included in net income as reported</w:t>
            </w:r>
          </w:p>
        </w:tc>
        <w:tc>
          <w:tcPr>
            <w:tcW w:w="90" w:type="dxa"/>
            <w:vAlign w:val="bottom"/>
          </w:tcPr>
          <w:p>
            <w:pPr>
              <w:spacing w:after="0"/>
              <w:rPr>
                <w:sz w:val="18"/>
                <w:szCs w:val="18"/>
                <w:color w:val="auto"/>
              </w:rPr>
            </w:pPr>
          </w:p>
        </w:tc>
        <w:tc>
          <w:tcPr>
            <w:tcW w:w="49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cost under the fair value method of SFAS No. 123</w:t>
            </w:r>
          </w:p>
        </w:tc>
        <w:tc>
          <w:tcPr>
            <w:tcW w:w="90" w:type="dxa"/>
            <w:vAlign w:val="bottom"/>
            <w:shd w:val="clear" w:color="auto" w:fill="CCEEFF"/>
          </w:tcPr>
          <w:p>
            <w:pPr>
              <w:spacing w:after="0"/>
              <w:rPr>
                <w:sz w:val="18"/>
                <w:szCs w:val="18"/>
                <w:color w:val="auto"/>
              </w:rPr>
            </w:pP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9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9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34,066</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33,803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98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as reported, 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Earnings per common share as reported, 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0.55</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9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 basic</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Pro forma earnings per share, diluted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90" w:type="dxa"/>
            <w:vAlign w:val="bottom"/>
          </w:tcPr>
          <w:p>
            <w:pPr>
              <w:jc w:val="right"/>
              <w:spacing w:after="0"/>
              <w:rPr>
                <w:sz w:val="20"/>
                <w:szCs w:val="20"/>
                <w:color w:val="auto"/>
              </w:rPr>
            </w:pPr>
            <w:r>
              <w:rPr>
                <w:rFonts w:ascii="Arial" w:cs="Arial" w:eastAsia="Arial" w:hAnsi="Arial"/>
                <w:sz w:val="18"/>
                <w:szCs w:val="18"/>
                <w:color w:val="auto"/>
              </w:rPr>
              <w:t>0.54</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9900" w:type="dxa"/>
            <w:vAlign w:val="bottom"/>
            <w:gridSpan w:val="2"/>
          </w:tcPr>
          <w:p>
            <w:pPr>
              <w:jc w:val="right"/>
              <w:ind w:right="4012"/>
              <w:spacing w:after="0"/>
              <w:rPr>
                <w:sz w:val="20"/>
                <w:szCs w:val="20"/>
                <w:color w:val="auto"/>
              </w:rPr>
            </w:pPr>
            <w:r>
              <w:rPr>
                <w:rFonts w:ascii="Arial" w:cs="Arial" w:eastAsia="Arial" w:hAnsi="Arial"/>
                <w:sz w:val="18"/>
                <w:szCs w:val="18"/>
                <w:color w:val="auto"/>
              </w:rPr>
              <w:t>10</w:t>
            </w:r>
          </w:p>
        </w:tc>
        <w:tc>
          <w:tcPr>
            <w:tcW w:w="90" w:type="dxa"/>
            <w:vAlign w:val="bottom"/>
          </w:tcPr>
          <w:p>
            <w:pPr>
              <w:spacing w:after="0"/>
              <w:rPr>
                <w:sz w:val="24"/>
                <w:szCs w:val="24"/>
                <w:color w:val="auto"/>
              </w:rPr>
            </w:pPr>
          </w:p>
        </w:tc>
        <w:tc>
          <w:tcPr>
            <w:tcW w:w="4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6280785</wp:posOffset>
            </wp:positionH>
            <wp:positionV relativeFrom="paragraph">
              <wp:posOffset>-1243330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-1243330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-1243330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-1243330</wp:posOffset>
            </wp:positionV>
            <wp:extent cx="3816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On January 31, 2003, the FASB issued FASB Interpretation No. 46, Consolidation of Variable Interest Entities (“FIN 46”). FIN 46</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existing accounting for whether variable interest entities should be consolidated in financial statements based upon the entity’s ability to finance its activities without additional financial support and whether investors possess characteristics of a controlling financial interest. FIN 46 applies to years or interim periods beginning after June 15, 2003 with certain disclosure provisions required for financial statements issued after January 31, 2003. We are currently evaluating the applicability of FIN 46 to our investments in certain restaurant joint ventures established in 2001 and 2002 at Santana Row and have complied with the disclosure provisions of FIN 46 in these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 ASSETS AND ENCUMBRANCES</w:t>
      </w:r>
    </w:p>
    <w:p>
      <w:pPr>
        <w:spacing w:after="0" w:line="8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On March 21, 2003 a partnership in which one of our wholly owned subsidiaries is the general partner, purchased the 214,000 square foot South Valley Shopping Center in Alexandria, Virginia for a purchase price of approximately $13.7 million in cash, of which $215,000 was allocated to a liability associated with the net fair value assigned to the assumed leases at the property.</w:t>
      </w:r>
    </w:p>
    <w:p>
      <w:pPr>
        <w:spacing w:after="0" w:line="12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$1.1 million of the net assets acquired was allocated to a liability associated with the net fair value assigned to the assumed leases at the property.</w:t>
      </w:r>
    </w:p>
    <w:p>
      <w:pPr>
        <w:spacing w:after="0" w:line="99"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$1.5 million resulting in a gain of $551,000.</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rental income. The value of the shopping center has yet to be determined and therefore no gain or loss has been recognized at this time. However, we believe we will realize sufficient proceeds from this action and as a result we do not anticipate any impairment to the shopping center.</w:t>
      </w:r>
    </w:p>
    <w:p>
      <w:pPr>
        <w:spacing w:after="0" w:line="99" w:lineRule="exact"/>
        <w:rPr>
          <w:sz w:val="20"/>
          <w:szCs w:val="20"/>
          <w:color w:val="auto"/>
        </w:rPr>
      </w:pPr>
    </w:p>
    <w:p>
      <w:pPr>
        <w:ind w:right="1000" w:firstLine="456"/>
        <w:spacing w:after="0" w:line="422" w:lineRule="auto"/>
        <w:rPr>
          <w:sz w:val="20"/>
          <w:szCs w:val="20"/>
          <w:color w:val="auto"/>
        </w:rPr>
      </w:pPr>
      <w:r>
        <w:rPr>
          <w:rFonts w:ascii="Arial" w:cs="Arial" w:eastAsia="Arial" w:hAnsi="Arial"/>
          <w:sz w:val="16"/>
          <w:szCs w:val="16"/>
          <w:color w:val="auto"/>
        </w:rPr>
        <w:t xml:space="preserve">During the first six months of 2003, we loaned an additional $2.4 million to existing borrowers with a weighted average interest rate of 9.7%. </w:t>
      </w:r>
      <w:r>
        <w:rPr>
          <w:rFonts w:ascii="Arial" w:cs="Arial" w:eastAsia="Arial" w:hAnsi="Arial"/>
          <w:sz w:val="16"/>
          <w:szCs w:val="16"/>
          <w:b w:val="1"/>
          <w:bCs w:val="1"/>
          <w:color w:val="auto"/>
        </w:rPr>
        <w:t>NOTE C—MORTGAGES AND CONSTRUCTION LOANS PAYABLE, NOTES PAYABLE AND OTHER LONG TERM DEBT</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At June 30, 2003 there was $207.0 million borrowed under our $300 million revolving credit facility. The maximum amount drawn during the first six months of 2003 was $207.0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million. The weighted average interest rate on borrowings for the six months ended June 30, 2003 was 2.1%. The facility requires fees and has various covenants including the maintenance of a minimum shareholders’ equity and a maximum ratio of debt to net worth. At June 30, 2003 we were in compliance with all loan covenants.</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On February 11, 2003 the $24.4 million Woodmont East construction loan and the $17.0 million Friendship Center mortgage were paid off through borrowings under our revolving credit facility.</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June 23, 2003 our $75 million, 5 ¼% Convertible Subordinated Debentures originally due to mature on October 28, 2003 were paid off through borrowings under our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D—SHAREHOLDERS’ EQUITY</w:t>
      </w:r>
    </w:p>
    <w:p>
      <w:pPr>
        <w:spacing w:after="0" w:line="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six months of 2003, options for 409,500 shares at prices ranging from $28.01 to $31.31 per share, fair market value at the dates of award, were awarded to certain of our officers, employees and Trustees. The options vest over a six month period for Trustees and a three year period for officers and employees.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$98.6 million in cash proceeds.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June 13, 2003 we redeemed our $100 million Series A Cumulative Redeemable Preferred Shares using the proceeds from the May 9, 2003 common stock offering and additional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E—INTEREST EXPENSE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incurred interest totaling $45.1 million during the first six months of 2003 and $43.2 million during the first six months of 2002 of which $9.3 million and $11.4 million, respectively, was capitalized in connection with development projects. Interest paid was $44.1 million in the first six months of 2003 and $42.4 million in the first six months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F—COMMITMENTS AND CONTINGENCIES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are currently committed to invest approximately $8.0 million in six restaurant joint ventures at Santana Row. As of June 30, 2003 we have invested approximately $7.7 million, $2.8 million of which was invested in 2003. We anticipate investing our remaining commitment in the third quarter of 2003. We do not anticipate having to make any further investments beyond our original commitment, nor are we obligated to do so.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the terms of the Congressional Plaza partnership agreement, from and after January 1, 1986 Rockville Plaza Company (“RPC”), an unaffiliated third party, has the right to require us and the two other minority partners to purchase from half to all of RPC’s 37.5% interest in Congressional Plaza, including the Congressional Apartments, at the interest’s then-current fair market value. Based on management’s current estimate of fair market value, our estimated liability upon exercise of the put option is approximately $34.8 million. In conjunction with a redevelopment currently taking place at the property, we have agreed to acquire an additional 7.5% interest in Congressional Plaza from RPC, thereby lowering their ownership percentage to 30%, in exchange for funding approximately $7 million of RPC’s share of the redevelopment cost. The funding will take place through the first three quarters of 2003 and the transaction is anticipated to be completed by year end. After the completion of this transaction, our estimated liability upon the exercise of the put option will be approximately $28 million.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various other partnerships which own shopping center properties with a cost of approximately $103 million, including the two shopping centers purchased in the first quarter of 2003, the partners have the right to exchange their 839,828 operating units for cash or the same number of our common shares, at our option. On February 14, 2003 we paid $333,000 to redeem 12,000 operating units. On April 3, 2003 we issued 64,952 of our common shares valued at $1.9 million in exchange for 64,952 operating units.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 we may choose to purchase the limited partnership interests upon the same terms.</w:t>
      </w:r>
    </w:p>
    <w:p>
      <w:pPr>
        <w:spacing w:after="0" w:line="129"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cannot be determined at this time because it is dependent on the annual assessed value of the properties in the Zone and the related tax revenue generated. We were not required to provide any funding in 2002 or for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semi-annual payment due March 15, 2003. In the event that the current assessed values of the properties in the Zone do not increase as a result of our redevelopment, we would be required to provide some funding under the Agreement prior to its expiration on September 30, 2014, but anticipate that such obligation would not exceed $600,000 in any year and would be between $2 million and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rental income for the periods ended June 30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7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ending</w:t>
            </w:r>
          </w:p>
        </w:tc>
        <w:tc>
          <w:tcPr>
            <w:tcW w:w="340" w:type="dxa"/>
            <w:vAlign w:val="bottom"/>
          </w:tcPr>
          <w:p>
            <w:pPr>
              <w:spacing w:after="0"/>
              <w:rPr>
                <w:sz w:val="14"/>
                <w:szCs w:val="14"/>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Three months 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5"/>
                <w:szCs w:val="15"/>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68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9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Retail Properties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Minimum rents</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$ 125,291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$ 115,377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$ 63,194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$ 57,920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Percentage rents</w:t>
            </w:r>
          </w:p>
        </w:tc>
        <w:tc>
          <w:tcPr>
            <w:tcW w:w="680" w:type="dxa"/>
            <w:vAlign w:val="bottom"/>
          </w:tcPr>
          <w:p>
            <w:pPr>
              <w:jc w:val="right"/>
              <w:spacing w:after="0"/>
              <w:rPr>
                <w:sz w:val="20"/>
                <w:szCs w:val="20"/>
                <w:color w:val="auto"/>
              </w:rPr>
            </w:pPr>
            <w:r>
              <w:rPr>
                <w:rFonts w:ascii="Arial" w:cs="Arial" w:eastAsia="Arial" w:hAnsi="Arial"/>
                <w:sz w:val="18"/>
                <w:szCs w:val="18"/>
                <w:color w:val="auto"/>
              </w:rPr>
              <w:t>3,234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1,784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Apartments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$ 160,555</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$ 141,932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$ 80,564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H—RESTRUCTURING EXPENSE</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$6.3 million of that unpaid amount was paid in the first six months of 2003 bringing the remaining unpaid balance as of June 30, 2003 to $1.6 million. These unpaid amounts will be paid out over the next three years in accordance with Mr. Guttman’s contractual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I—DISCONTINUED OPERATIONS</w:t>
      </w:r>
    </w:p>
    <w:p>
      <w:pPr>
        <w:spacing w:after="0" w:line="83"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During the second quarter of 2003, we sold a street retail property for a gain of $551,000. During the second quarter of 2002 we sold six properties for a combined gain of $19.1 million. The results of operations from these properties, reported as income from operations of discontinued assets in accordance with Financial Accounting Standard No. 144, “Accounting for the Impairment or Disposal of Long-Lived Assets”, was ($10,000) for the six months ended June 30, 2003 and $1,285,000 for the six months ended June 30, 2002. The property sold in 2003 was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 component of our Mid-Atlantic region. Four of these properties sold in 2002 were components of our Northeast region and two were components of our Western region.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J—RELATED PARTY TRANSACTIONS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former Chairman and CEO, Steven J. Guttman, has an ownership interest in three retailers, comprising approximately 3,500 square feet, at Santana Row. The leases were negotiated at what management believes to be arms length, market terms.</w:t>
      </w:r>
    </w:p>
    <w:p>
      <w:pPr>
        <w:spacing w:after="0" w:line="118" w:lineRule="exact"/>
        <w:rPr>
          <w:sz w:val="20"/>
          <w:szCs w:val="20"/>
          <w:color w:val="auto"/>
        </w:rPr>
      </w:pPr>
    </w:p>
    <w:p>
      <w:pPr>
        <w:jc w:val="both"/>
        <w:ind w:right="300" w:firstLine="456"/>
        <w:spacing w:after="0" w:line="370" w:lineRule="auto"/>
        <w:rPr>
          <w:sz w:val="20"/>
          <w:szCs w:val="20"/>
          <w:color w:val="auto"/>
        </w:rPr>
      </w:pPr>
      <w:r>
        <w:rPr>
          <w:rFonts w:ascii="Arial" w:cs="Arial" w:eastAsia="Arial" w:hAnsi="Arial"/>
          <w:sz w:val="15"/>
          <w:szCs w:val="15"/>
          <w:color w:val="auto"/>
        </w:rPr>
        <w:t>In addition, Nate Fishkin, a former officer whose last day of employment with the Trust was March 31, 2003, has an ownership interest in a retailer occupying approximately 2,600 square feet at Santana Row. This lease was also negotiated at what management believes to be arms length, market terms.</w:t>
      </w:r>
    </w:p>
    <w:p>
      <w:pPr>
        <w:spacing w:after="0" w:line="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459"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K – SEGMENT INFORMATION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our portfolio of properties in three geographic operating regions: Northeast, Mid-Atlantic and West.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 2003</w:t>
            </w:r>
          </w:p>
        </w:tc>
        <w:tc>
          <w:tcPr>
            <w:tcW w:w="740" w:type="dxa"/>
            <w:vAlign w:val="bottom"/>
          </w:tcPr>
          <w:p>
            <w:pPr>
              <w:spacing w:after="0"/>
              <w:rPr>
                <w:sz w:val="15"/>
                <w:szCs w:val="15"/>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Northeast</w:t>
            </w:r>
          </w:p>
        </w:tc>
        <w:tc>
          <w:tcPr>
            <w:tcW w:w="100" w:type="dxa"/>
            <w:vAlign w:val="bottom"/>
          </w:tcPr>
          <w:p>
            <w:pPr>
              <w:spacing w:after="0"/>
              <w:rPr>
                <w:sz w:val="15"/>
                <w:szCs w:val="15"/>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Atlantic</w:t>
            </w:r>
          </w:p>
        </w:tc>
        <w:tc>
          <w:tcPr>
            <w:tcW w:w="100" w:type="dxa"/>
            <w:vAlign w:val="bottom"/>
          </w:tcPr>
          <w:p>
            <w:pPr>
              <w:spacing w:after="0"/>
              <w:rPr>
                <w:sz w:val="15"/>
                <w:szCs w:val="15"/>
                <w:color w:val="auto"/>
              </w:rPr>
            </w:pPr>
          </w:p>
        </w:tc>
        <w:tc>
          <w:tcPr>
            <w:tcW w:w="1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West</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24,782</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2,393</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(12,626)</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(16,624)</w:t>
            </w: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(11,728)</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(8,428)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(6,230)</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(2,085)</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14,318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($35,831)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(13,892)</w:t>
            </w: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(14,126)</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(7,214)</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(35,572)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before investors’ share of operations and discontinued operations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($42,592)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82,174</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$ 752,036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870,642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746,069</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2,368,747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 June 30, 2002</w:t>
            </w:r>
          </w:p>
        </w:tc>
        <w:tc>
          <w:tcPr>
            <w:tcW w:w="740" w:type="dxa"/>
            <w:vAlign w:val="bottom"/>
          </w:tcPr>
          <w:p>
            <w:pPr>
              <w:spacing w:after="0"/>
              <w:rPr>
                <w:sz w:val="15"/>
                <w:szCs w:val="15"/>
                <w:color w:val="auto"/>
              </w:rPr>
            </w:pPr>
          </w:p>
        </w:tc>
        <w:tc>
          <w:tcPr>
            <w:tcW w:w="11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Northeast</w:t>
            </w:r>
          </w:p>
        </w:tc>
        <w:tc>
          <w:tcPr>
            <w:tcW w:w="100" w:type="dxa"/>
            <w:vAlign w:val="bottom"/>
          </w:tcPr>
          <w:p>
            <w:pPr>
              <w:spacing w:after="0"/>
              <w:rPr>
                <w:sz w:val="15"/>
                <w:szCs w:val="15"/>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Atlantic</w:t>
            </w:r>
          </w:p>
        </w:tc>
        <w:tc>
          <w:tcPr>
            <w:tcW w:w="100" w:type="dxa"/>
            <w:vAlign w:val="bottom"/>
          </w:tcPr>
          <w:p>
            <w:pPr>
              <w:spacing w:after="0"/>
              <w:rPr>
                <w:sz w:val="15"/>
                <w:szCs w:val="15"/>
                <w:color w:val="auto"/>
              </w:rPr>
            </w:pPr>
          </w:p>
        </w:tc>
        <w:tc>
          <w:tcPr>
            <w:tcW w:w="1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West</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1,089</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(461)</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w w:val="92"/>
              </w:rPr>
              <w:t>(10,963)</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(14,626)</w:t>
            </w: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(6,224)</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(7,875)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(1,508)</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($31,773)</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Restructuring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(8,489)</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2"/>
              </w:rPr>
              <w:t>(13,930)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(13,338)</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(4,050)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before investors’ share of operations and discontinued operations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($47,178)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111,472</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4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$ 744,406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812,217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624,037</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2,180,660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-3962400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-3962400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-3962400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-3962400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-3962400</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-3962400</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-3962400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-3962400</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-3962400</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-3962400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-3962400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-3962400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-3962400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-3962400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-3962400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-3662045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-3662045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-3662045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-3662045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-3662045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-3662045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-3662045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-3662045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-3662045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-3662045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-3662045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-3662045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-3361690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-3361690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-3361690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-3361690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-3361690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-3361690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-3361690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-3361690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-3361690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-3361690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-3361690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-3361690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-926465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-926465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-926465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-926465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-926465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-926465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-926465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-926465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-926465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-926465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-926465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-926465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-926465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-926465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-926465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-626110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-626110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-626110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-626110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-626110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-626110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-626110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-626110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-626110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-626110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-626110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-325755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June 30, 2003</w:t>
            </w:r>
          </w:p>
        </w:tc>
        <w:tc>
          <w:tcPr>
            <w:tcW w:w="76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Northeast</w:t>
            </w:r>
          </w:p>
        </w:tc>
        <w:tc>
          <w:tcPr>
            <w:tcW w:w="10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Atlantic</w:t>
            </w:r>
          </w:p>
        </w:tc>
        <w:tc>
          <w:tcPr>
            <w:tcW w:w="10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West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37,679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(6,228)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(4,327)</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w w:val="88"/>
              </w:rPr>
              <w:t>($18,252)</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(6,945)</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(7,179)</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(3,831)</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before investors’ share of operations and discontinued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($21,569)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$ 752,036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870,642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746,069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2,368,747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Mid-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June 30, 2002</w:t>
            </w:r>
          </w:p>
        </w:tc>
        <w:tc>
          <w:tcPr>
            <w:tcW w:w="76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Northeast</w:t>
            </w:r>
          </w:p>
        </w:tc>
        <w:tc>
          <w:tcPr>
            <w:tcW w:w="100" w:type="dxa"/>
            <w:vAlign w:val="bottom"/>
          </w:tcPr>
          <w:p>
            <w:pPr>
              <w:spacing w:after="0"/>
              <w:rPr>
                <w:sz w:val="15"/>
                <w:szCs w:val="15"/>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Atlantic</w:t>
            </w:r>
          </w:p>
        </w:tc>
        <w:tc>
          <w:tcPr>
            <w:tcW w:w="10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West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18"/>
                <w:szCs w:val="18"/>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(3,561)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(3,838)</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w w:val="88"/>
              </w:rPr>
              <w:t>($15,133)</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(3,497)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(6,937)</w:t>
            </w:r>
          </w:p>
        </w:tc>
        <w:tc>
          <w:tcPr>
            <w:tcW w:w="100" w:type="dxa"/>
            <w:vAlign w:val="bottom"/>
          </w:tcPr>
          <w:p>
            <w:pPr>
              <w:spacing w:after="0"/>
              <w:rPr>
                <w:sz w:val="19"/>
                <w:szCs w:val="19"/>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(2,029)</w:t>
            </w: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Income before investors’ share of operations and discontinued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($18,827)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assets</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$ 744,406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812,217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624,037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2,180,660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400" w:type="dxa"/>
            <w:vAlign w:val="bottom"/>
            <w:gridSpan w:val="3"/>
            <w:vMerge w:val="restart"/>
          </w:tcPr>
          <w:p>
            <w:pPr>
              <w:spacing w:after="0"/>
              <w:rPr>
                <w:sz w:val="20"/>
                <w:szCs w:val="20"/>
                <w:color w:val="auto"/>
              </w:rPr>
            </w:pPr>
            <w:r>
              <w:rPr>
                <w:rFonts w:ascii="Arial" w:cs="Arial" w:eastAsia="Arial" w:hAnsi="Arial"/>
                <w:sz w:val="18"/>
                <w:szCs w:val="18"/>
                <w:color w:val="auto"/>
              </w:rPr>
              <w:t>There are no transactions between geographic areas.</w:t>
            </w:r>
          </w:p>
        </w:tc>
        <w:tc>
          <w:tcPr>
            <w:tcW w:w="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4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-4056380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-4056380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-4056380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-4056380</wp:posOffset>
            </wp:positionV>
            <wp:extent cx="46736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-4056380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-4056380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-4056380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-4056380</wp:posOffset>
            </wp:positionV>
            <wp:extent cx="121348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1348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-3756660</wp:posOffset>
            </wp:positionV>
            <wp:extent cx="185674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5674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-3756660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-3756660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-3756660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-3456305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-3456305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-3456305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-3456305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-3456305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-3456305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-3456305</wp:posOffset>
            </wp:positionV>
            <wp:extent cx="46736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-3456305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-3456305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-3456305</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-1157605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-1157605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-1157605</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-1157605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-1157605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-1157605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-1157605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-1157605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-1157605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-1157605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-1157605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-1157605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-1157605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-1157605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-1157605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-857885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-857885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-857885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-857885</wp:posOffset>
            </wp:positionV>
            <wp:extent cx="46736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-857885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-857885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-857885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-857885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-857885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-857885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-557530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-557530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-557530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-557530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-557530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-557530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-557530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-557530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-557530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-557530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-557530</wp:posOffset>
            </wp:positionV>
            <wp:extent cx="2159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 FORM 10-Q</w:t>
      </w:r>
    </w:p>
    <w:p>
      <w:pPr>
        <w:spacing w:after="0" w:line="14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2003</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appearing in Item 1 of this report.</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Section 21E of the Securities Exchange Act of 1934 and the Private Securities Litigation Reform Act of 1995. Also, documents that we “incorporate by reference” into this Quarterly Report on Form 10-Q,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Quarterly Report on Form 10-Q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4"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w:t>
      </w:r>
    </w:p>
    <w:p>
      <w:pPr>
        <w:spacing w:after="0" w:line="103" w:lineRule="exact"/>
        <w:rPr>
          <w:rFonts w:ascii="Arial" w:cs="Arial" w:eastAsia="Arial" w:hAnsi="Arial"/>
          <w:sz w:val="18"/>
          <w:szCs w:val="18"/>
          <w:color w:val="auto"/>
        </w:rPr>
      </w:pPr>
    </w:p>
    <w:p>
      <w:pPr>
        <w:ind w:left="780" w:right="140" w:hanging="326"/>
        <w:spacing w:after="0" w:line="325"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ind w:left="780" w:right="140" w:hanging="326"/>
        <w:spacing w:after="0" w:line="256"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that we may encounter environmental issues,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and</w:t>
      </w:r>
    </w:p>
    <w:p>
      <w:pPr>
        <w:spacing w:after="0" w:line="103" w:lineRule="exact"/>
        <w:rPr>
          <w:rFonts w:ascii="Arial" w:cs="Arial" w:eastAsia="Arial" w:hAnsi="Arial"/>
          <w:sz w:val="18"/>
          <w:szCs w:val="18"/>
          <w:color w:val="auto"/>
        </w:rPr>
      </w:pPr>
    </w:p>
    <w:p>
      <w:pPr>
        <w:jc w:val="both"/>
        <w:ind w:left="780" w:right="180" w:hanging="326"/>
        <w:spacing w:after="0" w:line="25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into this Quarterly Report on Form 10-Q. We also make no promise to update any of the forward-looking statements. You should carefully review the risks and the risk factors incorporated herein by reference from our Form 8-K filed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March 25, 2003, as well as the other information in our Annual Report on Form 10-K or in this Quarterly Report on Form 10-Q before making any investment in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June 30, 2003, we owned or had an interest in 60 community and neighborhood shopping centers comprising approximately 13 million square feet, primarily located in densely populated and affluent communities throughout the Northeast and Mid-Atlantic United States. In addition, we owned 55 urban, mixed-use properties comprising over 2.5 million square feet, and one apartment complex, all located in strategic metropolitan markets across the United States. Our properties, excluding Santana Row, were 93.6% leased at June 30, 2003, 95.0% leased at March 31, 2003 and 96.0% leased at June 30, 2002. Including Santana Row, we were 93.1% leased at June 30, 2003 and 94.3% leased at March 31, 2003.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Growth in net income and FFO during 2003 will depend primarily on growth in the core portfolio. Growth of net income from the core portfolio depends, in part, on the general economy, the financial health of our tenants and on our ability, directly or indirectly, to control expenses, some of which are beyond our complete control, such as snow removal, insurance and real estate tax assessments. The current weakening of the retail and overall economic environment could adversely impact us by increasing vacancies and decreasing rents. In past weak retail and real estate environments, however, we have been able to replace weak and bankrupt tenants with stronger tenants. Management believes that due to the quality of our properties, there will continue to be demand for our space.</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Growth in the core portfolio, however, will be offset by expenses at Santana Row. Operating and marketing expenses, as well as additional depreciation and interest expense as the project is phased into operation, will have a dilutive effect on 2003 earnings. As a result of the August 2002 fire at Santana Row, as more fully described in this section at “Santana Row”, the projected opening of certain retail spaces has been delayed and approximately 50% of the total residential units for the project scheduled to be phased into service throughout 2003 were destroyed. These delayed openings, while lowering the income we will receive, will not substantially reduce the costs associated with maintaining and operating the infrastructure of the project.</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Growth in net income is also dependent on the amount of our leverage and interest rates. Our leverage has increased as we financed our development projects. In addition, to the extent variable-rate debt is unhedged, we will continue to have exposure to changes in market interest rates. If interest rates increase, net income and FFO, as well as the ultimate cost of our development and redevelopment projects, will be negatively impacted.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On April 23, 2003 we updated our previous announcement regarding the closing of three of our five Kmart locations. Kohl’s Corporation is assuming the previous Kmart lease at Fresh Meadows located in Queens, New York. We will re-claim the leases for both the Flourtown, Pennsylvania and Leesburg, Virginia locations. As of June 30, 2003, these two locations represented approximately 0.15% of our annualized revenues and 1.1% of our total square footage. Based on the demographics at these centers and the rent previously paid by Kmart we believe that these spaces will be re-leased or redeveloped on favorable terms.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Property Acquisitions and Dispositions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 March 21, 2003 a partnership in which one of our wholly owned subsidiaries is the general partner, purchased the 214,000 square foot South Valley Shopping Center in Alexandria, Virginia for a purchase price of approximately $13.7 million in cash, of which $215,000 was allocated to a liability associated with the net fair value assigned to the assumed leases at the property.</w:t>
      </w:r>
    </w:p>
    <w:p>
      <w:pPr>
        <w:spacing w:after="0" w:line="12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$1.1 million of the net assets acquired was allocated to a liability associated with the fair value assigned to the assumed leases at the property.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Dispositions</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$1.5 million resulting in a gain of $551,000.</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rental income. The value of the shopping center has yet to be determined and therefore no gain or loss has been recognized at this time. However, we believe we will realize sufficient proceeds from this action and as a result we do not anticipate any impairment to the shopping center.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Financing Developments</w:t>
      </w:r>
    </w:p>
    <w:p>
      <w:pPr>
        <w:spacing w:after="0" w:line="8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 $5.9 million loan, which currently bears interest at 7.88% and is secured by an office building in San Francisco, California was due February 28, 2003 but was not repaid on the due date. We are currently negotiating with the borrower to extend the loan for one year. We believe that the loan is collectible and as such, no reserve has been established at this time.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On February 11, 2003 the $24.4 million Woodmont East construction loan and the $17.0 million Friendship Center mortgage were paid off through borrowings under our revolving credit facility.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$98.6 million in cash proceeds.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June 13, 2003 we redeemed our $100 million Series A Cumulative Redeemable Preferred Shares using the proceeds from the May 9, 2003 common stock offering and additional borrowings.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On June 23, 2003 our $75 million, 5 ¼% Convertible Subordinated Debentures originally due to mature on October 28, 2003 were paid off through borrowings under our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2003, our single largest capital need will be the completion of the development of Phase I and Phase II of Santana Row, a multi-phase mixed-use project being built on 42 acres in San Jose, California in the heart of Silicon Valley. The project will consist of residential, retail and hotel components, creating a community with the feel of an urban district.</w:t>
      </w:r>
    </w:p>
    <w:p>
      <w:pPr>
        <w:spacing w:after="0" w:line="12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Phase I of the project includes Santana Row, the “1,500 foot long main street” and eight buildings which contain approximately 444,000 square feet of retail space, 255 residential units, a 213 room hotel and the supporting infrastructure. The first building, containing 40,000 square feet and occupied by Crate &amp; Barrel, opened on June 27, 2002. Six buildings comprising approximately 317,000 square feet of retail space opened on November 7, 2002. Tenants in the final 87,000 square foot building in Phase I began opening in February 2003. As of June 30, 2003, approximately 325,000 square feet, or 73%, of the Phase I retail space is leased, of which approximately 268,000 square feet, or 60%, of the Phase I retail space is open and 93% of the Phase I residential units are leased of which 81% are occupied.</w:t>
      </w:r>
    </w:p>
    <w:p>
      <w:pPr>
        <w:spacing w:after="0" w:line="13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August 19, 2002 a fire broke out at Building Seven in the Santana Row project. Building Seven contained approximately 87,000 square feet of retail space, approximately 1,000 parking spaces and 246 residential units. All but eleven of the residential units in the building, which were originally scheduled to open in early 2003, were destroyed. The retail units and parking structure sustained water and smoke damage but were not structurally impaired. The opening of these retail units, originally scheduled for September 2002, was delayed until February 2003. The damage related to the fire was limited almost entirely to this single building. We estimate our loss to be in excess of $100 million, which includes costs to clean-up, repair and rebuild as well as soft (non-construction) costs and lost rents. We believe that our insurance will cover substantially all of our losses from the fire. The cause of the fire is unknown but will not affect our insurance claim. On October 22, 2002, a $20.0 million insurance reimbursement was advanced by the insurance carrier in addition to the $1.0 million initial advance. This advance, the proceeds from the November 19, 2002 note offering and borrowings under our credit facility, were used to pay in full and retire the Santana Row construction loan. Additional insurance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reimbursements were advanced by the insurance carrier toward the claim on April 23, 2003 ($36.4 million), June 11, 2003 ($14.9 million) and on July 15, 2003 ($16.4 million, included as an Insurance reimbursement receivable as of June 30, 2003) bringing the total amount received to date to $88.8 million. $35.0 million of the April 2003 advance, all of the June 2003 advance and $16.0 million of the July 2003 advance were used to pay down our credit facility. Because our final insurance claim has not yet been submitted, insurance proceeds expected to be received over and above those received to date have not been recorded in our June 30, 2003 financial statements.</w:t>
      </w:r>
    </w:p>
    <w:p>
      <w:pPr>
        <w:spacing w:after="0" w:line="129"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$48.4 million of the insurance proceeds received to date represents a reimbursement for costs to rebuild the residential portion of Building 7. We have written off the original construction costs incurred relating to this portion of Building 7 and have recognized a gain of approximately $200,000, included in interest and other income, in the second quarter of 2003.</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the total cost of Phase I to be approximately $445 million, net of anticipated insurance proceeds. As of June 30, 2003, but after applying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$88.8 million of insurance proceeds received through July 15, 2003, we have incurred costs of $443 million including the purchase of all of the project’s land,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construction of Phase I, costs unreimbursed to date associated with the Building Seven fire and related cleanup and costs related to future phases of the project.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estimate that we will spend, net of anticipated insurance proceeds, approximately $2 million more relating to the completion of Phase I of the project.</w:t>
      </w:r>
    </w:p>
    <w:p>
      <w:pPr>
        <w:spacing w:after="0" w:line="174"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We are evaluating our Building Seven residential options and alternatives taking into account costs incurred to date, costs to rebuild and market conditions and believe that we will be able to rebuild a residential component for Building Seven on economically favorable terms as part of a future phase of the project.</w:t>
      </w:r>
    </w:p>
    <w:p>
      <w:pPr>
        <w:spacing w:after="0" w:line="4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the Silicon Valley.</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February 7, 2003, we announced plans for Phase II of Santana Row, which includes approximately 84,000 square feet of retail space on two pad sites and 275 additional parking spaces. 95% of the Phase II retail space has been pre-leased to Best Buy and The Container Store. Total development costs for Phase II are expected to be approximately $27 million. Phase II is scheduled to open in late 2003.</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not determined the scope of future phases of Santana Row and will not do so until the success of Phase I, Phase II and future demand for rental space is determined. However, as Phases I and II utilize only part of the retail and residential entitlements of the property, and as Phase I includes the costs of land and infrastructure for future phases, we expect to identify and execute relatively small, additional phases on economically favorable terms.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Transition</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$6.3 million of that unpaid amount was paid in the first six months of 2003 bringing the remaining unpaid balance as of June 30, 2003 to $1.6 million. These unpaid amounts will be paid out over the next three years in accordance with Mr. Guttman’s contractual arrangements.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only for those properties owned and operated for the entirety of both periods being compared and includes properties which were redeveloped or expanded during the periods being compared. Properties purchased or sold and properties under development during the periods being compared are excluded from our same center analysis.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Comparison of 2003 to 2002 – Six Months Ended June 30,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Total revenues increased $20.7 million, or 13.7%, to $171.7 million for the six months ended June 30, 2003, as compared to $151.0 million for the six months ended June 30, 2002. The primary components of the increase in total revenues are discussed below.</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for common area maintenance, insurance and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rental income of $18.6 million, or 13.1%, for the six months ended June 30, 2003, as compared to the six months ended June 30, 2002, is attributable to:</w:t>
      </w:r>
    </w:p>
    <w:p>
      <w:pPr>
        <w:spacing w:after="0" w:line="46" w:lineRule="exact"/>
        <w:rPr>
          <w:sz w:val="20"/>
          <w:szCs w:val="20"/>
          <w:color w:val="auto"/>
        </w:rPr>
      </w:pPr>
    </w:p>
    <w:p>
      <w:pPr>
        <w:ind w:left="780" w:right="100" w:hanging="326"/>
        <w:spacing w:after="0" w:line="256"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$10.6 million, or 7.5%, on a same center basis, due primarily to an approximate $5.5 million increase in base, or minimum, rents which reflect increased rental rates at redeveloped and retenanted centers, as well as increased rental rates associated with lease rollovers, increased cost recoveries of approximately $5.2 million, which reflect increased rental expenses, the majority of which are snow removal costs and increased real estate tax expense offset by a $100,000 decrease in percentage rents;</w:t>
      </w:r>
    </w:p>
    <w:p>
      <w:pPr>
        <w:spacing w:after="0" w:line="48"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of $6.9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increase of $1.1 million from South Valley Shopping Center and Mount Vernon Plaza which were acquired in the first quarter of 2003.</w:t>
      </w:r>
    </w:p>
    <w:p>
      <w:pPr>
        <w:spacing w:after="0" w:line="20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Same center basis for the six months ended June 30, 2003 excludes the street retail property sold in the second quarter of 2003, the six properties sold in 2002, South Valley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Shopping Center and Mount Vernon Plaza which were acquired in the first quarter of 2003 and Santana Row which was under construction for most of 2002. Same center rental income, excluding the contribution from property redevelopments and expansions, for the six months ended June 30, 2003 increased 6.6% from 2002, reflecting increases due to cost recoveries, retenanting and lease rollovers as described above.</w:t>
      </w:r>
    </w:p>
    <w:p>
      <w:pPr>
        <w:spacing w:after="0" w:line="9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includes interest earned on mortgage notes receivable, overnight cash investments, including tax-deferred exchange escrow deposits if applicable and security deposits. Interest and other income increased $800,000 or 35.7% from $2.1 million for the six months ended June 30, 2002 to $2.9 million for the six months ended June 30, 2003. Interest from mortgage notes receivable decreased approximately $500,000 in 2003 reflecting the payoff of a $10 million mortgage note in July 2002 and the payoff of a $3.2 million note in August 2002 offset by increased interest on other notes. Additionally in 2002, interest and other income included a $1.3 million provision for estimated losses related to various unconsolidated restaurant joint ventures. The $200,000 gain recognized at Santana Row was offset by lower interest on invested funds, reflecting lower cash and non-mortgage note balances.</w:t>
      </w:r>
    </w:p>
    <w:p>
      <w:pPr>
        <w:spacing w:after="0" w:line="13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telephone income, merchant association dues, late fees, lease termination fees and temporary tenant income. The increase in other property income of $1.3 million, or 18.6%, for the six months ended June 30, 2003, as compared to the six months ended June 30, 2002, is attributable to increases of $1.4 million at Santana Row as the project began phasing into service in the fourth quarter of 2002 and a $200,000 increase at our redevelopment projects which offset a $300,000 decrease on a same center basis as lower lease termination fees were slightly offset by increased utility recoveries on comparable centers.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Total property operating expenses increased $10.7 million to $57.7 million for the six months ended June 30, 2003, as compared to $47.0 million for the six months ended June 30, 2002. The components of the increase in total property operating expenses are discussed below.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Rental Expense</w:t>
      </w:r>
      <w:r>
        <w:rPr>
          <w:rFonts w:ascii="Arial" w:cs="Arial" w:eastAsia="Arial" w:hAnsi="Arial"/>
          <w:sz w:val="16"/>
          <w:szCs w:val="16"/>
          <w:color w:val="auto"/>
        </w:rPr>
        <w:t>. The increase in rental expense of $9.2 million, or 28.8%, for the six months ended June 30, 2003, as compared to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2002, is attributable to:</w:t>
      </w:r>
    </w:p>
    <w:p>
      <w:pPr>
        <w:spacing w:after="0" w:line="70"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increase of $4.0 million, or 13.5%, on a same center basis due primarily to increased snow removal costs in our Northeast and Mid Atlantic regions;</w:t>
      </w:r>
    </w:p>
    <w:p>
      <w:pPr>
        <w:spacing w:after="0" w:line="126"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of $4.9 million in rental expenses at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increase of $300,000 from South Valley Shopping Center and Mount Vernon Plaza which were acquired in the first quarter of 2003.</w:t>
      </w:r>
    </w:p>
    <w:p>
      <w:pPr>
        <w:spacing w:after="0" w:line="20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Rental expense as a percentage of rental income and other property income, which we refer to as property income, increased from 21.4% for the first six months of 2002 to 24.3%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first six months of 2003 due primarily to the initial operating expenses at Santana Row as the property phases into service and the increased snow removal costs incurred in the first quarter of 2003. Same center rental expense as a percentage of property income increased from 19.9% in 2002 to 21.1% in 2003 again reflecting the large increase in snow removal costs in the first quarter of 2003.</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Real Estate Taxes</w:t>
      </w:r>
      <w:r>
        <w:rPr>
          <w:rFonts w:ascii="Arial" w:cs="Arial" w:eastAsia="Arial" w:hAnsi="Arial"/>
          <w:sz w:val="18"/>
          <w:szCs w:val="18"/>
          <w:color w:val="auto"/>
        </w:rPr>
        <w:t>. The increase in real estate taxes of $1.5 million, or 10.3%, for the six months ended June 30, 2003, as compared to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2002, is attributable to increased taxes on new development projects, recently redeveloped properties and overall increases in tax assessments. On a same center basis real estate taxes increased 5.8%.</w:t>
      </w:r>
    </w:p>
    <w:p>
      <w:pPr>
        <w:spacing w:after="0" w:line="127"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i w:val="1"/>
          <w:iCs w:val="1"/>
          <w:color w:val="auto"/>
        </w:rPr>
        <w:t>Property Operating Income</w:t>
      </w:r>
      <w:r>
        <w:rPr>
          <w:rFonts w:ascii="Arial" w:cs="Arial" w:eastAsia="Arial" w:hAnsi="Arial"/>
          <w:sz w:val="16"/>
          <w:szCs w:val="16"/>
          <w:color w:val="auto"/>
        </w:rPr>
        <w:t>. As a result of the changes and variances explained above, property operating income, total income less rental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taxes, increased $10.0 million, or 9.6%, to $114.0 million for the six months ended June 30, 2003 as compared to $104.0 million for the six months ended June 30, 2002. Same center property operating income increased $5.4 million, 5.1% for the six months ended June 30, 2003. Excluding the contribution from property redevelopments and expansions same center property operating income increased 4.4%.</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Total other expenses decreased $700,000, or approximately 1.0%, to $77.8 million for the six months ended June 30, 2003 as compared to $78.5 million for the six months ended June 30, 2002. The primary components of the decrease in total other expenses are discussed below.</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 the first six months of 2003, we incurred interest of $45.1 million, of which $9.3 million was capitalized yielding interest expense of</w:t>
      </w:r>
      <w:r>
        <w:rPr>
          <w:rFonts w:ascii="Arial" w:cs="Arial" w:eastAsia="Arial" w:hAnsi="Arial"/>
          <w:sz w:val="18"/>
          <w:szCs w:val="18"/>
          <w:i w:val="1"/>
          <w:iCs w:val="1"/>
          <w:color w:val="auto"/>
        </w:rPr>
        <w:t xml:space="preserve"> </w:t>
      </w:r>
      <w:r>
        <w:rPr>
          <w:rFonts w:ascii="Arial" w:cs="Arial" w:eastAsia="Arial" w:hAnsi="Arial"/>
          <w:sz w:val="18"/>
          <w:szCs w:val="18"/>
          <w:color w:val="auto"/>
        </w:rPr>
        <w:t>$35.8 million, as compared to interest incurred of $43.2 million in 2002, of which $11.4 million was capitalized yielding interest expense of $31.8 million. The increase in interest expense of $4.0 million, or 12.8%, for the six months ended June 30, 2003, as compared to the six months ended June 30, 2002, is attributable to:</w:t>
      </w:r>
    </w:p>
    <w:p>
      <w:pPr>
        <w:spacing w:after="0" w:line="49" w:lineRule="exact"/>
        <w:rPr>
          <w:sz w:val="20"/>
          <w:szCs w:val="20"/>
          <w:color w:val="auto"/>
        </w:rPr>
      </w:pPr>
    </w:p>
    <w:p>
      <w:pPr>
        <w:ind w:left="780" w:right="5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on the $150 million 6.125% senior notes issued in November 2002 partially offset by lower mortgage loan interest on the Santana Row construction loan which was paid off in November 2002;</w:t>
      </w:r>
    </w:p>
    <w:p>
      <w:pPr>
        <w:spacing w:after="0" w:line="37" w:lineRule="exact"/>
        <w:rPr>
          <w:rFonts w:ascii="Arial" w:cs="Arial" w:eastAsia="Arial" w:hAnsi="Arial"/>
          <w:sz w:val="18"/>
          <w:szCs w:val="18"/>
          <w:color w:val="auto"/>
        </w:rPr>
      </w:pPr>
    </w:p>
    <w:p>
      <w:pPr>
        <w:ind w:left="780" w:right="300" w:hanging="326"/>
        <w:spacing w:after="0" w:line="30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interest on our revolving credit facility as the average balance on the facility increased from $66 million in the first six months of 2002 to $119 million in the first six months of 2003. This interest increase due to the higher loan balance was slightly offset by a decrease in the weighted average interest rate on the loan from 2.7% as of June 30, 2002 to 2.1% as of June 30, 2003; and</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capitalized interest, mostly at the Santana Row project reflecting the phasing into operations of the project; offset by</w:t>
      </w:r>
    </w:p>
    <w:p>
      <w:pPr>
        <w:spacing w:after="0" w:line="103" w:lineRule="exact"/>
        <w:rPr>
          <w:rFonts w:ascii="Arial" w:cs="Arial" w:eastAsia="Arial" w:hAnsi="Arial"/>
          <w:sz w:val="18"/>
          <w:szCs w:val="18"/>
          <w:color w:val="auto"/>
        </w:rPr>
      </w:pPr>
    </w:p>
    <w:p>
      <w:pPr>
        <w:ind w:left="780" w:right="4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lower mortgage loan interest as the Woodmont East construction loan and Friendship Center mortgage were paid off in February 2003 which offset the additional mortgage interest incurred as a result of the mortgage assumed with the Mount Vernon Plaza acquisition; and</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slightly lower bond interest reflecting the June 2003 payoff of the $75 million 5 ¼% Convertible subordinated debentures.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ratio of earnings to combined fixed charges (consisting of interest on borrowed funds, including capitalized interest, amortization of debt discount and expenses and the portion of rent expense representing an interest factor) and preferred dividends was 1.24x and 1.05x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first half of 2003 and 2002, respectively. The ratio of earnings to fixed charges was 1.45x and 1.24x for the first half of 2003 and 2002, respectively. The ratio of earnings before interest, income taxes, depreciation and amortization (“EBITDA”) to combined fixed charges and preferred dividends was 1.63x for the first half of 2003 and 1.36x for the first half of 2002. EBITDA is a non-GAAP financial measure that is presented because it provides useful information regarding our ability to service debt. EBITDA should not be considered an alternative measure of operating results or cash flow from operations as determined in accordance with GAAP. See “EBITDA” in this section for a reconciliation of net income to EBITDA. Excluding the one-time restructuring charge of $8.5 million in the first quarter of 2002, our ratio of earnings to combined fixed charges and preferred dividends was 1.24x and 1.18x for the first half of 2003 and 2002, respectively, the ratio of earnings to fixed charges was 1.45x and 1.39x for the first half of 2003 and 2002, respectively and the ratio of EBITDA to combined fixed charges and preferred dividends was 1.63x for the first half of 2003 and 1.49x for the first half of 2002.</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The decrease in administrative expense of $75,000, or 1.1%, for the six months ended June 30, 2003, as compared to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2002, is attributable to:</w:t>
      </w:r>
    </w:p>
    <w:p>
      <w:pPr>
        <w:spacing w:after="0" w:line="3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 payroll costs as a result of our 2002 restructuring; offset by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income taxes in many of the states in which we do business; and</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$360,000 reimbursement received in the first quarter of 2002, which decreased administrative expense, related to acquisitions costs that had been expensed in a prior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Administrative expenses as a percentage of revenue decreased from 4.3% in the six months ended June 30, 2002 to 3.7% in the six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2003.</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Restructuring Charge and New Business </w:t>
      </w:r>
      <w:r>
        <w:rPr>
          <w:rFonts w:ascii="Arial" w:cs="Arial" w:eastAsia="Arial" w:hAnsi="Arial"/>
          <w:sz w:val="16"/>
          <w:szCs w:val="16"/>
          <w:color w:val="auto"/>
        </w:rPr>
        <w:t>Plan. On February 28, 2002, we adopted a new business plan which returned our primary focus to our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acquiring and redeveloping community and neighborhood shopping centers that are anchored by supermarkets, drug stores, or high volume, value oriented retailers that provide consumer necessities. Concurrently with the adoption of the business plan, we adopted a management succession plan and restructured our management team. In connection with these changes, we recorded a charge of $18.2 million. This charge included a reserve for a restructuring charge of $8.5 million made up of $6.9 million of severance and other compensation costs for several of our senior officers related to the management restructuring, as well as the write-off of $1.6 million of our development costs. All charges against the reserve, totaling $8.5 million, were expended during 2002.</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The increase in depreciation and amortization expense of $3.8 million, or 12.1%, for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2003, as compared to the six months ended June 30, 2002 reflects the impact of recent new developments, tenant improvements and property redevelopments which were placed into service throughout 2002 and the first half of 2003.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Investors’ Share of Operations. </w:t>
      </w:r>
      <w:r>
        <w:rPr>
          <w:rFonts w:ascii="Arial" w:cs="Arial" w:eastAsia="Arial" w:hAnsi="Arial"/>
          <w:sz w:val="16"/>
          <w:szCs w:val="16"/>
          <w:color w:val="auto"/>
        </w:rPr>
        <w:t>Investors’ share of operations represents the minority partners’ interest in the income of certain properties. The slight</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investors’ share of operations of approximately $100,000, or 3.2%, for the six months ended June 30, 2003, as compared to the six months ended June 30, 2002, is attributable to the 2002 allocation of the gain on the sale of the street retail property located in Hollywood, California to the minority partner.</w:t>
      </w:r>
    </w:p>
    <w:p>
      <w:pPr>
        <w:spacing w:after="0" w:line="9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i w:val="1"/>
          <w:iCs w:val="1"/>
          <w:color w:val="auto"/>
        </w:rPr>
        <w:t xml:space="preserve">Gain on Sale of Real Estate net of loss on Abandoned Developments Held for Sale. </w:t>
      </w:r>
      <w:r>
        <w:rPr>
          <w:rFonts w:ascii="Arial" w:cs="Arial" w:eastAsia="Arial" w:hAnsi="Arial"/>
          <w:sz w:val="16"/>
          <w:szCs w:val="16"/>
          <w:color w:val="auto"/>
        </w:rPr>
        <w:t>On June 16, 2003 we sold the street retail property located at 4929</w:t>
      </w:r>
      <w:r>
        <w:rPr>
          <w:rFonts w:ascii="Arial" w:cs="Arial" w:eastAsia="Arial" w:hAnsi="Arial"/>
          <w:sz w:val="16"/>
          <w:szCs w:val="16"/>
          <w:i w:val="1"/>
          <w:iCs w:val="1"/>
          <w:color w:val="auto"/>
        </w:rPr>
        <w:t xml:space="preserve"> </w:t>
      </w:r>
      <w:r>
        <w:rPr>
          <w:rFonts w:ascii="Arial" w:cs="Arial" w:eastAsia="Arial" w:hAnsi="Arial"/>
          <w:sz w:val="16"/>
          <w:szCs w:val="16"/>
          <w:color w:val="auto"/>
        </w:rPr>
        <w:t>Bethesda Avenue in Bethesda, Maryland for $1.5 million resulting in a gain of $551,000. In the second quarter of 2002, we sold six properties for a combined gain of $19.1 million. An additional component of our restructuring charge, as described under “Restructuring Charge and New Business Plan,” recorded in the first quarter of 2002 represented an estimated loss of $9.7 million on the abandonment of development projects held for sale, primarily the Tanasbourne development project located in Portland, Oregon, thereby adjusting the value of these assets to their estimated fair value. We are marketing these properties for sale and continue to believe we will realize the adjusted carrying value. The net gain in 2002 from the sale of the six properties less the charge for the abandonment of development projects held for sale was $9.4 million.</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Income from Operations of Discontinued Assets. </w:t>
      </w:r>
      <w:r>
        <w:rPr>
          <w:rFonts w:ascii="Arial" w:cs="Arial" w:eastAsia="Arial" w:hAnsi="Arial"/>
          <w:sz w:val="16"/>
          <w:szCs w:val="16"/>
          <w:color w:val="auto"/>
        </w:rPr>
        <w:t>Beginning in 2002, SFAS No. 144, “Accounting for the Impairment or Disposal of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gains and losses from dispositions of properties and all operating earnings from these properties be reported as income from operations of discontinued assets. As a result, previously reported income will be updated each time a property is sold. This requirement is for presentation only and has no impact on net income. The earnings generated from the street retail property sold in the second quarter of 2003 and the six properties sold in the second quarter of 2002 have been reported as income from operations of discontinued assets in accordance with SFAS No. 144. The income (loss) from operations of discontinued assets for the six months ended June 30, 2003 and June 30, 2002 was ($10,000) and $1.3 million,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operating results for the three regions are as follows (in thousands):</w:t>
      </w:r>
    </w:p>
    <w:p>
      <w:pPr>
        <w:spacing w:after="0" w:line="153"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Six months ending</w:t>
      </w:r>
    </w:p>
    <w:p>
      <w:pPr>
        <w:spacing w:after="0" w:line="1"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60325</wp:posOffset>
            </wp:positionV>
            <wp:extent cx="94361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Northeast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61,361</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West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24,782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160,555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141,932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Northeast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44,320</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Mid-Atlantic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West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113,989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-1092835</wp:posOffset>
            </wp:positionV>
            <wp:extent cx="94742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89598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95985"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interest income, less rental expense and real estate taxes.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Northeast</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June 30, 2003, 48 of our properties were located in the Northeast region. The Northeast region extends from suburban Philadelphia north through New York and its suburbs into New England and west to Illinois and Michigan.</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$2.4 million, or 4.0%, for the six months ended June 30, 2003 as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2002, is attributable to:</w:t>
      </w:r>
    </w:p>
    <w:p>
      <w:pPr>
        <w:spacing w:after="0" w:line="37" w:lineRule="exact"/>
        <w:rPr>
          <w:sz w:val="20"/>
          <w:szCs w:val="20"/>
          <w:color w:val="auto"/>
        </w:rPr>
      </w:pPr>
    </w:p>
    <w:p>
      <w:pPr>
        <w:ind w:left="780" w:right="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approximately $1.0 million increase in cost recoveries reflecting the income accrued as a result of the increased snow removal costs incurred in the region during the first quarter of 2003;</w:t>
      </w:r>
    </w:p>
    <w:p>
      <w:pPr>
        <w:spacing w:after="0" w:line="37"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increase of approximately $1.4 million due primarily to the increased rental rates at retenanted centers, such as Brick Plaza, Dedham, Ellisburg, Finley Square and Lawrence Park as well as increased rental rates associated with lease rollovers which offset higher vacancy levels at two of the region’s shopping centers.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significant contribution to rental income from property redevelopments or expansions in the first six months of 2003 in the Northeast region.</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consists of rental income, other property income and interest income, less rental expense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decrease in property operating income of approximately $700,000, or 1.4%, for the six months ended June 30, 2003 as compared to the six months ended June 30, 2002, is attributable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increase of $1.7 million in rental expense primarily due to the increased snow removal costs incurred in the region in the first quarter of 2003;</w:t>
      </w:r>
    </w:p>
    <w:p>
      <w:pPr>
        <w:spacing w:after="0" w:line="126"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$400,000 in other rental income due primarily to lower lease termination fees, a decrease of $400,000 in interest income as a result of a payoff of a $10 million mortgage note in July 2002 which offsets higher interest income on another note and an increase of $600,000 in real estate tax expense as a result of higher assessments; offset by</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$2.4 million in rental revenue as described above.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Mid-Atlantic</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June 30, 2003, 34 of our properties were located in the Mid-Atlantic region. The Mid-Atlantic region extends from Baltimore south to metropolitan Washington, D.C. and further south through Virginia and North Carolina into Florida.</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$8.2 million, or 12.4%, for the six months ended June 30, 2003 as compared to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2002, is attributable to:</w:t>
      </w:r>
    </w:p>
    <w:p>
      <w:pPr>
        <w:spacing w:after="0" w:line="37" w:lineRule="exact"/>
        <w:rPr>
          <w:sz w:val="20"/>
          <w:szCs w:val="20"/>
          <w:color w:val="auto"/>
        </w:rPr>
      </w:pPr>
    </w:p>
    <w:p>
      <w:pPr>
        <w:ind w:left="780" w:right="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$3.8 million increase in cost recoveries reflecting the income accrued as a result of the increased snow removal, utilities, insurance and real estate taxes incurred in the region during the first six months of 2003;</w:t>
      </w:r>
    </w:p>
    <w:p>
      <w:pPr>
        <w:spacing w:after="0" w:line="37" w:lineRule="exact"/>
        <w:rPr>
          <w:rFonts w:ascii="Arial" w:cs="Arial" w:eastAsia="Arial" w:hAnsi="Arial"/>
          <w:sz w:val="18"/>
          <w:szCs w:val="18"/>
          <w:color w:val="auto"/>
        </w:rPr>
      </w:pPr>
    </w:p>
    <w:p>
      <w:pPr>
        <w:jc w:val="both"/>
        <w:ind w:left="780" w:right="380" w:hanging="326"/>
        <w:spacing w:after="0" w:line="347"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 net increase of approximately $3.3 million due primarily to the increased rental rates at redeveloped, expanded and retenanted centers, such as Congressional, Governor, Loehmann’s, Pentagon Row, Mid-Pike and Laurel as well as increased rental rates associated with lease rollovers; and</w:t>
      </w: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increase of $1.1 million from South Valley Shopping Center and Mount Vernon Plaza which were acquired in the first quarter of 2003.</w:t>
      </w:r>
    </w:p>
    <w:p>
      <w:pPr>
        <w:spacing w:after="0" w:line="20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Same center basis for the six months ended June 30, 2003 excludes South Valley Shopping Center and Mount Vernon Plaza, which were acquired in the first quarter of 2003. Same center rental income increased $7.1 million or 10.8% for the six months ended June 30, 2003 as compared to the six months ended June 30, 2002. Excluding the contribution from property redevelopments and expansion, rental income increased 10.1%.</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The increase in property operating income of $6.0 million, or 12.1%, for the six months ended June 30, 2003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2002, is attributable to:</w:t>
      </w:r>
    </w:p>
    <w:p>
      <w:pPr>
        <w:spacing w:after="0" w:line="3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$8.2 million in rental revenue as described above;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$400,000 in other income due primarily to increased lease termination fees and utility recoveries; offset by</w:t>
      </w:r>
    </w:p>
    <w:p>
      <w:pPr>
        <w:spacing w:after="0" w:line="103"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$2.0 million in rental expense due primarily to the increased snow removal costs, utilities and insurance costs incurred in the region in the first six months of 2003;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real estate taxes of $400,000 due to increased tax assessments and a $200,000 decrease in interest income.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2003, 34 of our properties, including Santana Row, were located in the West region. The West region extends from Texas to the West Coast.</w:t>
      </w:r>
    </w:p>
    <w:p>
      <w:pPr>
        <w:spacing w:after="0" w:line="19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Rental. </w:t>
      </w:r>
      <w:r>
        <w:rPr>
          <w:rFonts w:ascii="Arial" w:cs="Arial" w:eastAsia="Arial" w:hAnsi="Arial"/>
          <w:sz w:val="18"/>
          <w:szCs w:val="18"/>
          <w:color w:val="auto"/>
        </w:rPr>
        <w:t>The increase in rental income of $8.0 million, or 47.8%, for the six months ended June 30, 2003 as compared to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2002, is attributable to:</w:t>
      </w:r>
    </w:p>
    <w:p>
      <w:pPr>
        <w:spacing w:after="0" w:line="37" w:lineRule="exact"/>
        <w:rPr>
          <w:sz w:val="20"/>
          <w:szCs w:val="20"/>
          <w:color w:val="auto"/>
        </w:rPr>
      </w:pPr>
    </w:p>
    <w:p>
      <w:pPr>
        <w:ind w:left="780" w:right="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$6.9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net increase of $1.1 million, or 6.7%, on a same center basis due primarily to the increased rental rates at redeveloped and retenanted properties in Los Angeles, California and San Antonio, Texas, as well as the increased rental income associated with lease rollovers.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Same center basis for the six months ended June 30, 2003 excludes Santana Row, which was under development for the majority of 2002 and began phasing into service in late 2002 and through 2003. Same center rental income, excluding the contribution from property redevelopments and expansions, for the six months ended June 30, 2003 increased 2.7% from 2002.</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Property Operating Income. </w:t>
      </w:r>
      <w:r>
        <w:rPr>
          <w:rFonts w:ascii="Arial" w:cs="Arial" w:eastAsia="Arial" w:hAnsi="Arial"/>
          <w:sz w:val="18"/>
          <w:szCs w:val="18"/>
          <w:color w:val="auto"/>
        </w:rPr>
        <w:t>The increase in property operating income of $4.7 million, or 48.1%, for the six months ended June 30, 2003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2002, is attributable to:</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$8.0 million in rental income as described above;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$1.3 million in other income primarily due to insurance and utility recoveries paid by tenants at Santana Row; and</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$1.4 million in interest and other income as a result of the $1.3 million provision for estimated losses related to various unconsolidated restaurant joint ventures recorded in 2002 as well as the 2003 Santana Row gain; offset by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$6.0 million in rental expense and real estate taxes primarily Santana Row expenses as the project is phased into operations.</w:t>
      </w:r>
    </w:p>
    <w:p>
      <w:pPr>
        <w:spacing w:after="0" w:line="20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Same center property operating income in the six months ended June 30, 2003 increased 3.0% from 2002. Same center property operating income, excluding the contribution from property redevelopments and expansions, for the six months ended June 30, 2003 decreased approximately $100,000 from 2002 due to vacancies at two of the region’s street retail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Comparison of 2003 to 2002 – Three Months Ended June 30,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Total revenues increased $10.6 million, or 14.0%, to $86.4 million for the three months ended June 30, 2003, as compared to $75.8 million for the three months ended June 30, 2002. The primary components of the increase in total revenues are discussed below.</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for common area maintenance, insurance and real estate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in rental income of $9.1 million, or 12.8%, for the three months ended June 30, 2003, as compared to the three months ended June 30, 2002, is attributable to:</w:t>
      </w:r>
    </w:p>
    <w:p>
      <w:pPr>
        <w:spacing w:after="0" w:line="46" w:lineRule="exact"/>
        <w:rPr>
          <w:sz w:val="20"/>
          <w:szCs w:val="20"/>
          <w:color w:val="auto"/>
        </w:rPr>
      </w:pPr>
    </w:p>
    <w:p>
      <w:pPr>
        <w:ind w:left="780" w:right="240" w:hanging="326"/>
        <w:spacing w:after="0" w:line="25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$4.1 million, or 5.7%, on a same center basis due primarily to an approximate $2.6 million increase in base, or minimum, rents which reflect increased rental rates at redeveloped and retenanted centers, as well as increased rental rates associated with lease rollovers, increased cost recoveries of approximately $1.4 million, which reflect increased rental expenses, such as utility and insurance costs and increased real estate tax assessments and a $100,000 increase in percentage rents;</w:t>
      </w:r>
    </w:p>
    <w:p>
      <w:pPr>
        <w:spacing w:after="0" w:line="48"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$3.9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$1.1 million from South Valley Shopping Center and Mount Vernon Plaza which were acquired in the first quarter of 2003.</w:t>
      </w:r>
    </w:p>
    <w:p>
      <w:pPr>
        <w:spacing w:after="0" w:line="20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Same center basis for the three months ended June 30, 2003 excludes the street retail property sold in the second quarter of 2003, the six properties sold in 2002, South Valley Shopping Center and Mount Vernon Plaza which were acquired in the first quarter of 2003 and Santana Row which was under construction for most of 2002. Same center rental income, excluding the contribution from property redevelopments and expansions, for the three months ended June 30, 2003 increased 4.6% from 2002, reflecting increases due to cost recoveries, retenanting and lease rollovers as described above.</w:t>
      </w:r>
    </w:p>
    <w:p>
      <w:pPr>
        <w:spacing w:after="0" w:line="99"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i w:val="1"/>
          <w:iCs w:val="1"/>
          <w:color w:val="auto"/>
        </w:rPr>
        <w:t xml:space="preserve">Interest and Other Income. </w:t>
      </w:r>
      <w:r>
        <w:rPr>
          <w:rFonts w:ascii="Arial" w:cs="Arial" w:eastAsia="Arial" w:hAnsi="Arial"/>
          <w:sz w:val="15"/>
          <w:szCs w:val="15"/>
          <w:color w:val="auto"/>
        </w:rPr>
        <w:t>Interest and other income includes interest earned on mortgage notes receivable, overnight cash investments, including tax-deferred exchange escrow deposits if applicable and security deposits. Interest and other income increased $800,000 or 93.6% from $857,000 for the three months ended June 30, 2002 to $1.7 million for the three months ended June 30, 2003. Interest from mortgage notes receivable decreased approximately $500,000 in</w:t>
      </w:r>
    </w:p>
    <w:p>
      <w:pPr>
        <w:spacing w:after="0" w:line="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2003 reflecting the payoff of a $10 million mortgage note in July 2002 and the payoff of a $3.2 million note in August 2002. Additionally in 2002, interest and other income included a $1.3 million provision for estimated losses related to various unconsolidated restaurant joint ventures. The $200,000 gain recognized at Santana Row was offset by lower interest on invested funds, reflecting lower cash and non-mortgage note balances.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includes items, which although recurring, tend to fluctuate more than rental income from period to period,</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utility reimbursements, telephone income, merchant association dues, late fees, lease termination fees and temporary tenant income. The increase in other property income of $700,000, or 19.4%, for the three months ended June 30, 2003, as compared to the three months ended June 30, 2002, is attributable to increases at Santana Row as the project began phasing into service in the fourth quarter of 2002.</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 same center basis, other property income remained stable as lower lease termination fees were offset by increased utility recoveries.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Total property operating expenses increased $4.3 million to $28.2 million for the three months ended June 30, 2003, as compared to $23.9 million for the three months ended June 30, 2002. The components of the increase in total property operating expenses are discussed below.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Rental Expense</w:t>
      </w:r>
      <w:r>
        <w:rPr>
          <w:rFonts w:ascii="Arial" w:cs="Arial" w:eastAsia="Arial" w:hAnsi="Arial"/>
          <w:sz w:val="15"/>
          <w:szCs w:val="15"/>
          <w:color w:val="auto"/>
        </w:rPr>
        <w:t>. The increase in rental expense of $2.8 million, or 17.3%, for the three months ended June 30, 2003, as compared to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2002, is attributable to:</w:t>
      </w:r>
    </w:p>
    <w:p>
      <w:pPr>
        <w:spacing w:after="0" w:line="70" w:lineRule="exact"/>
        <w:rPr>
          <w:sz w:val="20"/>
          <w:szCs w:val="20"/>
          <w:color w:val="auto"/>
        </w:rPr>
      </w:pPr>
    </w:p>
    <w:p>
      <w:pPr>
        <w:ind w:left="780" w:right="2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$2.3 million in rental expenses at Santana Row which was under development for most of 2002 and began phasing into service in late 2002;</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$300,000 from South Valley Shopping Center and Mount Vernon Plaza which were acquired in the first quarter of 2003; and</w:t>
      </w:r>
    </w:p>
    <w:p>
      <w:pPr>
        <w:spacing w:after="0" w:line="126" w:lineRule="exact"/>
        <w:rPr>
          <w:rFonts w:ascii="Arial" w:cs="Arial" w:eastAsia="Arial" w:hAnsi="Arial"/>
          <w:sz w:val="16"/>
          <w:szCs w:val="16"/>
          <w:color w:val="auto"/>
        </w:rPr>
      </w:pPr>
    </w:p>
    <w:p>
      <w:pPr>
        <w:ind w:left="780" w:right="3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approximately $200,000 on a same center basis as higher utility and insurance costs were offset by lower property legal and leasing costs.</w:t>
      </w:r>
    </w:p>
    <w:p>
      <w:pPr>
        <w:spacing w:after="0" w:line="11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Rental expense as a percentage of rental income and other property income, which we refer to as property income, increased from 21.9% for the three months ended June 30, 2002 to 22.8% for the first months ended June 30, 2003 due primarily to the initial operating expenses at Santana Row as the property phases into service. Same center rental expense as a percentage of property income decreased from 20.0% in 2002 to 19.2% in 2003 reflecting the relatively minor $200,000 increase in same center rental expense as compared to the $4.1 million increase in rental income.</w:t>
      </w:r>
    </w:p>
    <w:p>
      <w:pPr>
        <w:spacing w:after="0" w:line="9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Real Estate Taxes</w:t>
      </w:r>
      <w:r>
        <w:rPr>
          <w:rFonts w:ascii="Arial" w:cs="Arial" w:eastAsia="Arial" w:hAnsi="Arial"/>
          <w:sz w:val="18"/>
          <w:szCs w:val="18"/>
          <w:color w:val="auto"/>
        </w:rPr>
        <w:t>. The increase in real estate taxes of $1.5 million, or 19.4%, for the three months ended June 30, 2003,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2002, is attributable to increased taxes on new development projects, recently redeveloped properties and overall increases in tax assessments. On a same center basis real estate taxes increased 12.9%.</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Property Operating Income</w:t>
      </w:r>
      <w:r>
        <w:rPr>
          <w:rFonts w:ascii="Arial" w:cs="Arial" w:eastAsia="Arial" w:hAnsi="Arial"/>
          <w:sz w:val="16"/>
          <w:szCs w:val="16"/>
          <w:color w:val="auto"/>
        </w:rPr>
        <w:t>. As a result of the changes and variances explained above, property operating income, total income less rental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taxes, increased $6.3 million, or 12.2%, to $58.2 million for the three months ended June 30, 2003 as compared to $51.9 million for the three months ended June 30, 2002. Same center property operating income increased $2.6 million, 4.8% for the three months ended June 30, 2003. Excluding the contribution from property redevelopments and expansions same center property operating income increased 4.0%.</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Total other expenses increased $5.0 million, or 14.4%, to $39.5 million for the three months ended June 30, 2003 as compared to $34.5 million for the three months ended June 30, 2002. The primary components of the decrease in total other expenses are discussed below.</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 the second quarter of 2003, we incurred interest of $22.4 million, of which $4.1 million was capitalized yielding interest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$18.3 million, as compared to interest of $21.7 million in 2002, of which $6.6 million was capitalized yielding interest expense of $15.1 million. The increase in interest expense of $3.1 million, or 20.6%, for the three months ended June 30, 2003, as compared to the three months ended June 30, 2002, is attributable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5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on the $150 million 6.125% senior notes issued in November 2002 partially offset by lower mortgage loan interest on the Santana Row construction loan which was paid off in November 2002;</w:t>
      </w:r>
    </w:p>
    <w:p>
      <w:pPr>
        <w:spacing w:after="0" w:line="37" w:lineRule="exact"/>
        <w:rPr>
          <w:rFonts w:ascii="Arial" w:cs="Arial" w:eastAsia="Arial" w:hAnsi="Arial"/>
          <w:sz w:val="18"/>
          <w:szCs w:val="18"/>
          <w:color w:val="auto"/>
        </w:rPr>
      </w:pPr>
    </w:p>
    <w:p>
      <w:pPr>
        <w:jc w:val="both"/>
        <w:ind w:left="780" w:right="280" w:hanging="326"/>
        <w:spacing w:after="0" w:line="306"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interest on our revolving credit facility as the average balance on the facility increased from $66 million in the first six months of 2002 to $119 million in the first six months of 2003. This interest increase due to the higher loan balance was slightly offset by a decreases in the weighted average interest rate on the loan from 2.7% as of June 30, 2002 to 2.1% as of June 30, 2003; and</w:t>
      </w:r>
    </w:p>
    <w:p>
      <w:pPr>
        <w:spacing w:after="0" w:line="12"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capitalized interest, mostly at the Santana Row project reflecting the phasing into operations of the project; offset by</w:t>
      </w:r>
    </w:p>
    <w:p>
      <w:pPr>
        <w:spacing w:after="0" w:line="103" w:lineRule="exact"/>
        <w:rPr>
          <w:rFonts w:ascii="Arial" w:cs="Arial" w:eastAsia="Arial" w:hAnsi="Arial"/>
          <w:sz w:val="18"/>
          <w:szCs w:val="18"/>
          <w:color w:val="auto"/>
        </w:rPr>
      </w:pPr>
    </w:p>
    <w:p>
      <w:pPr>
        <w:ind w:left="780" w:right="2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lower mortgage loan interest as the Woodmont East construction loan and Friendship Center mortgage were paid off in February 2003 which offset the additional mortgage interest incurred as a result of the mortgage assumed with the Mount Vernon Plaza acquisition; and</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slightly lower bond interest reflecting the June 2003 payoff of the $75 million 5 ¼% Convertible subordinated debentures.</w:t>
      </w:r>
    </w:p>
    <w:p>
      <w:pPr>
        <w:spacing w:after="0" w:line="1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Administrative Expense. </w:t>
      </w:r>
      <w:r>
        <w:rPr>
          <w:rFonts w:ascii="Arial" w:cs="Arial" w:eastAsia="Arial" w:hAnsi="Arial"/>
          <w:sz w:val="16"/>
          <w:szCs w:val="16"/>
          <w:color w:val="auto"/>
        </w:rPr>
        <w:t>The decrease in administrative expense of $350,000, or 10.0%, for the three months ended June 30, 2003, as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2002, is attributable to lower payroll costs as a result of our 2002 restructuring. Administrative expenses as a percentage of revenue decreased from 4.6% in the three months ended June 30, 2002 to 3.6% in the three months ended June 30, 2003.</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The increase in depreciation and amortization expense of $2.2 million, or 13.9%,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2003, as compared to the three months ended June 30, 2002 reflects the impact of recent new developments, tenant improvements and property redevelopments which were placed into service throughout 2002 and the first half of 2003.</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Investors’ Share of Operations. </w:t>
      </w:r>
      <w:r>
        <w:rPr>
          <w:rFonts w:ascii="Arial" w:cs="Arial" w:eastAsia="Arial" w:hAnsi="Arial"/>
          <w:sz w:val="18"/>
          <w:szCs w:val="18"/>
          <w:color w:val="auto"/>
        </w:rPr>
        <w:t>Investors’ share of operations represents the minority partners’ interest in the income of certain properties.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share of operations of approximately $400,000, or 28.2%, for the three months ended June 30, 2003, as compared to the three months ended June 30, 2002, is attributable to the allocation to the operating unit holders their proportionate share of our net income realized in the second quarter of 2002. These unit holders are allocated income as if they held our shares.</w:t>
      </w:r>
    </w:p>
    <w:p>
      <w:pPr>
        <w:spacing w:after="0" w:line="13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Gain on Sale of Real Estate. </w:t>
      </w:r>
      <w:r>
        <w:rPr>
          <w:rFonts w:ascii="Arial" w:cs="Arial" w:eastAsia="Arial" w:hAnsi="Arial"/>
          <w:sz w:val="16"/>
          <w:szCs w:val="16"/>
          <w:color w:val="auto"/>
        </w:rPr>
        <w:t>On June 16, 2003 we sold the street retail property located at 4929 Bethesda Avenue in Bethesda, Maryland for $1.5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resulting in a gain of $551,000. In the second quarter of 2002, we sold six properties for a combined gain of $19.1 million.</w:t>
      </w:r>
    </w:p>
    <w:p>
      <w:pPr>
        <w:spacing w:after="0" w:line="7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Income from Operations of Discontinued Assets. </w:t>
      </w:r>
      <w:r>
        <w:rPr>
          <w:rFonts w:ascii="Arial" w:cs="Arial" w:eastAsia="Arial" w:hAnsi="Arial"/>
          <w:sz w:val="16"/>
          <w:szCs w:val="16"/>
          <w:color w:val="auto"/>
        </w:rPr>
        <w:t>Beginning in 2002, SFAS No. 144, “Accounting for the Impairment or Disposal of Long-Lived Assets,”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gains and losses from dispositions of properties and all operating earnings from these properties be reported as income from operations of discontinued assets. As a result, previously reported income will be updated each time a property is sold. This requirement is for presentation only and has no impact on net income. The earnings generated from the street retail property sold in the second quarter of 2003 and the six properties sold in the second quarter of 2002 have been reported as income from operations of discontinued assets in accordance with SFAS No. 144.</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color w:val="auto"/>
        </w:rPr>
        <w:t xml:space="preserve">The income (loss) from operations of discontinued assets for the three months ended June 30, 2003 and June 30, 2002 was ($6,000) and $439,000, respectively. </w:t>
      </w:r>
      <w:r>
        <w:rPr>
          <w:rFonts w:ascii="Arial" w:cs="Arial" w:eastAsia="Arial" w:hAnsi="Arial"/>
          <w:sz w:val="18"/>
          <w:szCs w:val="18"/>
          <w:b w:val="1"/>
          <w:bCs w:val="1"/>
          <w:color w:val="auto"/>
        </w:rPr>
        <w:t>Segment Results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operate our business on an asset management model, where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Historical operating results for the three regions are as follows (in thousands):</w:t>
      </w:r>
    </w:p>
    <w:p>
      <w:pPr>
        <w:spacing w:after="0" w:line="153"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Three months ending</w:t>
      </w:r>
    </w:p>
    <w:p>
      <w:pPr>
        <w:spacing w:after="0" w:line="1"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60325</wp:posOffset>
            </wp:positionV>
            <wp:extent cx="8235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Northeast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$30,097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Mid-Atlantic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West</w:t>
            </w:r>
          </w:p>
        </w:tc>
        <w:tc>
          <w:tcPr>
            <w:tcW w:w="580" w:type="dxa"/>
            <w:vAlign w:val="bottom"/>
          </w:tcPr>
          <w:p>
            <w:pPr>
              <w:jc w:val="right"/>
              <w:spacing w:after="0"/>
              <w:rPr>
                <w:sz w:val="20"/>
                <w:szCs w:val="20"/>
                <w:color w:val="auto"/>
              </w:rPr>
            </w:pPr>
            <w:r>
              <w:rPr>
                <w:rFonts w:ascii="Arial" w:cs="Arial" w:eastAsia="Arial" w:hAnsi="Arial"/>
                <w:sz w:val="18"/>
                <w:szCs w:val="18"/>
                <w:color w:val="auto"/>
              </w:rPr>
              <w:t>12,788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$80,564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 (1)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Northeast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$22,581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Mid-Atlantic</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400"/>
              <w:spacing w:after="0"/>
              <w:rPr>
                <w:sz w:val="20"/>
                <w:szCs w:val="20"/>
                <w:color w:val="auto"/>
              </w:rPr>
            </w:pPr>
            <w:r>
              <w:rPr>
                <w:rFonts w:ascii="Arial" w:cs="Arial" w:eastAsia="Arial" w:hAnsi="Arial"/>
                <w:sz w:val="18"/>
                <w:szCs w:val="18"/>
                <w:color w:val="auto"/>
              </w:rPr>
              <w:t>West</w:t>
            </w:r>
          </w:p>
        </w:tc>
        <w:tc>
          <w:tcPr>
            <w:tcW w:w="580" w:type="dxa"/>
            <w:vAlign w:val="bottom"/>
          </w:tcPr>
          <w:p>
            <w:pPr>
              <w:jc w:val="right"/>
              <w:spacing w:after="0"/>
              <w:rPr>
                <w:sz w:val="20"/>
                <w:szCs w:val="20"/>
                <w:color w:val="auto"/>
              </w:rPr>
            </w:pPr>
            <w:r>
              <w:rPr>
                <w:rFonts w:ascii="Arial" w:cs="Arial" w:eastAsia="Arial" w:hAnsi="Arial"/>
                <w:sz w:val="18"/>
                <w:szCs w:val="18"/>
                <w:color w:val="auto"/>
              </w:rPr>
              <w:t>7,371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$58,239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-1092835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-1092835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-1092835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-1092835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-1092835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-1092835</wp:posOffset>
            </wp:positionV>
            <wp:extent cx="2159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interest income, less rental expense and real estate taxes.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Northeast</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June 30, 2003, 48 of our properties were located in the Northeast region. The Northeast region extends from suburban Philadelphia north through New York and its suburbs into New England and west to Illinois and Michigan.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The increase in rental income of $400,000, or 1.3%, for the three months ended June 30, 2003 as compared to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2002, is attributable to increased rental rates at retenanted centers, such as Ellisburg and Finley Square as well as increased rental rates associated with lease rollovers which offset higher vacancy levels at two of the region’s shopping centers.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was no significant contribution to rental income from property redevelopments or expansions in the second quarter of 2003 in the Northeast region.</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consists of rental income, other property income and interest income, less rental expense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$55,000, or less than 1%, increase in property operating income for the three months ended June 30, 2003 as compared to the three months ended June 30, 2002, is attributable to:</w:t>
      </w:r>
    </w:p>
    <w:p>
      <w:pPr>
        <w:spacing w:after="0" w:line="4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$400,000 in rental revenue as described above; offset by</w:t>
      </w:r>
    </w:p>
    <w:p>
      <w:pPr>
        <w:spacing w:after="0" w:line="103"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approximate increase of $200,000 in rental expense and real estate tax expense and an approximate decrease of $200,000 in interest income as a result of a payoff of a $10 million mortgage note in July 2002.</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Mid-Atlantic</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June 30, 2003, 34 of our properties were located in the Mid-Atlantic region. The Mid-Atlantic region extends from Baltimore south to metropolitan Washington, D.C. and further south through Virginia and North Carolina into Florida.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Rental Income. </w:t>
      </w:r>
      <w:r>
        <w:rPr>
          <w:rFonts w:ascii="Arial" w:cs="Arial" w:eastAsia="Arial" w:hAnsi="Arial"/>
          <w:sz w:val="16"/>
          <w:szCs w:val="16"/>
          <w:color w:val="auto"/>
        </w:rPr>
        <w:t>The increase in rental income of $4.5 million, or 13.4%, for the three months ended June 30, 2003 as compared to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2002, is attributable to:</w:t>
      </w:r>
    </w:p>
    <w:p>
      <w:pPr>
        <w:spacing w:after="0" w:line="70" w:lineRule="exact"/>
        <w:rPr>
          <w:sz w:val="20"/>
          <w:szCs w:val="20"/>
          <w:color w:val="auto"/>
        </w:rPr>
      </w:pPr>
    </w:p>
    <w:p>
      <w:pPr>
        <w:jc w:val="both"/>
        <w:ind w:left="780" w:right="460" w:hanging="326"/>
        <w:spacing w:after="0" w:line="347"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net increase of approximately $3.4 million due primarily to the increased rental rates at redeveloped, expanded and retenanted centers, such as Congressional, Governor, Loehmann’s, Pentagon Row, Mid-Pike and Laurel as well as increased rental rates associated with lease rollovers; and</w:t>
      </w:r>
    </w:p>
    <w:p>
      <w:pPr>
        <w:ind w:left="780" w:hanging="326"/>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$1.1 million from South Valley Shopping Center and Mount Vernon Plaza which were acquired in the first quarter of 2003.</w:t>
      </w:r>
    </w:p>
    <w:p>
      <w:pPr>
        <w:spacing w:after="0" w:line="20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Same center basis for the three months ended June 30, 2003 excludes South Valley Shopping Center and Mount Vernon Plaza, which were acquired in the first quarter of 2003. Same center rental income increased $3.4 million, or 10.1%, for the three months ended June 30, 2003 as compared to the three months ended June 30, 2002. Excluding the contribution from property redevelopments and expansions, rental income increased 9.0%.</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The increase in property operating income of $3.1 million, or 12.5%, for the three months ended June 30, 2003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2002, is attributable to:</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$4.5 million in rental revenue as described above; offset by</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$500,000 in rental expense due primarily to increased utilities and insurance costs and an increase of $600,000 in real estate taxes due to increased tax assessments;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of $100,000 in other income and a decrease of $200,000 in interest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June 30, 2003, 34 of our properties, including Santana Row, were located in the West region. The West region extends from Texas to the West Coast.</w:t>
      </w:r>
    </w:p>
    <w:p>
      <w:pPr>
        <w:spacing w:after="0" w:line="19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Rental. </w:t>
      </w:r>
      <w:r>
        <w:rPr>
          <w:rFonts w:ascii="Arial" w:cs="Arial" w:eastAsia="Arial" w:hAnsi="Arial"/>
          <w:sz w:val="18"/>
          <w:szCs w:val="18"/>
          <w:color w:val="auto"/>
        </w:rPr>
        <w:t>The increase in rental income of $4.3 million, or 49.9%, for the three months ended June 30, 2003 as compared to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2002, is attributable to:</w:t>
      </w:r>
    </w:p>
    <w:p>
      <w:pPr>
        <w:spacing w:after="0" w:line="37" w:lineRule="exact"/>
        <w:rPr>
          <w:sz w:val="20"/>
          <w:szCs w:val="20"/>
          <w:color w:val="auto"/>
        </w:rPr>
      </w:pPr>
    </w:p>
    <w:p>
      <w:pPr>
        <w:ind w:left="780" w:right="1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$3.9 million in rental income from Santana Row which was under development for most of 2002 and began phasing into service in late 2002; and</w:t>
      </w:r>
    </w:p>
    <w:p>
      <w:pPr>
        <w:spacing w:after="0" w:line="37" w:lineRule="exact"/>
        <w:rPr>
          <w:rFonts w:ascii="Arial" w:cs="Arial" w:eastAsia="Arial" w:hAnsi="Arial"/>
          <w:sz w:val="18"/>
          <w:szCs w:val="18"/>
          <w:color w:val="auto"/>
        </w:rPr>
      </w:pPr>
    </w:p>
    <w:p>
      <w:pPr>
        <w:ind w:left="780" w:right="14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net increase of $400,000, or 3.8%, on a same center basis due primarily to the increased rental rates at redeveloped and retenanted properties in Los Angeles, California and San Antonio, Texas, as well as the increased rental income associated with lease rollovers.</w:t>
      </w:r>
    </w:p>
    <w:p>
      <w:pPr>
        <w:spacing w:after="0" w:line="7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Same center basis for the three months ended June 30, 2003 excludes Santana Row, which was under development for the majority of 2002 and began phasing into service in late 2002 and through 2003. Same center rental income, excluding the contribution from property redevelopments and expansions was $8.4 million for both the three months ended June 30, 2003 and June 30, 2002 as rental increases were offset by vacancies at one of the regions street retail properties.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Property Operating Income. </w:t>
      </w:r>
      <w:r>
        <w:rPr>
          <w:rFonts w:ascii="Arial" w:cs="Arial" w:eastAsia="Arial" w:hAnsi="Arial"/>
          <w:sz w:val="18"/>
          <w:szCs w:val="18"/>
          <w:color w:val="auto"/>
        </w:rPr>
        <w:t>The increase in property operating income of $3.1 million, or 73.5%, for the three months ended June 30, 2003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2002, is attributable to:</w:t>
      </w:r>
    </w:p>
    <w:p>
      <w:pPr>
        <w:spacing w:after="0" w:line="37"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$4.3 million in rental income as described above;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$700,000 in other income primarily due to increased insurance and utility recoveries paid by tenants at Santana Row; and</w:t>
      </w:r>
    </w:p>
    <w:p>
      <w:pPr>
        <w:spacing w:after="0" w:line="126" w:lineRule="exact"/>
        <w:rPr>
          <w:rFonts w:ascii="Arial" w:cs="Arial" w:eastAsia="Arial" w:hAnsi="Arial"/>
          <w:sz w:val="16"/>
          <w:szCs w:val="16"/>
          <w:color w:val="auto"/>
        </w:rPr>
      </w:pPr>
    </w:p>
    <w:p>
      <w:pPr>
        <w:ind w:left="780" w:right="16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$1.2 million in interest and other income, mainly as a result of the $1.3 million provision for estimated losses related to various unconsolidated restaurant joint ventures recorded in 2002 as well as the 2003 Santana Row gain offset by lower morgage note interest income; offset by</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increase of $3.1 million in rental expense and real estate taxes primarily Santana Row expenses as the project is phased into operations.</w:t>
      </w:r>
    </w:p>
    <w:p>
      <w:pPr>
        <w:spacing w:after="0" w:line="20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Same center property operating income in the three months ended June 30, 2003 decreased approximately $200,000 from 2002 due to the vacancies mentioned above and lower parking revenue. Same center property operating income, excluding the contribution from property redevelopments and expansions, for the three months ended June 30, 2003 decreased approximately $400,000 from 2002.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Cash and cash equivalents were $18.6 million and $23.1 million at June 30, 2003 and December 31, 2002, respectively. This $4.5 million decrease is attributable to $76.5 million used in investing activities partially offset by $58.5 million and $13.5 million provided by operating and financing activities, respectively.</w:t>
      </w:r>
    </w:p>
    <w:p>
      <w:pPr>
        <w:spacing w:after="0" w:line="122" w:lineRule="exact"/>
        <w:rPr>
          <w:sz w:val="20"/>
          <w:szCs w:val="20"/>
          <w:color w:val="auto"/>
        </w:rPr>
      </w:pPr>
    </w:p>
    <w:p>
      <w:pPr>
        <w:ind w:left="2300"/>
        <w:spacing w:after="0"/>
        <w:tabs>
          <w:tab w:leader="none" w:pos="7940" w:val="left"/>
        </w:tabs>
        <w:rPr>
          <w:sz w:val="20"/>
          <w:szCs w:val="20"/>
          <w:color w:val="auto"/>
        </w:rPr>
      </w:pPr>
      <w:r>
        <w:rPr>
          <w:rFonts w:ascii="Arial" w:cs="Arial" w:eastAsia="Arial" w:hAnsi="Arial"/>
          <w:sz w:val="14"/>
          <w:szCs w:val="14"/>
          <w:i w:val="1"/>
          <w:iCs w:val="1"/>
          <w:color w:val="auto"/>
        </w:rPr>
        <w:t>(in thousands)</w:t>
      </w:r>
      <w:r>
        <w:rPr>
          <w:sz w:val="20"/>
          <w:szCs w:val="20"/>
          <w:color w:val="auto"/>
        </w:rPr>
        <w:tab/>
      </w:r>
      <w:r>
        <w:rPr>
          <w:rFonts w:ascii="Arial" w:cs="Arial" w:eastAsia="Arial" w:hAnsi="Arial"/>
          <w:sz w:val="12"/>
          <w:szCs w:val="12"/>
          <w:b w:val="1"/>
          <w:bCs w:val="1"/>
          <w:color w:val="auto"/>
        </w:rPr>
        <w:t>For the Six Months</w:t>
      </w:r>
    </w:p>
    <w:p>
      <w:pPr>
        <w:jc w:val="center"/>
        <w:ind w:left="5600"/>
        <w:spacing w:after="0" w:line="224" w:lineRule="auto"/>
        <w:rPr>
          <w:sz w:val="20"/>
          <w:szCs w:val="20"/>
          <w:color w:val="auto"/>
        </w:rPr>
      </w:pPr>
      <w:r>
        <w:rPr>
          <w:rFonts w:ascii="Arial" w:cs="Arial" w:eastAsia="Arial" w:hAnsi="Arial"/>
          <w:sz w:val="14"/>
          <w:szCs w:val="14"/>
          <w:b w:val="1"/>
          <w:bCs w:val="1"/>
          <w:color w:val="auto"/>
        </w:rPr>
        <w:t>Ended</w:t>
      </w:r>
    </w:p>
    <w:p>
      <w:pPr>
        <w:jc w:val="center"/>
        <w:ind w:left="5600"/>
        <w:spacing w:after="0"/>
        <w:rPr>
          <w:sz w:val="20"/>
          <w:szCs w:val="20"/>
          <w:color w:val="auto"/>
        </w:rPr>
      </w:pPr>
      <w:r>
        <w:rPr>
          <w:rFonts w:ascii="Arial" w:cs="Arial" w:eastAsia="Arial" w:hAnsi="Arial"/>
          <w:sz w:val="14"/>
          <w:szCs w:val="14"/>
          <w:b w:val="1"/>
          <w:bCs w:val="1"/>
          <w:color w:val="auto"/>
        </w:rPr>
        <w:t>June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60325</wp:posOffset>
            </wp:positionV>
            <wp:extent cx="7029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Cash Provided by Operating Activities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3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76,466)</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58,483</w:t>
      </w: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13,469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029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35" w:lineRule="exact"/>
        <w:rPr>
          <w:sz w:val="20"/>
          <w:szCs w:val="20"/>
          <w:color w:val="auto"/>
        </w:rPr>
      </w:pPr>
    </w:p>
    <w:p>
      <w:pPr>
        <w:jc w:val="right"/>
        <w:ind w:right="2160"/>
        <w:spacing w:after="0"/>
        <w:rPr>
          <w:sz w:val="20"/>
          <w:szCs w:val="20"/>
          <w:color w:val="auto"/>
        </w:rPr>
      </w:pPr>
      <w:r>
        <w:rPr>
          <w:rFonts w:ascii="Arial" w:cs="Arial" w:eastAsia="Arial" w:hAnsi="Arial"/>
          <w:sz w:val="18"/>
          <w:szCs w:val="18"/>
          <w:color w:val="auto"/>
        </w:rPr>
        <w:t>(4,514)</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23,123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0294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35" w:lineRule="exact"/>
        <w:rPr>
          <w:sz w:val="20"/>
          <w:szCs w:val="20"/>
          <w:color w:val="auto"/>
        </w:rPr>
      </w:pPr>
    </w:p>
    <w:p>
      <w:pPr>
        <w:ind w:left="620" w:hanging="617"/>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18,609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70294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7240" w:space="720"/>
            <w:col w:w="3320"/>
          </w:cols>
          <w:pgMar w:left="240" w:top="459" w:right="3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cash used in investing activities for the six months ended June 30, 2003 of $76.5 million is attributable to:</w:t>
      </w:r>
    </w:p>
    <w:p>
      <w:pPr>
        <w:spacing w:after="0" w:line="7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$15.6 million for the acquisition of South Valley Shopping Center and Mount Vernon Plaza;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$87.5 million for the development of Santana Row, offset by insurance proceeds received of $51.4 million;</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$23.8 million of capital expenditures relating to improvements to common areas, tenant work, restaurant joint venture investments and various redevelopments including the Congressional Apartments in Rockville, Maryland, the redevelopment of retail buildings in San Antonio, Texas and the redevelopment of our Bethesda Row project in Bethesda, Maryland;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 million of additional mortgage notes made to existing borrowers; offset by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 million in net sale proceeds from 4929 Bethesda Avenue.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cash provided by operating activities for the six months ended June 30, 2003 of $58.5 million is entirely attributable to property operations.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provided by financing activities for the six months ended June 30, 2003 of $13.5 million is attributable to:</w:t>
      </w:r>
    </w:p>
    <w:p>
      <w:pPr>
        <w:spacing w:after="0" w:line="7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$136.0 million of net proceeds under our credit facility;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$98.6 million of net proceeds received from the issuance of 3.2 million common shares in a public offering; and</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$49.7 million of net proceeds received from the issuance of common shares under our dividend reinvestment plan and exercise of common stock options.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cash provided by financing activities was partially offset by:</w:t>
      </w:r>
    </w:p>
    <w:p>
      <w:pPr>
        <w:spacing w:after="0" w:line="77"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$100.0 million redemption of our Series A Preferred Shares;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459" w:right="3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$75.0 million repayment of our 5 ¼% Convertible Subordinated Debentures;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$52.4 million of distributions to shareholders;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$41.5 million payoff and retirement of the Woodmont East construction loan and the Friendship Center mortgage;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$500,000 of principal payments on mortgages, capital leases and notes payable;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$1.4 million decrease in minority interest.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2003, we had total debt outstanding of $1.1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June 30, 2003 and 2002 (dollars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Original</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Principal Balance</w:t>
            </w: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Principal Balance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49"/>
        </w:trPr>
        <w:tc>
          <w:tcPr>
            <w:tcW w:w="15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Debt Issued</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as of</w:t>
            </w: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as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74"/>
        </w:trPr>
        <w:tc>
          <w:tcPr>
            <w:tcW w:w="1540" w:type="dxa"/>
            <w:vAlign w:val="bottom"/>
          </w:tcPr>
          <w:p>
            <w:pPr>
              <w:spacing w:after="0"/>
              <w:rPr>
                <w:sz w:val="20"/>
                <w:szCs w:val="20"/>
                <w:color w:val="auto"/>
              </w:rPr>
            </w:pPr>
            <w:r>
              <w:rPr>
                <w:rFonts w:ascii="Arial" w:cs="Arial" w:eastAsia="Arial" w:hAnsi="Arial"/>
                <w:sz w:val="14"/>
                <w:szCs w:val="14"/>
                <w:b w:val="1"/>
                <w:bCs w:val="1"/>
                <w:color w:val="auto"/>
              </w:rPr>
              <w:t>Description of Debt</w:t>
            </w:r>
          </w:p>
        </w:tc>
        <w:tc>
          <w:tcPr>
            <w:tcW w:w="266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or Available</w:t>
            </w: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June 30, 2003</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June 30, 2002</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June 30, 2003</w:t>
            </w:r>
          </w:p>
        </w:tc>
        <w:tc>
          <w:tcPr>
            <w:tcW w:w="420" w:type="dxa"/>
            <w:vAlign w:val="bottom"/>
          </w:tcPr>
          <w:p>
            <w:pPr>
              <w:spacing w:after="0"/>
              <w:rPr>
                <w:sz w:val="15"/>
                <w:szCs w:val="15"/>
                <w:color w:val="auto"/>
              </w:rPr>
            </w:pPr>
          </w:p>
        </w:tc>
        <w:tc>
          <w:tcPr>
            <w:tcW w:w="1580" w:type="dxa"/>
            <w:vAlign w:val="bottom"/>
          </w:tcPr>
          <w:p>
            <w:pPr>
              <w:ind w:left="380"/>
              <w:spacing w:after="0"/>
              <w:rPr>
                <w:sz w:val="20"/>
                <w:szCs w:val="20"/>
                <w:color w:val="auto"/>
              </w:rPr>
            </w:pPr>
            <w:r>
              <w:rPr>
                <w:rFonts w:ascii="Arial" w:cs="Arial" w:eastAsia="Arial" w:hAnsi="Arial"/>
                <w:sz w:val="14"/>
                <w:szCs w:val="14"/>
                <w:b w:val="1"/>
                <w:bCs w:val="1"/>
                <w:color w:val="auto"/>
              </w:rPr>
              <w:t>Maturity Date</w:t>
            </w:r>
          </w:p>
        </w:tc>
      </w:tr>
      <w:tr>
        <w:trPr>
          <w:trHeight w:val="95"/>
        </w:trPr>
        <w:tc>
          <w:tcPr>
            <w:tcW w:w="154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Mortgage and Construction Loans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i w:val="1"/>
                <w:iCs w:val="1"/>
                <w:color w:val="auto"/>
              </w:rPr>
              <w:t>Secured Fixed Rate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Leesburg Plaza (1)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9,900</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6.510%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164 E. Houston Street (2)</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345</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287</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7.500%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8"/>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Plaza (3)</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36,500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36,113</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6.750%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6"/>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Tysons Station (4)</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7,000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6,916</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7.400%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4"/>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Barracks Road (5)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44,300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Hauppauge (6)</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16,700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16,700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7.950%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Lawrence Park (7)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31,400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Wildwood (8)</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27,600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27,600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7.950%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Wynnewood (9)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32,000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7.950%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Brick Plaza (10)</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33,000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7.415%</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Mount Vernon (11)</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13,250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5.660%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i w:val="1"/>
                <w:iCs w:val="1"/>
                <w:color w:val="auto"/>
              </w:rPr>
              <w:t>Secured Variable Rate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Woodmont East Construction (12)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24,500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Libor + 1.20%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August 29,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Friendship Center (12)</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17,000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Libor + 1.35%</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September 22,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Santana Row Construction (13)</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295,000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130,727</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Libor + 2.125%</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April 16, 2004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Mortgage and Construction Loans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250,904</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410,234</w:t>
            </w: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note with banks (14)</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125,000</w:t>
            </w: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6.22%</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December 19,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Perring Plaza Renovation (15)</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3,087</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2,329</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10.00%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295</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Various</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i w:val="1"/>
                <w:iCs w:val="1"/>
                <w:color w:val="auto"/>
              </w:rPr>
              <w:t>Unsecured Variable Rate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Escondido (Municipal Bonds) (16)</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9,400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3.060%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8"/>
              </w:rPr>
              <w:t>October 1, 2016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Revolving credit facilities (17)</w:t>
            </w:r>
          </w:p>
        </w:tc>
        <w:tc>
          <w:tcPr>
            <w:tcW w:w="42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w w:val="86"/>
              </w:rPr>
              <w:t>300,000</w:t>
            </w:r>
          </w:p>
        </w:tc>
        <w:tc>
          <w:tcPr>
            <w:tcW w:w="13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207,000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Libor + .80%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December 19, 2003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Notes Payable</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343,625</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180,774</w:t>
            </w: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8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200"/>
              <w:spacing w:after="0"/>
              <w:rPr>
                <w:sz w:val="20"/>
                <w:szCs w:val="20"/>
                <w:color w:val="auto"/>
              </w:rPr>
            </w:pPr>
            <w:r>
              <w:rPr>
                <w:rFonts w:ascii="Arial" w:cs="Arial" w:eastAsia="Arial" w:hAnsi="Arial"/>
                <w:sz w:val="18"/>
                <w:szCs w:val="18"/>
                <w:i w:val="1"/>
                <w:iCs w:val="1"/>
                <w:color w:val="auto"/>
              </w:rPr>
              <w:t>Unsecured Fixed Rate</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5.25% Convertible Subordinated Debentures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75,000</w:t>
            </w:r>
          </w:p>
        </w:tc>
        <w:tc>
          <w:tcPr>
            <w:tcW w:w="130" w:type="dxa"/>
            <w:vAlign w:val="bottom"/>
            <w:shd w:val="clear" w:color="auto" w:fill="CCEEFF"/>
          </w:tcPr>
          <w:p>
            <w:pPr>
              <w:spacing w:after="0"/>
              <w:rPr>
                <w:sz w:val="19"/>
                <w:szCs w:val="19"/>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5.250%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October 28,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6.74% Medium Term Notes (19) (20)</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39,500</w:t>
            </w:r>
          </w:p>
        </w:tc>
        <w:tc>
          <w:tcPr>
            <w:tcW w:w="13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tcPr>
          <w:p>
            <w:pPr>
              <w:jc w:val="right"/>
              <w:spacing w:after="0"/>
              <w:rPr>
                <w:sz w:val="20"/>
                <w:szCs w:val="20"/>
                <w:color w:val="auto"/>
              </w:rPr>
            </w:pPr>
            <w:r>
              <w:rPr>
                <w:rFonts w:ascii="Arial" w:cs="Arial" w:eastAsia="Arial" w:hAnsi="Arial"/>
                <w:sz w:val="18"/>
                <w:szCs w:val="18"/>
                <w:color w:val="auto"/>
              </w:rPr>
              <w:t>39,500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6.370%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March 10,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6.625% Notes (19)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40,000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6.625%</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6.99% Medium Term Notes (19) (21)</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40,500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40,500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6.894%</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6.125% Notes (19) (22)</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150,000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6.325%</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7"/>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8.75% Notes (19)</w:t>
            </w:r>
          </w:p>
        </w:tc>
        <w:tc>
          <w:tcPr>
            <w:tcW w:w="420" w:type="dxa"/>
            <w:vAlign w:val="bottom"/>
          </w:tcPr>
          <w:p>
            <w:pPr>
              <w:spacing w:after="0"/>
              <w:rPr>
                <w:sz w:val="18"/>
                <w:szCs w:val="18"/>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w w:val="86"/>
              </w:rPr>
              <w:t>175,000</w:t>
            </w:r>
          </w:p>
        </w:tc>
        <w:tc>
          <w:tcPr>
            <w:tcW w:w="130" w:type="dxa"/>
            <w:vAlign w:val="bottom"/>
          </w:tcPr>
          <w:p>
            <w:pPr>
              <w:spacing w:after="0"/>
              <w:rPr>
                <w:sz w:val="18"/>
                <w:szCs w:val="18"/>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8.750%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7.48% Debentures (19)(23)</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50,000</w:t>
            </w:r>
          </w:p>
        </w:tc>
        <w:tc>
          <w:tcPr>
            <w:tcW w:w="130" w:type="dxa"/>
            <w:vAlign w:val="bottom"/>
            <w:shd w:val="clear" w:color="auto" w:fill="CCEEFF"/>
          </w:tcPr>
          <w:p>
            <w:pPr>
              <w:spacing w:after="0"/>
              <w:rPr>
                <w:sz w:val="18"/>
                <w:szCs w:val="18"/>
                <w:color w:val="auto"/>
              </w:rPr>
            </w:pP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9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7.480%</w:t>
            </w:r>
          </w:p>
        </w:tc>
        <w:tc>
          <w:tcPr>
            <w:tcW w:w="17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89"/>
              </w:rPr>
              <w:t>August 15, 2026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6.82% Medium Term Notes (19)(24)</w:t>
            </w:r>
          </w:p>
        </w:tc>
        <w:tc>
          <w:tcPr>
            <w:tcW w:w="420" w:type="dxa"/>
            <w:vAlign w:val="bottom"/>
          </w:tcPr>
          <w:p>
            <w:pPr>
              <w:spacing w:after="0"/>
              <w:rPr>
                <w:sz w:val="19"/>
                <w:szCs w:val="19"/>
                <w:color w:val="auto"/>
              </w:rPr>
            </w:pPr>
          </w:p>
        </w:tc>
        <w:tc>
          <w:tcPr>
            <w:tcW w:w="1000" w:type="dxa"/>
            <w:vAlign w:val="bottom"/>
          </w:tcPr>
          <w:p>
            <w:pPr>
              <w:jc w:val="right"/>
              <w:ind w:right="332"/>
              <w:spacing w:after="0"/>
              <w:rPr>
                <w:sz w:val="20"/>
                <w:szCs w:val="20"/>
                <w:color w:val="auto"/>
              </w:rPr>
            </w:pPr>
            <w:r>
              <w:rPr>
                <w:rFonts w:ascii="Arial" w:cs="Arial" w:eastAsia="Arial" w:hAnsi="Arial"/>
                <w:sz w:val="18"/>
                <w:szCs w:val="18"/>
                <w:color w:val="auto"/>
              </w:rPr>
              <w:t>40,000</w:t>
            </w:r>
          </w:p>
        </w:tc>
        <w:tc>
          <w:tcPr>
            <w:tcW w:w="130" w:type="dxa"/>
            <w:vAlign w:val="bottom"/>
          </w:tcPr>
          <w:p>
            <w:pPr>
              <w:spacing w:after="0"/>
              <w:rPr>
                <w:sz w:val="19"/>
                <w:szCs w:val="19"/>
                <w:color w:val="auto"/>
              </w:rPr>
            </w:pPr>
          </w:p>
        </w:tc>
        <w:tc>
          <w:tcPr>
            <w:tcW w:w="870" w:type="dxa"/>
            <w:vAlign w:val="bottom"/>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920" w:type="dxa"/>
            <w:vAlign w:val="bottom"/>
          </w:tcPr>
          <w:p>
            <w:pPr>
              <w:jc w:val="right"/>
              <w:ind w:right="172"/>
              <w:spacing w:after="0"/>
              <w:rPr>
                <w:sz w:val="20"/>
                <w:szCs w:val="20"/>
                <w:color w:val="auto"/>
              </w:rPr>
            </w:pPr>
            <w:r>
              <w:rPr>
                <w:rFonts w:ascii="Arial" w:cs="Arial" w:eastAsia="Arial" w:hAnsi="Arial"/>
                <w:sz w:val="18"/>
                <w:szCs w:val="18"/>
                <w:color w:val="auto"/>
              </w:rPr>
              <w:t>6.820%</w:t>
            </w:r>
          </w:p>
        </w:tc>
        <w:tc>
          <w:tcPr>
            <w:tcW w:w="1740" w:type="dxa"/>
            <w:vAlign w:val="bottom"/>
          </w:tcPr>
          <w:p>
            <w:pPr>
              <w:jc w:val="center"/>
              <w:ind w:left="72"/>
              <w:spacing w:after="0"/>
              <w:rPr>
                <w:sz w:val="20"/>
                <w:szCs w:val="20"/>
                <w:color w:val="auto"/>
              </w:rPr>
            </w:pPr>
            <w:r>
              <w:rPr>
                <w:rFonts w:ascii="Arial" w:cs="Arial" w:eastAsia="Arial" w:hAnsi="Arial"/>
                <w:sz w:val="18"/>
                <w:szCs w:val="18"/>
                <w:color w:val="auto"/>
                <w:w w:val="87"/>
              </w:rPr>
              <w:t>August 1, 2027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7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Senior Notes and Debentures</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 w:type="dxa"/>
            <w:vAlign w:val="bottom"/>
          </w:tcPr>
          <w:p>
            <w:pPr>
              <w:spacing w:after="0"/>
              <w:rPr>
                <w:sz w:val="8"/>
                <w:szCs w:val="8"/>
                <w:color w:val="auto"/>
              </w:rPr>
            </w:pPr>
          </w:p>
        </w:tc>
        <w:tc>
          <w:tcPr>
            <w:tcW w:w="87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Debt Outstanding</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1,129,529</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1,051,008</w:t>
            </w:r>
          </w:p>
        </w:tc>
        <w:tc>
          <w:tcPr>
            <w:tcW w:w="1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71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711"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$9.5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$31.7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$5.6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$35.0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$13.2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$24.8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$21.8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$25.3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with a final balloon payment at maturity of approximately $25.7 million.</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 The interest rate is fixed at 5.66% for the first ten years and then is reset to a market rate. The lender has the option to call the loan after year ten.</w:t>
      </w:r>
    </w:p>
    <w:p>
      <w:pPr>
        <w:spacing w:after="0" w:line="37"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loans require monthly interest only payments through maturity. The loans were paid off on February 11, 2003 through borrowings under the revolving credit facility.</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was repaid on November 19, 2002.</w:t>
      </w:r>
    </w:p>
    <w:p>
      <w:pPr>
        <w:spacing w:after="0" w:line="76" w:lineRule="exact"/>
        <w:rPr>
          <w:rFonts w:ascii="Arial" w:cs="Arial" w:eastAsia="Arial" w:hAnsi="Arial"/>
          <w:sz w:val="18"/>
          <w:szCs w:val="18"/>
          <w:color w:val="auto"/>
        </w:rPr>
      </w:pPr>
    </w:p>
    <w:p>
      <w:pPr>
        <w:ind w:left="460" w:right="420" w:hanging="452"/>
        <w:spacing w:after="0" w:line="325"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loan requires monthly interest only payments through maturity. This loan bears interest at LIBOR plus 95 basis points. We purchased interest rate swaps or hedges on this note, thereby locking in the LIBOR rate at 5.27%. As a result, the interest rate on this loan is currently fixed at 6.22%.</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payments of principal and interest.</w:t>
      </w:r>
    </w:p>
    <w:p>
      <w:pPr>
        <w:spacing w:after="0" w:line="76"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six months ended June 30, 2003 was 3.06%. The property is not encumbered by a lien.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34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Amounts borrowed under the facility bear interest at LIBOR plus 80 basis points. The maximum amount drawn under the facility during the first six months of 2003 was $207 million. The weighted average interest rate on borrowings under the facility for the six months ended June 30, 2003 was 2.1%.</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debentures were paid off on June 23, 2003.</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notes require semi-annual payments of interest only during their terms.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6.74% to 6.37%.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on August 15, 2008, the debentures are redeemable by the holders thereof at the original purchase price.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w:t>
      </w:r>
    </w:p>
    <w:p>
      <w:pPr>
        <w:spacing w:after="0" w:line="99" w:lineRule="exact"/>
        <w:rPr>
          <w:rFonts w:ascii="Arial" w:cs="Arial" w:eastAsia="Arial" w:hAnsi="Arial"/>
          <w:sz w:val="18"/>
          <w:szCs w:val="18"/>
          <w:color w:val="auto"/>
        </w:rPr>
      </w:pPr>
    </w:p>
    <w:p>
      <w:pPr>
        <w:ind w:left="780" w:hanging="326"/>
        <w:spacing w:after="0"/>
        <w:tabs>
          <w:tab w:leader="none" w:pos="7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limit the amount of debt as a percentage of gross asset value to less than .6 to 1 (we maintained a ratio of .46 to 1 as of June 30, 2003);</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gross asset value to less than .35 to 1 (we maintained a ratio of .13 to 1 as of June 30, 2003);</w:t>
      </w:r>
    </w:p>
    <w:p>
      <w:pPr>
        <w:spacing w:after="0" w:line="126" w:lineRule="exact"/>
        <w:rPr>
          <w:rFonts w:ascii="Arial" w:cs="Arial" w:eastAsia="Arial" w:hAnsi="Arial"/>
          <w:sz w:val="16"/>
          <w:szCs w:val="16"/>
          <w:color w:val="auto"/>
        </w:rPr>
      </w:pPr>
    </w:p>
    <w:p>
      <w:pPr>
        <w:ind w:left="780" w:right="40" w:hanging="326"/>
        <w:spacing w:after="0" w:line="268"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limit the amount of debt so that our interest coverage will exceed 1.75 to 1 on a rolling four quarter basis (we maintained a ratio of 2.62 to 1 as of June 30, 2003);</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limit the amount of secured debt so that unencumbered asset value to unsecured debt will equal or exceed 1.67 to 1 (we maintained a ratio of 1.93 to 1 as of June 30, 2003); and</w:t>
      </w:r>
    </w:p>
    <w:p>
      <w:pPr>
        <w:spacing w:after="0" w:line="37" w:lineRule="exact"/>
        <w:rPr>
          <w:rFonts w:ascii="Arial" w:cs="Arial" w:eastAsia="Arial" w:hAnsi="Arial"/>
          <w:sz w:val="18"/>
          <w:szCs w:val="18"/>
          <w:color w:val="auto"/>
        </w:rPr>
      </w:pPr>
    </w:p>
    <w:p>
      <w:pPr>
        <w:ind w:left="780" w:right="600" w:hanging="326"/>
        <w:spacing w:after="0" w:line="268"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30% or less of gross asset value (the budgeted total cost of our projects under construction represented 12.4% of gross asset value as of June 30, 2003).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June 30, 2003, we were in compliance with all of the listed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June 30, 2003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35"/>
              <w:spacing w:after="0"/>
              <w:rPr>
                <w:sz w:val="20"/>
                <w:szCs w:val="20"/>
                <w:color w:val="auto"/>
              </w:rPr>
            </w:pPr>
            <w:r>
              <w:rPr>
                <w:rFonts w:ascii="Arial" w:cs="Arial" w:eastAsia="Arial" w:hAnsi="Arial"/>
                <w:sz w:val="14"/>
                <w:szCs w:val="14"/>
                <w:b w:val="1"/>
                <w:bCs w:val="1"/>
                <w:color w:val="auto"/>
                <w:w w:val="79"/>
              </w:rPr>
              <w:t>Secured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Unsecured</w:t>
            </w:r>
          </w:p>
        </w:tc>
        <w:tc>
          <w:tcPr>
            <w:tcW w:w="100" w:type="dxa"/>
            <w:vAlign w:val="bottom"/>
          </w:tcPr>
          <w:p>
            <w:pPr>
              <w:spacing w:after="0"/>
              <w:rPr>
                <w:sz w:val="15"/>
                <w:szCs w:val="15"/>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2,917</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39,652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3,515</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2008 and thereafter</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236,966</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275,865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250,904</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$878,625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1,129,529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-29210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97345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73455" cy="29845"/>
                    </a:xfrm>
                    <a:prstGeom prst="rect">
                      <a:avLst/>
                    </a:prstGeom>
                    <a:noFill/>
                  </pic:spPr>
                </pic:pic>
              </a:graphicData>
            </a:graphic>
          </wp:anchor>
        </w:drawing>
      </w:r>
    </w:p>
    <w:p>
      <w:pPr>
        <w:spacing w:after="0" w:line="22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organizational documents do not limit the level or amount of debt that we may incur. Also see “Liquidity Requirements” in this section regarding management’s plans with respect to debt maturing in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11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During 2001, to hedge our exposure to interest rates on our $125 million term loan, we entered into interest rate swaps, which fixed the LIBOR interest rate on the term loan at 5.27%. The current interest rate on the term loan is LIBOR plus 95 basis points, thus fixing the interest rate at 6.22% on notional amounts totaling $125 million. We are exposed to credit loss in the event of non-performance by the counterparties to the interest rate protection agreement should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interest rates exceed the cap. However, management does not anticipate non-performance by the counterparties. The counterparties have long-term debt ratings of A- or above by Standard and Poor’s Ratings Service (“S&amp;P”) and Aa2 or above by Moody’s Investors Service (“Moody’s”). Although our cap is not exchange 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 the swaps at their fair value is recorded as a component of other comprehensive income within shareholders’ equity and either a derivative instrument asset or liability is recorded on the balance sheet. At June 30, 2003, a cumulative unrealized loss of $2.4 million, representing the difference between the current market value and the 6.22% fixed interest rate on the swap, was recorded in other comprehensive income with a corresponding derivative liability on the balance sheet. Interest expense of approximately $2.4 million will be reclassified from other comprehensive income into current earnings during the remainder 2003 to bring the effective interest rate up to 6.22%.</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Requirements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Short-term liquidity requirements consist primarily of obligations under capital and operating leases, normal recurring operating expenses, regular debt service requirements (including debt service relating to additional or replacement debt, as well as scheduled debt maturities), recurring corporate expenditures, non-recurring corporate expenditures (such as tenant improvements and redevelopments) and dividends to common and preferred shareholders. Included in short-term liquidity requirements as of June 30, 2003 is $332 million that represents our revolving credit facility and our term loan which mature on December 19, 2003, which we plan to renew. Overall capital requirements in 2003 will depend upon acquisition opportunities, the level of improvements and redevelopments on existing properties and the timing and cost of future phases of Santana Row. We expect to fund our capital requirements, as well as our development and redevelopment costs, acquisitions and normal recurring operating costs through a combination of cash provided by operating activities, borrowings under our credit facility and other funding sources which may consist of additional and replacement debt, both secured and unsecured, additional equity, joint venture relationships and property dispositions.</w:t>
      </w:r>
    </w:p>
    <w:p>
      <w:pPr>
        <w:spacing w:after="0" w:line="10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780" w:right="10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our debt instruments or outstanding equity may prohibit us from incurring debt or issuing equity at all, or on terms available under then-prevailing market conditions;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REIT Qualification</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historically reported our FFO in addition to our net income and net cash provided by operating activities. FFO is a supplemental non-GAAP financial measure of real estate companies’ operating performance. The National Association of Real Estate 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21" w:lineRule="exact"/>
        <w:rPr>
          <w:sz w:val="20"/>
          <w:szCs w:val="20"/>
          <w:color w:val="auto"/>
        </w:rPr>
      </w:pPr>
    </w:p>
    <w:p>
      <w:pPr>
        <w:ind w:left="78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pay dividends.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An increase or decrease in FFO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Therefore, a significant increase in FFO will generally require an increase in distributions to shareholders although not necessarily on a proportionate basis.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available for common shareholders to funds from operations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For the Six Months</w:t>
            </w:r>
          </w:p>
        </w:tc>
        <w:tc>
          <w:tcPr>
            <w:tcW w:w="120" w:type="dxa"/>
            <w:vAlign w:val="bottom"/>
          </w:tcPr>
          <w:p>
            <w:pPr>
              <w:spacing w:after="0"/>
              <w:rPr>
                <w:sz w:val="14"/>
                <w:szCs w:val="14"/>
                <w:color w:val="auto"/>
              </w:rPr>
            </w:pPr>
          </w:p>
        </w:tc>
        <w:tc>
          <w:tcPr>
            <w:tcW w:w="16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5"/>
                <w:szCs w:val="15"/>
                <w:color w:val="auto"/>
              </w:rPr>
            </w:pPr>
          </w:p>
        </w:tc>
        <w:tc>
          <w:tcPr>
            <w:tcW w:w="16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7"/>
              </w:rPr>
              <w:t>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81"/>
              <w:spacing w:after="0"/>
              <w:rPr>
                <w:sz w:val="20"/>
                <w:szCs w:val="20"/>
                <w:color w:val="auto"/>
              </w:rPr>
            </w:pPr>
            <w:r>
              <w:rPr>
                <w:rFonts w:ascii="Arial" w:cs="Arial" w:eastAsia="Arial" w:hAnsi="Arial"/>
                <w:sz w:val="14"/>
                <w:szCs w:val="14"/>
                <w:b w:val="1"/>
                <w:bCs w:val="1"/>
                <w:color w:val="auto"/>
                <w:w w:val="96"/>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22"/>
                <w:szCs w:val="22"/>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 basic</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$ 25,156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24,292</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$ 13,636</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(9,454)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32,161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29,058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2,371</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for common shareholders</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$ 59,953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46,781</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$ 31,075</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used to Compute diluted FFO per share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46,876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41,568</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48,376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0.64</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EBITDA</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460" w:type="dxa"/>
            <w:vAlign w:val="bottom"/>
          </w:tcPr>
          <w:p>
            <w:pPr>
              <w:jc w:val="right"/>
              <w:ind w:right="112"/>
              <w:spacing w:after="0"/>
              <w:rPr>
                <w:sz w:val="20"/>
                <w:szCs w:val="20"/>
                <w:color w:val="auto"/>
              </w:rPr>
            </w:pPr>
            <w:r>
              <w:rPr>
                <w:rFonts w:ascii="Arial" w:cs="Arial" w:eastAsia="Arial" w:hAnsi="Arial"/>
                <w:sz w:val="18"/>
                <w:szCs w:val="18"/>
                <w:color w:val="auto"/>
                <w:w w:val="95"/>
              </w:rPr>
              <w:t>The reconciliation of EBITDA, adjusted for discontinued operations, to net income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88"/>
              </w:rPr>
              <w:t>For the Six</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9"/>
              </w:rPr>
              <w:t>For the 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121"/>
              <w:spacing w:after="0"/>
              <w:rPr>
                <w:sz w:val="20"/>
                <w:szCs w:val="20"/>
                <w:color w:val="auto"/>
              </w:rPr>
            </w:pPr>
            <w:r>
              <w:rPr>
                <w:rFonts w:ascii="Arial" w:cs="Arial" w:eastAsia="Arial" w:hAnsi="Arial"/>
                <w:sz w:val="14"/>
                <w:szCs w:val="14"/>
                <w:b w:val="1"/>
                <w:bCs w:val="1"/>
                <w:color w:val="auto"/>
                <w:w w:val="83"/>
              </w:rPr>
              <w:t>2003</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2002</w:t>
            </w:r>
          </w:p>
        </w:tc>
        <w:tc>
          <w:tcPr>
            <w:tcW w:w="420" w:type="dxa"/>
            <w:vAlign w:val="bottom"/>
          </w:tcPr>
          <w:p>
            <w:pPr>
              <w:spacing w:after="0"/>
              <w:rPr>
                <w:sz w:val="22"/>
                <w:szCs w:val="22"/>
                <w:color w:val="auto"/>
              </w:rPr>
            </w:pPr>
          </w:p>
        </w:tc>
        <w:tc>
          <w:tcPr>
            <w:tcW w:w="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34,502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34,004</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$ 18,126</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35,575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32,030</w:t>
            </w:r>
          </w:p>
        </w:tc>
        <w:tc>
          <w:tcPr>
            <w:tcW w:w="4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18,126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35,831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31,776</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(9,454)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(551)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(19,101)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680" w:type="dxa"/>
            <w:vAlign w:val="bottom"/>
            <w:gridSpan w:val="4"/>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3"/>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2"/>
              </w:rPr>
              <w:t>$ 105,357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88,356</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$ 53,953</w:t>
            </w:r>
          </w:p>
        </w:tc>
        <w:tc>
          <w:tcPr>
            <w:tcW w:w="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8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-3233420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-3233420</wp:posOffset>
            </wp:positionV>
            <wp:extent cx="2159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-3233420</wp:posOffset>
            </wp:positionV>
            <wp:extent cx="3873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-3233420</wp:posOffset>
            </wp:positionV>
            <wp:extent cx="4070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-3233420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-3233420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-3233420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-3233420</wp:posOffset>
            </wp:positionV>
            <wp:extent cx="45021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-2795905</wp:posOffset>
            </wp:positionV>
            <wp:extent cx="40703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-2795905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-2795905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-2795905</wp:posOffset>
            </wp:positionV>
            <wp:extent cx="3873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-2795905</wp:posOffset>
            </wp:positionV>
            <wp:extent cx="4070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-2795905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-2795905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-2795905</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-2495550</wp:posOffset>
            </wp:positionV>
            <wp:extent cx="240538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0538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its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its variable rate debt.</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interest rate risk is most sensitive to fluctuations in interest rates on our variable rate debt. At June 30, 2003, we had $216.4 million of variable rate debt. Based upon this balance of variable operating debt, if interest rates increased 1%, our earnings and cash flows for the year would decrease by approximately $2.2 million. If interest rates decreased 1%, our earnings and cash flows for the year would increase by approximately $2.2 million. We believe that the change in the fair value of our financial instruments resulting from a foreseeable fluctuation in interest rates would be immaterial to our total assets and total liabilities.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use derivative financial instruments to convert a portion of our variable rate debt to fixed rate debt and to manage our fixed to variable rate debt ratio. A description of these derivative financial instruments is contained in “Item 2. Interest Rate Hedging” and is incorporated by reference into this Item 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 closely on the definition of “disclosure controls and procedures” in Rule 13a-15(e)4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0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On June 30, 2003, we carried out an evaluation, under the supervision and with the participation of our management, including our President and Chief Executive Officer and our Senior Vice President and Chief Financial Officer, of the effectiveness of our design and operation of our disclosure controls and procedures. Based on the foregoing, the President and Chief Executive Officer and our Senior Vice President and Chief Financial Officer concluded that our disclosure controls and procedures were effective.</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three months ended June 30, 2003, there were no changes in our internal control over financial reporting or in other factors that has materially affected, or is reasonably likely to materially affect our internal control for financial reporting.</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Changes in Securities</w:t>
      </w:r>
    </w:p>
    <w:p>
      <w:pPr>
        <w:spacing w:after="0" w:line="7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April 3, 2003 we issued 64,952 of our common shares valued at $1.9 million in exchange for 64,952 operating units that were initially issued in August 1998 in connection with our acquisition of a shopping center. The shares were issued in a private offering in reliance upon an exemption from the registration requirements of the federal securities laws pursuant to Section 4(2) of the Securities Act of 1933.</w:t>
      </w:r>
    </w:p>
    <w:p>
      <w:pPr>
        <w:spacing w:after="0" w:line="12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Vote to Security Holders</w:t>
      </w:r>
    </w:p>
    <w:p>
      <w:pPr>
        <w:spacing w:after="0" w:line="77"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At the 2003 Annual Meeting of Shareholders on May 7, 2003 the Shareholders elected Ms. Amy B. Lane, Mr. Walter F. Loeb and Mr. Joseph S. Vassalluzzo as trustees, to serve for the ensuing three years. Holders of 28.4 million shares, 29.7 million shares and 28.6 million shares voted for each trustee, respectively and holders of 1.4 million shares, 200,000 shares and 1.3 million shares withheld their votes for each trustee, respectively.</w:t>
      </w:r>
    </w:p>
    <w:p>
      <w:pPr>
        <w:spacing w:after="0" w:line="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 and Reports on Form 8-K</w:t>
      </w:r>
    </w:p>
    <w:p>
      <w:pPr>
        <w:spacing w:after="0" w:line="77" w:lineRule="exact"/>
        <w:rPr>
          <w:sz w:val="20"/>
          <w:szCs w:val="20"/>
          <w:color w:val="auto"/>
        </w:rPr>
      </w:pPr>
    </w:p>
    <w:p>
      <w:pPr>
        <w:ind w:left="1360" w:hanging="447"/>
        <w:spacing w:after="0"/>
        <w:tabs>
          <w:tab w:leader="none" w:pos="1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sz w:val="20"/>
          <w:szCs w:val="20"/>
          <w:color w:val="auto"/>
        </w:rPr>
      </w:pPr>
    </w:p>
    <w:p>
      <w:pPr>
        <w:ind w:left="1360" w:hanging="44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Rule 13a-14(a)/15d-14(a) Certifications of Chief Executive Officer and Chief Financial Officer (filed herewith).</w:t>
      </w:r>
    </w:p>
    <w:p>
      <w:pPr>
        <w:spacing w:after="0" w:line="151" w:lineRule="exact"/>
        <w:rPr>
          <w:rFonts w:ascii="Arial" w:cs="Arial" w:eastAsia="Arial" w:hAnsi="Arial"/>
          <w:sz w:val="18"/>
          <w:szCs w:val="18"/>
          <w:color w:val="auto"/>
        </w:rPr>
      </w:pPr>
    </w:p>
    <w:p>
      <w:pPr>
        <w:ind w:left="1360" w:hanging="447"/>
        <w:spacing w:after="0"/>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1350 Certifications of Chief Executive Office and Chief Financial Officer (filed herewith).</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80"/>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60" w:hanging="447"/>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77" w:lineRule="exact"/>
        <w:rPr>
          <w:sz w:val="20"/>
          <w:szCs w:val="20"/>
          <w:color w:val="auto"/>
        </w:rPr>
      </w:pPr>
    </w:p>
    <w:p>
      <w:pPr>
        <w:ind w:left="1500" w:right="600"/>
        <w:spacing w:after="0" w:line="268" w:lineRule="auto"/>
        <w:rPr>
          <w:sz w:val="20"/>
          <w:szCs w:val="20"/>
          <w:color w:val="auto"/>
        </w:rPr>
      </w:pPr>
      <w:r>
        <w:rPr>
          <w:rFonts w:ascii="Arial" w:cs="Arial" w:eastAsia="Arial" w:hAnsi="Arial"/>
          <w:sz w:val="18"/>
          <w:szCs w:val="18"/>
          <w:color w:val="auto"/>
        </w:rPr>
        <w:t>A Form 8-K, dated May 23, 2003 was filed on May 29, 2003 in response to Items 5 and 7 announcing the redemption of our 5 ¼% Convertible Subordinated Debentures due 2003.</w:t>
      </w:r>
    </w:p>
    <w:p>
      <w:pPr>
        <w:spacing w:after="0" w:line="37" w:lineRule="exact"/>
        <w:rPr>
          <w:sz w:val="20"/>
          <w:szCs w:val="20"/>
          <w:color w:val="auto"/>
        </w:rPr>
      </w:pPr>
    </w:p>
    <w:p>
      <w:pPr>
        <w:ind w:left="1500"/>
        <w:spacing w:after="0" w:line="268" w:lineRule="auto"/>
        <w:rPr>
          <w:sz w:val="20"/>
          <w:szCs w:val="20"/>
          <w:color w:val="auto"/>
        </w:rPr>
      </w:pPr>
      <w:r>
        <w:rPr>
          <w:rFonts w:ascii="Arial" w:cs="Arial" w:eastAsia="Arial" w:hAnsi="Arial"/>
          <w:sz w:val="18"/>
          <w:szCs w:val="18"/>
          <w:color w:val="auto"/>
        </w:rPr>
        <w:t>A Form 8-K, dated May 14, 2003 was filed on May 15, 2003 in response to Items 5 and 7 to file a press release announcing the redemption of our 7.95% Series A preferred shares.</w:t>
      </w:r>
    </w:p>
    <w:p>
      <w:pPr>
        <w:spacing w:after="0" w:line="37" w:lineRule="exact"/>
        <w:rPr>
          <w:sz w:val="20"/>
          <w:szCs w:val="20"/>
          <w:color w:val="auto"/>
        </w:rPr>
      </w:pPr>
    </w:p>
    <w:p>
      <w:pPr>
        <w:ind w:left="1500" w:right="40"/>
        <w:spacing w:after="0" w:line="268" w:lineRule="auto"/>
        <w:rPr>
          <w:sz w:val="20"/>
          <w:szCs w:val="20"/>
          <w:color w:val="auto"/>
        </w:rPr>
      </w:pPr>
      <w:r>
        <w:rPr>
          <w:rFonts w:ascii="Arial" w:cs="Arial" w:eastAsia="Arial" w:hAnsi="Arial"/>
          <w:sz w:val="18"/>
          <w:szCs w:val="18"/>
          <w:color w:val="auto"/>
        </w:rPr>
        <w:t>A Form 8-K, dated May 9, 2003 was filed on May 13, 2003 in response to Item 7 to file exhibits in connection with an underwritten public offering of our common shares under our registration statement on Form S-3 (No. 333-100819).</w:t>
      </w:r>
    </w:p>
    <w:p>
      <w:pPr>
        <w:spacing w:after="0" w:line="37" w:lineRule="exact"/>
        <w:rPr>
          <w:sz w:val="20"/>
          <w:szCs w:val="20"/>
          <w:color w:val="auto"/>
        </w:rPr>
      </w:pPr>
    </w:p>
    <w:p>
      <w:pPr>
        <w:ind w:left="1500" w:right="40"/>
        <w:spacing w:after="0" w:line="268" w:lineRule="auto"/>
        <w:rPr>
          <w:sz w:val="20"/>
          <w:szCs w:val="20"/>
          <w:color w:val="auto"/>
        </w:rPr>
      </w:pPr>
      <w:r>
        <w:rPr>
          <w:rFonts w:ascii="Arial" w:cs="Arial" w:eastAsia="Arial" w:hAnsi="Arial"/>
          <w:sz w:val="18"/>
          <w:szCs w:val="18"/>
          <w:color w:val="auto"/>
        </w:rPr>
        <w:t>A Form 8-K, dated March 31, 2003 was filed on May 7, 2003 in response to Items 7 and 12 to file a press release announcing our financial results for the quarter ended March 31, 2003 and to file supplemental information related thereto.</w:t>
      </w: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459"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Trustee</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Accounting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40"/>
          </w:cols>
          <w:pgMar w:left="240" w:top="459" w:right="11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p>
      <w:pPr>
        <w:ind w:left="1120" w:hanging="5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1120" w:hanging="545"/>
        <w:spacing w:after="0"/>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Rule 13a-14(a)/15d-14(a) Certifications of Chief Executive Officer and Chief Financial Officer (filed herewith).</w:t>
      </w:r>
    </w:p>
    <w:p>
      <w:pPr>
        <w:spacing w:after="0" w:line="180" w:lineRule="exact"/>
        <w:rPr>
          <w:rFonts w:ascii="Arial" w:cs="Arial" w:eastAsia="Arial" w:hAnsi="Arial"/>
          <w:sz w:val="16"/>
          <w:szCs w:val="16"/>
          <w:color w:val="auto"/>
        </w:rPr>
      </w:pPr>
    </w:p>
    <w:p>
      <w:pPr>
        <w:ind w:left="1120" w:hanging="545"/>
        <w:spacing w:after="0"/>
        <w:tabs>
          <w:tab w:leader="none" w:pos="1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1350 Certifications of Chief Executive Office and Chief Financial Officer (filed herewith).</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15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57"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13a-15(e)4 and 15d-15(e)) for the registrant and have:</w:t>
      </w:r>
    </w:p>
    <w:p>
      <w:pPr>
        <w:spacing w:after="0" w:line="37"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460" w:right="640" w:hanging="452"/>
        <w:spacing w:after="0" w:line="325"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Trustee</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158"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15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2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13a-15(e)4 and 15d-15(e)) for the registrant and have:</w:t>
      </w:r>
    </w:p>
    <w:p>
      <w:pPr>
        <w:spacing w:after="0" w:line="37"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60" w:hanging="446"/>
        <w:spacing w:after="0" w:line="325"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2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1" w:lineRule="exact"/>
        <w:rPr>
          <w:rFonts w:ascii="Arial" w:cs="Arial" w:eastAsia="Arial" w:hAnsi="Arial"/>
          <w:sz w:val="16"/>
          <w:szCs w:val="16"/>
          <w:color w:val="auto"/>
        </w:rPr>
      </w:pPr>
    </w:p>
    <w:p>
      <w:pPr>
        <w:ind w:left="460" w:right="580" w:hanging="452"/>
        <w:spacing w:after="0" w:line="32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360"/>
          </w:cols>
          <w:pgMar w:left="240" w:top="274" w:right="2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ending June 30, 2003, (the “Report”). The undersigned hereby certifies that:</w:t>
      </w:r>
    </w:p>
    <w:p>
      <w:pPr>
        <w:spacing w:after="0" w:line="127"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Chief Executive Officer and Trustee</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6" w:name="page57"/>
    <w:bookmarkEnd w:id="56"/>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ending June 30, 2003 (the “Report”). The undersigned hereby certifies that:</w:t>
      </w:r>
    </w:p>
    <w:p>
      <w:pPr>
        <w:spacing w:after="0" w:line="12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6620" w:val="left"/>
          <w:tab w:leader="none" w:pos="6960" w:val="left"/>
        </w:tabs>
        <w:rPr>
          <w:sz w:val="20"/>
          <w:szCs w:val="20"/>
          <w:color w:val="auto"/>
        </w:rPr>
      </w:pPr>
      <w:r>
        <w:rPr>
          <w:rFonts w:ascii="Arial" w:cs="Arial" w:eastAsia="Arial" w:hAnsi="Arial"/>
          <w:sz w:val="18"/>
          <w:szCs w:val="18"/>
          <w:color w:val="auto"/>
        </w:rPr>
        <w:t>July 30, 2003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80010</wp:posOffset>
            </wp:positionV>
            <wp:extent cx="303593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1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Larry E. Finger</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7"/>
    </w:lvl>
    <w:lvl w:ilvl="1">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upperLetter"/>
      <w:start w:val="1"/>
    </w:lvl>
  </w:abstractNum>
  <w:abstractNum w:abstractNumId="33">
    <w:nsid w:val="7724C67E"/>
    <w:multiLevelType w:val="hybridMultilevel"/>
    <w:lvl w:ilvl="0">
      <w:lvlJc w:val="left"/>
      <w:lvlText w:val="(%1)"/>
      <w:numFmt w:val="decimal"/>
      <w:start w:val="31"/>
    </w:lvl>
  </w:abstractNum>
  <w:abstractNum w:abstractNumId="34">
    <w:nsid w:val="5C482A97"/>
    <w:multiLevelType w:val="hybridMultilevel"/>
    <w:lvl w:ilvl="0">
      <w:lvlJc w:val="left"/>
      <w:lvlText w:val="(%1)"/>
      <w:numFmt w:val="upperLetter"/>
      <w:start w:val="2"/>
    </w:lvl>
  </w:abstractNum>
  <w:abstractNum w:abstractNumId="35">
    <w:nsid w:val="2463B9EA"/>
    <w:multiLevelType w:val="hybridMultilevel"/>
    <w:lvl w:ilvl="0">
      <w:lvlJc w:val="left"/>
      <w:lvlText w:val="(%1)"/>
      <w:numFmt w:val="upperLetter"/>
      <w:start w:val="1"/>
    </w:lvl>
  </w:abstractNum>
  <w:abstractNum w:abstractNumId="36">
    <w:nsid w:val="5E884ADC"/>
    <w:multiLevelType w:val="hybridMultilevel"/>
    <w:lvl w:ilvl="0">
      <w:lvlJc w:val="left"/>
      <w:lvlText w:val="(%1)"/>
      <w:numFmt w:val="decimal"/>
      <w:start w:val="3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2019-12-13T00:57:57Z</dcterms:created>
  <dcterms:modified xsi:type="dcterms:W3CDTF">2019-12-13T00:57:57Z</dcterms:modified>
</cp:coreProperties>
</file>