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 Inc.</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ind w:left="3060"/>
        <w:spacing w:after="0" w:line="237" w:lineRule="auto"/>
        <w:rPr>
          <w:sz w:val="20"/>
          <w:szCs w:val="20"/>
          <w:color w:val="auto"/>
        </w:rPr>
      </w:pPr>
      <w:r>
        <w:rPr>
          <w:rFonts w:ascii="Courier New" w:cs="Courier New" w:eastAsia="Courier New" w:hAnsi="Courier New"/>
          <w:sz w:val="18"/>
          <w:szCs w:val="18"/>
          <w:color w:val="auto"/>
        </w:rPr>
        <w:t>PREFERRED STOCK SERIES B</w:t>
      </w:r>
    </w:p>
    <w:p>
      <w:pPr>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313747503</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31, 2004</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220" w:right="8219" w:hanging="1"/>
        <w:spacing w:after="0" w:line="279" w:lineRule="auto"/>
        <w:tabs>
          <w:tab w:leader="none" w:pos="64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313747503</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 OF 5 PAGES</w:t>
      </w:r>
    </w:p>
    <w:p>
      <w:pPr>
        <w:spacing w:after="0" w:line="200" w:lineRule="exact"/>
        <w:rPr>
          <w:sz w:val="24"/>
          <w:szCs w:val="24"/>
          <w:color w:val="auto"/>
        </w:rPr>
      </w:pPr>
    </w:p>
    <w:p>
      <w:pPr>
        <w:sectPr>
          <w:pgSz w:w="11900" w:h="16855" w:orient="portrait"/>
          <w:cols w:equalWidth="0" w:num="3">
            <w:col w:w="1280" w:space="200"/>
            <w:col w:w="3600" w:space="720"/>
            <w:col w:w="4419"/>
          </w:cols>
          <w:pgMar w:left="240" w:top="244" w:right="1440"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 of Reporting Person</w:t>
      </w:r>
    </w:p>
    <w:p>
      <w:pPr>
        <w:spacing w:after="0" w:line="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Adelante Capital Management LLC</w:t>
      </w:r>
    </w:p>
    <w:p>
      <w:pPr>
        <w:sectPr>
          <w:pgSz w:w="11900" w:h="16855"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left="1160" w:right="3999" w:hanging="99"/>
        <w:spacing w:after="0" w:line="235" w:lineRule="auto"/>
        <w:tabs>
          <w:tab w:leader="none" w:pos="1581"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I.R.S. No. 943219135</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2440" w:hanging="536"/>
        <w:spacing w:after="0" w:line="238" w:lineRule="auto"/>
        <w:tabs>
          <w:tab w:leader="none" w:pos="244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440" w:hanging="536"/>
        <w:spacing w:after="0" w:line="238" w:lineRule="auto"/>
        <w:tabs>
          <w:tab w:leader="none" w:pos="244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2860"/>
        <w:spacing w:after="0" w:line="238" w:lineRule="auto"/>
        <w:rPr>
          <w:sz w:val="20"/>
          <w:szCs w:val="20"/>
          <w:color w:val="auto"/>
        </w:rPr>
      </w:pPr>
      <w:r>
        <w:rPr>
          <w:rFonts w:ascii="Courier New" w:cs="Courier New" w:eastAsia="Courier New" w:hAnsi="Courier New"/>
          <w:sz w:val="18"/>
          <w:szCs w:val="18"/>
          <w:color w:val="auto"/>
        </w:rPr>
        <w:t>None</w:t>
      </w:r>
    </w:p>
    <w:p>
      <w:pPr>
        <w:spacing w:after="0"/>
        <w:tabs>
          <w:tab w:leader="none" w:pos="5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2860"/>
        <w:spacing w:after="0" w:line="237" w:lineRule="auto"/>
        <w:rPr>
          <w:sz w:val="20"/>
          <w:szCs w:val="20"/>
          <w:color w:val="auto"/>
        </w:rPr>
      </w:pPr>
      <w:r>
        <w:rPr>
          <w:rFonts w:ascii="Courier New" w:cs="Courier New" w:eastAsia="Courier New" w:hAnsi="Courier New"/>
          <w:sz w:val="18"/>
          <w:szCs w:val="18"/>
          <w:color w:val="auto"/>
        </w:rPr>
        <w:t>None</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2860"/>
        <w:spacing w:after="0"/>
        <w:rPr>
          <w:sz w:val="20"/>
          <w:szCs w:val="20"/>
          <w:color w:val="auto"/>
        </w:rPr>
      </w:pPr>
      <w:r>
        <w:rPr>
          <w:rFonts w:ascii="Courier New" w:cs="Courier New" w:eastAsia="Courier New" w:hAnsi="Courier New"/>
          <w:sz w:val="18"/>
          <w:szCs w:val="18"/>
          <w:color w:val="auto"/>
        </w:rPr>
        <w:t>314,399</w:t>
      </w:r>
    </w:p>
    <w:p>
      <w:pPr>
        <w:spacing w:after="0" w:line="206" w:lineRule="exact"/>
        <w:rPr>
          <w:sz w:val="24"/>
          <w:szCs w:val="24"/>
          <w:color w:val="auto"/>
        </w:rPr>
      </w:pPr>
    </w:p>
    <w:p>
      <w:pPr>
        <w:ind w:left="2860" w:right="7159" w:hanging="2852"/>
        <w:spacing w:after="0" w:line="265" w:lineRule="auto"/>
        <w:tabs>
          <w:tab w:leader="none" w:pos="5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0</w:t>
      </w:r>
    </w:p>
    <w:p>
      <w:pPr>
        <w:spacing w:after="0" w:line="200" w:lineRule="exact"/>
        <w:rPr>
          <w:rFonts w:ascii="Courier New" w:cs="Courier New" w:eastAsia="Courier New" w:hAnsi="Courier New"/>
          <w:sz w:val="16"/>
          <w:szCs w:val="16"/>
          <w:color w:val="auto"/>
        </w:rPr>
      </w:pPr>
    </w:p>
    <w:p>
      <w:pPr>
        <w:spacing w:after="0" w:line="207" w:lineRule="exact"/>
        <w:rPr>
          <w:rFonts w:ascii="Courier New" w:cs="Courier New" w:eastAsia="Courier New" w:hAnsi="Courier New"/>
          <w:sz w:val="16"/>
          <w:szCs w:val="16"/>
          <w:color w:val="auto"/>
        </w:rPr>
      </w:pPr>
    </w:p>
    <w:p>
      <w:pPr>
        <w:ind w:left="2860" w:right="3359" w:hanging="2852"/>
        <w:spacing w:after="0" w:line="235" w:lineRule="auto"/>
        <w:tabs>
          <w:tab w:leader="none" w:pos="5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314,399</w:t>
      </w:r>
    </w:p>
    <w:p>
      <w:pPr>
        <w:spacing w:after="0" w:line="208"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Shares*</w:t>
      </w:r>
    </w:p>
    <w:p>
      <w:pPr>
        <w:ind w:left="296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11.</w:t>
        <w:tab/>
        <w:t>Percent of Class Represented by Amount in Row 9</w:t>
      </w:r>
    </w:p>
    <w:p>
      <w:pPr>
        <w:sectPr>
          <w:pgSz w:w="11900" w:h="16855" w:orient="portrait"/>
          <w:cols w:equalWidth="0" w:num="1">
            <w:col w:w="10219"/>
          </w:cols>
          <w:pgMar w:left="240" w:top="244" w:right="1440" w:bottom="0" w:gutter="0" w:footer="0" w:header="0"/>
          <w:type w:val="continuous"/>
        </w:sectPr>
      </w:pPr>
    </w:p>
    <w:bookmarkStart w:id="1" w:name="page2"/>
    <w:bookmarkEnd w:id="1"/>
    <w:p>
      <w:pPr>
        <w:ind w:left="2960"/>
        <w:spacing w:after="0"/>
        <w:rPr>
          <w:sz w:val="20"/>
          <w:szCs w:val="20"/>
          <w:color w:val="auto"/>
        </w:rPr>
      </w:pPr>
      <w:r>
        <w:rPr>
          <w:rFonts w:ascii="Courier New" w:cs="Courier New" w:eastAsia="Courier New" w:hAnsi="Courier New"/>
          <w:sz w:val="18"/>
          <w:szCs w:val="18"/>
          <w:color w:val="auto"/>
        </w:rPr>
        <w:t>5.82%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CONTINUED ON NEXT PAGE</w:t>
      </w:r>
    </w:p>
    <w:p>
      <w:pPr>
        <w:ind w:left="2320"/>
        <w:spacing w:after="0" w:line="238" w:lineRule="auto"/>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 w:leader="none" w:pos="1980" w:val="left"/>
          <w:tab w:leader="none" w:pos="37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Federal Realty Investment Trust, Inc.</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1626 East Jefferson Street; Rockville, MD  20852-4041</w:t>
      </w:r>
    </w:p>
    <w:p>
      <w:pPr>
        <w:spacing w:after="0" w:line="202" w:lineRule="exact"/>
        <w:rPr>
          <w:sz w:val="20"/>
          <w:szCs w:val="20"/>
          <w:color w:val="auto"/>
        </w:rPr>
      </w:pPr>
    </w:p>
    <w:p>
      <w:pPr>
        <w:spacing w:after="0"/>
        <w:tabs>
          <w:tab w:leader="none" w:pos="1040" w:val="left"/>
          <w:tab w:leader="none" w:pos="19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Adelante Capital Management, LLC</w:t>
      </w:r>
    </w:p>
    <w:p>
      <w:pPr>
        <w:spacing w:after="0" w:line="201"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1995 University Avenue, Suite 225, Berkeley, CA 94704</w:t>
      </w:r>
    </w:p>
    <w:p>
      <w:pPr>
        <w:spacing w:after="0" w:line="201" w:lineRule="exact"/>
        <w:rPr>
          <w:sz w:val="20"/>
          <w:szCs w:val="20"/>
          <w:color w:val="auto"/>
        </w:rPr>
      </w:pPr>
    </w:p>
    <w:p>
      <w:pPr>
        <w:ind w:left="2000" w:hanging="939"/>
        <w:spacing w:after="0"/>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6" w:lineRule="exact"/>
        <w:rPr>
          <w:rFonts w:ascii="Courier New" w:cs="Courier New" w:eastAsia="Courier New" w:hAnsi="Courier New"/>
          <w:sz w:val="18"/>
          <w:szCs w:val="18"/>
          <w:color w:val="auto"/>
        </w:rPr>
      </w:pPr>
    </w:p>
    <w:p>
      <w:pPr>
        <w:ind w:left="2000" w:right="2519" w:hanging="939"/>
        <w:spacing w:after="0" w:line="235" w:lineRule="auto"/>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Preferred Series B 8.5%, par value $25 per share</w:t>
      </w:r>
    </w:p>
    <w:p>
      <w:pPr>
        <w:spacing w:after="0" w:line="202" w:lineRule="exact"/>
        <w:rPr>
          <w:rFonts w:ascii="Courier New" w:cs="Courier New" w:eastAsia="Courier New" w:hAnsi="Courier New"/>
          <w:sz w:val="18"/>
          <w:szCs w:val="18"/>
          <w:color w:val="auto"/>
        </w:rPr>
      </w:pPr>
    </w:p>
    <w:p>
      <w:pPr>
        <w:ind w:left="2000" w:hanging="939"/>
        <w:spacing w:after="0"/>
        <w:tabs>
          <w:tab w:leader="none" w:pos="20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313747503</w:t>
      </w:r>
    </w:p>
    <w:p>
      <w:pPr>
        <w:spacing w:after="0" w:line="4"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 13d-1(b), or 13d-2(b), check whether the person filing is a:</w:t>
      </w:r>
    </w:p>
    <w:p>
      <w:pPr>
        <w:spacing w:after="0" w:line="203" w:lineRule="exact"/>
        <w:rPr>
          <w:sz w:val="20"/>
          <w:szCs w:val="20"/>
          <w:color w:val="auto"/>
        </w:rPr>
      </w:pPr>
    </w:p>
    <w:p>
      <w:pPr>
        <w:ind w:left="1480" w:hanging="419"/>
        <w:spacing w:after="0"/>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1480" w:hanging="419"/>
        <w:spacing w:after="0" w:line="238"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4"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w:t>
      </w:r>
    </w:p>
    <w:p>
      <w:pPr>
        <w:spacing w:after="0" w:line="21" w:lineRule="exact"/>
        <w:rPr>
          <w:rFonts w:ascii="Courier New" w:cs="Courier New" w:eastAsia="Courier New" w:hAnsi="Courier New"/>
          <w:sz w:val="16"/>
          <w:szCs w:val="16"/>
          <w:color w:val="auto"/>
        </w:rPr>
      </w:pPr>
    </w:p>
    <w:p>
      <w:pPr>
        <w:ind w:left="1900" w:right="2839" w:hanging="839"/>
        <w:spacing w:after="0" w:line="235" w:lineRule="auto"/>
        <w:tabs>
          <w:tab w:leader="none" w:pos="147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5" w:lineRule="exact"/>
        <w:rPr>
          <w:rFonts w:ascii="Courier New" w:cs="Courier New" w:eastAsia="Courier New" w:hAnsi="Courier New"/>
          <w:sz w:val="18"/>
          <w:szCs w:val="18"/>
          <w:color w:val="auto"/>
        </w:rPr>
      </w:pPr>
    </w:p>
    <w:p>
      <w:pPr>
        <w:ind w:left="1900" w:right="3039" w:hanging="839"/>
        <w:spacing w:after="0" w:line="235" w:lineRule="auto"/>
        <w:tabs>
          <w:tab w:leader="none" w:pos="147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Investment Advisors Act of 1940</w:t>
      </w:r>
    </w:p>
    <w:p>
      <w:pPr>
        <w:spacing w:after="0" w:line="5" w:lineRule="exact"/>
        <w:rPr>
          <w:rFonts w:ascii="Courier New" w:cs="Courier New" w:eastAsia="Courier New" w:hAnsi="Courier New"/>
          <w:sz w:val="18"/>
          <w:szCs w:val="18"/>
          <w:color w:val="auto"/>
        </w:rPr>
      </w:pPr>
    </w:p>
    <w:p>
      <w:pPr>
        <w:ind w:left="1900" w:right="2099" w:hanging="839"/>
        <w:spacing w:after="0" w:line="268" w:lineRule="auto"/>
        <w:tabs>
          <w:tab w:leader="none" w:pos="147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 Retirement Income Security Act of 1974 or Endowment Fund; see Sec. 240.13d-1(b)(1)(ii)(F)</w:t>
      </w:r>
    </w:p>
    <w:p>
      <w:pPr>
        <w:ind w:left="1480" w:hanging="419"/>
        <w:spacing w:after="0" w:line="238"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Parent Holding Company, in accordance with Sec.</w:t>
      </w:r>
    </w:p>
    <w:p>
      <w:pPr>
        <w:ind w:left="1900"/>
        <w:spacing w:after="0"/>
        <w:rPr>
          <w:sz w:val="20"/>
          <w:szCs w:val="20"/>
          <w:color w:val="auto"/>
        </w:rPr>
      </w:pPr>
      <w:r>
        <w:rPr>
          <w:rFonts w:ascii="Courier New" w:cs="Courier New" w:eastAsia="Courier New" w:hAnsi="Courier New"/>
          <w:sz w:val="18"/>
          <w:szCs w:val="18"/>
          <w:color w:val="auto"/>
        </w:rPr>
        <w:t>240.13d-1(b)(ii)(G) (Note: See Item 7)</w:t>
      </w:r>
    </w:p>
    <w:p>
      <w:pPr>
        <w:ind w:left="1060"/>
        <w:spacing w:after="0" w:line="237" w:lineRule="auto"/>
        <w:rPr>
          <w:sz w:val="20"/>
          <w:szCs w:val="20"/>
          <w:color w:val="auto"/>
        </w:rPr>
      </w:pPr>
      <w:r>
        <w:rPr>
          <w:rFonts w:ascii="Courier New" w:cs="Courier New" w:eastAsia="Courier New" w:hAnsi="Courier New"/>
          <w:sz w:val="18"/>
          <w:szCs w:val="18"/>
          <w:color w:val="auto"/>
        </w:rPr>
        <w:t>(h) [ ] Group, in accordance with Sec. 240.13d-1(b)(1)(ii)(H)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5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If the percent of class owned, as of December 31 of the year covered by the statement, or as of the last day of any month described in Rule 13d-1 (b)</w:t>
      </w:r>
    </w:p>
    <w:p>
      <w:pPr>
        <w:ind w:right="2199"/>
        <w:spacing w:after="0" w:line="290" w:lineRule="auto"/>
        <w:rPr>
          <w:sz w:val="20"/>
          <w:szCs w:val="20"/>
          <w:color w:val="auto"/>
        </w:rPr>
      </w:pPr>
      <w:r>
        <w:rPr>
          <w:rFonts w:ascii="Courier New" w:cs="Courier New" w:eastAsia="Courier New" w:hAnsi="Courier New"/>
          <w:sz w:val="16"/>
          <w:szCs w:val="16"/>
          <w:color w:val="auto"/>
        </w:rPr>
        <w:t>(2), if applicable, exceeds five percent, provide the following information as of that date and identify those shares which there is a right to acquire.</w:t>
      </w:r>
    </w:p>
    <w:p>
      <w:pPr>
        <w:spacing w:after="0" w:line="170" w:lineRule="exact"/>
        <w:rPr>
          <w:sz w:val="20"/>
          <w:szCs w:val="20"/>
          <w:color w:val="auto"/>
        </w:rPr>
      </w:pPr>
    </w:p>
    <w:p>
      <w:pPr>
        <w:ind w:left="3380" w:right="5999" w:hanging="2319"/>
        <w:spacing w:after="0" w:line="268" w:lineRule="auto"/>
        <w:tabs>
          <w:tab w:leader="none" w:pos="158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314,399</w:t>
      </w:r>
    </w:p>
    <w:p>
      <w:pPr>
        <w:ind w:left="1580" w:hanging="519"/>
        <w:spacing w:after="0" w:line="238"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3380"/>
        <w:spacing w:after="0"/>
        <w:rPr>
          <w:sz w:val="20"/>
          <w:szCs w:val="20"/>
          <w:color w:val="auto"/>
        </w:rPr>
      </w:pPr>
      <w:r>
        <w:rPr>
          <w:rFonts w:ascii="Courier New" w:cs="Courier New" w:eastAsia="Courier New" w:hAnsi="Courier New"/>
          <w:sz w:val="18"/>
          <w:szCs w:val="18"/>
          <w:color w:val="auto"/>
        </w:rPr>
        <w:t>5.82%</w:t>
      </w:r>
    </w:p>
    <w:p>
      <w:pPr>
        <w:ind w:left="1580" w:hanging="519"/>
        <w:spacing w:after="0" w:line="237" w:lineRule="auto"/>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3380" w:right="3779" w:hanging="1792"/>
        <w:spacing w:after="0" w:line="235" w:lineRule="auto"/>
        <w:tabs>
          <w:tab w:leader="none" w:pos="2221"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5" w:lineRule="exact"/>
        <w:rPr>
          <w:rFonts w:ascii="Courier New" w:cs="Courier New" w:eastAsia="Courier New" w:hAnsi="Courier New"/>
          <w:sz w:val="18"/>
          <w:szCs w:val="18"/>
          <w:color w:val="auto"/>
        </w:rPr>
      </w:pPr>
    </w:p>
    <w:p>
      <w:pPr>
        <w:ind w:left="3380" w:right="3479" w:hanging="1792"/>
        <w:spacing w:after="0" w:line="235" w:lineRule="auto"/>
        <w:tabs>
          <w:tab w:leader="none" w:pos="2221"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voted None</w:t>
      </w:r>
    </w:p>
    <w:p>
      <w:pPr>
        <w:spacing w:after="0" w:line="1" w:lineRule="exact"/>
        <w:rPr>
          <w:rFonts w:ascii="Courier New" w:cs="Courier New" w:eastAsia="Courier New" w:hAnsi="Courier New"/>
          <w:sz w:val="18"/>
          <w:szCs w:val="18"/>
          <w:color w:val="auto"/>
        </w:rPr>
      </w:pPr>
    </w:p>
    <w:p>
      <w:pPr>
        <w:ind w:left="2220" w:hanging="632"/>
        <w:spacing w:after="0" w:line="238" w:lineRule="auto"/>
        <w:tabs>
          <w:tab w:leader="none" w:pos="222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7" w:lineRule="exact"/>
        <w:rPr>
          <w:rFonts w:ascii="Courier New" w:cs="Courier New" w:eastAsia="Courier New" w:hAnsi="Courier New"/>
          <w:sz w:val="18"/>
          <w:szCs w:val="18"/>
          <w:color w:val="auto"/>
        </w:rPr>
      </w:pPr>
    </w:p>
    <w:p>
      <w:pPr>
        <w:ind w:left="3480" w:right="2199" w:hanging="1892"/>
        <w:spacing w:after="0" w:line="235" w:lineRule="auto"/>
        <w:tabs>
          <w:tab w:leader="none" w:pos="221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ectPr>
          <w:pgSz w:w="11900" w:h="16838" w:orient="portrait"/>
          <w:cols w:equalWidth="0" w:num="1">
            <w:col w:w="10219"/>
          </w:cols>
          <w:pgMar w:left="240" w:top="136"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All shares owned on behalf of our clients</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PAGE 4 OF 5 PAGES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a parent holding company has filed this schedule, pursuant to Rule 13d-1(b)(ii) (G), so indicated under Item 3 (g) and attach an exhibit stating the identity and the Item 3 classification of the relevant subsidiary. If a parent holding company has filed this schedule pursuant to Rule 13d-1 (c), attach an exhibit stating the identification of the relevant subsidiary.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If a group has filed this schedule pursuant to Rule 13d-1(b) (ii) (H), so Indicate under item 3 (h) and attach an exhibit stating the identity and Item 3 classification of each member of the group. If a group has filed this schedule pursuant to Rule 13d-1 (c) attach an exhibit stating the identity of each member of the group.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certification shall be included if the statement is filed</w:t>
      </w:r>
    </w:p>
    <w:p>
      <w:pPr>
        <w:spacing w:after="0" w:line="238" w:lineRule="auto"/>
        <w:rPr>
          <w:sz w:val="20"/>
          <w:szCs w:val="20"/>
          <w:color w:val="auto"/>
        </w:rPr>
      </w:pPr>
      <w:r>
        <w:rPr>
          <w:rFonts w:ascii="Courier New" w:cs="Courier New" w:eastAsia="Courier New" w:hAnsi="Courier New"/>
          <w:sz w:val="18"/>
          <w:szCs w:val="18"/>
          <w:color w:val="auto"/>
        </w:rPr>
        <w:t>Pursuant to Rule 13d-1(b):</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7"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5 OF 5 PAGES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as of December 31, 2004.</w:t>
      </w: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ADELANTE CAPITAL MANAGEMENT LLC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 /s/ Mark A. Hoopes</w:t>
      </w:r>
    </w:p>
    <w:p>
      <w:pPr>
        <w:ind w:left="3800"/>
        <w:spacing w:after="0" w:line="238" w:lineRule="auto"/>
        <w:rPr>
          <w:sz w:val="20"/>
          <w:szCs w:val="20"/>
          <w:color w:val="auto"/>
        </w:rPr>
      </w:pPr>
      <w:r>
        <w:rPr>
          <w:rFonts w:ascii="Courier New" w:cs="Courier New" w:eastAsia="Courier New" w:hAnsi="Courier New"/>
          <w:sz w:val="18"/>
          <w:szCs w:val="18"/>
          <w:color w:val="auto"/>
        </w:rPr>
        <w:t>Name: Mark A. Hoopes</w:t>
      </w:r>
    </w:p>
    <w:p>
      <w:pPr>
        <w:sectPr>
          <w:pgSz w:w="11900" w:h="16838" w:orient="portrait"/>
          <w:cols w:equalWidth="0" w:num="1">
            <w:col w:w="10219"/>
          </w:cols>
          <w:pgMar w:left="240" w:top="339" w:right="1440" w:bottom="0" w:gutter="0" w:footer="0" w:header="0"/>
        </w:sectPr>
      </w:pPr>
    </w:p>
    <w:bookmarkStart w:id="3" w:name="page4"/>
    <w:bookmarkEnd w:id="3"/>
    <w:p>
      <w:pPr>
        <w:ind w:left="2600"/>
        <w:spacing w:after="0"/>
        <w:rPr>
          <w:sz w:val="20"/>
          <w:szCs w:val="20"/>
          <w:color w:val="auto"/>
        </w:rPr>
      </w:pPr>
      <w:r>
        <w:rPr>
          <w:rFonts w:ascii="Courier New" w:cs="Courier New" w:eastAsia="Courier New" w:hAnsi="Courier New"/>
          <w:sz w:val="16"/>
          <w:szCs w:val="16"/>
          <w:color w:val="auto"/>
        </w:rPr>
        <w:t>Title: Compliance Officer</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S.%2."/>
      <w:numFmt w:val="upperLetter"/>
      <w:start w:val="19"/>
    </w:lvl>
    <w:lvl w:ilvl="2">
      <w:lvlJc w:val="left"/>
      <w:lvlText w:val="%3"/>
      <w:numFmt w:val="low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2019-12-11T17:54:55Z</dcterms:created>
  <dcterms:modified xsi:type="dcterms:W3CDTF">2019-12-11T17:54:55Z</dcterms:modified>
</cp:coreProperties>
</file>