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(Name of issuer as specified in its Charter)</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Common Shares of Beneficial Interest,</w:t>
      </w:r>
    </w:p>
    <w:p>
      <w:pPr>
        <w:ind w:left="3060"/>
        <w:spacing w:after="0" w:line="238" w:lineRule="auto"/>
        <w:rPr>
          <w:sz w:val="20"/>
          <w:szCs w:val="20"/>
          <w:color w:val="auto"/>
        </w:rPr>
      </w:pPr>
      <w:r>
        <w:rPr>
          <w:rFonts w:ascii="Courier New" w:cs="Courier New" w:eastAsia="Courier New" w:hAnsi="Courier New"/>
          <w:sz w:val="18"/>
          <w:szCs w:val="18"/>
          <w:color w:val="auto"/>
        </w:rPr>
        <w:t>No Par or Stated Value</w:t>
      </w:r>
    </w:p>
    <w:p>
      <w:pPr>
        <w:ind w:left="170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313747 206</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Cornelius J. Dwyer, Jr.</w:t>
      </w:r>
    </w:p>
    <w:p>
      <w:pPr>
        <w:ind w:left="3280"/>
        <w:spacing w:after="0" w:line="238" w:lineRule="auto"/>
        <w:rPr>
          <w:sz w:val="20"/>
          <w:szCs w:val="20"/>
          <w:color w:val="auto"/>
        </w:rPr>
      </w:pPr>
      <w:r>
        <w:rPr>
          <w:rFonts w:ascii="Courier New" w:cs="Courier New" w:eastAsia="Courier New" w:hAnsi="Courier New"/>
          <w:sz w:val="18"/>
          <w:szCs w:val="18"/>
          <w:color w:val="auto"/>
        </w:rPr>
        <w:t>Shearman &amp; Sterling</w:t>
      </w:r>
    </w:p>
    <w:p>
      <w:pPr>
        <w:ind w:left="3160"/>
        <w:spacing w:after="0"/>
        <w:rPr>
          <w:sz w:val="20"/>
          <w:szCs w:val="20"/>
          <w:color w:val="auto"/>
        </w:rPr>
      </w:pPr>
      <w:r>
        <w:rPr>
          <w:rFonts w:ascii="Courier New" w:cs="Courier New" w:eastAsia="Courier New" w:hAnsi="Courier New"/>
          <w:sz w:val="18"/>
          <w:szCs w:val="18"/>
          <w:color w:val="auto"/>
        </w:rPr>
        <w:t>599 Lexington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2960"/>
        <w:spacing w:after="0" w:line="238" w:lineRule="auto"/>
        <w:rPr>
          <w:sz w:val="20"/>
          <w:szCs w:val="20"/>
          <w:color w:val="auto"/>
        </w:rPr>
      </w:pPr>
      <w:r>
        <w:rPr>
          <w:rFonts w:ascii="Courier New" w:cs="Courier New" w:eastAsia="Courier New" w:hAnsi="Courier New"/>
          <w:sz w:val="18"/>
          <w:szCs w:val="18"/>
          <w:color w:val="auto"/>
        </w:rPr>
        <w:t>Telephone: (212) 848-7019</w:t>
      </w:r>
    </w:p>
    <w:p>
      <w:pPr>
        <w:ind w:left="1700"/>
        <w:spacing w:after="0"/>
        <w:rPr>
          <w:sz w:val="20"/>
          <w:szCs w:val="20"/>
          <w:color w:val="auto"/>
        </w:rPr>
      </w:pPr>
      <w:r>
        <w:rPr>
          <w:rFonts w:ascii="Courier New" w:cs="Courier New" w:eastAsia="Courier New" w:hAnsi="Courier New"/>
          <w:sz w:val="18"/>
          <w:szCs w:val="18"/>
          <w:color w:val="auto"/>
        </w:rPr>
        <w:t>------------------------------------------------</w:t>
      </w:r>
    </w:p>
    <w:p>
      <w:pPr>
        <w:jc w:val="center"/>
        <w:ind w:right="167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24, 1996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statement because of Rule 13d-1(b)(3) or (4), check the following |_|.</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|X|.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8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 313747 206</w:t>
      </w:r>
    </w:p>
    <w:p>
      <w:pPr>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6839" w:hanging="316"/>
        <w:spacing w:after="0" w:line="5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NAME OF REPORTING PERSON Stichting Pensioenfonds ABP</w:t>
      </w:r>
    </w:p>
    <w:p>
      <w:pPr>
        <w:sectPr>
          <w:pgSz w:w="11900" w:h="16865" w:orient="portrait"/>
          <w:cols w:equalWidth="0" w:num="1">
            <w:col w:w="10219"/>
          </w:cols>
          <w:pgMar w:left="240" w:top="447" w:right="1440" w:bottom="0" w:gutter="0" w:footer="0" w:header="0"/>
        </w:sectPr>
      </w:pPr>
    </w:p>
    <w:bookmarkStart w:id="1" w:name="page2"/>
    <w:bookmarkEnd w:id="1"/>
    <w:p>
      <w:pPr>
        <w:ind w:left="1060" w:hanging="525"/>
        <w:spacing w:after="0"/>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1" w:lineRule="exact"/>
        <w:rPr>
          <w:rFonts w:ascii="Courier New" w:cs="Courier New" w:eastAsia="Courier New" w:hAnsi="Courier New"/>
          <w:sz w:val="16"/>
          <w:szCs w:val="16"/>
          <w:color w:val="auto"/>
        </w:rPr>
      </w:pPr>
    </w:p>
    <w:p>
      <w:pPr>
        <w:ind w:left="7900" w:hanging="413"/>
        <w:spacing w:after="0"/>
        <w:tabs>
          <w:tab w:leader="none" w:pos="790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7900" w:hanging="413"/>
        <w:spacing w:after="0"/>
        <w:tabs>
          <w:tab w:leader="none" w:pos="790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520" w:val="left"/>
          <w:tab w:leader="none" w:pos="2520" w:val="left"/>
        </w:tabs>
        <w:rPr>
          <w:sz w:val="20"/>
          <w:szCs w:val="20"/>
          <w:color w:val="auto"/>
        </w:rPr>
      </w:pPr>
      <w:r>
        <w:rPr>
          <w:rFonts w:ascii="Courier New" w:cs="Courier New" w:eastAsia="Courier New" w:hAnsi="Courier New"/>
          <w:sz w:val="18"/>
          <w:szCs w:val="18"/>
          <w:color w:val="auto"/>
        </w:rPr>
        <w:t>4</w:t>
        <w:tab/>
        <w:t>SOURCE OF FUNDS*</w:t>
      </w:r>
      <w:r>
        <w:rPr>
          <w:sz w:val="20"/>
          <w:szCs w:val="20"/>
          <w:color w:val="auto"/>
        </w:rPr>
        <w:tab/>
      </w:r>
      <w:r>
        <w:rPr>
          <w:rFonts w:ascii="Courier New" w:cs="Courier New" w:eastAsia="Courier New" w:hAnsi="Courier New"/>
          <w:sz w:val="16"/>
          <w:szCs w:val="16"/>
          <w:color w:val="auto"/>
        </w:rPr>
        <w:t>00</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w:t>
      </w:r>
    </w:p>
    <w:p>
      <w:pPr>
        <w:ind w:left="540"/>
        <w:spacing w:after="0"/>
        <w:tabs>
          <w:tab w:leader="none" w:pos="788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tabs>
          <w:tab w:leader="none" w:pos="520" w:val="left"/>
          <w:tab w:leader="none" w:pos="5040" w:val="left"/>
        </w:tabs>
        <w:rPr>
          <w:sz w:val="20"/>
          <w:szCs w:val="20"/>
          <w:color w:val="auto"/>
        </w:rPr>
      </w:pPr>
      <w:r>
        <w:rPr>
          <w:rFonts w:ascii="Courier New" w:cs="Courier New" w:eastAsia="Courier New" w:hAnsi="Courier New"/>
          <w:sz w:val="18"/>
          <w:szCs w:val="18"/>
          <w:color w:val="auto"/>
        </w:rPr>
        <w:t>6</w:t>
        <w:tab/>
        <w:t>CITIZENSHIP OR PLACE OF ORGANIZATION</w:t>
      </w:r>
      <w:r>
        <w:rPr>
          <w:sz w:val="20"/>
          <w:szCs w:val="20"/>
          <w:color w:val="auto"/>
        </w:rPr>
        <w:tab/>
      </w:r>
      <w:r>
        <w:rPr>
          <w:rFonts w:ascii="Courier New" w:cs="Courier New" w:eastAsia="Courier New" w:hAnsi="Courier New"/>
          <w:sz w:val="16"/>
          <w:szCs w:val="16"/>
          <w:color w:val="auto"/>
        </w:rPr>
        <w:t>The Kingdom of the Netherlands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435"/>
              <w:spacing w:after="0"/>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2,308,982</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90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00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8</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4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900" w:type="dxa"/>
            <w:vAlign w:val="bottom"/>
          </w:tcPr>
          <w:p>
            <w:pPr>
              <w:spacing w:after="0"/>
              <w:rPr>
                <w:sz w:val="17"/>
                <w:szCs w:val="17"/>
                <w:color w:val="auto"/>
              </w:rPr>
            </w:pP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9</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2,308,982</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4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90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WITH</w:t>
            </w:r>
          </w:p>
        </w:tc>
        <w:tc>
          <w:tcPr>
            <w:tcW w:w="100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10</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235,300</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2,544,282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788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13</w:t>
        <w:tab/>
        <w:t>PERCENT OF CLASS REPRESENTED BY AMOUNT IN ROW (11)</w:t>
      </w:r>
      <w:r>
        <w:rPr>
          <w:sz w:val="20"/>
          <w:szCs w:val="20"/>
          <w:color w:val="auto"/>
        </w:rPr>
        <w:tab/>
      </w:r>
      <w:r>
        <w:rPr>
          <w:rFonts w:ascii="Courier New" w:cs="Courier New" w:eastAsia="Courier New" w:hAnsi="Courier New"/>
          <w:sz w:val="16"/>
          <w:szCs w:val="16"/>
          <w:color w:val="auto"/>
        </w:rPr>
        <w:t>7.5%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20" w:val="left"/>
          <w:tab w:leader="none" w:pos="5140" w:val="left"/>
        </w:tabs>
        <w:rPr>
          <w:sz w:val="20"/>
          <w:szCs w:val="20"/>
          <w:color w:val="auto"/>
        </w:rPr>
      </w:pPr>
      <w:r>
        <w:rPr>
          <w:rFonts w:ascii="Courier New" w:cs="Courier New" w:eastAsia="Courier New" w:hAnsi="Courier New"/>
          <w:sz w:val="18"/>
          <w:szCs w:val="18"/>
          <w:color w:val="auto"/>
        </w:rPr>
        <w:t>14</w:t>
        <w:tab/>
        <w:t>TYPE OF REPORTING PERSON*</w:t>
      </w:r>
      <w:r>
        <w:rPr>
          <w:sz w:val="20"/>
          <w:szCs w:val="20"/>
          <w:color w:val="auto"/>
        </w:rPr>
        <w:tab/>
      </w:r>
      <w:r>
        <w:rPr>
          <w:rFonts w:ascii="Courier New" w:cs="Courier New" w:eastAsia="Courier New" w:hAnsi="Courier New"/>
          <w:sz w:val="18"/>
          <w:szCs w:val="18"/>
          <w:color w:val="auto"/>
        </w:rPr>
        <w:t>EP</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statement relates to the Common Shares of Beneficial Interest, no par value (the "Common Shares"), of Federal Realty Investment Trust (the "Issuer"). The Issuer is incorporated in the District of Columbia and has its principal executive offices located at 4800 Hampden Lane, Suite 500, Bethesda, Maryland 20814.</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statement is filed by Stichting Pensioenfonds ABP, an entity established under the laws of The Kingdom of the Netherlands (the "Fund"), whose principal business is investing funds held on behalf of public sector employees of The Kingdom of the Netherlands. The address of the Fund's principal executive office is Oude Lindestraat 70; postbus 2889, 6401 DL Heerlen, The Netherlands. The name, principal occupation, citizenship and business address of each director and of each executive officer of the Fund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PRINCIPAL</w:t>
            </w: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OCCUPATION</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CITIZENSHIP</w:t>
            </w: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BUSINESS ADDRESS</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J. Kleiterp</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Executive Chairman</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10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Bestuur</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Abp</w:t>
            </w:r>
          </w:p>
        </w:tc>
      </w:tr>
      <w:tr>
        <w:trPr>
          <w:trHeight w:val="203"/>
        </w:trPr>
        <w:tc>
          <w:tcPr>
            <w:tcW w:w="206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the Board of</w:t>
            </w:r>
          </w:p>
        </w:tc>
        <w:tc>
          <w:tcPr>
            <w:tcW w:w="200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P.O. Box 30909</w:t>
            </w:r>
          </w:p>
        </w:tc>
      </w:tr>
      <w:tr>
        <w:trPr>
          <w:trHeight w:val="203"/>
        </w:trPr>
        <w:tc>
          <w:tcPr>
            <w:tcW w:w="206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Trustees of the Fund</w:t>
            </w: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2500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GX</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's-GRAVENHAGE</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H.J. Albersen</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CMHF</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P.O. box 80204</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2508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's-GRAVENHAGE</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E.J. Anneveld</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10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C.F.O.</w:t>
            </w:r>
          </w:p>
        </w:tc>
        <w:tc>
          <w:tcPr>
            <w:tcW w:w="19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P.O. box 84501</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2508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's-GRAVENHAGE</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 Drees</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29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Wieringenmeen 36</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3844</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HARDERWIJK</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P.H. Holthuis</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29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Ministerie van O&amp;W/ BR/DG</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P.O. box 25000</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2700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LZ</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ZOETERMEER</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L. Koopmans</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294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6"/>
              </w:rPr>
              <w:t>Lange Voorhout 86, app. 24</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2514</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EJ</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DEN HAAG</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 van Leeuwen</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ABOP</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Herengracht 54</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AMSTERDAM</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C.L.J. V. Overbeek</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Trustee of the Fund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The Netherlands</w:t>
            </w:r>
          </w:p>
        </w:tc>
        <w:tc>
          <w:tcPr>
            <w:tcW w:w="29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Katholieke Onderwijs</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Vakorganisatie</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Verrijn</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Stuartlaan 36</w:t>
            </w:r>
          </w:p>
        </w:tc>
      </w:tr>
      <w:tr>
        <w:trPr>
          <w:trHeight w:val="203"/>
        </w:trPr>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2280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RIJSWIJK</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PRINCIPAL</w:t>
            </w: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OCCUPATION</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CITIZENSHIP</w:t>
            </w:r>
          </w:p>
        </w:tc>
        <w:tc>
          <w:tcPr>
            <w:tcW w:w="2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BUSINESS ADDRESS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A.C. van Pelt</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Trustee of the Fund</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27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Ned. Gennootschap van</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Leraren</w:t>
            </w:r>
          </w:p>
        </w:tc>
        <w:tc>
          <w:tcPr>
            <w:tcW w:w="1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P.O. box 407</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3300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AK</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DORDRECHT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D.M. Sluimers</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Trustee of the Fund</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274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Ministerie van Financien</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Casuariestraat 32</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2511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VB</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's-GRAVENHAGE</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A.F.P.M. Scherf</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Trustee of the Fund</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27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Icaruslaan 20</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5631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LD</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EINDHOVEN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X.J. den Uyl</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First Deputy Chairman</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27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Linnaeuslaan 14</w:t>
            </w:r>
          </w:p>
        </w:tc>
      </w:tr>
      <w:tr>
        <w:trPr>
          <w:trHeight w:val="203"/>
        </w:trPr>
        <w:tc>
          <w:tcPr>
            <w:tcW w:w="1900" w:type="dxa"/>
            <w:vAlign w:val="bottom"/>
          </w:tcPr>
          <w:p>
            <w:pPr>
              <w:spacing w:after="0"/>
              <w:rPr>
                <w:sz w:val="17"/>
                <w:szCs w:val="17"/>
                <w:color w:val="auto"/>
              </w:rPr>
            </w:pP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the Fund</w:t>
            </w: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2012</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PP</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HAARLEM</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J.W.E. Neervens</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Executive Chairman of</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ABP</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Board of Directors</w:t>
            </w:r>
          </w:p>
        </w:tc>
        <w:tc>
          <w:tcPr>
            <w:tcW w:w="1900" w:type="dxa"/>
            <w:vAlign w:val="bottom"/>
          </w:tcPr>
          <w:p>
            <w:pPr>
              <w:spacing w:after="0"/>
              <w:rPr>
                <w:sz w:val="17"/>
                <w:szCs w:val="17"/>
                <w:color w:val="auto"/>
              </w:rPr>
            </w:pPr>
          </w:p>
        </w:tc>
        <w:tc>
          <w:tcPr>
            <w:tcW w:w="2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Oude Lindestraat 70</w:t>
            </w:r>
          </w:p>
        </w:tc>
      </w:tr>
      <w:tr>
        <w:trPr>
          <w:trHeight w:val="203"/>
        </w:trPr>
        <w:tc>
          <w:tcPr>
            <w:tcW w:w="1900" w:type="dxa"/>
            <w:vAlign w:val="bottom"/>
          </w:tcPr>
          <w:p>
            <w:pPr>
              <w:spacing w:after="0"/>
              <w:rPr>
                <w:sz w:val="17"/>
                <w:szCs w:val="17"/>
                <w:color w:val="auto"/>
              </w:rPr>
            </w:pP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the Fund</w:t>
            </w: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6411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EJ</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HEERlen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P.J. Bezemer</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Member of the Board of</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ABP</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Directors of the Fund</w:t>
            </w:r>
          </w:p>
        </w:tc>
        <w:tc>
          <w:tcPr>
            <w:tcW w:w="1900" w:type="dxa"/>
            <w:vAlign w:val="bottom"/>
          </w:tcPr>
          <w:p>
            <w:pPr>
              <w:spacing w:after="0"/>
              <w:rPr>
                <w:sz w:val="17"/>
                <w:szCs w:val="17"/>
                <w:color w:val="auto"/>
              </w:rPr>
            </w:pPr>
          </w:p>
        </w:tc>
        <w:tc>
          <w:tcPr>
            <w:tcW w:w="2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Oude Lindestraat 70</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6411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EJ</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HEERLEN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J.M.G. Frijns</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Member of the Board of</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Netherlands</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APB</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Directors of the Fund</w:t>
            </w:r>
          </w:p>
        </w:tc>
        <w:tc>
          <w:tcPr>
            <w:tcW w:w="1900" w:type="dxa"/>
            <w:vAlign w:val="bottom"/>
          </w:tcPr>
          <w:p>
            <w:pPr>
              <w:spacing w:after="0"/>
              <w:rPr>
                <w:sz w:val="17"/>
                <w:szCs w:val="17"/>
                <w:color w:val="auto"/>
              </w:rPr>
            </w:pPr>
          </w:p>
        </w:tc>
        <w:tc>
          <w:tcPr>
            <w:tcW w:w="2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Oude Llindestraat 70</w:t>
            </w:r>
          </w:p>
        </w:tc>
      </w:tr>
      <w:tr>
        <w:trPr>
          <w:trHeight w:val="203"/>
        </w:trPr>
        <w:tc>
          <w:tcPr>
            <w:tcW w:w="1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6411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EJ</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HEERLEN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During the last five years, neither the Fund nor any of its executive officers or directors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United States federal or state securities laws or finding any violation with respect to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May 24, 1996, the Fund acquired 1,818,182 Common Shares in a private placement transaction for a purchase price of U.S. $22.0 per share, raising the number of Common Shares beneficially owned by the Fund to 2,544,282 (approximately 7.5% of aggregate number of shares outstanding) and requiring the Fund to file this statement on Schedule 13D.</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The funds for the foregoing purchase of Common Shares by the Fund were supplied from Dutch public sector pensioners' contributions to the Fund.</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The Fund has acquired the Common Shares in a private placement transaction for the purpose of making an investment in the Issuer and not with the present intention of acquiring control of the Issuer's business.</w:t>
      </w:r>
    </w:p>
    <w:p>
      <w:pPr>
        <w:spacing w:after="0" w:line="17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The Fund from time to time intends to review its investment in the Issuer on the basis of various factors, including the Issuer's business, financial condition, results of operations and prospects, general economic and industry conditions, the securities markets in general and those for the Issuer's securities in particular, as well as other developments and other investment opportunities. Based on such review, the Fund will take such actions in the future as the Fund may deem appropriate in light of the circumstances existing from time to time. If the Fund believes that further investment in the Issuer is attractive, whether because of the market price of the Issuer's securities or otherwise, it may acquire shares of Common Shares or other securities of the Issuer either in the open market or in privately negotiated transactions. Similarly, depending on market and other factors, the Fund may determine to dispose of some or all of the Common Shares currently owned by the Fund or otherwise acquired by the Fund either in the open market or in privately negotiated transactions.</w:t>
      </w:r>
    </w:p>
    <w:p>
      <w:pPr>
        <w:spacing w:after="0" w:line="20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Except as set forth above, the Fund has not formulated any plans or proposals which relate to or would result in: (a) the acquisition by any person of additional securities of the Issuer or the disposition of securities of the Issuer, (b) an extraordinary corporate transaction involving the Issuer or any of its subsidiaries, (c) a sale or transfer of a material amount of the assets of the Issuer or any of its subsidiaries, (d) any change in the present board of directors or management of the Issuer, (e) any material change in the Issuer's capitalization or dividend policy, (f) any other material change in the Issuer's business or corporate structure, (g) any change in the Issuer's charter or bylaws or other instrument corresponding thereto or other action which may impede the acquisition of control of the Issuer by any person,</w:t>
      </w:r>
    </w:p>
    <w:p>
      <w:pPr>
        <w:spacing w:after="0" w:line="18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the Issuer's securities to be deregistered or delisted,</w:t>
      </w:r>
    </w:p>
    <w:p>
      <w:pPr>
        <w:spacing w:after="0" w:line="4" w:lineRule="exact"/>
        <w:rPr>
          <w:rFonts w:ascii="Courier New" w:cs="Courier New" w:eastAsia="Courier New" w:hAnsi="Courier New"/>
          <w:sz w:val="18"/>
          <w:szCs w:val="18"/>
          <w:color w:val="auto"/>
        </w:rPr>
      </w:pPr>
    </w:p>
    <w:p>
      <w:pPr>
        <w:ind w:right="1779" w:firstLine="8"/>
        <w:spacing w:after="0" w:line="290"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the Issuer becoming eligible for termination of registration or (j) any action similar to any of those enumerated above.</w:t>
      </w:r>
    </w:p>
    <w:p>
      <w:pPr>
        <w:spacing w:after="0" w:line="200" w:lineRule="exact"/>
        <w:rPr>
          <w:sz w:val="20"/>
          <w:szCs w:val="20"/>
          <w:color w:val="auto"/>
        </w:rPr>
      </w:pPr>
    </w:p>
    <w:p>
      <w:pPr>
        <w:spacing w:after="0" w:line="3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1325" w:right="1440" w:bottom="144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(a)-(b) As of the date hereof, the Fund beneficially owns and has the sole power to vote and dispose of 2,308,982 Common Shares and has the shared power to dispose of 235,300 Common Shares, which are held by the Fund in two separate securities accounts with ABN AMRO BANK N.V. managed by Cohen &amp; Steers Capital Management Inc., and ABKB/LaSalle Securities, respectively. Based on information provided by the Issuer to the Fund on May 24, 1996, such shares constitute approximately 7.5% of the outstanding Common Shares. To the knowledge of the Fund, no Common Shares are beneficially owned by any director or executive officer listed under Item 2 above.</w:t>
      </w:r>
    </w:p>
    <w:p>
      <w:pPr>
        <w:spacing w:after="0" w:line="214" w:lineRule="exact"/>
        <w:rPr>
          <w:sz w:val="20"/>
          <w:szCs w:val="20"/>
          <w:color w:val="auto"/>
        </w:rPr>
      </w:pPr>
    </w:p>
    <w:p>
      <w:pPr>
        <w:ind w:right="1879" w:firstLine="1904"/>
        <w:spacing w:after="0" w:line="235" w:lineRule="auto"/>
        <w:tabs>
          <w:tab w:leader="none" w:pos="231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Fund has effected the following open market purchases of the Common Shares during the past 60 days:</w:t>
      </w:r>
    </w:p>
    <w:p>
      <w:pPr>
        <w:spacing w:after="0" w:line="20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DATE OF</w:t>
            </w:r>
          </w:p>
        </w:tc>
        <w:tc>
          <w:tcPr>
            <w:tcW w:w="2620" w:type="dxa"/>
            <w:vAlign w:val="bottom"/>
          </w:tcPr>
          <w:p>
            <w:pPr>
              <w:ind w:left="1000"/>
              <w:spacing w:after="0"/>
              <w:rPr>
                <w:sz w:val="20"/>
                <w:szCs w:val="20"/>
                <w:color w:val="auto"/>
              </w:rPr>
            </w:pPr>
            <w:r>
              <w:rPr>
                <w:rFonts w:ascii="Courier New" w:cs="Courier New" w:eastAsia="Courier New" w:hAnsi="Courier New"/>
                <w:sz w:val="18"/>
                <w:szCs w:val="18"/>
                <w:color w:val="auto"/>
              </w:rPr>
              <w:t>DATE OF</w:t>
            </w:r>
          </w:p>
        </w:tc>
        <w:tc>
          <w:tcPr>
            <w:tcW w:w="2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w:t>
            </w:r>
          </w:p>
        </w:tc>
        <w:tc>
          <w:tcPr>
            <w:tcW w:w="26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PURCHASE</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PURCHASED</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rPr>
              <w:t>4/4/96</w:t>
            </w:r>
          </w:p>
        </w:tc>
        <w:tc>
          <w:tcPr>
            <w:tcW w:w="26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300</w:t>
            </w: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$21.96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4/10/96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21.43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4/12/96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16,000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20.63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4/12/96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200,000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4/15/96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21.05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4/16/96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21.27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4/17/96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4/18/96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4/18/96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4/19/96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4/22/96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1,100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4/23/96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21.81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4/30/95</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21.91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5/2/96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21.81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5/06/96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21.75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5/07/96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3,000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21.75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5/08/96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2,500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5/09/96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2,500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5/10/96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5/13/96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21.38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5/14/96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5/14/96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22.43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5/15/96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21.69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5/17/96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21.43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5/21/96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21.18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5/23/96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2,000</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21.75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5/24/96</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1,818,182</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22.00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1325" w:right="1440" w:bottom="1440" w:gutter="0" w:footer="0" w:header="0"/>
        </w:sectPr>
      </w:pPr>
    </w:p>
    <w:bookmarkStart w:id="6" w:name="page7"/>
    <w:bookmarkEnd w:id="6"/>
    <w:p>
      <w:pPr>
        <w:ind w:right="1779" w:firstLine="1904"/>
        <w:spacing w:after="0" w:line="237"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Fund, no other person has the right to receive or the power to direct the receipt of dividends from, or the proceeds from the sale of, any shares of Common Shares beneficially owned by the Fund.</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Neither the Fund nor any of its executive officers or directors has any contracts, arrangements or understandings with any person with respect to any securities of the Issuer.</w:t>
      </w:r>
    </w:p>
    <w:p>
      <w:pPr>
        <w:spacing w:after="0" w:line="200" w:lineRule="exact"/>
        <w:rPr>
          <w:sz w:val="20"/>
          <w:szCs w:val="20"/>
          <w:color w:val="auto"/>
        </w:rPr>
      </w:pPr>
    </w:p>
    <w:p>
      <w:pPr>
        <w:spacing w:after="0" w:line="206" w:lineRule="exact"/>
        <w:rPr>
          <w:sz w:val="20"/>
          <w:szCs w:val="20"/>
          <w:color w:val="auto"/>
        </w:rPr>
      </w:pPr>
    </w:p>
    <w:p>
      <w:pPr>
        <w:jc w:val="center"/>
        <w:ind w:right="577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1330"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STICHTING PENSIOENFONDS ABP</w:t>
      </w:r>
    </w:p>
    <w:p>
      <w:pPr>
        <w:spacing w:after="0" w:line="200" w:lineRule="exact"/>
        <w:rPr>
          <w:sz w:val="20"/>
          <w:szCs w:val="20"/>
          <w:color w:val="auto"/>
        </w:rPr>
      </w:pPr>
    </w:p>
    <w:p>
      <w:pPr>
        <w:sectPr>
          <w:pgSz w:w="11900" w:h="16838" w:orient="portrait"/>
          <w:cols w:equalWidth="0" w:num="3">
            <w:col w:w="640" w:space="220"/>
            <w:col w:w="2960" w:space="720"/>
            <w:col w:w="567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s/s J. Mensonides</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J. Mensonides</w:t>
      </w:r>
    </w:p>
    <w:p>
      <w:pPr>
        <w:ind w:left="4860"/>
        <w:spacing w:after="0" w:line="238" w:lineRule="auto"/>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Managing Director</w:t>
      </w:r>
    </w:p>
    <w:p>
      <w:pPr>
        <w:ind w:left="5800"/>
        <w:spacing w:after="0"/>
        <w:rPr>
          <w:sz w:val="20"/>
          <w:szCs w:val="20"/>
          <w:color w:val="auto"/>
        </w:rPr>
      </w:pPr>
      <w:r>
        <w:rPr>
          <w:rFonts w:ascii="Courier New" w:cs="Courier New" w:eastAsia="Courier New" w:hAnsi="Courier New"/>
          <w:sz w:val="18"/>
          <w:szCs w:val="18"/>
          <w:color w:val="auto"/>
        </w:rPr>
        <w:t>Equity Investments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s/s P.A.W.M. Spijkers</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P.A.W.M. Spijkers</w:t>
      </w:r>
    </w:p>
    <w:p>
      <w:pPr>
        <w:ind w:left="4860"/>
        <w:spacing w:after="0" w:line="238" w:lineRule="auto"/>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Managing Director</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Fixed Income Investments</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8 of 8 Pages)</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decimal"/>
      <w:start w:val="1"/>
    </w:lvl>
  </w:abstractNum>
  <w:abstractNum w:abstractNumId="1">
    <w:nsid w:val="46E87CCD"/>
    <w:multiLevelType w:val="hybridMultilevel"/>
    <w:lvl w:ilvl="0">
      <w:lvlJc w:val="left"/>
      <w:lvlText w:val="-"/>
      <w:numFmt w:val="bullet"/>
      <w:start w:val="1"/>
    </w:lvl>
    <w:lvl w:ilvl="1">
      <w:lvlJc w:val="left"/>
      <w:lvlText w:val="S.%2."/>
      <w:numFmt w:val="upperLetter"/>
      <w:start w:val="19"/>
    </w:lvl>
    <w:lvl w:ilvl="2">
      <w:lvlJc w:val="left"/>
      <w:lvlText w:val="(%3)"/>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8"/>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2019-12-12T06:07:22Z</dcterms:created>
  <dcterms:modified xsi:type="dcterms:W3CDTF">2019-12-12T06:07:22Z</dcterms:modified>
</cp:coreProperties>
</file>