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Filed Pursuant to Rule 424(b)(7)</w:t>
      </w:r>
    </w:p>
    <w:p>
      <w:pPr>
        <w:spacing w:after="0" w:line="25" w:lineRule="exact"/>
        <w:rPr>
          <w:sz w:val="24"/>
          <w:szCs w:val="24"/>
          <w:color w:val="auto"/>
        </w:rPr>
      </w:pPr>
    </w:p>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Registration No. 333-277767</w:t>
      </w:r>
    </w:p>
    <w:p>
      <w:pPr>
        <w:spacing w:after="0" w:line="16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5"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(TO PROSPECTUS DATED MARCH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1984375</wp:posOffset>
            </wp:positionH>
            <wp:positionV relativeFrom="paragraph">
              <wp:posOffset>126365</wp:posOffset>
            </wp:positionV>
            <wp:extent cx="1758950" cy="570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950" cy="570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Federal Realty Investment Trust</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3,901,260 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189865</wp:posOffset>
            </wp:positionV>
            <wp:extent cx="11480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8080" cy="698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left="200" w:right="259" w:firstLine="345"/>
        <w:spacing w:after="0" w:line="256" w:lineRule="auto"/>
        <w:rPr>
          <w:sz w:val="20"/>
          <w:szCs w:val="20"/>
          <w:color w:val="auto"/>
        </w:rPr>
      </w:pPr>
      <w:r>
        <w:rPr>
          <w:rFonts w:ascii="Times New Roman" w:cs="Times New Roman" w:eastAsia="Times New Roman" w:hAnsi="Times New Roman"/>
          <w:sz w:val="14"/>
          <w:szCs w:val="14"/>
          <w:color w:val="auto"/>
        </w:rPr>
        <w:t>Federal Realty OP LP (the “Partnership”), the operating partnership through which Federal Realty Investment Trust (the “Company”) conducts substantially all of its operations and owns substantially all of its assets, issued $460,000,000 aggregate principal amount of its 3.500% Exchangeable Senior Notes due 2031 (the “notes”) in a private placement in August 2026. Under certain circumstances, the Company may issue its common shares of beneficial interest, par value $.01 per share (“common shares”), upon exchange of the notes. The recipients of such common shares (the “selling shareholders”) may use this prospectus supplement to resell some or all of such common shares from time to time. We may supplement the information set forth in this prospectus supplement in future prospectus supplements, amendments to this prospectus supplement or in filings we make with the Securities and Exchange Commission (the “SEC”) under the Securities Exchange Act of 1934, as amended (the “Exchange Act”), that are incorporated by reference in this prospectus supplement or the accompanying prospectus.</w:t>
      </w:r>
    </w:p>
    <w:p>
      <w:pPr>
        <w:spacing w:after="0" w:line="148" w:lineRule="exact"/>
        <w:rPr>
          <w:sz w:val="24"/>
          <w:szCs w:val="24"/>
          <w:color w:val="auto"/>
        </w:rPr>
      </w:pPr>
    </w:p>
    <w:p>
      <w:pPr>
        <w:ind w:left="200" w:right="279" w:firstLine="345"/>
        <w:spacing w:after="0" w:line="257" w:lineRule="auto"/>
        <w:rPr>
          <w:sz w:val="20"/>
          <w:szCs w:val="20"/>
          <w:color w:val="auto"/>
        </w:rPr>
      </w:pPr>
      <w:r>
        <w:rPr>
          <w:rFonts w:ascii="Times New Roman" w:cs="Times New Roman" w:eastAsia="Times New Roman" w:hAnsi="Times New Roman"/>
          <w:sz w:val="14"/>
          <w:szCs w:val="14"/>
          <w:color w:val="auto"/>
        </w:rPr>
        <w:t>The notes are exchangeable only in the circumstances described in the applicable indenture. Upon any exchange, the Partnership will pay cash up to the aggregate principal amount of the notes to be exchanged and pay or deliver, as the case may be, cash, common shares or a combination of cash and common shares, at our election, in respect of the remainder, if any, of the Partnership’s exchange obligation in excess of the aggregate principal amount of the notes being exchanged. The registration of common shares covered by this prospectus supplement does not necessarily mean that any of the selling shareholders will elect to exchange their notes, or whether upon any such exchange we will elect, in our sole and absolute discretion, to satisfy our exchange obligation with cash, common shares, or a combination thereof, or that any common shares received upon exchange of the notes will be sold by the selling shareholders.</w:t>
      </w:r>
    </w:p>
    <w:p>
      <w:pPr>
        <w:spacing w:after="0" w:line="146" w:lineRule="exact"/>
        <w:rPr>
          <w:sz w:val="24"/>
          <w:szCs w:val="24"/>
          <w:color w:val="auto"/>
        </w:rPr>
      </w:pPr>
    </w:p>
    <w:p>
      <w:pPr>
        <w:ind w:left="200" w:right="279" w:firstLine="345"/>
        <w:spacing w:after="0" w:line="256" w:lineRule="auto"/>
        <w:rPr>
          <w:sz w:val="20"/>
          <w:szCs w:val="20"/>
          <w:color w:val="auto"/>
        </w:rPr>
      </w:pPr>
      <w:r>
        <w:rPr>
          <w:rFonts w:ascii="Times New Roman" w:cs="Times New Roman" w:eastAsia="Times New Roman" w:hAnsi="Times New Roman"/>
          <w:sz w:val="14"/>
          <w:szCs w:val="14"/>
          <w:color w:val="auto"/>
        </w:rPr>
        <w:t>We are registering the common shares being offered under this prospectus supplement pursuant to contractual obligations under the registration rights agreement we entered into in connection with the issuance and sale of the notes (the “registration rights agreement”). We will not receive any proceeds from any issuances of our common shares to the selling shareholders upon exchange of the notes or from any sale of common shares by the selling shareholders. We will pay all expenses in connection with the registration of the offered common shares as provided in the registration rights agreement, other than underwriting fees, discounts or commissions attributable to the sale of the offered shares, or any fees and expenses of any broker-dealer or other financial intermediary engaged by any selling shareholder. The selling shareholders from time to time may offer and sell our common shares held by them directly or through agents or broker-dealers on terms to be determined at the time of sale, as described in more detail in this prospectus supplement, the accompanying prospectus, any future prospectus supplement or amendments to this prospectus supplement.</w:t>
      </w:r>
    </w:p>
    <w:p>
      <w:pPr>
        <w:spacing w:after="0" w:line="148" w:lineRule="exact"/>
        <w:rPr>
          <w:sz w:val="24"/>
          <w:szCs w:val="24"/>
          <w:color w:val="auto"/>
        </w:rPr>
      </w:pPr>
    </w:p>
    <w:p>
      <w:pPr>
        <w:ind w:left="200" w:right="379" w:firstLine="345"/>
        <w:spacing w:after="0" w:line="285" w:lineRule="auto"/>
        <w:rPr>
          <w:sz w:val="20"/>
          <w:szCs w:val="20"/>
          <w:color w:val="auto"/>
        </w:rPr>
      </w:pPr>
      <w:r>
        <w:rPr>
          <w:rFonts w:ascii="Times New Roman" w:cs="Times New Roman" w:eastAsia="Times New Roman" w:hAnsi="Times New Roman"/>
          <w:sz w:val="14"/>
          <w:szCs w:val="14"/>
          <w:color w:val="auto"/>
        </w:rPr>
        <w:t>Our common shares are listed on the New York Stock Exchange, or the NYSE, under the symbol “FRT.” On October 30, 2026, the last reported sale price of our common shares on the NYSE was $110.19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162560</wp:posOffset>
            </wp:positionV>
            <wp:extent cx="11480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8080" cy="6985"/>
                    </a:xfrm>
                    <a:prstGeom prst="rect">
                      <a:avLst/>
                    </a:prstGeom>
                    <a:noFill/>
                  </pic:spPr>
                </pic:pic>
              </a:graphicData>
            </a:graphic>
          </wp:anchor>
        </w:drawing>
      </w:r>
    </w:p>
    <w:p>
      <w:pPr>
        <w:spacing w:after="0" w:line="391" w:lineRule="exact"/>
        <w:rPr>
          <w:sz w:val="24"/>
          <w:szCs w:val="24"/>
          <w:color w:val="auto"/>
        </w:rPr>
      </w:pPr>
    </w:p>
    <w:p>
      <w:pPr>
        <w:ind w:left="200" w:right="339" w:firstLine="345"/>
        <w:spacing w:after="0" w:line="244" w:lineRule="auto"/>
        <w:rPr>
          <w:sz w:val="20"/>
          <w:szCs w:val="20"/>
          <w:color w:val="auto"/>
        </w:rPr>
      </w:pPr>
      <w:r>
        <w:rPr>
          <w:rFonts w:ascii="Times New Roman" w:cs="Times New Roman" w:eastAsia="Times New Roman" w:hAnsi="Times New Roman"/>
          <w:sz w:val="17"/>
          <w:szCs w:val="17"/>
          <w:b w:val="1"/>
          <w:bCs w:val="1"/>
          <w:color w:val="auto"/>
        </w:rPr>
        <w:t>Investing in our common shares involves risks. See the information under the caption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in our most recent Annual Report on Form 10-K filed with the Securities and Exchange Commission, or the SEC, and subsequent filings that we make with the SEC that are incorporated by reference herein, as well as page S-3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168910</wp:posOffset>
            </wp:positionV>
            <wp:extent cx="11480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8080" cy="698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200" w:right="519" w:firstLine="345"/>
        <w:spacing w:after="0" w:line="288"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154305</wp:posOffset>
            </wp:positionV>
            <wp:extent cx="11480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8080" cy="698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November 2, 2026.</w:t>
      </w:r>
    </w:p>
    <w:p>
      <w:pPr>
        <w:sectPr>
          <w:pgSz w:w="11900" w:h="16838" w:orient="portrait"/>
          <w:cols w:equalWidth="0" w:num="1">
            <w:col w:w="9019"/>
          </w:cols>
          <w:pgMar w:left="1440" w:top="207"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36"/>
        </w:trPr>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88"/>
              </w:rPr>
              <w:t>Page</w:t>
            </w:r>
          </w:p>
        </w:tc>
      </w:tr>
      <w:tr>
        <w:trPr>
          <w:trHeight w:val="202"/>
        </w:trPr>
        <w:tc>
          <w:tcPr>
            <w:tcW w:w="19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9"/>
              </w:rPr>
              <w:t>About this Prospectus Supplement</w:t>
            </w:r>
          </w:p>
        </w:tc>
        <w:tc>
          <w:tcPr>
            <w:tcW w:w="6400" w:type="dxa"/>
            <w:vAlign w:val="bottom"/>
            <w:gridSpan w:val="6"/>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S-1</w:t>
            </w:r>
          </w:p>
        </w:tc>
      </w:tr>
      <w:tr>
        <w:trPr>
          <w:trHeight w:val="149"/>
        </w:trPr>
        <w:tc>
          <w:tcPr>
            <w:tcW w:w="3600" w:type="dxa"/>
            <w:vAlign w:val="bottom"/>
            <w:tcBorders>
              <w:bottom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4"/>
                <w:szCs w:val="14"/>
                <w:color w:val="0000EE"/>
                <w:w w:val="99"/>
              </w:rPr>
              <w:t>Cautionary Statement Concerning Forward-Looking Statements</w:t>
            </w:r>
          </w:p>
        </w:tc>
        <w:tc>
          <w:tcPr>
            <w:tcW w:w="4740" w:type="dxa"/>
            <w:vAlign w:val="bottom"/>
            <w:gridSpan w:val="3"/>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S-1</w:t>
            </w:r>
          </w:p>
        </w:tc>
      </w:tr>
      <w:tr>
        <w:trPr>
          <w:trHeight w:val="149"/>
        </w:trPr>
        <w:tc>
          <w:tcPr>
            <w:tcW w:w="70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6"/>
              </w:rPr>
              <w:t>Risk Factors</w:t>
            </w:r>
          </w:p>
        </w:tc>
        <w:tc>
          <w:tcPr>
            <w:tcW w:w="7640" w:type="dxa"/>
            <w:vAlign w:val="bottom"/>
            <w:gridSpan w:val="15"/>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S-3</w:t>
            </w:r>
          </w:p>
        </w:tc>
      </w:tr>
      <w:tr>
        <w:trPr>
          <w:trHeight w:val="149"/>
        </w:trPr>
        <w:tc>
          <w:tcPr>
            <w:tcW w:w="800" w:type="dxa"/>
            <w:vAlign w:val="bottom"/>
            <w:tcBorders>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w w:val="97"/>
              </w:rPr>
              <w:t>The Company</w:t>
            </w:r>
          </w:p>
        </w:tc>
        <w:tc>
          <w:tcPr>
            <w:tcW w:w="7540" w:type="dxa"/>
            <w:vAlign w:val="bottom"/>
            <w:gridSpan w:val="13"/>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S-3</w:t>
            </w:r>
          </w:p>
        </w:tc>
      </w:tr>
      <w:tr>
        <w:trPr>
          <w:trHeight w:val="149"/>
        </w:trPr>
        <w:tc>
          <w:tcPr>
            <w:tcW w:w="834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S-4</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9"/>
        </w:trPr>
        <w:tc>
          <w:tcPr>
            <w:tcW w:w="834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Selling Shareholders</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S-4</w:t>
            </w:r>
          </w:p>
        </w:tc>
      </w:tr>
      <w:tr>
        <w:trPr>
          <w:trHeight w:val="149"/>
        </w:trPr>
        <w:tc>
          <w:tcPr>
            <w:tcW w:w="1120" w:type="dxa"/>
            <w:vAlign w:val="bottom"/>
            <w:tcBorders>
              <w:top w:val="single" w:sz="8" w:color="0000EE"/>
              <w:bottom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EE"/>
                <w:w w:val="98"/>
              </w:rPr>
              <w:t>Plan of Distribution</w:t>
            </w:r>
          </w:p>
        </w:tc>
        <w:tc>
          <w:tcPr>
            <w:tcW w:w="40" w:type="dxa"/>
            <w:vAlign w:val="bottom"/>
            <w:tcBorders>
              <w:top w:val="single" w:sz="8" w:color="0000EE"/>
            </w:tcBorders>
          </w:tcPr>
          <w:p>
            <w:pPr>
              <w:spacing w:after="0"/>
              <w:rPr>
                <w:sz w:val="12"/>
                <w:szCs w:val="12"/>
                <w:color w:val="auto"/>
              </w:rPr>
            </w:pPr>
          </w:p>
        </w:tc>
        <w:tc>
          <w:tcPr>
            <w:tcW w:w="7180" w:type="dxa"/>
            <w:vAlign w:val="bottom"/>
            <w:gridSpan w:val="10"/>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S-4</w:t>
            </w:r>
          </w:p>
        </w:tc>
      </w:tr>
      <w:tr>
        <w:trPr>
          <w:trHeight w:val="149"/>
        </w:trPr>
        <w:tc>
          <w:tcPr>
            <w:tcW w:w="834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Experts</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S-5</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9"/>
        </w:trPr>
        <w:tc>
          <w:tcPr>
            <w:tcW w:w="834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Legal Matters</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S-5</w:t>
            </w:r>
          </w:p>
        </w:tc>
      </w:tr>
      <w:tr>
        <w:trPr>
          <w:trHeight w:val="350"/>
        </w:trPr>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240" w:type="dxa"/>
            <w:vAlign w:val="bottom"/>
          </w:tcPr>
          <w:p>
            <w:pPr>
              <w:spacing w:after="0"/>
              <w:rPr>
                <w:sz w:val="24"/>
                <w:szCs w:val="24"/>
                <w:color w:val="auto"/>
              </w:rPr>
            </w:pPr>
          </w:p>
        </w:tc>
      </w:tr>
      <w:tr>
        <w:trPr>
          <w:trHeight w:val="307"/>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Page</w:t>
            </w:r>
          </w:p>
        </w:tc>
      </w:tr>
      <w:tr>
        <w:trPr>
          <w:trHeight w:val="202"/>
        </w:trPr>
        <w:tc>
          <w:tcPr>
            <w:tcW w:w="834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122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9"/>
        </w:trPr>
        <w:tc>
          <w:tcPr>
            <w:tcW w:w="834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Forward-Looking Statements</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149"/>
        </w:trPr>
        <w:tc>
          <w:tcPr>
            <w:tcW w:w="1640" w:type="dxa"/>
            <w:vAlign w:val="bottom"/>
            <w:tcBorders>
              <w:top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rPr>
              <w:t>Prospectus Summary</w:t>
            </w:r>
          </w:p>
        </w:tc>
        <w:tc>
          <w:tcPr>
            <w:tcW w:w="6700" w:type="dxa"/>
            <w:vAlign w:val="bottom"/>
            <w:gridSpan w:val="7"/>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49"/>
        </w:trPr>
        <w:tc>
          <w:tcPr>
            <w:tcW w:w="700" w:type="dxa"/>
            <w:vAlign w:val="bottom"/>
            <w:tcBorders>
              <w:top w:val="single" w:sz="8" w:color="0000EE"/>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6"/>
              </w:rPr>
              <w:t>Risk Factors</w:t>
            </w:r>
          </w:p>
        </w:tc>
        <w:tc>
          <w:tcPr>
            <w:tcW w:w="520" w:type="dxa"/>
            <w:vAlign w:val="bottom"/>
            <w:tcBorders>
              <w:top w:val="single" w:sz="8" w:color="0000EE"/>
            </w:tcBorders>
            <w:gridSpan w:val="6"/>
          </w:tcPr>
          <w:p>
            <w:pPr>
              <w:spacing w:after="0"/>
              <w:rPr>
                <w:sz w:val="12"/>
                <w:szCs w:val="12"/>
                <w:color w:val="auto"/>
              </w:rPr>
            </w:pPr>
          </w:p>
        </w:tc>
        <w:tc>
          <w:tcPr>
            <w:tcW w:w="7120" w:type="dxa"/>
            <w:vAlign w:val="bottom"/>
            <w:gridSpan w:val="9"/>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r>
      <w:tr>
        <w:trPr>
          <w:trHeight w:val="149"/>
        </w:trPr>
        <w:tc>
          <w:tcPr>
            <w:tcW w:w="834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900" w:type="dxa"/>
            <w:vAlign w:val="bottom"/>
            <w:gridSpan w:val="5"/>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9"/>
        </w:trPr>
        <w:tc>
          <w:tcPr>
            <w:tcW w:w="6200" w:type="dxa"/>
            <w:vAlign w:val="bottom"/>
            <w:tcBorders>
              <w:bottom w:val="single" w:sz="8" w:color="0000EE"/>
            </w:tcBorders>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Description of Securities that may be Offered by Federal Realty Investment Trust or a Selling Security Holder</w:t>
            </w:r>
          </w:p>
        </w:tc>
        <w:tc>
          <w:tcPr>
            <w:tcW w:w="21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r>
      <w:tr>
        <w:trPr>
          <w:trHeight w:val="149"/>
        </w:trPr>
        <w:tc>
          <w:tcPr>
            <w:tcW w:w="834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Description of Securities that may be Offered by Federal Realty OP LP</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r>
      <w:tr>
        <w:trPr>
          <w:trHeight w:val="149"/>
        </w:trPr>
        <w:tc>
          <w:tcPr>
            <w:tcW w:w="4000" w:type="dxa"/>
            <w:vAlign w:val="bottom"/>
            <w:tcBorders>
              <w:top w:val="single" w:sz="8" w:color="0000EE"/>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EE"/>
              </w:rPr>
              <w:t>Material Federal Income Tax Considerations</w:t>
            </w:r>
          </w:p>
        </w:tc>
        <w:tc>
          <w:tcPr>
            <w:tcW w:w="4340" w:type="dxa"/>
            <w:vAlign w:val="bottom"/>
            <w:gridSpan w:val="2"/>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r>
      <w:tr>
        <w:trPr>
          <w:trHeight w:val="149"/>
        </w:trPr>
        <w:tc>
          <w:tcPr>
            <w:tcW w:w="1380" w:type="dxa"/>
            <w:vAlign w:val="bottom"/>
            <w:tcBorders>
              <w:top w:val="single" w:sz="8" w:color="0000EE"/>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w w:val="98"/>
              </w:rPr>
              <w:t>Selling Security Holders</w:t>
            </w:r>
          </w:p>
        </w:tc>
        <w:tc>
          <w:tcPr>
            <w:tcW w:w="1120" w:type="dxa"/>
            <w:vAlign w:val="bottom"/>
            <w:tcBorders>
              <w:top w:val="single" w:sz="8" w:color="0000EE"/>
            </w:tcBorders>
            <w:gridSpan w:val="4"/>
          </w:tcPr>
          <w:p>
            <w:pPr>
              <w:spacing w:after="0"/>
              <w:rPr>
                <w:sz w:val="12"/>
                <w:szCs w:val="12"/>
                <w:color w:val="auto"/>
              </w:rPr>
            </w:pPr>
          </w:p>
        </w:tc>
        <w:tc>
          <w:tcPr>
            <w:tcW w:w="5840" w:type="dxa"/>
            <w:vAlign w:val="bottom"/>
            <w:gridSpan w:val="4"/>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r>
      <w:tr>
        <w:trPr>
          <w:trHeight w:val="149"/>
        </w:trPr>
        <w:tc>
          <w:tcPr>
            <w:tcW w:w="1120" w:type="dxa"/>
            <w:vAlign w:val="bottom"/>
            <w:tcBorders>
              <w:bottom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EE"/>
                <w:w w:val="98"/>
              </w:rPr>
              <w:t>Plan of Distribution</w:t>
            </w:r>
          </w:p>
        </w:tc>
        <w:tc>
          <w:tcPr>
            <w:tcW w:w="7220" w:type="dxa"/>
            <w:vAlign w:val="bottom"/>
            <w:gridSpan w:val="11"/>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r>
      <w:tr>
        <w:trPr>
          <w:trHeight w:val="149"/>
        </w:trPr>
        <w:tc>
          <w:tcPr>
            <w:tcW w:w="78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7"/>
              </w:rPr>
              <w:t>Legal Matters</w:t>
            </w:r>
          </w:p>
        </w:tc>
        <w:tc>
          <w:tcPr>
            <w:tcW w:w="7560" w:type="dxa"/>
            <w:vAlign w:val="bottom"/>
            <w:gridSpan w:val="14"/>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r>
      <w:tr>
        <w:trPr>
          <w:trHeight w:val="149"/>
        </w:trPr>
        <w:tc>
          <w:tcPr>
            <w:tcW w:w="834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0000EE"/>
              </w:rPr>
              <w:t>Experts</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r>
      <w:tr>
        <w:trPr>
          <w:trHeight w:val="20"/>
        </w:trPr>
        <w:tc>
          <w:tcPr>
            <w:tcW w:w="420" w:type="dxa"/>
            <w:vAlign w:val="bottom"/>
            <w:shd w:val="clear" w:color="auto" w:fill="0000EE"/>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9"/>
        </w:trPr>
        <w:tc>
          <w:tcPr>
            <w:tcW w:w="2240" w:type="dxa"/>
            <w:vAlign w:val="bottom"/>
            <w:tcBorders>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6100" w:type="dxa"/>
            <w:vAlign w:val="bottom"/>
            <w:gridSpan w:val="5"/>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r>
    </w:tbl>
    <w:p>
      <w:pPr>
        <w:sectPr>
          <w:pgSz w:w="11900" w:h="16838" w:orient="portrait"/>
          <w:cols w:equalWidth="0" w:num="1">
            <w:col w:w="9019"/>
          </w:cols>
          <w:pgMar w:left="1440" w:top="23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ABOUT THIS PROSPECTUS SUPPLEMENT</w:t>
      </w:r>
    </w:p>
    <w:p>
      <w:pPr>
        <w:spacing w:after="0" w:line="179" w:lineRule="exact"/>
        <w:rPr>
          <w:sz w:val="20"/>
          <w:szCs w:val="20"/>
          <w:color w:val="auto"/>
        </w:rPr>
      </w:pPr>
    </w:p>
    <w:p>
      <w:pPr>
        <w:ind w:left="200" w:right="219" w:firstLine="345"/>
        <w:spacing w:after="0" w:line="256" w:lineRule="auto"/>
        <w:rPr>
          <w:sz w:val="20"/>
          <w:szCs w:val="20"/>
          <w:color w:val="auto"/>
        </w:rPr>
      </w:pPr>
      <w:r>
        <w:rPr>
          <w:rFonts w:ascii="Times New Roman" w:cs="Times New Roman" w:eastAsia="Times New Roman" w:hAnsi="Times New Roman"/>
          <w:sz w:val="14"/>
          <w:szCs w:val="14"/>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prior information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48" w:lineRule="exact"/>
        <w:rPr>
          <w:sz w:val="20"/>
          <w:szCs w:val="20"/>
          <w:color w:val="auto"/>
        </w:rPr>
      </w:pPr>
    </w:p>
    <w:p>
      <w:pPr>
        <w:ind w:left="200" w:right="459" w:firstLine="345"/>
        <w:spacing w:after="0" w:line="268" w:lineRule="auto"/>
        <w:rPr>
          <w:sz w:val="20"/>
          <w:szCs w:val="20"/>
          <w:color w:val="auto"/>
        </w:rPr>
      </w:pPr>
      <w:r>
        <w:rPr>
          <w:rFonts w:ascii="Times New Roman" w:cs="Times New Roman" w:eastAsia="Times New Roman" w:hAnsi="Times New Roman"/>
          <w:sz w:val="14"/>
          <w:szCs w:val="14"/>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37" w:lineRule="exact"/>
        <w:rPr>
          <w:sz w:val="20"/>
          <w:szCs w:val="20"/>
          <w:color w:val="auto"/>
        </w:rPr>
      </w:pPr>
    </w:p>
    <w:p>
      <w:pPr>
        <w:jc w:val="both"/>
        <w:ind w:left="200" w:right="339" w:firstLine="345"/>
        <w:spacing w:after="0" w:line="268" w:lineRule="auto"/>
        <w:rPr>
          <w:sz w:val="20"/>
          <w:szCs w:val="20"/>
          <w:color w:val="auto"/>
        </w:rPr>
      </w:pPr>
      <w:r>
        <w:rPr>
          <w:rFonts w:ascii="Times New Roman" w:cs="Times New Roman" w:eastAsia="Times New Roman" w:hAnsi="Times New Roman"/>
          <w:sz w:val="14"/>
          <w:szCs w:val="14"/>
          <w:color w:val="auto"/>
        </w:rPr>
        <w:t>References to “we,” “us,” “our” or “ours” refer to Federal Realty Investment Trust and its directly and indirectly owned subsidiaries, unless the context otherwise requires. The term “you” refers to a prospective investor. References to the “Company” refer to Federal Realty Investment Trust and not its subsidiaries, unless the context otherwise requires.</w:t>
      </w:r>
    </w:p>
    <w:p>
      <w:pPr>
        <w:spacing w:after="0" w:line="137" w:lineRule="exact"/>
        <w:rPr>
          <w:sz w:val="20"/>
          <w:szCs w:val="20"/>
          <w:color w:val="auto"/>
        </w:rPr>
      </w:pPr>
    </w:p>
    <w:p>
      <w:pPr>
        <w:ind w:left="200" w:right="259" w:firstLine="345"/>
        <w:spacing w:after="0" w:line="258"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prospectus supplement, the accompanying prospectus and any related free writing prospectus required to be filed with the SEC. We have not authorized any other person to provide you with additional or different information. If anyone provides you with additional or different information, you should not rely on it.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CONCERNING FORWARD-LOOKING STATEMENTS</w:t>
      </w:r>
    </w:p>
    <w:p>
      <w:pPr>
        <w:spacing w:after="0" w:line="179" w:lineRule="exact"/>
        <w:rPr>
          <w:sz w:val="20"/>
          <w:szCs w:val="20"/>
          <w:color w:val="auto"/>
        </w:rPr>
      </w:pPr>
    </w:p>
    <w:p>
      <w:pPr>
        <w:ind w:left="200" w:right="219" w:firstLine="345"/>
        <w:spacing w:after="0" w:line="256"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“seeks,” “could,” “should,” “plans,” “intends,” “expects,” “believes,” “estimates,” “anticipates,” “continues,” and other similar words. These statements constitute forward-looking statements within the meaning of Section 27A of the Securities Act of 1933, as amended (the “Securities Act”), Section 21E of the Exchange Act, and the Private Securities Litigation Reform Act of 1995. In particular, the risk factors included in or incorporated by reference into this prospectus supplement and the accompanying prospectus describe forward-looking information. The risk factors contained herein, in our most recent Annual Report on Form 10-K filed with the Securities and Exchange Commission, or the SEC, and in subsequent filings that we make with the SEC that are incorporated by reference herein,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241" w:lineRule="exact"/>
        <w:rPr>
          <w:sz w:val="20"/>
          <w:szCs w:val="20"/>
          <w:color w:val="auto"/>
        </w:rPr>
      </w:pPr>
    </w:p>
    <w:p>
      <w:pPr>
        <w:ind w:left="520" w:right="459" w:hanging="244"/>
        <w:spacing w:after="0" w:line="285" w:lineRule="auto"/>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our tenants will not pay rent, may vacate early or may file for bankruptcy, or that we may be unable to renew leases or re-let space at favorable rents as leases expire or to fill existing vacancies;</w:t>
      </w:r>
    </w:p>
    <w:p>
      <w:pPr>
        <w:spacing w:after="0" w:line="51" w:lineRule="exact"/>
        <w:rPr>
          <w:rFonts w:ascii="Times New Roman" w:cs="Times New Roman" w:eastAsia="Times New Roman" w:hAnsi="Times New Roman"/>
          <w:sz w:val="14"/>
          <w:szCs w:val="14"/>
          <w:color w:val="auto"/>
        </w:rPr>
      </w:pPr>
    </w:p>
    <w:p>
      <w:pPr>
        <w:jc w:val="both"/>
        <w:ind w:left="520" w:right="379" w:hanging="244"/>
        <w:spacing w:after="0" w:line="268" w:lineRule="auto"/>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239" w:right="1440" w:bottom="1440" w:gutter="0" w:footer="0" w:header="0"/>
        </w:sectPr>
      </w:pPr>
    </w:p>
    <w:bookmarkStart w:id="3" w:name="page4"/>
    <w:bookmarkEnd w:id="3"/>
    <w:p>
      <w:pPr>
        <w:ind w:left="520" w:right="359" w:hanging="244"/>
        <w:spacing w:after="0" w:line="260"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68" w:lineRule="exact"/>
        <w:rPr>
          <w:rFonts w:ascii="Times New Roman" w:cs="Times New Roman" w:eastAsia="Times New Roman" w:hAnsi="Times New Roman"/>
          <w:sz w:val="14"/>
          <w:szCs w:val="14"/>
          <w:color w:val="auto"/>
        </w:rPr>
      </w:pPr>
    </w:p>
    <w:p>
      <w:pPr>
        <w:ind w:left="520" w:right="739" w:hanging="244"/>
        <w:spacing w:after="0" w:line="285"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our growth will be limited if we cannot obtain additional capital, or if the costs of capital we obtain are significantly higher than historical levels;</w:t>
      </w:r>
    </w:p>
    <w:p>
      <w:pPr>
        <w:spacing w:after="0" w:line="51" w:lineRule="exact"/>
        <w:rPr>
          <w:rFonts w:ascii="Times New Roman" w:cs="Times New Roman" w:eastAsia="Times New Roman" w:hAnsi="Times New Roman"/>
          <w:sz w:val="14"/>
          <w:szCs w:val="14"/>
          <w:color w:val="auto"/>
        </w:rPr>
      </w:pPr>
    </w:p>
    <w:p>
      <w:pPr>
        <w:ind w:left="520" w:hanging="244"/>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general economic conditions, including inflation, tariffs and local economic conditions in our geographic markets;</w:t>
      </w:r>
    </w:p>
    <w:p>
      <w:pPr>
        <w:spacing w:after="0" w:line="103" w:lineRule="exact"/>
        <w:rPr>
          <w:rFonts w:ascii="Times New Roman" w:cs="Times New Roman" w:eastAsia="Times New Roman" w:hAnsi="Times New Roman"/>
          <w:sz w:val="14"/>
          <w:szCs w:val="14"/>
          <w:color w:val="auto"/>
        </w:rPr>
      </w:pPr>
    </w:p>
    <w:p>
      <w:pPr>
        <w:ind w:left="520" w:right="739" w:hanging="244"/>
        <w:spacing w:after="0" w:line="285"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51" w:lineRule="exact"/>
        <w:rPr>
          <w:rFonts w:ascii="Times New Roman" w:cs="Times New Roman" w:eastAsia="Times New Roman" w:hAnsi="Times New Roman"/>
          <w:sz w:val="14"/>
          <w:szCs w:val="14"/>
          <w:color w:val="auto"/>
        </w:rPr>
      </w:pPr>
    </w:p>
    <w:p>
      <w:pPr>
        <w:ind w:left="520" w:right="399" w:hanging="244"/>
        <w:spacing w:after="0" w:line="268"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real estate investment trust (“REIT”) requirements as a result of new legislation, and the adverse consequences of the failure to qualify as a REIT; and</w:t>
      </w:r>
    </w:p>
    <w:p>
      <w:pPr>
        <w:spacing w:after="0" w:line="63" w:lineRule="exact"/>
        <w:rPr>
          <w:rFonts w:ascii="Times New Roman" w:cs="Times New Roman" w:eastAsia="Times New Roman" w:hAnsi="Times New Roman"/>
          <w:sz w:val="14"/>
          <w:szCs w:val="14"/>
          <w:color w:val="auto"/>
        </w:rPr>
      </w:pPr>
    </w:p>
    <w:p>
      <w:pPr>
        <w:ind w:left="520" w:right="219" w:hanging="244"/>
        <w:spacing w:after="0" w:line="263"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natural disasters, climate change and public health crises (such as the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40" w:lineRule="exact"/>
        <w:rPr>
          <w:sz w:val="20"/>
          <w:szCs w:val="20"/>
          <w:color w:val="auto"/>
        </w:rPr>
      </w:pPr>
    </w:p>
    <w:p>
      <w:pPr>
        <w:jc w:val="both"/>
        <w:ind w:left="200" w:right="199"/>
        <w:spacing w:after="0" w:line="268" w:lineRule="auto"/>
        <w:rPr>
          <w:sz w:val="20"/>
          <w:szCs w:val="20"/>
          <w:color w:val="auto"/>
        </w:rPr>
      </w:pPr>
      <w:r>
        <w:rPr>
          <w:rFonts w:ascii="Times New Roman" w:cs="Times New Roman" w:eastAsia="Times New Roman" w:hAnsi="Times New Roman"/>
          <w:sz w:val="14"/>
          <w:szCs w:val="14"/>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9019"/>
          </w:cols>
          <w:pgMar w:left="1440" w:top="241"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RISK FACTORS</w:t>
      </w:r>
    </w:p>
    <w:p>
      <w:pPr>
        <w:spacing w:after="0" w:line="179" w:lineRule="exact"/>
        <w:rPr>
          <w:sz w:val="20"/>
          <w:szCs w:val="20"/>
          <w:color w:val="auto"/>
        </w:rPr>
      </w:pPr>
    </w:p>
    <w:p>
      <w:pPr>
        <w:ind w:left="200" w:right="319" w:firstLine="345"/>
        <w:spacing w:after="0" w:line="258" w:lineRule="auto"/>
        <w:rPr>
          <w:sz w:val="20"/>
          <w:szCs w:val="20"/>
          <w:color w:val="auto"/>
        </w:rPr>
      </w:pPr>
      <w:r>
        <w:rPr>
          <w:rFonts w:ascii="Times New Roman" w:cs="Times New Roman" w:eastAsia="Times New Roman" w:hAnsi="Times New Roman"/>
          <w:sz w:val="14"/>
          <w:szCs w:val="14"/>
          <w:color w:val="auto"/>
        </w:rPr>
        <w:t>Investing in our common shares involves risks. Before you decide to purchase our common shares, you should carefully consider the risk factors in our most recent Annual Report on Form 10-K filed with the SEC and in subsequent filings that we make with the SEC that are incorporated by reference in the accompanying prospectus. The risks and uncertainties we have described are those we believe to be the principal risks that could affect us, our business or our industry, and which could result in a material adverse impact on our financial condition, results of operation, prospects or the market price of our common shares. However, additional risks and uncertainties not currently known to us or that we currently deem immaterial may affect our business operations and the market price of our common shares.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9" w:lineRule="exact"/>
        <w:rPr>
          <w:sz w:val="20"/>
          <w:szCs w:val="20"/>
          <w:color w:val="auto"/>
        </w:rPr>
      </w:pPr>
    </w:p>
    <w:p>
      <w:pPr>
        <w:ind w:left="200" w:right="219" w:firstLine="345"/>
        <w:spacing w:after="0" w:line="260" w:lineRule="auto"/>
        <w:rPr>
          <w:sz w:val="20"/>
          <w:szCs w:val="20"/>
          <w:color w:val="auto"/>
        </w:rPr>
      </w:pPr>
      <w:r>
        <w:rPr>
          <w:rFonts w:ascii="Times New Roman" w:cs="Times New Roman" w:eastAsia="Times New Roman" w:hAnsi="Times New Roman"/>
          <w:sz w:val="14"/>
          <w:szCs w:val="14"/>
          <w:color w:val="auto"/>
        </w:rPr>
        <w:t>Federal Realty Investment Trust, which we refer to as the Company, is a leader in the ownership, operation, and redevelopment of high-quality retail-based properties located primarily in major coastal markets and select underserved regions that we believe have strong economic and demographic fundamentals. Founded in 1962, our mission is to deliver long-term, sustainable growth through investing in communities where we believe retail demand exceeds supply. This includes a portfolio of open-air shopping centers and mixed-use destinations, which we believe reflect our ability to create distinctive, high-performing environments that serve as vibrant destinations for their communities.</w:t>
      </w:r>
    </w:p>
    <w:p>
      <w:pPr>
        <w:spacing w:after="0" w:line="143" w:lineRule="exact"/>
        <w:rPr>
          <w:sz w:val="20"/>
          <w:szCs w:val="20"/>
          <w:color w:val="auto"/>
        </w:rPr>
      </w:pPr>
    </w:p>
    <w:p>
      <w:pPr>
        <w:ind w:left="200" w:right="279" w:firstLine="345"/>
        <w:spacing w:after="0" w:line="263" w:lineRule="auto"/>
        <w:rPr>
          <w:sz w:val="20"/>
          <w:szCs w:val="20"/>
          <w:color w:val="auto"/>
        </w:rPr>
      </w:pPr>
      <w:r>
        <w:rPr>
          <w:rFonts w:ascii="Times New Roman" w:cs="Times New Roman" w:eastAsia="Times New Roman" w:hAnsi="Times New Roman"/>
          <w:sz w:val="14"/>
          <w:szCs w:val="14"/>
          <w:color w:val="auto"/>
        </w:rPr>
        <w:t>The Company conducts substantially all of its operations and owns substantially all of its assets through the Partnership. The Company owns 100% of the limited liability company interests of, is the sole member of and exercises exclusive control over Federal Realty GP LLC, which is the sole general partner of the Partnership. The Company does not expect to have substantial assets or liabilities other than through its investment in the Partnership. As of the date of this prospectus supplement, the Company owns all of the outstanding limited partnership interests in the Partnership.</w:t>
      </w:r>
    </w:p>
    <w:p>
      <w:pPr>
        <w:spacing w:after="0" w:line="140" w:lineRule="exact"/>
        <w:rPr>
          <w:sz w:val="20"/>
          <w:szCs w:val="20"/>
          <w:color w:val="auto"/>
        </w:rPr>
      </w:pPr>
    </w:p>
    <w:p>
      <w:pPr>
        <w:ind w:left="200" w:right="199" w:firstLine="345"/>
        <w:spacing w:after="0" w:line="260" w:lineRule="auto"/>
        <w:rPr>
          <w:sz w:val="20"/>
          <w:szCs w:val="20"/>
          <w:color w:val="auto"/>
        </w:rPr>
      </w:pPr>
      <w:r>
        <w:rPr>
          <w:rFonts w:ascii="Times New Roman" w:cs="Times New Roman" w:eastAsia="Times New Roman" w:hAnsi="Times New Roman"/>
          <w:sz w:val="14"/>
          <w:szCs w:val="14"/>
          <w:color w:val="auto"/>
        </w:rPr>
        <w:t>As of September 30, 2026, we owned or had a majority interest in community and neighborhood shopping centers and mixed-use properties which are operated as 102 predominantly retail real estate projects comprising approximately 28.8 million commercial square feet. In total, the real estate projects were 96.5% leased and 93.8% occupied at September 30, 2026. Our revenue is primarily generated from lease agreements with tenants. We have paid quarterly dividends to our shareholders continuously since our founding in 1962 and have increased our dividends per common share for 59 consecutive years.</w:t>
      </w:r>
    </w:p>
    <w:p>
      <w:pPr>
        <w:spacing w:after="0" w:line="143" w:lineRule="exact"/>
        <w:rPr>
          <w:sz w:val="20"/>
          <w:szCs w:val="20"/>
          <w:color w:val="auto"/>
        </w:rPr>
      </w:pPr>
    </w:p>
    <w:p>
      <w:pPr>
        <w:ind w:left="200" w:right="319" w:firstLine="345"/>
        <w:spacing w:after="0" w:line="285" w:lineRule="auto"/>
        <w:rPr>
          <w:sz w:val="20"/>
          <w:szCs w:val="20"/>
          <w:color w:val="auto"/>
        </w:rPr>
      </w:pPr>
      <w:r>
        <w:rPr>
          <w:rFonts w:ascii="Times New Roman" w:cs="Times New Roman" w:eastAsia="Times New Roman" w:hAnsi="Times New Roman"/>
          <w:sz w:val="14"/>
          <w:szCs w:val="14"/>
          <w:color w:val="auto"/>
        </w:rPr>
        <w:t>The Company qualifies for taxation as a REIT pursuant to the Internal Revenue Code of 1986, as amended, and we intend to operate in a manner that will allow us to maintain such qualification.</w:t>
      </w:r>
    </w:p>
    <w:p>
      <w:pPr>
        <w:spacing w:after="0" w:line="125" w:lineRule="exact"/>
        <w:rPr>
          <w:sz w:val="20"/>
          <w:szCs w:val="20"/>
          <w:color w:val="auto"/>
        </w:rPr>
      </w:pPr>
    </w:p>
    <w:p>
      <w:pPr>
        <w:ind w:left="200" w:right="439" w:firstLine="345"/>
        <w:spacing w:after="0" w:line="268"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909 Rose Ave., Suite 200, North Bethesda, MD 20852. Our telephone number is (301) 998-8100. Our website address is </w:t>
      </w:r>
      <w:r>
        <w:rPr>
          <w:rFonts w:ascii="Times New Roman" w:cs="Times New Roman" w:eastAsia="Times New Roman" w:hAnsi="Times New Roman"/>
          <w:sz w:val="14"/>
          <w:szCs w:val="14"/>
          <w:i w:val="1"/>
          <w:iCs w:val="1"/>
          <w:color w:val="auto"/>
        </w:rPr>
        <w:t>www.federalrealty.com</w:t>
      </w:r>
      <w:r>
        <w:rPr>
          <w:rFonts w:ascii="Times New Roman" w:cs="Times New Roman" w:eastAsia="Times New Roman" w:hAnsi="Times New Roman"/>
          <w:sz w:val="14"/>
          <w:szCs w:val="14"/>
          <w:color w:val="auto"/>
        </w:rPr>
        <w:t>. The information contained on our website is not a part of this prospectus supplement or the accompanying prospectus and is not incorporated herein or therein by reference.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9019"/>
          </w:cols>
          <w:pgMar w:left="1440" w:top="239"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USE OF PROCEEDS</w:t>
      </w:r>
    </w:p>
    <w:p>
      <w:pPr>
        <w:spacing w:after="0" w:line="179" w:lineRule="exact"/>
        <w:rPr>
          <w:sz w:val="20"/>
          <w:szCs w:val="20"/>
          <w:color w:val="auto"/>
        </w:rPr>
      </w:pPr>
    </w:p>
    <w:p>
      <w:pPr>
        <w:ind w:left="200" w:right="259" w:firstLine="345"/>
        <w:spacing w:after="0" w:line="263" w:lineRule="auto"/>
        <w:rPr>
          <w:sz w:val="20"/>
          <w:szCs w:val="20"/>
          <w:color w:val="auto"/>
        </w:rPr>
      </w:pPr>
      <w:r>
        <w:rPr>
          <w:rFonts w:ascii="Times New Roman" w:cs="Times New Roman" w:eastAsia="Times New Roman" w:hAnsi="Times New Roman"/>
          <w:sz w:val="14"/>
          <w:szCs w:val="14"/>
          <w:color w:val="auto"/>
        </w:rPr>
        <w:t>We will not receive any proceeds from the sale of the common shares by the selling shareholders. We will pay all expenses in connection with the registration of the offered common shares as provided in the registration rights agreement, other than underwriting fees, discounts or commissions attributable to the sale of the offered shares, or any fees and expenses of any broker-dealer or other financial intermediary engaged by any selling shareholder.</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SHAREHOLDERS</w:t>
      </w:r>
    </w:p>
    <w:p>
      <w:pPr>
        <w:spacing w:after="0" w:line="179" w:lineRule="exact"/>
        <w:rPr>
          <w:sz w:val="20"/>
          <w:szCs w:val="20"/>
          <w:color w:val="auto"/>
        </w:rPr>
      </w:pPr>
    </w:p>
    <w:p>
      <w:pPr>
        <w:ind w:left="200" w:right="319" w:firstLine="345"/>
        <w:spacing w:after="0" w:line="285" w:lineRule="auto"/>
        <w:rPr>
          <w:sz w:val="20"/>
          <w:szCs w:val="20"/>
          <w:color w:val="auto"/>
        </w:rPr>
      </w:pPr>
      <w:r>
        <w:rPr>
          <w:rFonts w:ascii="Times New Roman" w:cs="Times New Roman" w:eastAsia="Times New Roman" w:hAnsi="Times New Roman"/>
          <w:sz w:val="14"/>
          <w:szCs w:val="14"/>
          <w:color w:val="auto"/>
        </w:rPr>
        <w:t>Information about selling shareholders will be set forth in a prospectus supplement, an amendment to this prospectus supplement or in filings we make with the SEC under the Exchange Act that are incorporated by reference in this prospectus supplement or the accompanying prospectus.</w:t>
      </w:r>
    </w:p>
    <w:p>
      <w:pPr>
        <w:spacing w:after="0" w:line="125" w:lineRule="exact"/>
        <w:rPr>
          <w:sz w:val="20"/>
          <w:szCs w:val="20"/>
          <w:color w:val="auto"/>
        </w:rPr>
      </w:pPr>
    </w:p>
    <w:p>
      <w:pPr>
        <w:ind w:left="200" w:right="239" w:firstLine="345"/>
        <w:spacing w:after="0" w:line="268" w:lineRule="auto"/>
        <w:rPr>
          <w:sz w:val="20"/>
          <w:szCs w:val="20"/>
          <w:color w:val="auto"/>
        </w:rPr>
      </w:pPr>
      <w:r>
        <w:rPr>
          <w:rFonts w:ascii="Times New Roman" w:cs="Times New Roman" w:eastAsia="Times New Roman" w:hAnsi="Times New Roman"/>
          <w:sz w:val="14"/>
          <w:szCs w:val="14"/>
          <w:color w:val="auto"/>
        </w:rPr>
        <w:t>Selling shareholders may be deemed to be underwriters in connection with the common shares they resell and any profits on the resale may be deemed to be underwriting discounts and commissions under the Securities Act. The selling shareholders will receive all the proceeds from the resale of our common shares. We will not receive any proceeds from resales by selling shareholders.</w:t>
      </w:r>
    </w:p>
    <w:p>
      <w:pPr>
        <w:spacing w:after="0" w:line="144" w:lineRule="exact"/>
        <w:rPr>
          <w:sz w:val="20"/>
          <w:szCs w:val="20"/>
          <w:color w:val="auto"/>
        </w:rPr>
      </w:pPr>
    </w:p>
    <w:tbl>
      <w:tblPr>
        <w:tblLayout w:type="fixed"/>
        <w:tblInd w:w="780" w:type="dxa"/>
        <w:tblCellMar>
          <w:top w:w="0" w:type="dxa"/>
          <w:left w:w="0" w:type="dxa"/>
          <w:bottom w:w="0" w:type="dxa"/>
          <w:right w:w="0" w:type="dxa"/>
        </w:tblCellMar>
      </w:tblPr>
      <w:tr>
        <w:trPr>
          <w:trHeight w:val="126"/>
        </w:trPr>
        <w:tc>
          <w:tcPr>
            <w:tcW w:w="1060" w:type="dxa"/>
            <w:vAlign w:val="bottom"/>
          </w:tcPr>
          <w:p>
            <w:pPr>
              <w:spacing w:after="0"/>
              <w:rPr>
                <w:sz w:val="11"/>
                <w:szCs w:val="11"/>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8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16"/>
        </w:trPr>
        <w:tc>
          <w:tcPr>
            <w:tcW w:w="1060" w:type="dxa"/>
            <w:vAlign w:val="bottom"/>
          </w:tcPr>
          <w:p>
            <w:pPr>
              <w:spacing w:after="0"/>
              <w:rPr>
                <w:sz w:val="10"/>
                <w:szCs w:val="10"/>
                <w:color w:val="auto"/>
              </w:rPr>
            </w:pPr>
          </w:p>
        </w:tc>
        <w:tc>
          <w:tcPr>
            <w:tcW w:w="146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1"/>
                <w:szCs w:val="11"/>
                <w:b w:val="1"/>
                <w:bCs w:val="1"/>
                <w:color w:val="auto"/>
              </w:rPr>
              <w:t>Shares</w:t>
            </w:r>
          </w:p>
        </w:tc>
        <w:tc>
          <w:tcPr>
            <w:tcW w:w="182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1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16"/>
        </w:trPr>
        <w:tc>
          <w:tcPr>
            <w:tcW w:w="1060" w:type="dxa"/>
            <w:vAlign w:val="bottom"/>
          </w:tcPr>
          <w:p>
            <w:pPr>
              <w:spacing w:after="0"/>
              <w:rPr>
                <w:sz w:val="10"/>
                <w:szCs w:val="10"/>
                <w:color w:val="auto"/>
              </w:rPr>
            </w:pPr>
          </w:p>
        </w:tc>
        <w:tc>
          <w:tcPr>
            <w:tcW w:w="146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182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1"/>
                <w:szCs w:val="11"/>
                <w:b w:val="1"/>
                <w:bCs w:val="1"/>
                <w:color w:val="auto"/>
              </w:rPr>
              <w:t>Shares</w:t>
            </w:r>
          </w:p>
        </w:tc>
        <w:tc>
          <w:tcPr>
            <w:tcW w:w="11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0" w:type="dxa"/>
            <w:vAlign w:val="bottom"/>
          </w:tcPr>
          <w:p>
            <w:pPr>
              <w:spacing w:after="0"/>
              <w:rPr>
                <w:sz w:val="1"/>
                <w:szCs w:val="1"/>
                <w:color w:val="auto"/>
              </w:rPr>
            </w:pPr>
          </w:p>
        </w:tc>
      </w:tr>
      <w:tr>
        <w:trPr>
          <w:trHeight w:val="116"/>
        </w:trPr>
        <w:tc>
          <w:tcPr>
            <w:tcW w:w="1060" w:type="dxa"/>
            <w:vAlign w:val="bottom"/>
          </w:tcPr>
          <w:p>
            <w:pPr>
              <w:spacing w:after="0"/>
              <w:rPr>
                <w:sz w:val="10"/>
                <w:szCs w:val="10"/>
                <w:color w:val="auto"/>
              </w:rPr>
            </w:pPr>
          </w:p>
        </w:tc>
        <w:tc>
          <w:tcPr>
            <w:tcW w:w="14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Owned</w:t>
            </w:r>
          </w:p>
        </w:tc>
        <w:tc>
          <w:tcPr>
            <w:tcW w:w="182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28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11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Owned</w:t>
            </w:r>
          </w:p>
        </w:tc>
        <w:tc>
          <w:tcPr>
            <w:tcW w:w="0" w:type="dxa"/>
            <w:vAlign w:val="bottom"/>
          </w:tcPr>
          <w:p>
            <w:pPr>
              <w:spacing w:after="0"/>
              <w:rPr>
                <w:sz w:val="1"/>
                <w:szCs w:val="1"/>
                <w:color w:val="auto"/>
              </w:rPr>
            </w:pPr>
          </w:p>
        </w:tc>
      </w:tr>
      <w:tr>
        <w:trPr>
          <w:trHeight w:val="116"/>
        </w:trPr>
        <w:tc>
          <w:tcPr>
            <w:tcW w:w="1060" w:type="dxa"/>
            <w:vAlign w:val="bottom"/>
          </w:tcPr>
          <w:p>
            <w:pPr>
              <w:spacing w:after="0"/>
              <w:rPr>
                <w:sz w:val="10"/>
                <w:szCs w:val="10"/>
                <w:color w:val="auto"/>
              </w:rPr>
            </w:pPr>
          </w:p>
        </w:tc>
        <w:tc>
          <w:tcPr>
            <w:tcW w:w="146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1"/>
                <w:szCs w:val="11"/>
                <w:b w:val="1"/>
                <w:bCs w:val="1"/>
                <w:color w:val="auto"/>
              </w:rPr>
              <w:t>Prior to the</w:t>
            </w:r>
          </w:p>
        </w:tc>
        <w:tc>
          <w:tcPr>
            <w:tcW w:w="182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1"/>
                <w:szCs w:val="11"/>
                <w:b w:val="1"/>
                <w:bCs w:val="1"/>
                <w:color w:val="auto"/>
              </w:rPr>
              <w:t>Prior to the</w:t>
            </w:r>
          </w:p>
        </w:tc>
        <w:tc>
          <w:tcPr>
            <w:tcW w:w="1300" w:type="dxa"/>
            <w:vAlign w:val="bottom"/>
            <w:gridSpan w:val="2"/>
            <w:vMerge w:val="continue"/>
          </w:tcPr>
          <w:p>
            <w:pPr>
              <w:spacing w:after="0"/>
              <w:rPr>
                <w:sz w:val="10"/>
                <w:szCs w:val="10"/>
                <w:color w:val="auto"/>
              </w:rPr>
            </w:pPr>
          </w:p>
        </w:tc>
        <w:tc>
          <w:tcPr>
            <w:tcW w:w="128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1"/>
                <w:szCs w:val="11"/>
                <w:b w:val="1"/>
                <w:bCs w:val="1"/>
                <w:color w:val="auto"/>
              </w:rPr>
              <w:t>Owned After</w:t>
            </w:r>
          </w:p>
        </w:tc>
        <w:tc>
          <w:tcPr>
            <w:tcW w:w="11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After the</w:t>
            </w:r>
          </w:p>
        </w:tc>
        <w:tc>
          <w:tcPr>
            <w:tcW w:w="0" w:type="dxa"/>
            <w:vAlign w:val="bottom"/>
          </w:tcPr>
          <w:p>
            <w:pPr>
              <w:spacing w:after="0"/>
              <w:rPr>
                <w:sz w:val="1"/>
                <w:szCs w:val="1"/>
                <w:color w:val="auto"/>
              </w:rPr>
            </w:pPr>
          </w:p>
        </w:tc>
      </w:tr>
      <w:tr>
        <w:trPr>
          <w:trHeight w:val="146"/>
        </w:trPr>
        <w:tc>
          <w:tcPr>
            <w:tcW w:w="1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100" w:type="dxa"/>
            <w:vAlign w:val="bottom"/>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Offering (1)</w:t>
            </w:r>
          </w:p>
        </w:tc>
        <w:tc>
          <w:tcPr>
            <w:tcW w:w="360" w:type="dxa"/>
            <w:vAlign w:val="bottom"/>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Offered Hereby</w:t>
            </w: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the Offering (2)</w:t>
            </w:r>
          </w:p>
        </w:tc>
        <w:tc>
          <w:tcPr>
            <w:tcW w:w="8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Offering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127635</wp:posOffset>
            </wp:positionV>
            <wp:extent cx="54775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77510" cy="6985"/>
                    </a:xfrm>
                    <a:prstGeom prst="rect">
                      <a:avLst/>
                    </a:prstGeom>
                    <a:noFill/>
                  </pic:spPr>
                </pic:pic>
              </a:graphicData>
            </a:graphic>
          </wp:anchor>
        </w:drawing>
      </w:r>
    </w:p>
    <w:p>
      <w:pPr>
        <w:spacing w:after="0" w:line="208" w:lineRule="exact"/>
        <w:rPr>
          <w:sz w:val="20"/>
          <w:szCs w:val="20"/>
          <w:color w:val="auto"/>
        </w:rPr>
      </w:pPr>
    </w:p>
    <w:p>
      <w:pPr>
        <w:ind w:left="520" w:hanging="329"/>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notes are not exchangeable by their terms as of the date hereof.</w:t>
      </w:r>
    </w:p>
    <w:p>
      <w:pPr>
        <w:spacing w:after="0" w:line="22" w:lineRule="exact"/>
        <w:rPr>
          <w:rFonts w:ascii="Times New Roman" w:cs="Times New Roman" w:eastAsia="Times New Roman" w:hAnsi="Times New Roman"/>
          <w:sz w:val="14"/>
          <w:szCs w:val="14"/>
          <w:color w:val="auto"/>
        </w:rPr>
      </w:pPr>
    </w:p>
    <w:p>
      <w:pPr>
        <w:ind w:left="520" w:hanging="329"/>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selling shareholders sell all of any common shares that may be issued upon the exchange of notes.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9" w:lineRule="exact"/>
        <w:rPr>
          <w:sz w:val="20"/>
          <w:szCs w:val="20"/>
          <w:color w:val="auto"/>
        </w:rPr>
      </w:pPr>
    </w:p>
    <w:p>
      <w:pPr>
        <w:ind w:left="200" w:right="399" w:firstLine="345"/>
        <w:spacing w:after="0" w:line="260" w:lineRule="auto"/>
        <w:rPr>
          <w:sz w:val="20"/>
          <w:szCs w:val="20"/>
          <w:color w:val="auto"/>
        </w:rPr>
      </w:pPr>
      <w:r>
        <w:rPr>
          <w:rFonts w:ascii="Times New Roman" w:cs="Times New Roman" w:eastAsia="Times New Roman" w:hAnsi="Times New Roman"/>
          <w:sz w:val="14"/>
          <w:szCs w:val="14"/>
          <w:color w:val="auto"/>
        </w:rPr>
        <w:t>The 3.500% Exchangeable Senior Notes due 2031 were originally issued by the Partnership and sold by the initial purchasers of the notes in transactions exempt from the registration requirements of the Securities Act to persons reasonably believed by the initial purchasers to be qualified institutional buyers as defined by Rule 144A under the Securities Act. Under certain circumstances, we may issue our common shares upon the exchange of the notes. This prospectus supplement relates to the offer and sale from time to time by the selling shareholders named in this prospectus supplement of up to 3,901,260 common shares.</w:t>
      </w:r>
    </w:p>
    <w:p>
      <w:pPr>
        <w:spacing w:after="0" w:line="143" w:lineRule="exact"/>
        <w:rPr>
          <w:sz w:val="20"/>
          <w:szCs w:val="20"/>
          <w:color w:val="auto"/>
        </w:rPr>
      </w:pPr>
    </w:p>
    <w:p>
      <w:pPr>
        <w:ind w:left="200" w:right="279" w:firstLine="345"/>
        <w:spacing w:after="0" w:line="257" w:lineRule="auto"/>
        <w:rPr>
          <w:sz w:val="20"/>
          <w:szCs w:val="20"/>
          <w:color w:val="auto"/>
        </w:rPr>
      </w:pPr>
      <w:r>
        <w:rPr>
          <w:rFonts w:ascii="Times New Roman" w:cs="Times New Roman" w:eastAsia="Times New Roman" w:hAnsi="Times New Roman"/>
          <w:sz w:val="14"/>
          <w:szCs w:val="14"/>
          <w:color w:val="auto"/>
        </w:rPr>
        <w:t>The notes are exchangeable only in the circumstances described in the applicable indenture. Upon any exchange, the Partnership will pay cash up to the aggregate principal amount of the notes to be exchanged and pay or deliver, as the case may be, cash, common shares or a combination of cash and common shares, at our election, in respect of the remainder, if any, of the Partnership’s exchange obligation in excess of the aggregate principal amount of the notes being exchanged. The registration of common shares covered by this prospectus supplement does not necessarily mean that any of the selling shareholders will elect to exchange their notes, or whether upon any such exchange we will elect, in our sole and absolute discretion, to satisfy our exchange obligation with cash, common shares, or a combination thereof, or that any common shares received upon exchange of the notes will be sold by the selling shareholders.</w:t>
      </w:r>
    </w:p>
    <w:p>
      <w:pPr>
        <w:spacing w:after="0" w:line="146" w:lineRule="exact"/>
        <w:rPr>
          <w:sz w:val="20"/>
          <w:szCs w:val="20"/>
          <w:color w:val="auto"/>
        </w:rPr>
      </w:pPr>
    </w:p>
    <w:p>
      <w:pPr>
        <w:ind w:left="200" w:right="379" w:firstLine="345"/>
        <w:spacing w:after="0" w:line="263" w:lineRule="auto"/>
        <w:rPr>
          <w:sz w:val="20"/>
          <w:szCs w:val="20"/>
          <w:color w:val="auto"/>
        </w:rPr>
      </w:pPr>
      <w:r>
        <w:rPr>
          <w:rFonts w:ascii="Times New Roman" w:cs="Times New Roman" w:eastAsia="Times New Roman" w:hAnsi="Times New Roman"/>
          <w:sz w:val="14"/>
          <w:szCs w:val="14"/>
          <w:color w:val="auto"/>
        </w:rPr>
        <w:t>We are registering the common shares being offered under this prospectus supplement pursuant to contractual obligations under the registration rights agreement we entered into in connection with the issuance and sale of the notes. We will not receive any proceeds from any issuances of our common shares to the selling shareholders upon exchange of the notes or from any sale of common shares by the selling shareholders. We will pay all expenses in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9019"/>
          </w:cols>
          <w:pgMar w:left="1440" w:top="239" w:right="1440" w:bottom="1440" w:gutter="0" w:footer="0" w:header="0"/>
        </w:sectPr>
      </w:pPr>
    </w:p>
    <w:bookmarkStart w:id="6" w:name="page7"/>
    <w:bookmarkEnd w:id="6"/>
    <w:p>
      <w:pPr>
        <w:ind w:left="200" w:right="21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connection with the registration of the offered common shares as provided in the registration rights agreement, other than underwriting fees, discounts or commissions attributable to the sale of the offered shares, or any fees and expenses of any broker-dealer or other financial intermediary engaged by any selling shareholder. The selling shareholders from time to time may offer and sell our common shares held by them directly or through agents or broker-dealers on terms to be determined at the time of sale, as described in more detail in this prospectus supplement, the accompanying prospectus, any future prospectus supplement or amendments to this prospectus supplement.</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9" w:lineRule="exact"/>
        <w:rPr>
          <w:sz w:val="20"/>
          <w:szCs w:val="20"/>
          <w:color w:val="auto"/>
        </w:rPr>
      </w:pPr>
    </w:p>
    <w:p>
      <w:pPr>
        <w:ind w:left="200" w:right="299" w:firstLine="345"/>
        <w:spacing w:after="0" w:line="263" w:lineRule="auto"/>
        <w:rPr>
          <w:sz w:val="20"/>
          <w:szCs w:val="20"/>
          <w:color w:val="auto"/>
        </w:rPr>
      </w:pPr>
      <w:r>
        <w:rPr>
          <w:rFonts w:ascii="Times New Roman" w:cs="Times New Roman" w:eastAsia="Times New Roman" w:hAnsi="Times New Roman"/>
          <w:sz w:val="14"/>
          <w:szCs w:val="14"/>
          <w:color w:val="auto"/>
        </w:rPr>
        <w:t>The audited consolidated financial statements, schedules and management’s assessment of the effectiveness of internal control over financial reporting incorporated by reference in the accompanying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9" w:lineRule="exact"/>
        <w:rPr>
          <w:sz w:val="20"/>
          <w:szCs w:val="20"/>
          <w:color w:val="auto"/>
        </w:rPr>
      </w:pPr>
    </w:p>
    <w:p>
      <w:pPr>
        <w:ind w:left="200" w:right="419" w:firstLine="345"/>
        <w:spacing w:after="0" w:line="285" w:lineRule="auto"/>
        <w:rPr>
          <w:sz w:val="20"/>
          <w:szCs w:val="20"/>
          <w:color w:val="auto"/>
        </w:rPr>
      </w:pPr>
      <w:r>
        <w:rPr>
          <w:rFonts w:ascii="Times New Roman" w:cs="Times New Roman" w:eastAsia="Times New Roman" w:hAnsi="Times New Roman"/>
          <w:sz w:val="14"/>
          <w:szCs w:val="14"/>
          <w:color w:val="auto"/>
        </w:rPr>
        <w:t>The legality of the common shares offered by this prospectus supplement will be passed upon for us by Pillsbury Winthrop Shaw Pittman LLP, Washington, DC.</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9019"/>
          </w:cols>
          <w:pgMar w:left="1440" w:top="241" w:right="1440" w:bottom="1440" w:gutter="0" w:footer="0" w:header="0"/>
        </w:sectPr>
      </w:pPr>
    </w:p>
    <w:bookmarkStart w:id="7" w:name="page8"/>
    <w:bookmarkEnd w:id="7"/>
    <w:p>
      <w:pPr>
        <w:ind w:left="2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136525</wp:posOffset>
            </wp:positionV>
            <wp:extent cx="1758950" cy="570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58950" cy="57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FEDERAL REALTY INVESTMENT TRUST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Shares, Preferred Shares, Depositary Shares, Share Purchase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Contracts, Warrants, Guarantees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173355</wp:posOffset>
            </wp:positionV>
            <wp:extent cx="114808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8080" cy="6985"/>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FEDERAL REALTY OP LP</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196850</wp:posOffset>
            </wp:positionV>
            <wp:extent cx="114808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808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00" w:right="439" w:firstLine="345"/>
        <w:spacing w:after="0" w:line="285" w:lineRule="auto"/>
        <w:rPr>
          <w:sz w:val="20"/>
          <w:szCs w:val="20"/>
          <w:color w:val="auto"/>
        </w:rPr>
      </w:pPr>
      <w:r>
        <w:rPr>
          <w:rFonts w:ascii="Times New Roman" w:cs="Times New Roman" w:eastAsia="Times New Roman" w:hAnsi="Times New Roman"/>
          <w:sz w:val="14"/>
          <w:szCs w:val="14"/>
          <w:color w:val="auto"/>
        </w:rPr>
        <w:t>Federal Realty Investment Trust, which we refer to as the Company, or any selling security holder, may from time to time offer, in one or more classes or series, separately or together:</w:t>
      </w:r>
    </w:p>
    <w:p>
      <w:pPr>
        <w:spacing w:after="0" w:line="51" w:lineRule="exact"/>
        <w:rPr>
          <w:sz w:val="20"/>
          <w:szCs w:val="20"/>
          <w:color w:val="auto"/>
        </w:rPr>
      </w:pPr>
    </w:p>
    <w:p>
      <w:pPr>
        <w:ind w:left="960" w:hanging="346"/>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of beneficial interest, par value $.01 per share, which we refer to as common shares,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shares of beneficial interest, par value $.01 per share, which we refer to as preferred shares,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depositary shares representing interests in preferred shares,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purchase contracts to purchase or sell common shares or preferred shares,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common shares or preferred shares,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guarantees of debt securities issued by Federal Realty OP LP,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consisting of two or more securities described in this prospectus.</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Federal Realty OP LP, which we refer to as the Partnership, may from time to time offer debt securities in one or more classes or series.</w:t>
      </w:r>
    </w:p>
    <w:p>
      <w:pPr>
        <w:spacing w:after="0" w:line="177" w:lineRule="exact"/>
        <w:rPr>
          <w:sz w:val="20"/>
          <w:szCs w:val="20"/>
          <w:color w:val="auto"/>
        </w:rPr>
      </w:pPr>
    </w:p>
    <w:p>
      <w:pPr>
        <w:ind w:left="200" w:right="439" w:firstLine="345"/>
        <w:spacing w:after="0" w:line="263" w:lineRule="auto"/>
        <w:rPr>
          <w:sz w:val="20"/>
          <w:szCs w:val="20"/>
          <w:color w:val="auto"/>
        </w:rPr>
      </w:pPr>
      <w:r>
        <w:rPr>
          <w:rFonts w:ascii="Times New Roman" w:cs="Times New Roman" w:eastAsia="Times New Roman" w:hAnsi="Times New Roman"/>
          <w:sz w:val="14"/>
          <w:szCs w:val="14"/>
          <w:color w:val="auto"/>
        </w:rPr>
        <w:t>We, or any selling security holder, if applicable, will offer our securities in amounts, at prices and on terms to be determined at the time such securities are offered. We will prepare a prospectus supplement describing the offering and the terms of the class or series of securities being offered. Such terms may include limitations on direct or beneficial ownership and restrictions on transfer that we believe are appropriate to preserve the Company’s status as a real estate investment trust for federal income tax purposes.</w:t>
      </w:r>
    </w:p>
    <w:p>
      <w:pPr>
        <w:spacing w:after="0" w:line="140" w:lineRule="exact"/>
        <w:rPr>
          <w:sz w:val="20"/>
          <w:szCs w:val="20"/>
          <w:color w:val="auto"/>
        </w:rPr>
      </w:pPr>
    </w:p>
    <w:p>
      <w:pPr>
        <w:ind w:left="200" w:right="939" w:firstLine="345"/>
        <w:spacing w:after="0" w:line="285" w:lineRule="auto"/>
        <w:rPr>
          <w:sz w:val="20"/>
          <w:szCs w:val="20"/>
          <w:color w:val="auto"/>
        </w:rPr>
      </w:pPr>
      <w:r>
        <w:rPr>
          <w:rFonts w:ascii="Times New Roman" w:cs="Times New Roman" w:eastAsia="Times New Roman" w:hAnsi="Times New Roman"/>
          <w:sz w:val="14"/>
          <w:szCs w:val="14"/>
          <w:color w:val="auto"/>
        </w:rPr>
        <w:t>The applicable prospectus supplement may also contain information, where applicable, about certain United States federal income tax considerations relating to the securities covered by such prospectus supplement.</w:t>
      </w:r>
    </w:p>
    <w:p>
      <w:pPr>
        <w:spacing w:after="0" w:line="125" w:lineRule="exact"/>
        <w:rPr>
          <w:sz w:val="20"/>
          <w:szCs w:val="20"/>
          <w:color w:val="auto"/>
        </w:rPr>
      </w:pPr>
    </w:p>
    <w:p>
      <w:pPr>
        <w:ind w:left="200" w:right="519" w:firstLine="345"/>
        <w:spacing w:after="0" w:line="263" w:lineRule="auto"/>
        <w:rPr>
          <w:sz w:val="20"/>
          <w:szCs w:val="20"/>
          <w:color w:val="auto"/>
        </w:rPr>
      </w:pPr>
      <w:r>
        <w:rPr>
          <w:rFonts w:ascii="Times New Roman" w:cs="Times New Roman" w:eastAsia="Times New Roman" w:hAnsi="Times New Roman"/>
          <w:sz w:val="14"/>
          <w:szCs w:val="14"/>
          <w:color w:val="auto"/>
        </w:rPr>
        <w:t>We or any selling security holder may offer our securities directly, through agents or to or through underwriters or dealers, on a continuous or delayed basis.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w:t>
      </w:r>
    </w:p>
    <w:p>
      <w:pPr>
        <w:spacing w:after="0" w:line="140" w:lineRule="exact"/>
        <w:rPr>
          <w:sz w:val="20"/>
          <w:szCs w:val="20"/>
          <w:color w:val="auto"/>
        </w:rPr>
      </w:pPr>
    </w:p>
    <w:p>
      <w:pPr>
        <w:ind w:left="200" w:right="479" w:firstLine="345"/>
        <w:spacing w:after="0" w:line="285" w:lineRule="auto"/>
        <w:rPr>
          <w:sz w:val="20"/>
          <w:szCs w:val="20"/>
          <w:color w:val="auto"/>
        </w:rPr>
      </w:pPr>
      <w:r>
        <w:rPr>
          <w:rFonts w:ascii="Times New Roman" w:cs="Times New Roman" w:eastAsia="Times New Roman" w:hAnsi="Times New Roman"/>
          <w:sz w:val="14"/>
          <w:szCs w:val="14"/>
          <w:color w:val="auto"/>
        </w:rPr>
        <w:t>The Company’s common shares and depositary shares representing interests in the Company’s Series C preferred shares are listed on the New York Stock Exchange under the symbols “FRT” and “FRT-C,”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155575</wp:posOffset>
            </wp:positionV>
            <wp:extent cx="114808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8080" cy="6985"/>
                    </a:xfrm>
                    <a:prstGeom prst="rect">
                      <a:avLst/>
                    </a:prstGeom>
                    <a:noFill/>
                  </pic:spPr>
                </pic:pic>
              </a:graphicData>
            </a:graphic>
          </wp:anchor>
        </w:drawing>
      </w:r>
    </w:p>
    <w:p>
      <w:pPr>
        <w:spacing w:after="0" w:line="3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Investing in our securities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4 of this prospectus.</w:t>
      </w:r>
    </w:p>
    <w:p>
      <w:pPr>
        <w:spacing w:after="0" w:line="172" w:lineRule="exact"/>
        <w:rPr>
          <w:sz w:val="20"/>
          <w:szCs w:val="20"/>
          <w:color w:val="auto"/>
        </w:rPr>
      </w:pPr>
    </w:p>
    <w:p>
      <w:pPr>
        <w:ind w:left="200" w:right="319" w:firstLine="345"/>
        <w:spacing w:after="0" w:line="28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154305</wp:posOffset>
            </wp:positionV>
            <wp:extent cx="114808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8080" cy="6985"/>
                    </a:xfrm>
                    <a:prstGeom prst="rect">
                      <a:avLst/>
                    </a:prstGeom>
                    <a:noFill/>
                  </pic:spPr>
                </pic:pic>
              </a:graphicData>
            </a:graphic>
          </wp:anchor>
        </w:drawing>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March 8, 2024.</w:t>
      </w:r>
    </w:p>
    <w:p>
      <w:pPr>
        <w:sectPr>
          <w:pgSz w:w="11900" w:h="16838" w:orient="portrait"/>
          <w:cols w:equalWidth="0" w:num="1">
            <w:col w:w="9019"/>
          </w:cols>
          <w:pgMar w:left="1440" w:top="239" w:right="1440" w:bottom="1440" w:gutter="0" w:footer="0" w:header="0"/>
        </w:sectPr>
      </w:pPr>
    </w:p>
    <w:bookmarkStart w:id="8" w:name="page9"/>
    <w:bookmarkEnd w:id="8"/>
    <w:tbl>
      <w:tblPr>
        <w:tblLayout w:type="fixed"/>
        <w:tblInd w:w="20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76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07"/>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Page</w:t>
            </w:r>
          </w:p>
        </w:tc>
      </w:tr>
      <w:tr>
        <w:trPr>
          <w:trHeight w:val="202"/>
        </w:trPr>
        <w:tc>
          <w:tcPr>
            <w:tcW w:w="726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49"/>
        </w:trPr>
        <w:tc>
          <w:tcPr>
            <w:tcW w:w="726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EE"/>
              </w:rPr>
              <w:t>Forward-Looking Statements</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149"/>
        </w:trPr>
        <w:tc>
          <w:tcPr>
            <w:tcW w:w="1640" w:type="dxa"/>
            <w:vAlign w:val="bottom"/>
            <w:tcBorders>
              <w:top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rPr>
              <w:t>Prospectus Summary</w:t>
            </w:r>
          </w:p>
        </w:tc>
        <w:tc>
          <w:tcPr>
            <w:tcW w:w="5620" w:type="dxa"/>
            <w:vAlign w:val="bottom"/>
            <w:gridSpan w:val="5"/>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49"/>
        </w:trPr>
        <w:tc>
          <w:tcPr>
            <w:tcW w:w="700" w:type="dxa"/>
            <w:vAlign w:val="bottom"/>
            <w:tcBorders>
              <w:top w:val="single" w:sz="8" w:color="0000EE"/>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6"/>
              </w:rPr>
              <w:t>Risk Factors</w:t>
            </w:r>
          </w:p>
        </w:tc>
        <w:tc>
          <w:tcPr>
            <w:tcW w:w="520" w:type="dxa"/>
            <w:vAlign w:val="bottom"/>
            <w:tcBorders>
              <w:top w:val="single" w:sz="8" w:color="0000EE"/>
            </w:tcBorders>
            <w:gridSpan w:val="4"/>
          </w:tcPr>
          <w:p>
            <w:pPr>
              <w:spacing w:after="0"/>
              <w:rPr>
                <w:sz w:val="12"/>
                <w:szCs w:val="12"/>
                <w:color w:val="auto"/>
              </w:rPr>
            </w:pPr>
          </w:p>
        </w:tc>
        <w:tc>
          <w:tcPr>
            <w:tcW w:w="6040" w:type="dxa"/>
            <w:vAlign w:val="bottom"/>
            <w:gridSpan w:val="7"/>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r>
      <w:tr>
        <w:trPr>
          <w:trHeight w:val="149"/>
        </w:trPr>
        <w:tc>
          <w:tcPr>
            <w:tcW w:w="726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49"/>
        </w:trPr>
        <w:tc>
          <w:tcPr>
            <w:tcW w:w="6200" w:type="dxa"/>
            <w:vAlign w:val="bottom"/>
            <w:tcBorders>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rPr>
              <w:t>Description of Securities that may be Offered by Federal Realty Investment Trust or a Selling Security Holder</w:t>
            </w:r>
          </w:p>
        </w:tc>
        <w:tc>
          <w:tcPr>
            <w:tcW w:w="106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r>
      <w:tr>
        <w:trPr>
          <w:trHeight w:val="149"/>
        </w:trPr>
        <w:tc>
          <w:tcPr>
            <w:tcW w:w="726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EE"/>
              </w:rPr>
              <w:t>Description of Securities that may be Offered by Federal Realty OP LP</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r>
      <w:tr>
        <w:trPr>
          <w:trHeight w:val="149"/>
        </w:trPr>
        <w:tc>
          <w:tcPr>
            <w:tcW w:w="4000" w:type="dxa"/>
            <w:vAlign w:val="bottom"/>
            <w:tcBorders>
              <w:top w:val="single" w:sz="8" w:color="0000EE"/>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EE"/>
              </w:rPr>
              <w:t>Material Federal Income Tax Considerations</w:t>
            </w:r>
          </w:p>
        </w:tc>
        <w:tc>
          <w:tcPr>
            <w:tcW w:w="3260" w:type="dxa"/>
            <w:vAlign w:val="bottom"/>
            <w:gridSpan w:val="2"/>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r>
      <w:tr>
        <w:trPr>
          <w:trHeight w:val="149"/>
        </w:trPr>
        <w:tc>
          <w:tcPr>
            <w:tcW w:w="1380" w:type="dxa"/>
            <w:vAlign w:val="bottom"/>
            <w:tcBorders>
              <w:top w:val="single" w:sz="8" w:color="0000EE"/>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w w:val="98"/>
              </w:rPr>
              <w:t>Selling Security Holders</w:t>
            </w:r>
          </w:p>
        </w:tc>
        <w:tc>
          <w:tcPr>
            <w:tcW w:w="1120" w:type="dxa"/>
            <w:vAlign w:val="bottom"/>
            <w:tcBorders>
              <w:top w:val="single" w:sz="8" w:color="0000EE"/>
            </w:tcBorders>
            <w:gridSpan w:val="3"/>
          </w:tcPr>
          <w:p>
            <w:pPr>
              <w:spacing w:after="0"/>
              <w:rPr>
                <w:sz w:val="12"/>
                <w:szCs w:val="12"/>
                <w:color w:val="auto"/>
              </w:rPr>
            </w:pPr>
          </w:p>
        </w:tc>
        <w:tc>
          <w:tcPr>
            <w:tcW w:w="4760" w:type="dxa"/>
            <w:vAlign w:val="bottom"/>
            <w:gridSpan w:val="3"/>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r>
      <w:tr>
        <w:trPr>
          <w:trHeight w:val="149"/>
        </w:trPr>
        <w:tc>
          <w:tcPr>
            <w:tcW w:w="1120" w:type="dxa"/>
            <w:vAlign w:val="bottom"/>
            <w:tcBorders>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w w:val="98"/>
              </w:rPr>
              <w:t>Plan of Distribution</w:t>
            </w:r>
          </w:p>
        </w:tc>
        <w:tc>
          <w:tcPr>
            <w:tcW w:w="6140" w:type="dxa"/>
            <w:vAlign w:val="bottom"/>
            <w:gridSpan w:val="8"/>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r>
      <w:tr>
        <w:trPr>
          <w:trHeight w:val="149"/>
        </w:trPr>
        <w:tc>
          <w:tcPr>
            <w:tcW w:w="78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7"/>
              </w:rPr>
              <w:t>Legal Matters</w:t>
            </w:r>
          </w:p>
        </w:tc>
        <w:tc>
          <w:tcPr>
            <w:tcW w:w="6480" w:type="dxa"/>
            <w:vAlign w:val="bottom"/>
            <w:gridSpan w:val="10"/>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r>
      <w:tr>
        <w:trPr>
          <w:trHeight w:val="149"/>
        </w:trPr>
        <w:tc>
          <w:tcPr>
            <w:tcW w:w="726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EE"/>
              </w:rPr>
              <w:t>Experts</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r>
      <w:tr>
        <w:trPr>
          <w:trHeight w:val="20"/>
        </w:trPr>
        <w:tc>
          <w:tcPr>
            <w:tcW w:w="420" w:type="dxa"/>
            <w:vAlign w:val="bottom"/>
            <w:shd w:val="clear" w:color="auto" w:fill="0000EE"/>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49"/>
        </w:trPr>
        <w:tc>
          <w:tcPr>
            <w:tcW w:w="2240" w:type="dxa"/>
            <w:vAlign w:val="bottom"/>
            <w:tcBorders>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5020" w:type="dxa"/>
            <w:vAlign w:val="bottom"/>
            <w:gridSpan w:val="4"/>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r>
    </w:tbl>
    <w:p>
      <w:pPr>
        <w:jc w:val="right"/>
        <w:spacing w:after="0" w:line="149" w:lineRule="exact"/>
        <w:rPr>
          <w:sz w:val="20"/>
          <w:szCs w:val="20"/>
          <w:color w:val="auto"/>
        </w:rPr>
        <w:sectPr>
          <w:pgSz w:w="11900" w:h="16838" w:orient="portrait"/>
          <w:cols w:equalWidth="0" w:num="1">
            <w:col w:w="9019"/>
          </w:cols>
          <w:pgMar w:left="1440" w:top="239" w:right="1440" w:bottom="1440" w:gutter="0" w:footer="0" w:header="0"/>
        </w:sect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ABOUT THIS PROSPECTUS</w:t>
      </w:r>
    </w:p>
    <w:p>
      <w:pPr>
        <w:spacing w:after="0" w:line="179" w:lineRule="exact"/>
        <w:rPr>
          <w:sz w:val="20"/>
          <w:szCs w:val="20"/>
          <w:color w:val="auto"/>
        </w:rPr>
      </w:pPr>
    </w:p>
    <w:p>
      <w:pPr>
        <w:ind w:left="200" w:right="279" w:firstLine="345"/>
        <w:spacing w:after="0" w:line="257"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or the “SEC,” using a “shelf” registration process. Under this shelf process, we or any selling security holder may sell any combination of the securities described in this prospectus either separately or in units, in one or more offerings. Our prospectus provides you with a general description of these securities. Each time we sell, or any selling security holder sells, securities, we or they will provide a prospectus supplement that will contain specific information about all of the terms of that offering. The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46" w:lineRule="exact"/>
        <w:rPr>
          <w:sz w:val="20"/>
          <w:szCs w:val="20"/>
          <w:color w:val="auto"/>
        </w:rPr>
      </w:pPr>
    </w:p>
    <w:p>
      <w:pPr>
        <w:ind w:left="200" w:right="339" w:firstLine="345"/>
        <w:spacing w:after="0" w:line="268" w:lineRule="auto"/>
        <w:rPr>
          <w:sz w:val="20"/>
          <w:szCs w:val="20"/>
          <w:color w:val="auto"/>
        </w:rPr>
      </w:pPr>
      <w:r>
        <w:rPr>
          <w:rFonts w:ascii="Times New Roman" w:cs="Times New Roman" w:eastAsia="Times New Roman" w:hAnsi="Times New Roman"/>
          <w:sz w:val="14"/>
          <w:szCs w:val="14"/>
          <w:color w:val="auto"/>
        </w:rPr>
        <w:t>Except as otherwise noted, references herein to “we,” “us,” “our” or “ours” refer to Federal Realty Investment Trust and its directly or indirectly owned subsidiaries, including Federal Realty OP LP, unless the context otherwise requires. The term “you” refers to a prospective investor. The term “Company” refers to Federal Realty Investment Trust. The term “Partnership” refers to Federal Realty OP LP.</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This prospectus and the documents incorporated by reference into this prospectus contain statements that are not based on historical facts,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including statements or information with words such as “may,” “will,” “seeks,” “could,” “should,” “plans,” “intends,” “expects,” “believes,”</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“estimates,” “anticipates,” “continues” and other similar words. These statements constitute forward-looking statements within the meaning of</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Section 27A of the Securities Act of 1933, as amended, or the “Securities Act,” Section 21E of the Securities Exchange Act of 1934, as amended, or the</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“Exchange Act,” and the Private Securities Litigation Reform Act of 1995. In particular, the risk factors included in or incorporated by reference into</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this prospectus describe forward-looking information. The risk factors, including those in our Annual Report on Form 10-K for the year ended</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December 31, 2023, filed with the SEC on February 12, 2024, describe risks that may affect these statements but are not exhaustive, particularly with</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respect to possible future events. Many things can happen that can cause actual results to be different from those we describe. These factors include, but</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are not limited to:</w:t>
      </w:r>
    </w:p>
    <w:p>
      <w:pPr>
        <w:spacing w:after="0" w:line="89" w:lineRule="exact"/>
        <w:rPr>
          <w:sz w:val="20"/>
          <w:szCs w:val="20"/>
          <w:color w:val="auto"/>
        </w:rPr>
      </w:pPr>
    </w:p>
    <w:p>
      <w:pPr>
        <w:ind w:left="960" w:right="519" w:hanging="346"/>
        <w:spacing w:after="0" w:line="285" w:lineRule="auto"/>
        <w:tabs>
          <w:tab w:leader="none" w:pos="9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our tenants will not pay rent, may vacate early or may file for bankruptcy, or that we may be unable to renew leases or re-let space at favorable rents as leases expire or to fill existing vacancies;</w:t>
      </w:r>
    </w:p>
    <w:p>
      <w:pPr>
        <w:spacing w:after="0" w:line="51" w:lineRule="exact"/>
        <w:rPr>
          <w:rFonts w:ascii="Times New Roman" w:cs="Times New Roman" w:eastAsia="Times New Roman" w:hAnsi="Times New Roman"/>
          <w:sz w:val="14"/>
          <w:szCs w:val="14"/>
          <w:color w:val="auto"/>
        </w:rPr>
      </w:pPr>
    </w:p>
    <w:p>
      <w:pPr>
        <w:ind w:left="960" w:right="199" w:hanging="346"/>
        <w:spacing w:after="0" w:line="268" w:lineRule="auto"/>
        <w:tabs>
          <w:tab w:leader="none" w:pos="9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63" w:lineRule="exact"/>
        <w:rPr>
          <w:rFonts w:ascii="Times New Roman" w:cs="Times New Roman" w:eastAsia="Times New Roman" w:hAnsi="Times New Roman"/>
          <w:sz w:val="14"/>
          <w:szCs w:val="14"/>
          <w:color w:val="auto"/>
        </w:rPr>
      </w:pPr>
    </w:p>
    <w:p>
      <w:pPr>
        <w:ind w:left="960" w:right="219" w:hanging="346"/>
        <w:spacing w:after="0" w:line="260" w:lineRule="auto"/>
        <w:tabs>
          <w:tab w:leader="none" w:pos="9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68" w:lineRule="exact"/>
        <w:rPr>
          <w:rFonts w:ascii="Times New Roman" w:cs="Times New Roman" w:eastAsia="Times New Roman" w:hAnsi="Times New Roman"/>
          <w:sz w:val="14"/>
          <w:szCs w:val="14"/>
          <w:color w:val="auto"/>
        </w:rPr>
      </w:pPr>
    </w:p>
    <w:p>
      <w:pPr>
        <w:ind w:left="960" w:right="299" w:hanging="346"/>
        <w:spacing w:after="0" w:line="285" w:lineRule="auto"/>
        <w:tabs>
          <w:tab w:leader="none" w:pos="9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our growth will be limited if we cannot obtain additional capital, or if the costs of capital we obtain are significantly higher than historical levels;</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general economic conditions, including inflation and local economic conditions in our geographic markets;</w:t>
      </w:r>
    </w:p>
    <w:p>
      <w:pPr>
        <w:spacing w:after="0" w:line="103" w:lineRule="exact"/>
        <w:rPr>
          <w:rFonts w:ascii="Times New Roman" w:cs="Times New Roman" w:eastAsia="Times New Roman" w:hAnsi="Times New Roman"/>
          <w:sz w:val="14"/>
          <w:szCs w:val="14"/>
          <w:color w:val="auto"/>
        </w:rPr>
      </w:pPr>
    </w:p>
    <w:p>
      <w:pPr>
        <w:ind w:left="960" w:right="319" w:hanging="346"/>
        <w:spacing w:after="0" w:line="285" w:lineRule="auto"/>
        <w:tabs>
          <w:tab w:leader="none" w:pos="9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9" w:right="1440" w:bottom="1440" w:gutter="0" w:footer="0" w:header="0"/>
        </w:sectPr>
      </w:pPr>
    </w:p>
    <w:bookmarkStart w:id="10" w:name="page11"/>
    <w:bookmarkEnd w:id="10"/>
    <w:p>
      <w:pPr>
        <w:ind w:left="960" w:right="419" w:hanging="346"/>
        <w:spacing w:after="0" w:line="268" w:lineRule="auto"/>
        <w:tabs>
          <w:tab w:leader="none" w:pos="9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158" w:lineRule="exact"/>
        <w:rPr>
          <w:rFonts w:ascii="Times New Roman" w:cs="Times New Roman" w:eastAsia="Times New Roman" w:hAnsi="Times New Roman"/>
          <w:sz w:val="14"/>
          <w:szCs w:val="14"/>
          <w:color w:val="auto"/>
        </w:rPr>
      </w:pPr>
    </w:p>
    <w:p>
      <w:pPr>
        <w:ind w:left="960" w:right="279" w:hanging="346"/>
        <w:spacing w:after="0" w:line="263" w:lineRule="auto"/>
        <w:tabs>
          <w:tab w:leader="none" w:pos="9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40" w:lineRule="exact"/>
        <w:rPr>
          <w:sz w:val="20"/>
          <w:szCs w:val="20"/>
          <w:color w:val="auto"/>
        </w:rPr>
      </w:pPr>
    </w:p>
    <w:p>
      <w:pPr>
        <w:ind w:left="200" w:right="199"/>
        <w:spacing w:after="0" w:line="268" w:lineRule="auto"/>
        <w:rPr>
          <w:sz w:val="20"/>
          <w:szCs w:val="20"/>
          <w:color w:val="auto"/>
        </w:rPr>
      </w:pPr>
      <w:r>
        <w:rPr>
          <w:rFonts w:ascii="Times New Roman" w:cs="Times New Roman" w:eastAsia="Times New Roman" w:hAnsi="Times New Roman"/>
          <w:sz w:val="14"/>
          <w:szCs w:val="14"/>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72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3372485"/>
                    </a:xfrm>
                    <a:prstGeom prst="rect">
                      <a:avLst/>
                    </a:prstGeom>
                    <a:noFill/>
                  </pic:spPr>
                </pic:pic>
              </a:graphicData>
            </a:graphic>
          </wp:anchor>
        </w:drawing>
        <w:t>PROSPECTUS SUMMARY</w:t>
      </w:r>
    </w:p>
    <w:p>
      <w:pPr>
        <w:spacing w:after="0" w:line="177" w:lineRule="exact"/>
        <w:rPr>
          <w:sz w:val="20"/>
          <w:szCs w:val="20"/>
          <w:color w:val="auto"/>
        </w:rPr>
      </w:pPr>
    </w:p>
    <w:p>
      <w:pPr>
        <w:ind w:left="340" w:right="519" w:firstLine="334"/>
        <w:spacing w:after="0" w:line="288" w:lineRule="auto"/>
        <w:rPr>
          <w:sz w:val="20"/>
          <w:szCs w:val="20"/>
          <w:color w:val="auto"/>
        </w:rPr>
      </w:pPr>
      <w:r>
        <w:rPr>
          <w:rFonts w:ascii="Times New Roman" w:cs="Times New Roman" w:eastAsia="Times New Roman" w:hAnsi="Times New Roman"/>
          <w:sz w:val="14"/>
          <w:szCs w:val="14"/>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Federal Realty Investment Trust and Federal Realty OP LP</w:t>
      </w:r>
    </w:p>
    <w:p>
      <w:pPr>
        <w:spacing w:after="0" w:line="179" w:lineRule="exact"/>
        <w:rPr>
          <w:sz w:val="20"/>
          <w:szCs w:val="20"/>
          <w:color w:val="auto"/>
        </w:rPr>
      </w:pPr>
    </w:p>
    <w:p>
      <w:pPr>
        <w:ind w:left="340" w:right="499" w:firstLine="334"/>
        <w:spacing w:after="0" w:line="256" w:lineRule="auto"/>
        <w:rPr>
          <w:sz w:val="20"/>
          <w:szCs w:val="20"/>
          <w:color w:val="auto"/>
        </w:rPr>
      </w:pPr>
      <w:r>
        <w:rPr>
          <w:rFonts w:ascii="Times New Roman" w:cs="Times New Roman" w:eastAsia="Times New Roman" w:hAnsi="Times New Roman"/>
          <w:sz w:val="14"/>
          <w:szCs w:val="14"/>
          <w:color w:val="auto"/>
        </w:rPr>
        <w:t>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have substantial assets or liabilities other than through its investment in the Partnership. As of the date of this prospectus, the Company owns all of the outstanding limited partnership interests in the Partnership.</w:t>
      </w:r>
    </w:p>
    <w:p>
      <w:pPr>
        <w:spacing w:after="0" w:line="148" w:lineRule="exact"/>
        <w:rPr>
          <w:sz w:val="20"/>
          <w:szCs w:val="20"/>
          <w:color w:val="auto"/>
        </w:rPr>
      </w:pPr>
    </w:p>
    <w:p>
      <w:pPr>
        <w:ind w:left="340" w:right="399" w:firstLine="334"/>
        <w:spacing w:after="0" w:line="260" w:lineRule="auto"/>
        <w:rPr>
          <w:sz w:val="20"/>
          <w:szCs w:val="20"/>
          <w:color w:val="auto"/>
        </w:rPr>
      </w:pPr>
      <w:r>
        <w:rPr>
          <w:rFonts w:ascii="Times New Roman" w:cs="Times New Roman" w:eastAsia="Times New Roman" w:hAnsi="Times New Roman"/>
          <w:sz w:val="14"/>
          <w:szCs w:val="14"/>
          <w:color w:val="auto"/>
        </w:rPr>
        <w:t>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Our revenue is primarily generated from lease agreements with tenants. We have paid quarterly dividends to our shareholders continuously since our founding in 1962 and have increased our dividends per common share for 56 consecutive years.</w:t>
      </w:r>
    </w:p>
    <w:p>
      <w:pPr>
        <w:spacing w:after="0" w:line="143" w:lineRule="exact"/>
        <w:rPr>
          <w:sz w:val="20"/>
          <w:szCs w:val="20"/>
          <w:color w:val="auto"/>
        </w:rPr>
      </w:pPr>
    </w:p>
    <w:p>
      <w:pPr>
        <w:ind w:left="340" w:right="479" w:firstLine="334"/>
        <w:spacing w:after="0" w:line="285" w:lineRule="auto"/>
        <w:rPr>
          <w:sz w:val="20"/>
          <w:szCs w:val="20"/>
          <w:color w:val="auto"/>
        </w:rPr>
      </w:pPr>
      <w:r>
        <w:rPr>
          <w:rFonts w:ascii="Times New Roman" w:cs="Times New Roman" w:eastAsia="Times New Roman" w:hAnsi="Times New Roman"/>
          <w:sz w:val="14"/>
          <w:szCs w:val="14"/>
          <w:color w:val="auto"/>
        </w:rPr>
        <w:t>The Company qualifies for taxation as a REIT pursuant to the Internal Revenue Code of 1986, as amended, or the “Code,” and we intend to operate in a manner that will allow us to maintain such qualification.</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Our principal executive offices are located at 909 Rose Ave., Suite 200, North Bethesda, MD 20852. Our telephone number is</w:t>
      </w:r>
    </w:p>
    <w:p>
      <w:pPr>
        <w:spacing w:after="0" w:line="23" w:lineRule="exact"/>
        <w:rPr>
          <w:sz w:val="20"/>
          <w:szCs w:val="20"/>
          <w:color w:val="auto"/>
        </w:rPr>
      </w:pPr>
    </w:p>
    <w:p>
      <w:pPr>
        <w:ind w:left="340" w:right="399" w:hanging="6"/>
        <w:spacing w:after="0" w:line="264" w:lineRule="auto"/>
        <w:tabs>
          <w:tab w:leader="none" w:pos="6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998-8100. Our website address is </w:t>
      </w:r>
      <w:r>
        <w:rPr>
          <w:rFonts w:ascii="Times New Roman" w:cs="Times New Roman" w:eastAsia="Times New Roman" w:hAnsi="Times New Roman"/>
          <w:sz w:val="14"/>
          <w:szCs w:val="14"/>
          <w:i w:val="1"/>
          <w:iCs w:val="1"/>
          <w:color w:val="auto"/>
        </w:rPr>
        <w:t>www.federalrealty.com</w:t>
      </w:r>
      <w:r>
        <w:rPr>
          <w:rFonts w:ascii="Times New Roman" w:cs="Times New Roman" w:eastAsia="Times New Roman" w:hAnsi="Times New Roman"/>
          <w:sz w:val="14"/>
          <w:szCs w:val="14"/>
          <w:color w:val="auto"/>
        </w:rPr>
        <w:t>. The information contained on our website is not a part of this prospectus and is not incorporated herein by reference.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387"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RISK FACTORS</w:t>
      </w:r>
    </w:p>
    <w:p>
      <w:pPr>
        <w:spacing w:after="0" w:line="179" w:lineRule="exact"/>
        <w:rPr>
          <w:sz w:val="20"/>
          <w:szCs w:val="20"/>
          <w:color w:val="auto"/>
        </w:rPr>
      </w:pPr>
    </w:p>
    <w:p>
      <w:pPr>
        <w:ind w:left="200" w:right="219" w:firstLine="345"/>
        <w:spacing w:after="0" w:line="257" w:lineRule="auto"/>
        <w:rPr>
          <w:sz w:val="20"/>
          <w:szCs w:val="20"/>
          <w:color w:val="auto"/>
        </w:rPr>
      </w:pPr>
      <w:r>
        <w:rPr>
          <w:rFonts w:ascii="Times New Roman" w:cs="Times New Roman" w:eastAsia="Times New Roman" w:hAnsi="Times New Roman"/>
          <w:sz w:val="14"/>
          <w:szCs w:val="14"/>
          <w:color w:val="auto"/>
        </w:rPr>
        <w:t>Investing in our securities involves risks. Before making an investment decision, please consider the risks described under the caption “Risk Factors” in our Annual Report on Form 10-K for the fiscal year ended December 31, 2023,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9" w:lineRule="exact"/>
        <w:rPr>
          <w:sz w:val="20"/>
          <w:szCs w:val="20"/>
          <w:color w:val="auto"/>
        </w:rPr>
      </w:pPr>
    </w:p>
    <w:p>
      <w:pPr>
        <w:ind w:left="200" w:right="619" w:firstLine="345"/>
        <w:spacing w:after="0" w:line="285"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we will use the net proceeds from the sale of securities pursuant to this prospectus for one or more of the following:</w:t>
      </w:r>
    </w:p>
    <w:p>
      <w:pPr>
        <w:spacing w:after="0" w:line="51" w:lineRule="exact"/>
        <w:rPr>
          <w:sz w:val="20"/>
          <w:szCs w:val="20"/>
          <w:color w:val="auto"/>
        </w:rPr>
      </w:pPr>
    </w:p>
    <w:p>
      <w:pPr>
        <w:ind w:left="960" w:hanging="346"/>
        <w:spacing w:after="0"/>
        <w:tabs>
          <w:tab w:leader="none" w:pos="9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 of debt;</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additional properties;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funding our development and redevelopment pipeline;</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of preferred shares;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and general corporate purposes.</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We will not receive any proceeds from the sale of securities by selling security holders.</w:t>
      </w:r>
    </w:p>
    <w:p>
      <w:pPr>
        <w:spacing w:after="0" w:line="344" w:lineRule="exact"/>
        <w:rPr>
          <w:sz w:val="20"/>
          <w:szCs w:val="20"/>
          <w:color w:val="auto"/>
        </w:rPr>
      </w:pPr>
    </w:p>
    <w:p>
      <w:pPr>
        <w:jc w:val="center"/>
        <w:ind w:left="1660" w:right="340"/>
        <w:spacing w:after="0" w:line="288" w:lineRule="auto"/>
        <w:rPr>
          <w:sz w:val="20"/>
          <w:szCs w:val="20"/>
          <w:color w:val="auto"/>
        </w:rPr>
      </w:pPr>
      <w:r>
        <w:rPr>
          <w:rFonts w:ascii="Times New Roman" w:cs="Times New Roman" w:eastAsia="Times New Roman" w:hAnsi="Times New Roman"/>
          <w:sz w:val="14"/>
          <w:szCs w:val="14"/>
          <w:b w:val="1"/>
          <w:bCs w:val="1"/>
          <w:color w:val="auto"/>
        </w:rPr>
        <w:t>DESCRIPTION OF SECURITIES THAT MAY BE OFFERED BY FEDERAL REALTY INVESTMENT TRUST OR A SELLING SECURITY HOLDER</w:t>
      </w:r>
    </w:p>
    <w:p>
      <w:pPr>
        <w:spacing w:after="0" w:line="121" w:lineRule="exact"/>
        <w:rPr>
          <w:sz w:val="20"/>
          <w:szCs w:val="20"/>
          <w:color w:val="auto"/>
        </w:rPr>
      </w:pPr>
    </w:p>
    <w:p>
      <w:pPr>
        <w:ind w:left="200" w:right="299" w:firstLine="345"/>
        <w:spacing w:after="0" w:line="288" w:lineRule="auto"/>
        <w:rPr>
          <w:sz w:val="20"/>
          <w:szCs w:val="20"/>
          <w:color w:val="auto"/>
        </w:rPr>
      </w:pPr>
      <w:r>
        <w:rPr>
          <w:rFonts w:ascii="Times New Roman" w:cs="Times New Roman" w:eastAsia="Times New Roman" w:hAnsi="Times New Roman"/>
          <w:sz w:val="14"/>
          <w:szCs w:val="14"/>
          <w:i w:val="1"/>
          <w:iCs w:val="1"/>
          <w:color w:val="auto"/>
        </w:rPr>
        <w:t>In the following section, references to “we,” “us,” “our” and “ours” refer only to Federal Realty Investment Trust and not to the Partnership or its subsidiaries unless the context requires otherwise.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Shares of Beneficial Interest of Federal Realty Investment Trust</w:t>
      </w:r>
    </w:p>
    <w:p>
      <w:pPr>
        <w:spacing w:after="0" w:line="179" w:lineRule="exact"/>
        <w:rPr>
          <w:sz w:val="20"/>
          <w:szCs w:val="20"/>
          <w:color w:val="auto"/>
        </w:rPr>
      </w:pPr>
    </w:p>
    <w:p>
      <w:pPr>
        <w:ind w:left="200" w:right="219" w:firstLine="345"/>
        <w:spacing w:after="0" w:line="263" w:lineRule="auto"/>
        <w:rPr>
          <w:sz w:val="20"/>
          <w:szCs w:val="20"/>
          <w:color w:val="auto"/>
        </w:rPr>
      </w:pPr>
      <w:r>
        <w:rPr>
          <w:rFonts w:ascii="Times New Roman" w:cs="Times New Roman" w:eastAsia="Times New Roman" w:hAnsi="Times New Roman"/>
          <w:sz w:val="14"/>
          <w:szCs w:val="14"/>
          <w:color w:val="auto"/>
        </w:rPr>
        <w:t>We are a Maryland real estate investment trust. Your rights as a shareholder are governed by the Code of Maryland, including Title 8 of the Corporations and Associations Article, or “Maryland REIT Law,” our declaration of trust, which sets forth the terms of our shares of beneficial interest, and our bylaws. The following summary of the material terms, rights and preferences of the shares of beneficial interest is not complete and is subject to and qualified in its entirety by reference to the laws of the State of Maryland, including the Maryland REIT Law, our declaration of trust and our bylaws.</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Authorized Shares</w:t>
      </w:r>
    </w:p>
    <w:p>
      <w:pPr>
        <w:spacing w:after="0" w:line="95" w:lineRule="exact"/>
        <w:rPr>
          <w:sz w:val="20"/>
          <w:szCs w:val="20"/>
          <w:color w:val="auto"/>
        </w:rPr>
      </w:pPr>
    </w:p>
    <w:p>
      <w:pPr>
        <w:ind w:left="200" w:right="319" w:firstLine="345"/>
        <w:spacing w:after="0" w:line="260" w:lineRule="auto"/>
        <w:rPr>
          <w:sz w:val="20"/>
          <w:szCs w:val="20"/>
          <w:color w:val="auto"/>
        </w:rPr>
      </w:pPr>
      <w:r>
        <w:rPr>
          <w:rFonts w:ascii="Times New Roman" w:cs="Times New Roman" w:eastAsia="Times New Roman" w:hAnsi="Times New Roman"/>
          <w:sz w:val="14"/>
          <w:szCs w:val="14"/>
          <w:color w:val="auto"/>
        </w:rPr>
        <w:t>Our declaration of trust allows us to issue up to 200,000,000 common shares of beneficial interest, par value $.01 per share, and 15,000,000 preferred shares of beneficial interest, par value $.01 per share. As of December 31, 2023, we had issued and outstanding 82,775,286 common shares, 392,878 preferred shares designated as 5.417% Series 1 Cumulative Convertible Preferred Shares, which we refer to as the “Series 1 preferred shares,” and 6,000 preferred shares designated as 5.000% Series C Cumulative Redeemable Preferred Shares, which we refer to as the “Series C preferred shares.”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13" w:name="page14"/>
    <w:bookmarkEnd w:id="13"/>
    <w:p>
      <w:pPr>
        <w:ind w:left="200" w:right="23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Authority of the Board of Trustees Relating to Authorization and Classification of Shares. </w:t>
      </w:r>
      <w:r>
        <w:rPr>
          <w:rFonts w:ascii="Times New Roman" w:cs="Times New Roman" w:eastAsia="Times New Roman" w:hAnsi="Times New Roman"/>
          <w:sz w:val="14"/>
          <w:szCs w:val="14"/>
          <w:color w:val="auto"/>
        </w:rPr>
        <w:t>Our declaration of trust allows our Board of Trustees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take the following actions without approval by any shareholder:</w:t>
      </w:r>
    </w:p>
    <w:p>
      <w:pPr>
        <w:spacing w:after="0" w:line="49" w:lineRule="exact"/>
        <w:rPr>
          <w:sz w:val="20"/>
          <w:szCs w:val="20"/>
          <w:color w:val="auto"/>
        </w:rPr>
      </w:pPr>
    </w:p>
    <w:p>
      <w:pPr>
        <w:ind w:left="960" w:right="699" w:hanging="346"/>
        <w:spacing w:after="0" w:line="285" w:lineRule="auto"/>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classify or reclassify any authorized but unissued common shares or preferred shares into one or more classes or series of shares of beneficial interest;</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the declaration of trust to change the total number of shares of beneficial interest authorized;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the declaration of trust to change the authorized number of shares of any class or series of shares of beneficial interest.</w:t>
      </w:r>
    </w:p>
    <w:p>
      <w:pPr>
        <w:spacing w:after="0" w:line="177" w:lineRule="exact"/>
        <w:rPr>
          <w:sz w:val="20"/>
          <w:szCs w:val="20"/>
          <w:color w:val="auto"/>
        </w:rPr>
      </w:pPr>
    </w:p>
    <w:p>
      <w:pPr>
        <w:ind w:left="200" w:right="459" w:firstLine="345"/>
        <w:spacing w:after="0" w:line="285" w:lineRule="auto"/>
        <w:rPr>
          <w:sz w:val="20"/>
          <w:szCs w:val="20"/>
          <w:color w:val="auto"/>
        </w:rPr>
      </w:pPr>
      <w:r>
        <w:rPr>
          <w:rFonts w:ascii="Times New Roman" w:cs="Times New Roman" w:eastAsia="Times New Roman" w:hAnsi="Times New Roman"/>
          <w:sz w:val="14"/>
          <w:szCs w:val="14"/>
          <w:color w:val="auto"/>
        </w:rPr>
        <w:t>If there are any laws or stock exchange rules which require us to obtain shareholder approval in order for us to take these actions, however, we will contact our shareholders to solicit that approval.</w:t>
      </w:r>
    </w:p>
    <w:p>
      <w:pPr>
        <w:spacing w:after="0" w:line="125" w:lineRule="exact"/>
        <w:rPr>
          <w:sz w:val="20"/>
          <w:szCs w:val="20"/>
          <w:color w:val="auto"/>
        </w:rPr>
      </w:pPr>
    </w:p>
    <w:p>
      <w:pPr>
        <w:ind w:left="200" w:right="239" w:firstLine="345"/>
        <w:spacing w:after="0" w:line="263" w:lineRule="auto"/>
        <w:rPr>
          <w:sz w:val="20"/>
          <w:szCs w:val="20"/>
          <w:color w:val="auto"/>
        </w:rPr>
      </w:pPr>
      <w:r>
        <w:rPr>
          <w:rFonts w:ascii="Times New Roman" w:cs="Times New Roman" w:eastAsia="Times New Roman" w:hAnsi="Times New Roman"/>
          <w:sz w:val="14"/>
          <w:szCs w:val="14"/>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Common Shares of the Company</w:t>
      </w:r>
    </w:p>
    <w:p>
      <w:pPr>
        <w:spacing w:after="0" w:line="95" w:lineRule="exact"/>
        <w:rPr>
          <w:sz w:val="20"/>
          <w:szCs w:val="20"/>
          <w:color w:val="auto"/>
        </w:rPr>
      </w:pPr>
    </w:p>
    <w:p>
      <w:pPr>
        <w:ind w:left="200" w:right="219" w:firstLine="345"/>
        <w:spacing w:after="0" w:line="255" w:lineRule="auto"/>
        <w:rPr>
          <w:sz w:val="20"/>
          <w:szCs w:val="20"/>
          <w:color w:val="auto"/>
        </w:rPr>
      </w:pPr>
      <w:r>
        <w:rPr>
          <w:rFonts w:ascii="Times New Roman" w:cs="Times New Roman" w:eastAsia="Times New Roman" w:hAnsi="Times New Roman"/>
          <w:sz w:val="14"/>
          <w:szCs w:val="14"/>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46" w:lineRule="exact"/>
        <w:rPr>
          <w:sz w:val="20"/>
          <w:szCs w:val="20"/>
          <w:color w:val="auto"/>
        </w:rPr>
      </w:pPr>
    </w:p>
    <w:p>
      <w:pPr>
        <w:ind w:left="200" w:right="239" w:firstLine="34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Voting Rights. </w:t>
      </w:r>
      <w:r>
        <w:rPr>
          <w:rFonts w:ascii="Times New Roman" w:cs="Times New Roman" w:eastAsia="Times New Roman" w:hAnsi="Times New Roman"/>
          <w:sz w:val="14"/>
          <w:szCs w:val="14"/>
          <w:color w:val="auto"/>
        </w:rPr>
        <w:t>Each outstanding common share owned by a shareholder entitles that holder to one vote on all matters submitted to a vote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of Company Shares,” below. There is no cumulative voting in the election of trustees, which means that, under Maryland law and our bylaws, the holders of a majority of all of the votes cast at a meeting of shareholders duly called and at which a quorum is present can elect a trustee. The holders of the remaining shares will not be able to elect any trustees.</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As a holder of common shares, you will not have any right to:</w:t>
      </w:r>
    </w:p>
    <w:p>
      <w:pPr>
        <w:spacing w:after="0" w:line="103" w:lineRule="exact"/>
        <w:rPr>
          <w:sz w:val="20"/>
          <w:szCs w:val="20"/>
          <w:color w:val="auto"/>
        </w:rPr>
      </w:pPr>
    </w:p>
    <w:p>
      <w:pPr>
        <w:ind w:left="960" w:hanging="346"/>
        <w:spacing w:after="0"/>
        <w:tabs>
          <w:tab w:leader="none" w:pos="9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your shares into any other security;</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any funds set aside for future payments;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repurchase your shares; or</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any of our securities, if other securities are offered for sale, other than as a member of the general public.</w:t>
      </w:r>
    </w:p>
    <w:p>
      <w:pPr>
        <w:spacing w:after="0" w:line="177" w:lineRule="exact"/>
        <w:rPr>
          <w:sz w:val="20"/>
          <w:szCs w:val="20"/>
          <w:color w:val="auto"/>
        </w:rPr>
      </w:pPr>
    </w:p>
    <w:p>
      <w:pPr>
        <w:ind w:left="200" w:right="439" w:firstLine="345"/>
        <w:spacing w:after="0" w:line="285" w:lineRule="auto"/>
        <w:rPr>
          <w:sz w:val="20"/>
          <w:szCs w:val="20"/>
          <w:color w:val="auto"/>
        </w:rPr>
      </w:pPr>
      <w:r>
        <w:rPr>
          <w:rFonts w:ascii="Times New Roman" w:cs="Times New Roman" w:eastAsia="Times New Roman" w:hAnsi="Times New Roman"/>
          <w:sz w:val="14"/>
          <w:szCs w:val="14"/>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14" w:name="page15"/>
    <w:bookmarkEnd w:id="14"/>
    <w:p>
      <w:pPr>
        <w:ind w:left="200" w:right="239" w:firstLine="345"/>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63" w:lineRule="exact"/>
        <w:rPr>
          <w:sz w:val="20"/>
          <w:szCs w:val="20"/>
          <w:color w:val="auto"/>
        </w:rPr>
      </w:pPr>
    </w:p>
    <w:p>
      <w:pPr>
        <w:ind w:left="960" w:right="479" w:hanging="346"/>
        <w:spacing w:after="0" w:line="285" w:lineRule="auto"/>
        <w:tabs>
          <w:tab w:leader="none" w:pos="9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election of trustees in any election in which the number of nominees exceeds the number of trustees to be elected (which requires a plurality of all the votes cast at a meeting of our shareholders at which a quorum is present);</w:t>
      </w:r>
    </w:p>
    <w:p>
      <w:pPr>
        <w:spacing w:after="0" w:line="51" w:lineRule="exact"/>
        <w:rPr>
          <w:rFonts w:ascii="Times New Roman" w:cs="Times New Roman" w:eastAsia="Times New Roman" w:hAnsi="Times New Roman"/>
          <w:sz w:val="14"/>
          <w:szCs w:val="14"/>
          <w:color w:val="auto"/>
        </w:rPr>
      </w:pPr>
    </w:p>
    <w:p>
      <w:pPr>
        <w:ind w:left="960" w:right="239" w:hanging="346"/>
        <w:spacing w:after="0" w:line="263" w:lineRule="auto"/>
        <w:tabs>
          <w:tab w:leader="none" w:pos="9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6" w:lineRule="exact"/>
        <w:rPr>
          <w:rFonts w:ascii="Times New Roman" w:cs="Times New Roman" w:eastAsia="Times New Roman" w:hAnsi="Times New Roman"/>
          <w:sz w:val="14"/>
          <w:szCs w:val="14"/>
          <w:color w:val="auto"/>
        </w:rPr>
      </w:pPr>
    </w:p>
    <w:p>
      <w:pPr>
        <w:ind w:left="960" w:right="299" w:hanging="346"/>
        <w:spacing w:after="0" w:line="268" w:lineRule="auto"/>
        <w:tabs>
          <w:tab w:leader="none" w:pos="9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63" w:lineRule="exact"/>
        <w:rPr>
          <w:rFonts w:ascii="Times New Roman" w:cs="Times New Roman" w:eastAsia="Times New Roman" w:hAnsi="Times New Roman"/>
          <w:sz w:val="14"/>
          <w:szCs w:val="14"/>
          <w:color w:val="auto"/>
        </w:rPr>
      </w:pPr>
    </w:p>
    <w:p>
      <w:pPr>
        <w:ind w:left="960" w:right="499" w:hanging="346"/>
        <w:spacing w:after="0" w:line="285" w:lineRule="auto"/>
        <w:tabs>
          <w:tab w:leader="none" w:pos="9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51" w:lineRule="exact"/>
        <w:rPr>
          <w:rFonts w:ascii="Times New Roman" w:cs="Times New Roman" w:eastAsia="Times New Roman" w:hAnsi="Times New Roman"/>
          <w:sz w:val="14"/>
          <w:szCs w:val="14"/>
          <w:color w:val="auto"/>
        </w:rPr>
      </w:pPr>
    </w:p>
    <w:p>
      <w:pPr>
        <w:jc w:val="both"/>
        <w:ind w:left="960" w:right="359" w:hanging="346"/>
        <w:spacing w:after="0" w:line="268" w:lineRule="auto"/>
        <w:tabs>
          <w:tab w:leader="none" w:pos="9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under Maryland law, 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7" w:lineRule="exact"/>
        <w:rPr>
          <w:sz w:val="20"/>
          <w:szCs w:val="20"/>
          <w:color w:val="auto"/>
        </w:rPr>
      </w:pPr>
    </w:p>
    <w:p>
      <w:pPr>
        <w:jc w:val="both"/>
        <w:ind w:left="200" w:right="219" w:firstLine="345"/>
        <w:spacing w:after="0" w:line="263" w:lineRule="auto"/>
        <w:rPr>
          <w:sz w:val="20"/>
          <w:szCs w:val="20"/>
          <w:color w:val="auto"/>
        </w:rPr>
      </w:pPr>
      <w:r>
        <w:rPr>
          <w:rFonts w:ascii="Times New Roman" w:cs="Times New Roman" w:eastAsia="Times New Roman" w:hAnsi="Times New Roman"/>
          <w:sz w:val="14"/>
          <w:szCs w:val="14"/>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66" w:lineRule="exact"/>
        <w:rPr>
          <w:sz w:val="20"/>
          <w:szCs w:val="20"/>
          <w:color w:val="auto"/>
        </w:rPr>
      </w:pPr>
    </w:p>
    <w:p>
      <w:pPr>
        <w:ind w:left="960" w:hanging="346"/>
        <w:spacing w:after="0"/>
        <w:tabs>
          <w:tab w:leader="none" w:pos="9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 as a real estate investment trust under Maryland REIT Law or the Code; or</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increase or decrease the authorized aggregate number of shares and number of authorized shares of any class or series.</w:t>
      </w:r>
    </w:p>
    <w:p>
      <w:pPr>
        <w:spacing w:after="0" w:line="177" w:lineRule="exact"/>
        <w:rPr>
          <w:sz w:val="20"/>
          <w:szCs w:val="20"/>
          <w:color w:val="auto"/>
        </w:rPr>
      </w:pPr>
    </w:p>
    <w:p>
      <w:pPr>
        <w:ind w:left="200" w:right="459" w:firstLine="345"/>
        <w:spacing w:after="0" w:line="268" w:lineRule="auto"/>
        <w:rPr>
          <w:sz w:val="20"/>
          <w:szCs w:val="20"/>
          <w:color w:val="auto"/>
        </w:rPr>
      </w:pPr>
      <w:r>
        <w:rPr>
          <w:rFonts w:ascii="Times New Roman" w:cs="Times New Roman" w:eastAsia="Times New Roman" w:hAnsi="Times New Roman"/>
          <w:sz w:val="14"/>
          <w:szCs w:val="14"/>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35" w:lineRule="exact"/>
        <w:rPr>
          <w:sz w:val="20"/>
          <w:szCs w:val="20"/>
          <w:color w:val="auto"/>
        </w:rPr>
      </w:pPr>
    </w:p>
    <w:p>
      <w:pPr>
        <w:ind w:left="200" w:right="23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Preemptive Rights. </w:t>
      </w:r>
      <w:r>
        <w:rPr>
          <w:rFonts w:ascii="Times New Roman" w:cs="Times New Roman" w:eastAsia="Times New Roman" w:hAnsi="Times New Roman"/>
          <w:sz w:val="14"/>
          <w:szCs w:val="14"/>
          <w:color w:val="auto"/>
        </w:rPr>
        <w:t>Under our declaration of trust, no holder of shares of beneficial interest has any preemptive rights to subscribe to any issuance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Stock Exchange Listing. </w:t>
      </w:r>
      <w:r>
        <w:rPr>
          <w:rFonts w:ascii="Times New Roman" w:cs="Times New Roman" w:eastAsia="Times New Roman" w:hAnsi="Times New Roman"/>
          <w:sz w:val="14"/>
          <w:szCs w:val="14"/>
          <w:color w:val="auto"/>
        </w:rPr>
        <w:t>The common shares are traded on the New York Stock Exchange under the trading symbol “FRT.”</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Transfer Agent and Registrar. </w:t>
      </w:r>
      <w:r>
        <w:rPr>
          <w:rFonts w:ascii="Times New Roman" w:cs="Times New Roman" w:eastAsia="Times New Roman" w:hAnsi="Times New Roman"/>
          <w:sz w:val="14"/>
          <w:szCs w:val="14"/>
          <w:color w:val="auto"/>
        </w:rPr>
        <w:t>The transfer agent and registrar for the common shares is Equiniti Trust Company, LLC, New York, New York.</w:t>
      </w: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Series 1 Preferred Shares of the Company</w:t>
      </w:r>
    </w:p>
    <w:p>
      <w:pPr>
        <w:spacing w:after="0" w:line="95" w:lineRule="exact"/>
        <w:rPr>
          <w:sz w:val="20"/>
          <w:szCs w:val="20"/>
          <w:color w:val="auto"/>
        </w:rPr>
      </w:pPr>
    </w:p>
    <w:p>
      <w:pPr>
        <w:ind w:left="200" w:right="659" w:firstLine="345"/>
        <w:spacing w:after="0" w:line="285" w:lineRule="auto"/>
        <w:rPr>
          <w:sz w:val="20"/>
          <w:szCs w:val="20"/>
          <w:color w:val="auto"/>
        </w:rPr>
      </w:pPr>
      <w:r>
        <w:rPr>
          <w:rFonts w:ascii="Times New Roman" w:cs="Times New Roman" w:eastAsia="Times New Roman" w:hAnsi="Times New Roman"/>
          <w:sz w:val="14"/>
          <w:szCs w:val="14"/>
          <w:color w:val="auto"/>
        </w:rPr>
        <w:t>Below is a brief description of the terms of the Series 1 preferred shares, which is subject to and qualified in its entirety by reference to our declaration of trust, which sets forth the terms of the Series 1 preferred shares.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15" w:name="page16"/>
    <w:bookmarkEnd w:id="15"/>
    <w:p>
      <w:pPr>
        <w:ind w:left="200" w:right="199" w:firstLine="34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Rank. </w:t>
      </w:r>
      <w:r>
        <w:rPr>
          <w:rFonts w:ascii="Times New Roman" w:cs="Times New Roman" w:eastAsia="Times New Roman" w:hAnsi="Times New Roman"/>
          <w:sz w:val="14"/>
          <w:szCs w:val="14"/>
          <w:color w:val="auto"/>
        </w:rPr>
        <w:t>The Series 1 preferred shares rank pari passu with the Series C preferred shares and senior to the common shares with respect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payment 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43" w:lineRule="exact"/>
        <w:rPr>
          <w:sz w:val="20"/>
          <w:szCs w:val="20"/>
          <w:color w:val="auto"/>
        </w:rPr>
      </w:pPr>
    </w:p>
    <w:p>
      <w:pPr>
        <w:jc w:val="both"/>
        <w:ind w:left="200" w:right="33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Dividends. </w:t>
      </w:r>
      <w:r>
        <w:rPr>
          <w:rFonts w:ascii="Times New Roman" w:cs="Times New Roman" w:eastAsia="Times New Roman" w:hAnsi="Times New Roman"/>
          <w:sz w:val="14"/>
          <w:szCs w:val="14"/>
          <w:color w:val="auto"/>
        </w:rPr>
        <w:t>Each Series 1 preferred share is entitled to receive, when, as and if authorized by our Board of Trustees out of funds legally available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that purpose, cumulative preferential dividends payable in cash at a rate of 5.417% of the liquidation price of $25, which is equivalent to $1.35425 per annum.</w:t>
      </w:r>
    </w:p>
    <w:p>
      <w:pPr>
        <w:spacing w:after="0" w:line="133" w:lineRule="exact"/>
        <w:rPr>
          <w:sz w:val="20"/>
          <w:szCs w:val="20"/>
          <w:color w:val="auto"/>
        </w:rPr>
      </w:pPr>
    </w:p>
    <w:p>
      <w:pPr>
        <w:ind w:left="200" w:right="51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Liquidation Preference. </w:t>
      </w:r>
      <w:r>
        <w:rPr>
          <w:rFonts w:ascii="Times New Roman" w:cs="Times New Roman" w:eastAsia="Times New Roman" w:hAnsi="Times New Roman"/>
          <w:sz w:val="14"/>
          <w:szCs w:val="14"/>
          <w:color w:val="auto"/>
        </w:rPr>
        <w:t>In the event of our liquidation, dissolution or winding up, the holders of Series 1 preferred shares shall be entitled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receive $25 per share, plus all accrued and unpaid dividends, before any distribution shall be made with respect to the common shares.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Voting Rights. </w:t>
      </w:r>
      <w:r>
        <w:rPr>
          <w:rFonts w:ascii="Times New Roman" w:cs="Times New Roman" w:eastAsia="Times New Roman" w:hAnsi="Times New Roman"/>
          <w:sz w:val="14"/>
          <w:szCs w:val="14"/>
          <w:color w:val="auto"/>
        </w:rPr>
        <w:t>The Series 1 preferred shares shall have no voting rights.</w:t>
      </w:r>
    </w:p>
    <w:p>
      <w:pPr>
        <w:spacing w:after="0" w:line="177" w:lineRule="exact"/>
        <w:rPr>
          <w:sz w:val="20"/>
          <w:szCs w:val="20"/>
          <w:color w:val="auto"/>
        </w:rPr>
      </w:pPr>
    </w:p>
    <w:p>
      <w:pPr>
        <w:ind w:left="200" w:right="25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Conversion Rights. </w:t>
      </w:r>
      <w:r>
        <w:rPr>
          <w:rFonts w:ascii="Times New Roman" w:cs="Times New Roman" w:eastAsia="Times New Roman" w:hAnsi="Times New Roman"/>
          <w:sz w:val="14"/>
          <w:szCs w:val="14"/>
          <w:color w:val="auto"/>
        </w:rPr>
        <w:t>Subject to other applicable provisions within our declaration of trust pertaining to the Series 1 preferred shares, the Series 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preferred shares shall be convertible, at the option of each holder, into a number of fully paid and nonassessable common shares determined by dividing</w:t>
      </w:r>
    </w:p>
    <w:p>
      <w:pPr>
        <w:spacing w:after="0" w:line="1" w:lineRule="exact"/>
        <w:rPr>
          <w:sz w:val="20"/>
          <w:szCs w:val="20"/>
          <w:color w:val="auto"/>
        </w:rPr>
      </w:pPr>
    </w:p>
    <w:p>
      <w:pPr>
        <w:ind w:left="200" w:right="819" w:hanging="9"/>
        <w:spacing w:after="0" w:line="264" w:lineRule="auto"/>
        <w:tabs>
          <w:tab w:leader="none" w:pos="43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Transfer Agent and Registrar. </w:t>
      </w:r>
      <w:r>
        <w:rPr>
          <w:rFonts w:ascii="Times New Roman" w:cs="Times New Roman" w:eastAsia="Times New Roman" w:hAnsi="Times New Roman"/>
          <w:sz w:val="14"/>
          <w:szCs w:val="14"/>
          <w:color w:val="auto"/>
        </w:rPr>
        <w:t>The transfer agent and registrar for the Series 1 preferred shares is Equiniti Trust Company, LLC, New York, New</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York.</w:t>
      </w: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Series C Preferred Shares of the Company</w:t>
      </w:r>
    </w:p>
    <w:p>
      <w:pPr>
        <w:spacing w:after="0" w:line="95" w:lineRule="exact"/>
        <w:rPr>
          <w:sz w:val="20"/>
          <w:szCs w:val="20"/>
          <w:color w:val="auto"/>
        </w:rPr>
      </w:pPr>
    </w:p>
    <w:p>
      <w:pPr>
        <w:ind w:left="200" w:right="639" w:firstLine="345"/>
        <w:spacing w:after="0" w:line="285" w:lineRule="auto"/>
        <w:rPr>
          <w:sz w:val="20"/>
          <w:szCs w:val="20"/>
          <w:color w:val="auto"/>
        </w:rPr>
      </w:pPr>
      <w:r>
        <w:rPr>
          <w:rFonts w:ascii="Times New Roman" w:cs="Times New Roman" w:eastAsia="Times New Roman" w:hAnsi="Times New Roman"/>
          <w:sz w:val="14"/>
          <w:szCs w:val="14"/>
          <w:color w:val="auto"/>
        </w:rPr>
        <w:t>Below is a brief description of the terms of the Series C preferred shares, which is subject to and qualified in its entirety by reference to our declaration of trust, which sets forth the terms of the Series C preferred shares.</w:t>
      </w:r>
    </w:p>
    <w:p>
      <w:pPr>
        <w:spacing w:after="0" w:line="123" w:lineRule="exact"/>
        <w:rPr>
          <w:sz w:val="20"/>
          <w:szCs w:val="20"/>
          <w:color w:val="auto"/>
        </w:rPr>
      </w:pPr>
    </w:p>
    <w:p>
      <w:pPr>
        <w:ind w:left="200" w:right="319" w:firstLine="34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Rank. </w:t>
      </w:r>
      <w:r>
        <w:rPr>
          <w:rFonts w:ascii="Times New Roman" w:cs="Times New Roman" w:eastAsia="Times New Roman" w:hAnsi="Times New Roman"/>
          <w:sz w:val="14"/>
          <w:szCs w:val="14"/>
          <w:color w:val="auto"/>
        </w:rPr>
        <w:t>The Series C preferred shares rank pari passu with the Series 1 preferred shares and senior to the common shares with respect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payment of dividends and the distribution of assets upon our liquidation, dissolution or winding up. Our declaration of trust provides that, unless full cumulative dividends on all outstanding Series C preferred shares and any Parity Shares shall have been declared and paid or declared and set apart for payment for all past dividend periods, then no dividends, other than dividends paid solely in common shares, or options, warrants or rights to subscribe for or purchase common shares, or any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Junior Shares).</w:t>
      </w:r>
    </w:p>
    <w:p>
      <w:pPr>
        <w:spacing w:after="0" w:line="143" w:lineRule="exact"/>
        <w:rPr>
          <w:sz w:val="20"/>
          <w:szCs w:val="20"/>
          <w:color w:val="auto"/>
        </w:rPr>
      </w:pPr>
    </w:p>
    <w:p>
      <w:pPr>
        <w:jc w:val="both"/>
        <w:ind w:left="200" w:right="25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Dividends. </w:t>
      </w:r>
      <w:r>
        <w:rPr>
          <w:rFonts w:ascii="Times New Roman" w:cs="Times New Roman" w:eastAsia="Times New Roman" w:hAnsi="Times New Roman"/>
          <w:sz w:val="14"/>
          <w:szCs w:val="14"/>
          <w:color w:val="auto"/>
        </w:rPr>
        <w:t>Each Series C preferred share is entitled to receive, when, as and if authorized by our Board of Trustees out of funds legally available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that purpose, cumulative preferential dividends payable in cash at a rate of 5.000% of the liquidation price of $25,000, which is equivalent to $1,250 per annum.</w:t>
      </w:r>
    </w:p>
    <w:p>
      <w:pPr>
        <w:spacing w:after="0" w:line="133" w:lineRule="exact"/>
        <w:rPr>
          <w:sz w:val="20"/>
          <w:szCs w:val="20"/>
          <w:color w:val="auto"/>
        </w:rPr>
      </w:pPr>
    </w:p>
    <w:p>
      <w:pPr>
        <w:ind w:left="200" w:right="49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Liquidation Preference. </w:t>
      </w:r>
      <w:r>
        <w:rPr>
          <w:rFonts w:ascii="Times New Roman" w:cs="Times New Roman" w:eastAsia="Times New Roman" w:hAnsi="Times New Roman"/>
          <w:sz w:val="14"/>
          <w:szCs w:val="14"/>
          <w:color w:val="auto"/>
        </w:rPr>
        <w:t>In the event of our liquidation, dissolution or winding up, the holders of Series C preferred shares shall be entitled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receive $25,000 per share, plus all accrued and unpaid dividends, before any distribution shall be made with respect to the common shares.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16" w:name="page17"/>
    <w:bookmarkEnd w:id="16"/>
    <w:p>
      <w:pPr>
        <w:ind w:left="200" w:right="239" w:firstLine="345"/>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Voting Rights. </w:t>
      </w:r>
      <w:r>
        <w:rPr>
          <w:rFonts w:ascii="Times New Roman" w:cs="Times New Roman" w:eastAsia="Times New Roman" w:hAnsi="Times New Roman"/>
          <w:sz w:val="14"/>
          <w:szCs w:val="14"/>
          <w:color w:val="auto"/>
        </w:rPr>
        <w:t>The Series C preferred shares generally have no voting rights. However, if and whenever dividends payable on the Series 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Conversion Rights. </w:t>
      </w:r>
      <w:r>
        <w:rPr>
          <w:rFonts w:ascii="Times New Roman" w:cs="Times New Roman" w:eastAsia="Times New Roman" w:hAnsi="Times New Roman"/>
          <w:sz w:val="14"/>
          <w:szCs w:val="14"/>
          <w:color w:val="auto"/>
        </w:rPr>
        <w:t>The Series C preferred shares have no conversion rights.</w:t>
      </w:r>
    </w:p>
    <w:p>
      <w:pPr>
        <w:spacing w:after="0" w:line="177" w:lineRule="exact"/>
        <w:rPr>
          <w:sz w:val="20"/>
          <w:szCs w:val="20"/>
          <w:color w:val="auto"/>
        </w:rPr>
      </w:pPr>
    </w:p>
    <w:p>
      <w:pPr>
        <w:ind w:left="200" w:right="21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Redemption by the Company. </w:t>
      </w:r>
      <w:r>
        <w:rPr>
          <w:rFonts w:ascii="Times New Roman" w:cs="Times New Roman" w:eastAsia="Times New Roman" w:hAnsi="Times New Roman"/>
          <w:sz w:val="14"/>
          <w:szCs w:val="14"/>
          <w:color w:val="auto"/>
        </w:rPr>
        <w:t>The Series C preferred shares may be redeemed for cash, in whole or from time to time in part, on any date on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after September 29, 2022 at the option of the Company at a price per share equal to $25,000.00 plus accrued and unpaid dividends thereon, if any, to, but excluding, the redemption date.</w:t>
      </w:r>
    </w:p>
    <w:p>
      <w:pPr>
        <w:spacing w:after="0" w:line="133" w:lineRule="exact"/>
        <w:rPr>
          <w:sz w:val="20"/>
          <w:szCs w:val="20"/>
          <w:color w:val="auto"/>
        </w:rPr>
      </w:pPr>
    </w:p>
    <w:p>
      <w:pPr>
        <w:ind w:left="200" w:right="319" w:firstLine="34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Depositary Shares. </w:t>
      </w:r>
      <w:r>
        <w:rPr>
          <w:rFonts w:ascii="Times New Roman" w:cs="Times New Roman" w:eastAsia="Times New Roman" w:hAnsi="Times New Roman"/>
          <w:sz w:val="14"/>
          <w:szCs w:val="14"/>
          <w:color w:val="auto"/>
        </w:rPr>
        <w:t>Interests in the Series C preferred shares are represented by depositary shares, which we refer to as the “Series C depositary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shares.” Each Series C depositary share represents a 1/1000th fractional interest in a Series C preferred share. The Series C preferred shares have been deposited with Equiniti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Stock Exchange Listing. </w:t>
      </w:r>
      <w:r>
        <w:rPr>
          <w:rFonts w:ascii="Times New Roman" w:cs="Times New Roman" w:eastAsia="Times New Roman" w:hAnsi="Times New Roman"/>
          <w:sz w:val="14"/>
          <w:szCs w:val="14"/>
          <w:color w:val="auto"/>
        </w:rPr>
        <w:t>The Series C depositary shares are traded on the New York Stock Exchange under the trading symbol “FRT-C.”</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Transfer Agent and Registrar. </w:t>
      </w:r>
      <w:r>
        <w:rPr>
          <w:rFonts w:ascii="Times New Roman" w:cs="Times New Roman" w:eastAsia="Times New Roman" w:hAnsi="Times New Roman"/>
          <w:sz w:val="14"/>
          <w:szCs w:val="14"/>
          <w:color w:val="auto"/>
        </w:rPr>
        <w:t>The transfer agent and registrar for the Series C preferred shares is Equiniti Trust Company, LLC, New York, New</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York.</w:t>
      </w: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Preferred Shares of the Company</w:t>
      </w:r>
    </w:p>
    <w:p>
      <w:pPr>
        <w:spacing w:after="0" w:line="95" w:lineRule="exact"/>
        <w:rPr>
          <w:sz w:val="20"/>
          <w:szCs w:val="20"/>
          <w:color w:val="auto"/>
        </w:rPr>
      </w:pPr>
    </w:p>
    <w:p>
      <w:pPr>
        <w:ind w:left="200" w:right="219" w:firstLine="345"/>
        <w:spacing w:after="0" w:line="268" w:lineRule="auto"/>
        <w:rPr>
          <w:sz w:val="20"/>
          <w:szCs w:val="20"/>
          <w:color w:val="auto"/>
        </w:rPr>
      </w:pPr>
      <w:r>
        <w:rPr>
          <w:rFonts w:ascii="Times New Roman" w:cs="Times New Roman" w:eastAsia="Times New Roman" w:hAnsi="Times New Roman"/>
          <w:sz w:val="14"/>
          <w:szCs w:val="14"/>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35" w:lineRule="exact"/>
        <w:rPr>
          <w:sz w:val="20"/>
          <w:szCs w:val="20"/>
          <w:color w:val="auto"/>
        </w:rPr>
      </w:pPr>
    </w:p>
    <w:p>
      <w:pPr>
        <w:ind w:left="200" w:right="219" w:firstLine="34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General. </w:t>
      </w:r>
      <w:r>
        <w:rPr>
          <w:rFonts w:ascii="Times New Roman" w:cs="Times New Roman" w:eastAsia="Times New Roman" w:hAnsi="Times New Roman"/>
          <w:sz w:val="14"/>
          <w:szCs w:val="14"/>
          <w:color w:val="auto"/>
        </w:rPr>
        <w:t>Preferred shares may be offered and sold from time to time, in one or more series, as authorized by the Board of Trustees. The Board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42" w:lineRule="exact"/>
        <w:rPr>
          <w:sz w:val="20"/>
          <w:szCs w:val="20"/>
          <w:color w:val="auto"/>
        </w:rPr>
      </w:pPr>
    </w:p>
    <w:p>
      <w:pPr>
        <w:ind w:left="200" w:right="39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Terms. </w:t>
      </w:r>
      <w:r>
        <w:rPr>
          <w:rFonts w:ascii="Times New Roman" w:cs="Times New Roman" w:eastAsia="Times New Roman" w:hAnsi="Times New Roman"/>
          <w:sz w:val="14"/>
          <w:szCs w:val="14"/>
          <w:color w:val="auto"/>
        </w:rPr>
        <w:t>You should refer to the prospectus supplement relating to the offering of any preferred shares for specific terms, including the following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terms:</w:t>
      </w:r>
    </w:p>
    <w:p>
      <w:pPr>
        <w:spacing w:after="0" w:line="49" w:lineRule="exact"/>
        <w:rPr>
          <w:sz w:val="20"/>
          <w:szCs w:val="20"/>
          <w:color w:val="auto"/>
        </w:rPr>
      </w:pPr>
    </w:p>
    <w:p>
      <w:pPr>
        <w:ind w:left="960" w:hanging="346"/>
        <w:spacing w:after="0"/>
        <w:tabs>
          <w:tab w:leader="none" w:pos="9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those preferred shares;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preferred shares offered and the offering price of those preferred shares;</w:t>
      </w:r>
    </w:p>
    <w:p>
      <w:pPr>
        <w:spacing w:after="0" w:line="103" w:lineRule="exact"/>
        <w:rPr>
          <w:rFonts w:ascii="Times New Roman" w:cs="Times New Roman" w:eastAsia="Times New Roman" w:hAnsi="Times New Roman"/>
          <w:sz w:val="14"/>
          <w:szCs w:val="14"/>
          <w:color w:val="auto"/>
        </w:rPr>
      </w:pPr>
    </w:p>
    <w:p>
      <w:pPr>
        <w:ind w:left="960" w:right="639" w:hanging="346"/>
        <w:spacing w:after="0" w:line="285" w:lineRule="auto"/>
        <w:tabs>
          <w:tab w:leader="none" w:pos="9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rate(s), period(s), amounts and/or payment date(s) or method(s) of calculation of any of those terms that apply to those preferred shares;</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from which dividends on those preferred shares will accumulate, if applicable;</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amount of a sinking fund, if any, for the purchase or redemption of those preferred shares;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17" w:name="page18"/>
    <w:bookmarkEnd w:id="17"/>
    <w:p>
      <w:pPr>
        <w:ind w:left="960" w:hanging="346"/>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redemption rights, including conditions, time(s) and the redemption price(s), if applicable, of those preferred shares;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if any, of those preferred shares;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those preferred shares on any securities exchange;</w:t>
      </w:r>
    </w:p>
    <w:p>
      <w:pPr>
        <w:spacing w:after="0" w:line="103" w:lineRule="exact"/>
        <w:rPr>
          <w:rFonts w:ascii="Times New Roman" w:cs="Times New Roman" w:eastAsia="Times New Roman" w:hAnsi="Times New Roman"/>
          <w:sz w:val="14"/>
          <w:szCs w:val="14"/>
          <w:color w:val="auto"/>
        </w:rPr>
      </w:pPr>
    </w:p>
    <w:p>
      <w:pPr>
        <w:ind w:left="960" w:right="559" w:hanging="346"/>
        <w:spacing w:after="0" w:line="285" w:lineRule="auto"/>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applicable, upon which those preferred shares will be convertible into common shares or any of our other securities, including the conversion price or rate (or manner of calculation thereof);</w:t>
      </w:r>
    </w:p>
    <w:p>
      <w:pPr>
        <w:spacing w:after="0" w:line="51" w:lineRule="exact"/>
        <w:rPr>
          <w:rFonts w:ascii="Times New Roman" w:cs="Times New Roman" w:eastAsia="Times New Roman" w:hAnsi="Times New Roman"/>
          <w:sz w:val="14"/>
          <w:szCs w:val="14"/>
          <w:color w:val="auto"/>
        </w:rPr>
      </w:pPr>
    </w:p>
    <w:p>
      <w:pPr>
        <w:ind w:left="960" w:right="219" w:hanging="346"/>
        <w:spacing w:after="0" w:line="285" w:lineRule="auto"/>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 of those preferred shares as to dividend rights and rights upon liquidation, dissolution or the winding up of our affairs;</w:t>
      </w:r>
    </w:p>
    <w:p>
      <w:pPr>
        <w:spacing w:after="0" w:line="51" w:lineRule="exact"/>
        <w:rPr>
          <w:rFonts w:ascii="Times New Roman" w:cs="Times New Roman" w:eastAsia="Times New Roman" w:hAnsi="Times New Roman"/>
          <w:sz w:val="14"/>
          <w:szCs w:val="14"/>
          <w:color w:val="auto"/>
        </w:rPr>
      </w:pPr>
    </w:p>
    <w:p>
      <w:pPr>
        <w:ind w:left="960" w:right="639" w:hanging="346"/>
        <w:spacing w:after="0" w:line="285" w:lineRule="auto"/>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any auction and remarketing, if any, for those preferred shares;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limitations or restrictions of those preferred shares;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additional federal income tax consequences applicable to those preferred shares; and</w:t>
      </w:r>
    </w:p>
    <w:p>
      <w:pPr>
        <w:spacing w:after="0" w:line="103" w:lineRule="exact"/>
        <w:rPr>
          <w:rFonts w:ascii="Times New Roman" w:cs="Times New Roman" w:eastAsia="Times New Roman" w:hAnsi="Times New Roman"/>
          <w:sz w:val="14"/>
          <w:szCs w:val="14"/>
          <w:color w:val="auto"/>
        </w:rPr>
      </w:pPr>
    </w:p>
    <w:p>
      <w:pPr>
        <w:ind w:left="960" w:right="819" w:hanging="346"/>
        <w:spacing w:after="0" w:line="285" w:lineRule="auto"/>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direct or beneficial ownership and restrictions on transfer in addition to those described in “— Restrictions on Ownership and Transfer of Company Shares,” in each case as may be appropriate to preserve our status as a REIT.</w:t>
      </w:r>
    </w:p>
    <w:p>
      <w:pPr>
        <w:spacing w:after="0" w:line="125" w:lineRule="exact"/>
        <w:rPr>
          <w:sz w:val="20"/>
          <w:szCs w:val="20"/>
          <w:color w:val="auto"/>
        </w:rPr>
      </w:pPr>
    </w:p>
    <w:p>
      <w:pPr>
        <w:ind w:left="200" w:right="419" w:firstLine="345"/>
        <w:spacing w:after="0" w:line="260" w:lineRule="auto"/>
        <w:rPr>
          <w:sz w:val="20"/>
          <w:szCs w:val="20"/>
          <w:color w:val="auto"/>
        </w:rPr>
      </w:pPr>
      <w:r>
        <w:rPr>
          <w:rFonts w:ascii="Times New Roman" w:cs="Times New Roman" w:eastAsia="Times New Roman" w:hAnsi="Times New Roman"/>
          <w:sz w:val="14"/>
          <w:szCs w:val="14"/>
          <w:color w:val="auto"/>
        </w:rPr>
        <w:t>The terms of any preferred shares we issue through this prospectus will be set forth in articles supplementary to our declaration of trust or in an amendment to our declaration of trust. We will file the articles supplementary or any such amendment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or amendment to our declaration of trust for a complete description of all of the terms.</w:t>
      </w:r>
    </w:p>
    <w:p>
      <w:pPr>
        <w:spacing w:after="0" w:line="141" w:lineRule="exact"/>
        <w:rPr>
          <w:sz w:val="20"/>
          <w:szCs w:val="20"/>
          <w:color w:val="auto"/>
        </w:rPr>
      </w:pPr>
    </w:p>
    <w:p>
      <w:pPr>
        <w:ind w:left="200" w:right="43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 xml:space="preserve">Rank. </w:t>
      </w:r>
      <w:r>
        <w:rPr>
          <w:rFonts w:ascii="Times New Roman" w:cs="Times New Roman" w:eastAsia="Times New Roman" w:hAnsi="Times New Roman"/>
          <w:sz w:val="14"/>
          <w:szCs w:val="14"/>
          <w:color w:val="auto"/>
        </w:rPr>
        <w:t>Unless we say otherwise in a prospectus supplement, the preferred shares offered through that supplement will, with respect to dividend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rights and rights upon our liquidation, dissolution or winding up, rank:</w:t>
      </w:r>
    </w:p>
    <w:p>
      <w:pPr>
        <w:spacing w:after="0" w:line="49" w:lineRule="exact"/>
        <w:rPr>
          <w:sz w:val="20"/>
          <w:szCs w:val="20"/>
          <w:color w:val="auto"/>
        </w:rPr>
      </w:pPr>
    </w:p>
    <w:p>
      <w:pPr>
        <w:ind w:left="960" w:hanging="346"/>
        <w:spacing w:after="0"/>
        <w:tabs>
          <w:tab w:leader="none" w:pos="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all classes or series of our common shares, and to all other equity securities ranking junior to those preferred shares;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parity with all of our equity securities ranking on a parity with the preferred shares;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all of our equity securities ranking senior to the preferred shares.</w:t>
      </w:r>
    </w:p>
    <w:p>
      <w:pPr>
        <w:spacing w:after="0" w:line="177" w:lineRule="exact"/>
        <w:rPr>
          <w:sz w:val="20"/>
          <w:szCs w:val="20"/>
          <w:color w:val="auto"/>
        </w:rPr>
      </w:pPr>
    </w:p>
    <w:p>
      <w:pPr>
        <w:ind w:left="200" w:right="259" w:firstLine="345"/>
        <w:spacing w:after="0" w:line="285" w:lineRule="auto"/>
        <w:rPr>
          <w:sz w:val="20"/>
          <w:szCs w:val="20"/>
          <w:color w:val="auto"/>
        </w:rPr>
      </w:pPr>
      <w:r>
        <w:rPr>
          <w:rFonts w:ascii="Times New Roman" w:cs="Times New Roman" w:eastAsia="Times New Roman" w:hAnsi="Times New Roman"/>
          <w:sz w:val="14"/>
          <w:szCs w:val="14"/>
          <w:color w:val="auto"/>
        </w:rPr>
        <w:t>For purposes of this description of our preferred shares, the term “equity securities” does not include convertible debt securities that we may offer from time to time.</w:t>
      </w:r>
    </w:p>
    <w:p>
      <w:pPr>
        <w:spacing w:after="0" w:line="123" w:lineRule="exact"/>
        <w:rPr>
          <w:sz w:val="20"/>
          <w:szCs w:val="20"/>
          <w:color w:val="auto"/>
        </w:rPr>
      </w:pPr>
    </w:p>
    <w:p>
      <w:pPr>
        <w:ind w:left="200" w:right="19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Dividends. </w:t>
      </w:r>
      <w:r>
        <w:rPr>
          <w:rFonts w:ascii="Times New Roman" w:cs="Times New Roman" w:eastAsia="Times New Roman" w:hAnsi="Times New Roman"/>
          <w:sz w:val="14"/>
          <w:szCs w:val="14"/>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ownership of shares in excess of the ownership limitation described below under “— Restrictions on Ownership and Transfer of Company Shares,” our preferred shareholders are entitled to receive dividends, when and as authorized by our Board of Trustees, out of legally available funds.</w:t>
      </w:r>
    </w:p>
    <w:p>
      <w:pPr>
        <w:spacing w:after="0" w:line="133" w:lineRule="exact"/>
        <w:rPr>
          <w:sz w:val="20"/>
          <w:szCs w:val="20"/>
          <w:color w:val="auto"/>
        </w:rPr>
      </w:pPr>
    </w:p>
    <w:p>
      <w:pPr>
        <w:jc w:val="both"/>
        <w:ind w:left="200" w:right="23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Redemption. </w:t>
      </w:r>
      <w:r>
        <w:rPr>
          <w:rFonts w:ascii="Times New Roman" w:cs="Times New Roman" w:eastAsia="Times New Roman" w:hAnsi="Times New Roman"/>
          <w:sz w:val="14"/>
          <w:szCs w:val="14"/>
          <w:color w:val="auto"/>
        </w:rPr>
        <w:t>If we provide for a redemption right in a prospectus supplement, the preferred shares offered through that supplement will be subject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mandatory redemption or redemption at our option, in whole or in part, in each case upon the terms, at the times and at the redemption prices set forth in that supplement.</w:t>
      </w:r>
    </w:p>
    <w:p>
      <w:pPr>
        <w:spacing w:after="0" w:line="133" w:lineRule="exact"/>
        <w:rPr>
          <w:sz w:val="20"/>
          <w:szCs w:val="20"/>
          <w:color w:val="auto"/>
        </w:rPr>
      </w:pPr>
    </w:p>
    <w:p>
      <w:pPr>
        <w:ind w:left="200" w:right="21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Liquidation Preference. </w:t>
      </w:r>
      <w:r>
        <w:rPr>
          <w:rFonts w:ascii="Times New Roman" w:cs="Times New Roman" w:eastAsia="Times New Roman" w:hAnsi="Times New Roman"/>
          <w:sz w:val="14"/>
          <w:szCs w:val="14"/>
          <w:color w:val="auto"/>
        </w:rPr>
        <w:t>As to any liquidation preference applicable to preferred shares offered through this prospectus, the applicable supplement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18" w:name="page19"/>
    <w:bookmarkEnd w:id="18"/>
    <w:p>
      <w:pPr>
        <w:ind w:left="200" w:right="21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50" w:lineRule="exact"/>
        <w:rPr>
          <w:sz w:val="20"/>
          <w:szCs w:val="20"/>
          <w:color w:val="auto"/>
        </w:rPr>
      </w:pPr>
    </w:p>
    <w:p>
      <w:pPr>
        <w:ind w:left="200" w:right="239" w:firstLine="345"/>
        <w:spacing w:after="0" w:line="263" w:lineRule="auto"/>
        <w:rPr>
          <w:sz w:val="20"/>
          <w:szCs w:val="20"/>
          <w:color w:val="auto"/>
        </w:rPr>
      </w:pPr>
      <w:r>
        <w:rPr>
          <w:rFonts w:ascii="Times New Roman" w:cs="Times New Roman" w:eastAsia="Times New Roman" w:hAnsi="Times New Roman"/>
          <w:sz w:val="14"/>
          <w:szCs w:val="14"/>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38" w:lineRule="exact"/>
        <w:rPr>
          <w:sz w:val="20"/>
          <w:szCs w:val="20"/>
          <w:color w:val="auto"/>
        </w:rPr>
      </w:pPr>
    </w:p>
    <w:p>
      <w:pPr>
        <w:ind w:left="200" w:right="23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 xml:space="preserve">Voting Rights. </w:t>
      </w:r>
      <w:r>
        <w:rPr>
          <w:rFonts w:ascii="Times New Roman" w:cs="Times New Roman" w:eastAsia="Times New Roman" w:hAnsi="Times New Roman"/>
          <w:sz w:val="14"/>
          <w:szCs w:val="14"/>
          <w:color w:val="auto"/>
        </w:rPr>
        <w:t>Unless otherwise indicated in the applicable supplement, holders of preferred shares we issue in the future will not have any voting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rights, except as may be required by applicable law or any applicable rules and regulations of the New York Stock Exchange.</w:t>
      </w:r>
    </w:p>
    <w:p>
      <w:pPr>
        <w:spacing w:after="0" w:line="121" w:lineRule="exact"/>
        <w:rPr>
          <w:sz w:val="20"/>
          <w:szCs w:val="20"/>
          <w:color w:val="auto"/>
        </w:rPr>
      </w:pPr>
    </w:p>
    <w:p>
      <w:pPr>
        <w:ind w:left="200" w:right="21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Conversion Rights. </w:t>
      </w:r>
      <w:r>
        <w:rPr>
          <w:rFonts w:ascii="Times New Roman" w:cs="Times New Roman" w:eastAsia="Times New Roman" w:hAnsi="Times New Roman"/>
          <w:sz w:val="14"/>
          <w:szCs w:val="14"/>
          <w:color w:val="auto"/>
        </w:rPr>
        <w:t>The terms and conditions, if any, upon which any series of preferred shares is convertible into common shares will be set forth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the prospectus supplement relating to the offering of those preferred shares. These terms typically will include:</w:t>
      </w:r>
    </w:p>
    <w:p>
      <w:pPr>
        <w:spacing w:after="0" w:line="49" w:lineRule="exact"/>
        <w:rPr>
          <w:sz w:val="20"/>
          <w:szCs w:val="20"/>
          <w:color w:val="auto"/>
        </w:rPr>
      </w:pPr>
    </w:p>
    <w:p>
      <w:pPr>
        <w:ind w:left="960" w:hanging="346"/>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shares into which the preferred shares are convertible;</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price or rate (or manner of calculation thereof);</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period;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as to whether conversion will be at the option of the holders of the preferred shares or at our option;</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events requiring an adjustment of the conversion price;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affecting conversion in the event of the redemption of that series of preferred shares.</w:t>
      </w:r>
    </w:p>
    <w:p>
      <w:pPr>
        <w:spacing w:after="0" w:line="175" w:lineRule="exact"/>
        <w:rPr>
          <w:sz w:val="20"/>
          <w:szCs w:val="20"/>
          <w:color w:val="auto"/>
        </w:rPr>
      </w:pPr>
    </w:p>
    <w:p>
      <w:pPr>
        <w:ind w:left="200" w:right="45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Transfer Agent and Registrar. </w:t>
      </w:r>
      <w:r>
        <w:rPr>
          <w:rFonts w:ascii="Times New Roman" w:cs="Times New Roman" w:eastAsia="Times New Roman" w:hAnsi="Times New Roman"/>
          <w:sz w:val="14"/>
          <w:szCs w:val="14"/>
          <w:color w:val="auto"/>
        </w:rPr>
        <w:t>We will identify the transfer agent and registrar for any additional series of preferred shares issued through this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prospectus in a prospectus supplement.</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Restrictions on Ownership and Transfer of Company Shares</w:t>
      </w:r>
    </w:p>
    <w:p>
      <w:pPr>
        <w:spacing w:after="0" w:line="95" w:lineRule="exact"/>
        <w:rPr>
          <w:sz w:val="20"/>
          <w:szCs w:val="20"/>
          <w:color w:val="auto"/>
        </w:rPr>
      </w:pPr>
    </w:p>
    <w:p>
      <w:pPr>
        <w:ind w:left="200" w:right="299" w:firstLine="345"/>
        <w:spacing w:after="0" w:line="285" w:lineRule="auto"/>
        <w:rPr>
          <w:sz w:val="20"/>
          <w:szCs w:val="20"/>
          <w:color w:val="auto"/>
        </w:rPr>
      </w:pPr>
      <w:r>
        <w:rPr>
          <w:rFonts w:ascii="Times New Roman" w:cs="Times New Roman" w:eastAsia="Times New Roman" w:hAnsi="Times New Roman"/>
          <w:sz w:val="14"/>
          <w:szCs w:val="14"/>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60" w:right="219" w:hanging="346"/>
        <w:spacing w:after="0" w:line="263" w:lineRule="auto"/>
        <w:tabs>
          <w:tab w:leader="none" w:pos="9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66" w:lineRule="exact"/>
        <w:rPr>
          <w:rFonts w:ascii="Times New Roman" w:cs="Times New Roman" w:eastAsia="Times New Roman" w:hAnsi="Times New Roman"/>
          <w:sz w:val="14"/>
          <w:szCs w:val="14"/>
          <w:color w:val="auto"/>
        </w:rPr>
      </w:pPr>
    </w:p>
    <w:p>
      <w:pPr>
        <w:ind w:left="960" w:right="379" w:hanging="346"/>
        <w:spacing w:after="0" w:line="285" w:lineRule="auto"/>
        <w:tabs>
          <w:tab w:leader="none" w:pos="9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19" w:name="page20"/>
    <w:bookmarkEnd w:id="19"/>
    <w:p>
      <w:pPr>
        <w:ind w:left="960" w:right="359" w:hanging="346"/>
        <w:spacing w:after="0" w:line="285" w:lineRule="auto"/>
        <w:tabs>
          <w:tab w:leader="none" w:pos="9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 REIT’s shares or beneficial interests must be owned by 100 or more persons during at least 335 days of a taxable year of 12 months or during a proportionate part of a shorter taxable year.</w:t>
      </w:r>
    </w:p>
    <w:p>
      <w:pPr>
        <w:spacing w:after="0" w:line="125" w:lineRule="exact"/>
        <w:rPr>
          <w:sz w:val="20"/>
          <w:szCs w:val="20"/>
          <w:color w:val="auto"/>
        </w:rPr>
      </w:pPr>
    </w:p>
    <w:p>
      <w:pPr>
        <w:ind w:left="200" w:right="259" w:firstLine="345"/>
        <w:spacing w:after="0" w:line="263" w:lineRule="auto"/>
        <w:rPr>
          <w:sz w:val="20"/>
          <w:szCs w:val="20"/>
          <w:color w:val="auto"/>
        </w:rPr>
      </w:pPr>
      <w:r>
        <w:rPr>
          <w:rFonts w:ascii="Times New Roman" w:cs="Times New Roman" w:eastAsia="Times New Roman" w:hAnsi="Times New Roman"/>
          <w:sz w:val="14"/>
          <w:szCs w:val="14"/>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shares (which includes any common shares and our preferred shares). In this prospectus, the term “ownership limitation” is used to describe this provision of our declaration of trust.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Any transfer of shares will be null and void, and the intended transferee will acquire no rights in such shares if the transfer:</w:t>
      </w:r>
    </w:p>
    <w:p>
      <w:pPr>
        <w:spacing w:after="0" w:line="103" w:lineRule="exact"/>
        <w:rPr>
          <w:sz w:val="20"/>
          <w:szCs w:val="20"/>
          <w:color w:val="auto"/>
        </w:rPr>
      </w:pPr>
    </w:p>
    <w:p>
      <w:pPr>
        <w:ind w:left="960" w:hanging="346"/>
        <w:spacing w:after="0"/>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in any person owning, directly or indirectly, shares in excess of the ownership limitation;</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in the shares being owned by fewer than 100 persons (determined without reference to any rules of attribution);</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in our being “closely held” (within the meaning of Section 856(h) of the Code);</w:t>
      </w:r>
    </w:p>
    <w:p>
      <w:pPr>
        <w:spacing w:after="0" w:line="103" w:lineRule="exact"/>
        <w:rPr>
          <w:rFonts w:ascii="Times New Roman" w:cs="Times New Roman" w:eastAsia="Times New Roman" w:hAnsi="Times New Roman"/>
          <w:sz w:val="14"/>
          <w:szCs w:val="14"/>
          <w:color w:val="auto"/>
        </w:rPr>
      </w:pPr>
    </w:p>
    <w:p>
      <w:pPr>
        <w:ind w:left="960" w:right="259" w:hanging="346"/>
        <w:spacing w:after="0" w:line="285" w:lineRule="auto"/>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causes us to own, directly or constructively, 10% or more of the ownership interests in a tenant of our real property (within the meaning of Section 856(d)(2)(B) of the Code); or</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results in our failure to qualify as a REIT.</w:t>
      </w:r>
    </w:p>
    <w:p>
      <w:pPr>
        <w:spacing w:after="0" w:line="175" w:lineRule="exact"/>
        <w:rPr>
          <w:sz w:val="20"/>
          <w:szCs w:val="20"/>
          <w:color w:val="auto"/>
        </w:rPr>
      </w:pPr>
    </w:p>
    <w:p>
      <w:pPr>
        <w:ind w:left="200" w:right="53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Automatic Transfer of Shares to Trust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certain exceptions described below, if any purported transfer of shares would violate any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restrictions described in the immediately preceding paragraph, then the transfer will be null and void, and those shares will be</w:t>
      </w:r>
    </w:p>
    <w:p>
      <w:pPr>
        <w:spacing w:after="0" w:line="1" w:lineRule="exact"/>
        <w:rPr>
          <w:sz w:val="20"/>
          <w:szCs w:val="20"/>
          <w:color w:val="auto"/>
        </w:rPr>
      </w:pPr>
    </w:p>
    <w:p>
      <w:pPr>
        <w:ind w:left="200" w:right="319"/>
        <w:spacing w:after="0" w:line="256" w:lineRule="auto"/>
        <w:rPr>
          <w:sz w:val="20"/>
          <w:szCs w:val="20"/>
          <w:color w:val="auto"/>
        </w:rPr>
      </w:pPr>
      <w:r>
        <w:rPr>
          <w:rFonts w:ascii="Times New Roman" w:cs="Times New Roman" w:eastAsia="Times New Roman" w:hAnsi="Times New Roman"/>
          <w:sz w:val="14"/>
          <w:szCs w:val="14"/>
          <w:color w:val="auto"/>
        </w:rPr>
        <w:t>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44" w:lineRule="exact"/>
        <w:rPr>
          <w:sz w:val="20"/>
          <w:szCs w:val="20"/>
          <w:color w:val="auto"/>
        </w:rPr>
      </w:pPr>
    </w:p>
    <w:p>
      <w:pPr>
        <w:ind w:left="200" w:right="319" w:firstLine="345"/>
        <w:spacing w:after="0" w:line="263" w:lineRule="auto"/>
        <w:rPr>
          <w:sz w:val="20"/>
          <w:szCs w:val="20"/>
          <w:color w:val="auto"/>
        </w:rPr>
      </w:pPr>
      <w:r>
        <w:rPr>
          <w:rFonts w:ascii="Times New Roman" w:cs="Times New Roman" w:eastAsia="Times New Roman" w:hAnsi="Times New Roman"/>
          <w:sz w:val="14"/>
          <w:szCs w:val="14"/>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40" w:lineRule="exact"/>
        <w:rPr>
          <w:sz w:val="20"/>
          <w:szCs w:val="20"/>
          <w:color w:val="auto"/>
        </w:rPr>
      </w:pPr>
    </w:p>
    <w:p>
      <w:pPr>
        <w:ind w:left="200" w:right="219" w:firstLine="345"/>
        <w:spacing w:after="0" w:line="268" w:lineRule="auto"/>
        <w:rPr>
          <w:sz w:val="20"/>
          <w:szCs w:val="20"/>
          <w:color w:val="auto"/>
        </w:rPr>
      </w:pPr>
      <w:r>
        <w:rPr>
          <w:rFonts w:ascii="Times New Roman" w:cs="Times New Roman" w:eastAsia="Times New Roman" w:hAnsi="Times New Roman"/>
          <w:sz w:val="14"/>
          <w:szCs w:val="14"/>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63" w:lineRule="exact"/>
        <w:rPr>
          <w:sz w:val="20"/>
          <w:szCs w:val="20"/>
          <w:color w:val="auto"/>
        </w:rPr>
      </w:pPr>
    </w:p>
    <w:p>
      <w:pPr>
        <w:ind w:left="960" w:hanging="346"/>
        <w:spacing w:after="0"/>
        <w:tabs>
          <w:tab w:leader="none" w:pos="9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per share, if any, paid by the record holder for the shares; or</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no amount was paid for such shares (e.g., if such shares were received through a gift or devise),</w:t>
      </w:r>
    </w:p>
    <w:p>
      <w:pPr>
        <w:spacing w:after="0" w:line="103" w:lineRule="exact"/>
        <w:rPr>
          <w:rFonts w:ascii="Times New Roman" w:cs="Times New Roman" w:eastAsia="Times New Roman" w:hAnsi="Times New Roman"/>
          <w:sz w:val="14"/>
          <w:szCs w:val="14"/>
          <w:color w:val="auto"/>
        </w:rPr>
      </w:pPr>
    </w:p>
    <w:p>
      <w:pPr>
        <w:ind w:left="1300" w:right="399" w:hanging="253"/>
        <w:spacing w:after="0" w:line="285" w:lineRule="auto"/>
        <w:tabs>
          <w:tab w:leader="none" w:pos="130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per share equal to the market price (which is calculated as defined in our declaration of trust) on the date the shares were received, or</w:t>
      </w:r>
    </w:p>
    <w:p>
      <w:pPr>
        <w:spacing w:after="0" w:line="51" w:lineRule="exact"/>
        <w:rPr>
          <w:rFonts w:ascii="Times New Roman" w:cs="Times New Roman" w:eastAsia="Times New Roman" w:hAnsi="Times New Roman"/>
          <w:sz w:val="14"/>
          <w:szCs w:val="14"/>
          <w:color w:val="auto"/>
        </w:rPr>
      </w:pPr>
    </w:p>
    <w:p>
      <w:pPr>
        <w:ind w:left="1300" w:hanging="253"/>
        <w:spacing w:after="0"/>
        <w:tabs>
          <w:tab w:leader="none" w:pos="130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per share received by the trustee from the sale of such shares-in-trust.</w:t>
      </w:r>
    </w:p>
    <w:p>
      <w:pPr>
        <w:spacing w:after="0" w:line="177" w:lineRule="exact"/>
        <w:rPr>
          <w:sz w:val="20"/>
          <w:szCs w:val="20"/>
          <w:color w:val="auto"/>
        </w:rPr>
      </w:pPr>
    </w:p>
    <w:p>
      <w:pPr>
        <w:ind w:left="200" w:right="239" w:firstLine="345"/>
        <w:spacing w:after="0" w:line="263" w:lineRule="auto"/>
        <w:rPr>
          <w:sz w:val="20"/>
          <w:szCs w:val="20"/>
          <w:color w:val="auto"/>
        </w:rPr>
      </w:pPr>
      <w:r>
        <w:rPr>
          <w:rFonts w:ascii="Times New Roman" w:cs="Times New Roman" w:eastAsia="Times New Roman" w:hAnsi="Times New Roman"/>
          <w:sz w:val="14"/>
          <w:szCs w:val="14"/>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20" w:name="page21"/>
    <w:bookmarkEnd w:id="20"/>
    <w:p>
      <w:pPr>
        <w:ind w:left="200" w:right="199" w:firstLine="345"/>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37" w:lineRule="exact"/>
        <w:rPr>
          <w:sz w:val="20"/>
          <w:szCs w:val="20"/>
          <w:color w:val="auto"/>
        </w:rPr>
      </w:pPr>
    </w:p>
    <w:p>
      <w:pPr>
        <w:ind w:left="200" w:right="259" w:firstLine="345"/>
        <w:spacing w:after="0" w:line="268" w:lineRule="auto"/>
        <w:rPr>
          <w:sz w:val="20"/>
          <w:szCs w:val="20"/>
          <w:color w:val="auto"/>
        </w:rPr>
      </w:pPr>
      <w:r>
        <w:rPr>
          <w:rFonts w:ascii="Times New Roman" w:cs="Times New Roman" w:eastAsia="Times New Roman" w:hAnsi="Times New Roman"/>
          <w:sz w:val="14"/>
          <w:szCs w:val="14"/>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37" w:lineRule="exact"/>
        <w:rPr>
          <w:sz w:val="20"/>
          <w:szCs w:val="20"/>
          <w:color w:val="auto"/>
        </w:rPr>
      </w:pPr>
    </w:p>
    <w:p>
      <w:pPr>
        <w:ind w:left="200" w:right="679" w:firstLine="345"/>
        <w:spacing w:after="0" w:line="285" w:lineRule="auto"/>
        <w:rPr>
          <w:sz w:val="20"/>
          <w:szCs w:val="20"/>
          <w:color w:val="auto"/>
        </w:rPr>
      </w:pPr>
      <w:r>
        <w:rPr>
          <w:rFonts w:ascii="Times New Roman" w:cs="Times New Roman" w:eastAsia="Times New Roman" w:hAnsi="Times New Roman"/>
          <w:sz w:val="14"/>
          <w:szCs w:val="14"/>
          <w:color w:val="auto"/>
        </w:rPr>
        <w:t>If a shareholder owns more than 5% of the outstanding common shares or preferred shares, then the shareholder must notify us of its share ownership by January 30 of each year.</w:t>
      </w:r>
    </w:p>
    <w:p>
      <w:pPr>
        <w:spacing w:after="0" w:line="125" w:lineRule="exact"/>
        <w:rPr>
          <w:sz w:val="20"/>
          <w:szCs w:val="20"/>
          <w:color w:val="auto"/>
        </w:rPr>
      </w:pPr>
    </w:p>
    <w:p>
      <w:pPr>
        <w:ind w:left="200" w:right="319" w:firstLine="345"/>
        <w:spacing w:after="0" w:line="263" w:lineRule="auto"/>
        <w:rPr>
          <w:sz w:val="20"/>
          <w:szCs w:val="20"/>
          <w:color w:val="auto"/>
        </w:rPr>
      </w:pPr>
      <w:r>
        <w:rPr>
          <w:rFonts w:ascii="Times New Roman" w:cs="Times New Roman" w:eastAsia="Times New Roman" w:hAnsi="Times New Roman"/>
          <w:sz w:val="14"/>
          <w:szCs w:val="14"/>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0" w:lineRule="exact"/>
        <w:rPr>
          <w:sz w:val="20"/>
          <w:szCs w:val="20"/>
          <w:color w:val="auto"/>
        </w:rPr>
      </w:pPr>
    </w:p>
    <w:p>
      <w:pPr>
        <w:ind w:left="200" w:right="199" w:firstLine="345"/>
        <w:spacing w:after="0" w:line="258" w:lineRule="auto"/>
        <w:rPr>
          <w:sz w:val="20"/>
          <w:szCs w:val="20"/>
          <w:color w:val="auto"/>
        </w:rPr>
      </w:pPr>
      <w:r>
        <w:rPr>
          <w:rFonts w:ascii="Times New Roman" w:cs="Times New Roman" w:eastAsia="Times New Roman" w:hAnsi="Times New Roman"/>
          <w:sz w:val="14"/>
          <w:szCs w:val="14"/>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46" w:lineRule="exact"/>
        <w:rPr>
          <w:sz w:val="20"/>
          <w:szCs w:val="20"/>
          <w:color w:val="auto"/>
        </w:rPr>
      </w:pPr>
    </w:p>
    <w:p>
      <w:pPr>
        <w:ind w:left="200" w:right="219" w:firstLine="345"/>
        <w:spacing w:after="0" w:line="268" w:lineRule="auto"/>
        <w:rPr>
          <w:sz w:val="20"/>
          <w:szCs w:val="20"/>
          <w:color w:val="auto"/>
        </w:rPr>
      </w:pPr>
      <w:r>
        <w:rPr>
          <w:rFonts w:ascii="Times New Roman" w:cs="Times New Roman" w:eastAsia="Times New Roman" w:hAnsi="Times New Roman"/>
          <w:sz w:val="14"/>
          <w:szCs w:val="14"/>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Depositary Shares of the Company</w:t>
      </w:r>
    </w:p>
    <w:p>
      <w:pPr>
        <w:spacing w:after="0" w:line="93" w:lineRule="exact"/>
        <w:rPr>
          <w:sz w:val="20"/>
          <w:szCs w:val="20"/>
          <w:color w:val="auto"/>
        </w:rPr>
      </w:pPr>
    </w:p>
    <w:p>
      <w:pPr>
        <w:ind w:left="200" w:right="199" w:firstLine="345"/>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General. </w:t>
      </w:r>
      <w:r>
        <w:rPr>
          <w:rFonts w:ascii="Times New Roman" w:cs="Times New Roman" w:eastAsia="Times New Roman" w:hAnsi="Times New Roman"/>
          <w:sz w:val="14"/>
          <w:szCs w:val="14"/>
          <w:color w:val="auto"/>
        </w:rPr>
        <w:t>We may issue depositary shares, each of which will represent a fractional interest of a share of a particular series of preferred shares.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December 31, 2023, we had 6,000,000 depositary shares issued and outstanding, each representing a 1/1000th fractional interest in a Series C preferred share. See “—Series C Preferred Shares of the Company.”</w:t>
      </w:r>
    </w:p>
    <w:p>
      <w:pPr>
        <w:spacing w:after="0" w:line="144" w:lineRule="exact"/>
        <w:rPr>
          <w:sz w:val="20"/>
          <w:szCs w:val="20"/>
          <w:color w:val="auto"/>
        </w:rPr>
      </w:pPr>
    </w:p>
    <w:p>
      <w:pPr>
        <w:ind w:left="200" w:right="359" w:firstLine="345"/>
        <w:spacing w:after="0" w:line="268" w:lineRule="auto"/>
        <w:rPr>
          <w:sz w:val="20"/>
          <w:szCs w:val="20"/>
          <w:color w:val="auto"/>
        </w:rPr>
      </w:pPr>
      <w:r>
        <w:rPr>
          <w:rFonts w:ascii="Times New Roman" w:cs="Times New Roman" w:eastAsia="Times New Roman" w:hAnsi="Times New Roman"/>
          <w:sz w:val="14"/>
          <w:szCs w:val="14"/>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35" w:lineRule="exact"/>
        <w:rPr>
          <w:sz w:val="20"/>
          <w:szCs w:val="20"/>
          <w:color w:val="auto"/>
        </w:rPr>
      </w:pPr>
    </w:p>
    <w:p>
      <w:pPr>
        <w:ind w:left="200" w:right="31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Dividends and Other Provisions. </w:t>
      </w:r>
      <w:r>
        <w:rPr>
          <w:rFonts w:ascii="Times New Roman" w:cs="Times New Roman" w:eastAsia="Times New Roman" w:hAnsi="Times New Roman"/>
          <w:sz w:val="14"/>
          <w:szCs w:val="14"/>
          <w:color w:val="auto"/>
        </w:rPr>
        <w:t>If you are a “record holder” (as defined below) of depositary receipts and we pay a cash dividend or other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21" w:name="page22"/>
    <w:bookmarkEnd w:id="21"/>
    <w:p>
      <w:pPr>
        <w:ind w:left="200" w:right="439" w:firstLine="345"/>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43" w:lineRule="exact"/>
        <w:rPr>
          <w:sz w:val="20"/>
          <w:szCs w:val="20"/>
          <w:color w:val="auto"/>
        </w:rPr>
      </w:pPr>
    </w:p>
    <w:p>
      <w:pPr>
        <w:ind w:left="200" w:right="359" w:firstLine="345"/>
        <w:spacing w:after="0" w:line="285" w:lineRule="auto"/>
        <w:rPr>
          <w:sz w:val="20"/>
          <w:szCs w:val="20"/>
          <w:color w:val="auto"/>
        </w:rPr>
      </w:pPr>
      <w:r>
        <w:rPr>
          <w:rFonts w:ascii="Times New Roman" w:cs="Times New Roman" w:eastAsia="Times New Roman" w:hAnsi="Times New Roman"/>
          <w:sz w:val="14"/>
          <w:szCs w:val="14"/>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23" w:lineRule="exact"/>
        <w:rPr>
          <w:sz w:val="20"/>
          <w:szCs w:val="20"/>
          <w:color w:val="auto"/>
        </w:rPr>
      </w:pPr>
    </w:p>
    <w:p>
      <w:pPr>
        <w:ind w:left="200" w:right="27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Withdrawal of Preferred Shares. </w:t>
      </w:r>
      <w:r>
        <w:rPr>
          <w:rFonts w:ascii="Times New Roman" w:cs="Times New Roman" w:eastAsia="Times New Roman" w:hAnsi="Times New Roman"/>
          <w:sz w:val="14"/>
          <w:szCs w:val="14"/>
          <w:color w:val="auto"/>
        </w:rPr>
        <w:t>If you surrender your depositary receipts, the depositary will be required to deliver certificates to you</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37" w:lineRule="exact"/>
        <w:rPr>
          <w:sz w:val="20"/>
          <w:szCs w:val="20"/>
          <w:color w:val="auto"/>
        </w:rPr>
      </w:pPr>
    </w:p>
    <w:p>
      <w:pPr>
        <w:ind w:left="200" w:right="239" w:firstLine="345"/>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Redemption of Depositary Shares. </w:t>
      </w:r>
      <w:r>
        <w:rPr>
          <w:rFonts w:ascii="Times New Roman" w:cs="Times New Roman" w:eastAsia="Times New Roman" w:hAnsi="Times New Roman"/>
          <w:sz w:val="14"/>
          <w:szCs w:val="14"/>
          <w:color w:val="auto"/>
        </w:rPr>
        <w:t>If we redeem a series of preferred shares represented by depositary receipts, the depositary will redeem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2" w:lineRule="exact"/>
        <w:rPr>
          <w:sz w:val="20"/>
          <w:szCs w:val="20"/>
          <w:color w:val="auto"/>
        </w:rPr>
      </w:pPr>
    </w:p>
    <w:p>
      <w:pPr>
        <w:ind w:left="200" w:right="279" w:firstLine="34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Voting the Preferred Shares. </w:t>
      </w:r>
      <w:r>
        <w:rPr>
          <w:rFonts w:ascii="Times New Roman" w:cs="Times New Roman" w:eastAsia="Times New Roman" w:hAnsi="Times New Roman"/>
          <w:sz w:val="14"/>
          <w:szCs w:val="14"/>
          <w:color w:val="auto"/>
        </w:rPr>
        <w:t>When the depositary receives notice of any meeting at which the holders of preferred shares are entitled to vote,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depositary will mail information contained in the notice to you as a record holder of the depositary shares relating to the preferred shares. As a record holder of the depositary shares on the</w:t>
      </w:r>
    </w:p>
    <w:p>
      <w:pPr>
        <w:spacing w:after="0" w:line="1" w:lineRule="exact"/>
        <w:rPr>
          <w:sz w:val="20"/>
          <w:szCs w:val="20"/>
          <w:color w:val="auto"/>
        </w:rPr>
      </w:pPr>
    </w:p>
    <w:p>
      <w:pPr>
        <w:ind w:left="200" w:right="279"/>
        <w:spacing w:after="0" w:line="256" w:lineRule="auto"/>
        <w:rPr>
          <w:sz w:val="20"/>
          <w:szCs w:val="20"/>
          <w:color w:val="auto"/>
        </w:rPr>
      </w:pPr>
      <w:r>
        <w:rPr>
          <w:rFonts w:ascii="Times New Roman" w:cs="Times New Roman" w:eastAsia="Times New Roman" w:hAnsi="Times New Roman"/>
          <w:sz w:val="14"/>
          <w:szCs w:val="14"/>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42" w:lineRule="exact"/>
        <w:rPr>
          <w:sz w:val="20"/>
          <w:szCs w:val="20"/>
          <w:color w:val="auto"/>
        </w:rPr>
      </w:pPr>
    </w:p>
    <w:p>
      <w:pPr>
        <w:ind w:left="200" w:right="47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Liquidation Preference. </w:t>
      </w:r>
      <w:r>
        <w:rPr>
          <w:rFonts w:ascii="Times New Roman" w:cs="Times New Roman" w:eastAsia="Times New Roman" w:hAnsi="Times New Roman"/>
          <w:sz w:val="14"/>
          <w:szCs w:val="14"/>
          <w:color w:val="auto"/>
        </w:rPr>
        <w:t>In the event of our liquidation, dissolution or winding up, whether voluntary or involuntary, you will be entitled, 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record holder of depositary shares, to the fraction of the liquidation preference accorded each applicable preferred share, as has been set forth in a prospectus supplement.</w:t>
      </w:r>
    </w:p>
    <w:p>
      <w:pPr>
        <w:spacing w:after="0" w:line="133" w:lineRule="exact"/>
        <w:rPr>
          <w:sz w:val="20"/>
          <w:szCs w:val="20"/>
          <w:color w:val="auto"/>
        </w:rPr>
      </w:pPr>
    </w:p>
    <w:p>
      <w:pPr>
        <w:ind w:left="200" w:right="199" w:firstLine="34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Conversion of Preferred Shares. </w:t>
      </w:r>
      <w:r>
        <w:rPr>
          <w:rFonts w:ascii="Times New Roman" w:cs="Times New Roman" w:eastAsia="Times New Roman" w:hAnsi="Times New Roman"/>
          <w:sz w:val="14"/>
          <w:szCs w:val="14"/>
          <w:color w:val="auto"/>
        </w:rPr>
        <w:t>Our depositary shares, as such, are not convertible into common shares or any of our other securities or property.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43" w:lineRule="exact"/>
        <w:rPr>
          <w:sz w:val="20"/>
          <w:szCs w:val="20"/>
          <w:color w:val="auto"/>
        </w:rPr>
      </w:pPr>
    </w:p>
    <w:p>
      <w:pPr>
        <w:jc w:val="both"/>
        <w:ind w:left="200" w:right="31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Amendment and Termination of the Deposit Agreement. </w:t>
      </w:r>
      <w:r>
        <w:rPr>
          <w:rFonts w:ascii="Times New Roman" w:cs="Times New Roman" w:eastAsia="Times New Roman" w:hAnsi="Times New Roman"/>
          <w:sz w:val="14"/>
          <w:szCs w:val="14"/>
          <w:color w:val="auto"/>
        </w:rPr>
        <w:t>We and the depositary may amend the form of depositary receipt and any provision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22" w:name="page23"/>
    <w:bookmarkEnd w:id="22"/>
    <w:p>
      <w:pPr>
        <w:ind w:left="960" w:hanging="346"/>
        <w:spacing w:after="0"/>
        <w:tabs>
          <w:tab w:leader="none" w:pos="9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we redeem all outstanding depositary shares;</w:t>
      </w:r>
    </w:p>
    <w:p>
      <w:pPr>
        <w:spacing w:after="0" w:line="103" w:lineRule="exact"/>
        <w:rPr>
          <w:rFonts w:ascii="Times New Roman" w:cs="Times New Roman" w:eastAsia="Times New Roman" w:hAnsi="Times New Roman"/>
          <w:sz w:val="14"/>
          <w:szCs w:val="14"/>
          <w:color w:val="auto"/>
        </w:rPr>
      </w:pPr>
    </w:p>
    <w:p>
      <w:pPr>
        <w:ind w:left="960" w:right="259" w:hanging="346"/>
        <w:spacing w:after="0" w:line="285" w:lineRule="auto"/>
        <w:tabs>
          <w:tab w:leader="none" w:pos="9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Times New Roman" w:cs="Times New Roman" w:eastAsia="Times New Roman" w:hAnsi="Times New Roman"/>
          <w:sz w:val="14"/>
          <w:szCs w:val="14"/>
          <w:color w:val="auto"/>
        </w:rPr>
      </w:pPr>
    </w:p>
    <w:p>
      <w:pPr>
        <w:ind w:left="960" w:right="439" w:hanging="346"/>
        <w:spacing w:after="0" w:line="285" w:lineRule="auto"/>
        <w:tabs>
          <w:tab w:leader="none" w:pos="9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preferred share to which the depositary shares and agreement relate shall have been converted into shares of beneficial interest not represented by depositary shares.</w:t>
      </w:r>
    </w:p>
    <w:p>
      <w:pPr>
        <w:spacing w:after="0" w:line="123" w:lineRule="exact"/>
        <w:rPr>
          <w:sz w:val="20"/>
          <w:szCs w:val="20"/>
          <w:color w:val="auto"/>
        </w:rPr>
      </w:pPr>
    </w:p>
    <w:p>
      <w:pPr>
        <w:ind w:left="200" w:right="29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Resignation and Removal of Depositary. </w:t>
      </w:r>
      <w:r>
        <w:rPr>
          <w:rFonts w:ascii="Times New Roman" w:cs="Times New Roman" w:eastAsia="Times New Roman" w:hAnsi="Times New Roman"/>
          <w:sz w:val="14"/>
          <w:szCs w:val="14"/>
          <w:color w:val="auto"/>
        </w:rPr>
        <w:t>The depositary may resign at any time by delivering a notice to us of its election to do so. Additionally,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37" w:lineRule="exact"/>
        <w:rPr>
          <w:sz w:val="20"/>
          <w:szCs w:val="20"/>
          <w:color w:val="auto"/>
        </w:rPr>
      </w:pPr>
    </w:p>
    <w:p>
      <w:pPr>
        <w:ind w:left="200" w:right="27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Charges of Depositary. </w:t>
      </w:r>
      <w:r>
        <w:rPr>
          <w:rFonts w:ascii="Times New Roman" w:cs="Times New Roman" w:eastAsia="Times New Roman" w:hAnsi="Times New Roman"/>
          <w:sz w:val="14"/>
          <w:szCs w:val="14"/>
          <w:color w:val="auto"/>
        </w:rPr>
        <w:t>We will pay all transfer and other taxes and governmental charges arising solely from the existence of the depositary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37" w:lineRule="exact"/>
        <w:rPr>
          <w:sz w:val="20"/>
          <w:szCs w:val="20"/>
          <w:color w:val="auto"/>
        </w:rPr>
      </w:pPr>
    </w:p>
    <w:p>
      <w:pPr>
        <w:ind w:left="200" w:right="37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Miscellaneous. </w:t>
      </w:r>
      <w:r>
        <w:rPr>
          <w:rFonts w:ascii="Times New Roman" w:cs="Times New Roman" w:eastAsia="Times New Roman" w:hAnsi="Times New Roman"/>
          <w:sz w:val="14"/>
          <w:szCs w:val="14"/>
          <w:color w:val="auto"/>
        </w:rPr>
        <w:t>The depositary will forward to you all reports and communications from us that we are required, or otherwise determine,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35" w:lineRule="exact"/>
        <w:rPr>
          <w:sz w:val="20"/>
          <w:szCs w:val="20"/>
          <w:color w:val="auto"/>
        </w:rPr>
      </w:pPr>
    </w:p>
    <w:p>
      <w:pPr>
        <w:ind w:left="200" w:right="239" w:firstLine="345"/>
        <w:spacing w:after="0" w:line="260" w:lineRule="auto"/>
        <w:rPr>
          <w:sz w:val="20"/>
          <w:szCs w:val="20"/>
          <w:color w:val="auto"/>
        </w:rPr>
      </w:pPr>
      <w:r>
        <w:rPr>
          <w:rFonts w:ascii="Times New Roman" w:cs="Times New Roman" w:eastAsia="Times New Roman" w:hAnsi="Times New Roman"/>
          <w:sz w:val="14"/>
          <w:szCs w:val="14"/>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Share Purchase Contracts that may be offered by Federal Realty Investment Trust</w:t>
      </w:r>
    </w:p>
    <w:p>
      <w:pPr>
        <w:spacing w:after="0" w:line="177" w:lineRule="exact"/>
        <w:rPr>
          <w:sz w:val="20"/>
          <w:szCs w:val="20"/>
          <w:color w:val="auto"/>
        </w:rPr>
      </w:pPr>
    </w:p>
    <w:p>
      <w:pPr>
        <w:ind w:left="200" w:right="279" w:firstLine="345"/>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Share Purchase Contracts</w:t>
      </w:r>
      <w:r>
        <w:rPr>
          <w:rFonts w:ascii="Times New Roman" w:cs="Times New Roman" w:eastAsia="Times New Roman" w:hAnsi="Times New Roman"/>
          <w:sz w:val="14"/>
          <w:szCs w:val="14"/>
          <w:color w:val="auto"/>
        </w:rPr>
        <w:t>. We may issue share purchase contracts, which are contracts obligating holders to purchase from or sell to us,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obligating us to purchase from or sell to the holders, a specified number of our common shares of beneficial interest or preferred shares of beneficial interest at a future date or dates. If we offer share purchase contracts, we will describe the terms in a prospectus supplement. Share purchase contracts may be offered independently, together with other securities offered by any prospectus supplement, or through a dividend or other distribution to shareholders and may be attached to or separate from other securities. The price per common share of beneficial interest or preferred share of beneficial interest may be fixed at the time the share purchase contracts are issued or may be determined by reference to a specific formula contained in the share purchase contracts. We may issue share purchase contracts in such amounts and in as many distinct series as we wish.</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are some of the share purchase contract terms that could be described in a prospectus supplement:</w:t>
      </w:r>
    </w:p>
    <w:p>
      <w:pPr>
        <w:spacing w:after="0" w:line="103" w:lineRule="exact"/>
        <w:rPr>
          <w:sz w:val="20"/>
          <w:szCs w:val="20"/>
          <w:color w:val="auto"/>
        </w:rPr>
      </w:pPr>
    </w:p>
    <w:p>
      <w:pPr>
        <w:ind w:left="960" w:right="219" w:hanging="346"/>
        <w:spacing w:after="0" w:line="268" w:lineRule="auto"/>
        <w:tabs>
          <w:tab w:leader="none" w:pos="9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 purchase contracts obligate the holder to purchase or sell, or both purchase and sell, common shares of beneficial interest or preferred shares of beneficial interest and the nature and amount of common shares of beneficial interest or preferred shares of beneficial interest, or the method of determining that amount;</w:t>
      </w:r>
    </w:p>
    <w:p>
      <w:pPr>
        <w:spacing w:after="0" w:line="6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 purchase contracts are to be prepaid or not;</w:t>
      </w:r>
    </w:p>
    <w:p>
      <w:pPr>
        <w:spacing w:after="0" w:line="103" w:lineRule="exact"/>
        <w:rPr>
          <w:rFonts w:ascii="Times New Roman" w:cs="Times New Roman" w:eastAsia="Times New Roman" w:hAnsi="Times New Roman"/>
          <w:sz w:val="14"/>
          <w:szCs w:val="14"/>
          <w:color w:val="auto"/>
        </w:rPr>
      </w:pPr>
    </w:p>
    <w:p>
      <w:pPr>
        <w:ind w:left="960" w:right="579" w:hanging="346"/>
        <w:spacing w:after="0" w:line="285" w:lineRule="auto"/>
        <w:tabs>
          <w:tab w:leader="none" w:pos="9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 purchase contracts are to be settled by delivery, or by reference or linkage to the value, performance or level of our common shares of beneficial interest or preferred shares of beneficial interest;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1" w:right="1440" w:bottom="1440" w:gutter="0" w:footer="0" w:header="0"/>
        </w:sectPr>
      </w:pPr>
    </w:p>
    <w:bookmarkStart w:id="23" w:name="page24"/>
    <w:bookmarkEnd w:id="23"/>
    <w:p>
      <w:pPr>
        <w:ind w:left="960" w:hanging="346"/>
        <w:spacing w:after="0"/>
        <w:tabs>
          <w:tab w:leader="none" w:pos="9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 discussion of any material U.S. federal income tax considerations applicable to the share purchase contracts;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acceleration, cancellation, termination or other provisions relating to the settlement of the share purchase contracts;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 purchase contracts will be issued in fully registered or global form.</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 that may be offered by Federal Realty Investment Trust</w:t>
      </w:r>
    </w:p>
    <w:p>
      <w:pPr>
        <w:spacing w:after="0" w:line="177" w:lineRule="exact"/>
        <w:rPr>
          <w:sz w:val="20"/>
          <w:szCs w:val="20"/>
          <w:color w:val="auto"/>
        </w:rPr>
      </w:pPr>
    </w:p>
    <w:p>
      <w:pPr>
        <w:ind w:left="200" w:right="299" w:firstLine="345"/>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may issue warrants for the purchase of common shares, preferred shares or depositary shares representing interests in preferred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are some of the warrant terms that could be described in a prospectus supplement:</w:t>
      </w:r>
    </w:p>
    <w:p>
      <w:pPr>
        <w:spacing w:after="0" w:line="103" w:lineRule="exact"/>
        <w:rPr>
          <w:sz w:val="20"/>
          <w:szCs w:val="20"/>
          <w:color w:val="auto"/>
        </w:rPr>
      </w:pPr>
    </w:p>
    <w:p>
      <w:pPr>
        <w:ind w:left="960" w:hanging="34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warrant will be issued;</w:t>
      </w:r>
    </w:p>
    <w:p>
      <w:pPr>
        <w:spacing w:after="0" w:line="103" w:lineRule="exact"/>
        <w:rPr>
          <w:rFonts w:ascii="Times New Roman" w:cs="Times New Roman" w:eastAsia="Times New Roman" w:hAnsi="Times New Roman"/>
          <w:sz w:val="14"/>
          <w:szCs w:val="14"/>
          <w:color w:val="auto"/>
        </w:rPr>
      </w:pPr>
    </w:p>
    <w:p>
      <w:pPr>
        <w:ind w:left="960" w:right="399" w:hanging="346"/>
        <w:spacing w:after="0" w:line="285" w:lineRule="auto"/>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number and terms of the common shares, preferred shares or depositary shares representing interests in preferred shares that may be purchased on exercise of the warrant;</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warrant and the related securities will be separately transferable;</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each security purchasable on exercise of the warrant may be purchased;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purchase the securities purchasable on exercise of the warrant will begin and end;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or maximum number of securities that may be purchased at any one time;</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anti-dilution protection;</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federal income tax considerations;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warrant terms, including terms relating to transferability, exchange or exercise of the warrant.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Guarantees that may be offered by Federal Realty Investment Trust</w:t>
      </w:r>
    </w:p>
    <w:p>
      <w:pPr>
        <w:spacing w:after="0" w:line="179" w:lineRule="exact"/>
        <w:rPr>
          <w:sz w:val="20"/>
          <w:szCs w:val="20"/>
          <w:color w:val="auto"/>
        </w:rPr>
      </w:pPr>
    </w:p>
    <w:p>
      <w:pPr>
        <w:ind w:left="200" w:right="259" w:firstLine="345"/>
        <w:spacing w:after="0" w:line="258" w:lineRule="auto"/>
        <w:rPr>
          <w:sz w:val="20"/>
          <w:szCs w:val="20"/>
          <w:color w:val="auto"/>
        </w:rPr>
      </w:pPr>
      <w:r>
        <w:rPr>
          <w:rFonts w:ascii="Times New Roman" w:cs="Times New Roman" w:eastAsia="Times New Roman" w:hAnsi="Times New Roman"/>
          <w:sz w:val="14"/>
          <w:szCs w:val="14"/>
          <w:color w:val="auto"/>
        </w:rPr>
        <w:t>We may guarantee (either fully or unconditionally or in a limited manner) the due and punctual payment of the principal of, and any premium and interest on, one or more classes or series of debt securities of the Partnership, whether at maturity, by acceleration, redemption, repayment or otherwise, in accordance with the terms of such guarantee and the applicable indenture. In case of the failure of the Partnership punctually to pay any principal, premium or interest on any guaranteed debt security, we will cause any such payment to be made as it becomes due and payable, whether at maturity, upon acceleration, redemption, repayment or otherwise, and as if such payment were made by the Partnership. The particular terms of the guarantee, if any, will be set forth in a prospectus supplement relating to the guaranteed debt securities.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1"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Description of Units that may be offered by Federal Realty Investment Trust</w:t>
      </w:r>
    </w:p>
    <w:p>
      <w:pPr>
        <w:spacing w:after="0" w:line="179" w:lineRule="exact"/>
        <w:rPr>
          <w:sz w:val="20"/>
          <w:szCs w:val="20"/>
          <w:color w:val="auto"/>
        </w:rPr>
      </w:pPr>
    </w:p>
    <w:p>
      <w:pPr>
        <w:ind w:left="200" w:right="379" w:firstLine="345"/>
        <w:spacing w:after="0" w:line="268" w:lineRule="auto"/>
        <w:rPr>
          <w:sz w:val="20"/>
          <w:szCs w:val="20"/>
          <w:color w:val="auto"/>
        </w:rPr>
      </w:pPr>
      <w:r>
        <w:rPr>
          <w:rFonts w:ascii="Times New Roman" w:cs="Times New Roman" w:eastAsia="Times New Roman" w:hAnsi="Times New Roman"/>
          <w:sz w:val="14"/>
          <w:szCs w:val="14"/>
          <w:color w:val="auto"/>
        </w:rPr>
        <w:t>We may issue units from time to time in such amounts and in as many distinct series as we determine. We will issue each series of units under a unit agreement to be entered into between us and a unit agent to be identified in the applicable prospectus supplement. When we refer to a series of units, we mean all units issued as part of the same series under the applicable unit agreement.</w:t>
      </w:r>
    </w:p>
    <w:p>
      <w:pPr>
        <w:spacing w:after="0" w:line="137" w:lineRule="exact"/>
        <w:rPr>
          <w:sz w:val="20"/>
          <w:szCs w:val="20"/>
          <w:color w:val="auto"/>
        </w:rPr>
      </w:pPr>
    </w:p>
    <w:p>
      <w:pPr>
        <w:ind w:left="200" w:right="219" w:firstLine="345"/>
        <w:spacing w:after="0" w:line="263" w:lineRule="auto"/>
        <w:rPr>
          <w:sz w:val="20"/>
          <w:szCs w:val="20"/>
          <w:color w:val="auto"/>
        </w:rPr>
      </w:pPr>
      <w:r>
        <w:rPr>
          <w:rFonts w:ascii="Times New Roman" w:cs="Times New Roman" w:eastAsia="Times New Roman" w:hAnsi="Times New Roman"/>
          <w:sz w:val="14"/>
          <w:szCs w:val="14"/>
          <w:color w:val="auto"/>
        </w:rPr>
        <w:t>We may issue units consisting of any combination of two or more securities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are some of the unit terms that could be described in a prospectus supplement:</w:t>
      </w:r>
    </w:p>
    <w:p>
      <w:pPr>
        <w:spacing w:after="0" w:line="103" w:lineRule="exact"/>
        <w:rPr>
          <w:sz w:val="20"/>
          <w:szCs w:val="20"/>
          <w:color w:val="auto"/>
        </w:rPr>
      </w:pPr>
    </w:p>
    <w:p>
      <w:pPr>
        <w:ind w:left="960" w:hanging="346"/>
        <w:spacing w:after="0"/>
        <w:tabs>
          <w:tab w:leader="none" w:pos="9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any series of units;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w:t>
      </w:r>
    </w:p>
    <w:p>
      <w:pPr>
        <w:spacing w:after="0" w:line="103" w:lineRule="exact"/>
        <w:rPr>
          <w:rFonts w:ascii="Times New Roman" w:cs="Times New Roman" w:eastAsia="Times New Roman" w:hAnsi="Times New Roman"/>
          <w:sz w:val="14"/>
          <w:szCs w:val="14"/>
          <w:color w:val="auto"/>
        </w:rPr>
      </w:pPr>
    </w:p>
    <w:p>
      <w:pPr>
        <w:ind w:left="960" w:right="339" w:hanging="346"/>
        <w:spacing w:after="0" w:line="285" w:lineRule="auto"/>
        <w:tabs>
          <w:tab w:leader="none" w:pos="9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and the price at which we will issue, the units and any provisions for the issuance, payment, settlement, transfer or exchange of the units or of the securities comprising the units;</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constituent securities comprising the units will be separately transferable;</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or global form;</w:t>
      </w:r>
    </w:p>
    <w:p>
      <w:pPr>
        <w:spacing w:after="0" w:line="103" w:lineRule="exact"/>
        <w:rPr>
          <w:rFonts w:ascii="Times New Roman" w:cs="Times New Roman" w:eastAsia="Times New Roman" w:hAnsi="Times New Roman"/>
          <w:sz w:val="14"/>
          <w:szCs w:val="14"/>
          <w:color w:val="auto"/>
        </w:rPr>
      </w:pPr>
    </w:p>
    <w:p>
      <w:pPr>
        <w:ind w:left="960" w:right="419" w:hanging="346"/>
        <w:spacing w:after="0" w:line="285" w:lineRule="auto"/>
        <w:tabs>
          <w:tab w:leader="none" w:pos="9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terms of any unit agreement to be entered into between us and a bank or trust company, as unit agent, governing the units;</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the material U.S. federal income tax considerations applicable to the units;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listed on any securities exchange;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their constituent securities.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Certain Provisions of Maryland Law and our Declaration of Trust and Bylaws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summary of certain provisions of the Maryland General Corporation Law and our declaration of trust and bylaws is not complete.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You should read the Maryland General Corporation Law and our declaration of trust and bylaws for more complete information.</w:t>
      </w:r>
    </w:p>
    <w:p>
      <w:pPr>
        <w:spacing w:after="0" w:line="163" w:lineRule="exact"/>
        <w:rPr>
          <w:sz w:val="20"/>
          <w:szCs w:val="20"/>
          <w:color w:val="auto"/>
        </w:rPr>
      </w:pPr>
    </w:p>
    <w:p>
      <w:pPr>
        <w:ind w:left="200" w:right="259" w:firstLine="345"/>
        <w:spacing w:after="0" w:line="257" w:lineRule="auto"/>
        <w:rPr>
          <w:sz w:val="20"/>
          <w:szCs w:val="20"/>
          <w:color w:val="auto"/>
        </w:rPr>
      </w:pPr>
      <w:r>
        <w:rPr>
          <w:rFonts w:ascii="Times New Roman" w:cs="Times New Roman" w:eastAsia="Times New Roman" w:hAnsi="Times New Roman"/>
          <w:sz w:val="14"/>
          <w:szCs w:val="14"/>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of Company Shares” and the supermajority voting rights described under “— Common Shares of the Company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44" w:lineRule="exact"/>
        <w:rPr>
          <w:sz w:val="20"/>
          <w:szCs w:val="20"/>
          <w:color w:val="auto"/>
        </w:rPr>
      </w:pPr>
    </w:p>
    <w:p>
      <w:pPr>
        <w:ind w:left="200" w:right="21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Business Combinations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Applicable Maryland law, as set forth in the Maryland General Corporation Law, limits our ability to enter into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65" w:lineRule="exact"/>
        <w:rPr>
          <w:sz w:val="20"/>
          <w:szCs w:val="20"/>
          <w:color w:val="auto"/>
        </w:rPr>
      </w:pPr>
    </w:p>
    <w:p>
      <w:pPr>
        <w:ind w:left="4440" w:right="2179" w:hanging="3826"/>
        <w:spacing w:after="0" w:line="459" w:lineRule="auto"/>
        <w:tabs>
          <w:tab w:leader="none" w:pos="95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beneficially owns 10% or more of the voting power of our outstanding voting shares; or 16</w:t>
      </w:r>
    </w:p>
    <w:p>
      <w:pPr>
        <w:sectPr>
          <w:pgSz w:w="11900" w:h="16838" w:orient="portrait"/>
          <w:cols w:equalWidth="0" w:num="1">
            <w:col w:w="9019"/>
          </w:cols>
          <w:pgMar w:left="1440" w:top="239" w:right="1440" w:bottom="1440" w:gutter="0" w:footer="0" w:header="0"/>
        </w:sectPr>
      </w:pPr>
    </w:p>
    <w:bookmarkStart w:id="25" w:name="page26"/>
    <w:bookmarkEnd w:id="25"/>
    <w:p>
      <w:pPr>
        <w:ind w:left="960" w:right="219" w:hanging="346"/>
        <w:spacing w:after="0" w:line="285" w:lineRule="auto"/>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any of our affiliates that beneficially owned, directly or indirectly, 10% or more of the voting power of our outstanding voting shares at any time within two years immediately prior to the applicable date in question.</w:t>
      </w:r>
    </w:p>
    <w:p>
      <w:pPr>
        <w:spacing w:after="0" w:line="125" w:lineRule="exact"/>
        <w:rPr>
          <w:sz w:val="20"/>
          <w:szCs w:val="20"/>
          <w:color w:val="auto"/>
        </w:rPr>
      </w:pPr>
    </w:p>
    <w:p>
      <w:pPr>
        <w:jc w:val="both"/>
        <w:ind w:left="200" w:right="339" w:firstLine="345"/>
        <w:spacing w:after="0" w:line="268" w:lineRule="auto"/>
        <w:rPr>
          <w:sz w:val="20"/>
          <w:szCs w:val="20"/>
          <w:color w:val="auto"/>
        </w:rPr>
      </w:pPr>
      <w:r>
        <w:rPr>
          <w:rFonts w:ascii="Times New Roman" w:cs="Times New Roman" w:eastAsia="Times New Roman" w:hAnsi="Times New Roman"/>
          <w:sz w:val="14"/>
          <w:szCs w:val="14"/>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37" w:lineRule="exact"/>
        <w:rPr>
          <w:sz w:val="20"/>
          <w:szCs w:val="20"/>
          <w:color w:val="auto"/>
        </w:rPr>
      </w:pPr>
    </w:p>
    <w:p>
      <w:pPr>
        <w:ind w:left="200" w:right="399" w:firstLine="345"/>
        <w:spacing w:after="0" w:line="285" w:lineRule="auto"/>
        <w:rPr>
          <w:sz w:val="20"/>
          <w:szCs w:val="20"/>
          <w:color w:val="auto"/>
        </w:rPr>
      </w:pPr>
      <w:r>
        <w:rPr>
          <w:rFonts w:ascii="Times New Roman" w:cs="Times New Roman" w:eastAsia="Times New Roman" w:hAnsi="Times New Roman"/>
          <w:sz w:val="14"/>
          <w:szCs w:val="14"/>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60" w:hanging="346"/>
        <w:spacing w:after="0"/>
        <w:tabs>
          <w:tab w:leader="none" w:pos="9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recommended by our Board of Trustees;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by at least,</w:t>
      </w:r>
    </w:p>
    <w:p>
      <w:pPr>
        <w:spacing w:after="0" w:line="103" w:lineRule="exact"/>
        <w:rPr>
          <w:rFonts w:ascii="Times New Roman" w:cs="Times New Roman" w:eastAsia="Times New Roman" w:hAnsi="Times New Roman"/>
          <w:sz w:val="14"/>
          <w:szCs w:val="14"/>
          <w:color w:val="auto"/>
        </w:rPr>
      </w:pPr>
    </w:p>
    <w:p>
      <w:pPr>
        <w:ind w:left="1300" w:hanging="253"/>
        <w:spacing w:after="0"/>
        <w:tabs>
          <w:tab w:leader="none" w:pos="13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 of our outstanding shares entitled to vote; and</w:t>
      </w:r>
    </w:p>
    <w:p>
      <w:pPr>
        <w:spacing w:after="0" w:line="103" w:lineRule="exact"/>
        <w:rPr>
          <w:rFonts w:ascii="Times New Roman" w:cs="Times New Roman" w:eastAsia="Times New Roman" w:hAnsi="Times New Roman"/>
          <w:sz w:val="14"/>
          <w:szCs w:val="14"/>
          <w:color w:val="auto"/>
        </w:rPr>
      </w:pPr>
    </w:p>
    <w:p>
      <w:pPr>
        <w:ind w:left="1300" w:hanging="253"/>
        <w:spacing w:after="0"/>
        <w:tabs>
          <w:tab w:leader="none" w:pos="13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two-thirds of our outstanding shares entitled to vote that are not held by the interested shareholder or any of its affiliates.</w:t>
      </w:r>
    </w:p>
    <w:p>
      <w:pPr>
        <w:spacing w:after="0" w:line="177" w:lineRule="exact"/>
        <w:rPr>
          <w:sz w:val="20"/>
          <w:szCs w:val="20"/>
          <w:color w:val="auto"/>
        </w:rPr>
      </w:pPr>
    </w:p>
    <w:p>
      <w:pPr>
        <w:ind w:left="200" w:right="279" w:firstLine="345"/>
        <w:spacing w:after="0" w:line="285" w:lineRule="auto"/>
        <w:rPr>
          <w:sz w:val="20"/>
          <w:szCs w:val="20"/>
          <w:color w:val="auto"/>
        </w:rPr>
      </w:pPr>
      <w:r>
        <w:rPr>
          <w:rFonts w:ascii="Times New Roman" w:cs="Times New Roman" w:eastAsia="Times New Roman" w:hAnsi="Times New Roman"/>
          <w:sz w:val="14"/>
          <w:szCs w:val="14"/>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23" w:lineRule="exact"/>
        <w:rPr>
          <w:sz w:val="20"/>
          <w:szCs w:val="20"/>
          <w:color w:val="auto"/>
        </w:rPr>
      </w:pPr>
    </w:p>
    <w:p>
      <w:pPr>
        <w:ind w:left="200" w:right="37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Control Share Acquisitions. </w:t>
      </w:r>
      <w:r>
        <w:rPr>
          <w:rFonts w:ascii="Times New Roman" w:cs="Times New Roman" w:eastAsia="Times New Roman" w:hAnsi="Times New Roman"/>
          <w:sz w:val="14"/>
          <w:szCs w:val="14"/>
          <w:color w:val="auto"/>
        </w:rPr>
        <w:t>Our bylaws exempt acquisitions of our shares of beneficial interest by any person from “control share acquisition”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39" w:lineRule="exact"/>
        <w:rPr>
          <w:sz w:val="20"/>
          <w:szCs w:val="20"/>
          <w:color w:val="auto"/>
        </w:rPr>
      </w:pPr>
    </w:p>
    <w:p>
      <w:pPr>
        <w:ind w:left="200" w:right="419" w:firstLine="345"/>
        <w:spacing w:after="0" w:line="268" w:lineRule="auto"/>
        <w:rPr>
          <w:sz w:val="20"/>
          <w:szCs w:val="20"/>
          <w:color w:val="auto"/>
        </w:rPr>
      </w:pPr>
      <w:r>
        <w:rPr>
          <w:rFonts w:ascii="Times New Roman" w:cs="Times New Roman" w:eastAsia="Times New Roman" w:hAnsi="Times New Roman"/>
          <w:sz w:val="14"/>
          <w:szCs w:val="14"/>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37" w:lineRule="exact"/>
        <w:rPr>
          <w:sz w:val="20"/>
          <w:szCs w:val="20"/>
          <w:color w:val="auto"/>
        </w:rPr>
      </w:pPr>
    </w:p>
    <w:p>
      <w:pPr>
        <w:ind w:left="200" w:right="419" w:firstLine="345"/>
        <w:spacing w:after="0" w:line="285" w:lineRule="auto"/>
        <w:rPr>
          <w:sz w:val="20"/>
          <w:szCs w:val="20"/>
          <w:color w:val="auto"/>
        </w:rPr>
      </w:pPr>
      <w:r>
        <w:rPr>
          <w:rFonts w:ascii="Times New Roman" w:cs="Times New Roman" w:eastAsia="Times New Roman" w:hAnsi="Times New Roman"/>
          <w:sz w:val="14"/>
          <w:szCs w:val="14"/>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60" w:hanging="346"/>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one-tenth or more but less than one-third,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or more but less than a majority, or</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or more of all voting power.</w:t>
      </w:r>
    </w:p>
    <w:p>
      <w:pPr>
        <w:spacing w:after="0" w:line="177" w:lineRule="exact"/>
        <w:rPr>
          <w:sz w:val="20"/>
          <w:szCs w:val="20"/>
          <w:color w:val="auto"/>
        </w:rPr>
      </w:pPr>
    </w:p>
    <w:p>
      <w:pPr>
        <w:ind w:left="200" w:right="419" w:firstLine="345"/>
        <w:spacing w:after="0" w:line="285" w:lineRule="auto"/>
        <w:rPr>
          <w:sz w:val="20"/>
          <w:szCs w:val="20"/>
          <w:color w:val="auto"/>
        </w:rPr>
      </w:pPr>
      <w:r>
        <w:rPr>
          <w:rFonts w:ascii="Times New Roman" w:cs="Times New Roman" w:eastAsia="Times New Roman" w:hAnsi="Times New Roman"/>
          <w:sz w:val="14"/>
          <w:szCs w:val="14"/>
          <w:color w:val="auto"/>
        </w:rPr>
        <w:t>Control shares do not include shares the acquiring person is entitled to vote with shareholder approval. A “control share acquisition” means the acquisition of control shares, subject to certain exceptions.</w:t>
      </w:r>
    </w:p>
    <w:p>
      <w:pPr>
        <w:spacing w:after="0" w:line="125" w:lineRule="exact"/>
        <w:rPr>
          <w:sz w:val="20"/>
          <w:szCs w:val="20"/>
          <w:color w:val="auto"/>
        </w:rPr>
      </w:pPr>
    </w:p>
    <w:p>
      <w:pPr>
        <w:ind w:left="200" w:right="319" w:firstLine="345"/>
        <w:spacing w:after="0" w:line="268" w:lineRule="auto"/>
        <w:rPr>
          <w:sz w:val="20"/>
          <w:szCs w:val="20"/>
          <w:color w:val="auto"/>
        </w:rPr>
      </w:pPr>
      <w:r>
        <w:rPr>
          <w:rFonts w:ascii="Times New Roman" w:cs="Times New Roman" w:eastAsia="Times New Roman" w:hAnsi="Times New Roman"/>
          <w:sz w:val="14"/>
          <w:szCs w:val="14"/>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37" w:lineRule="exact"/>
        <w:rPr>
          <w:sz w:val="20"/>
          <w:szCs w:val="20"/>
          <w:color w:val="auto"/>
        </w:rPr>
      </w:pPr>
    </w:p>
    <w:p>
      <w:pPr>
        <w:ind w:left="200" w:right="299" w:firstLine="345"/>
        <w:spacing w:after="0" w:line="268" w:lineRule="auto"/>
        <w:rPr>
          <w:sz w:val="20"/>
          <w:szCs w:val="20"/>
          <w:color w:val="auto"/>
        </w:rPr>
      </w:pPr>
      <w:r>
        <w:rPr>
          <w:rFonts w:ascii="Times New Roman" w:cs="Times New Roman" w:eastAsia="Times New Roman" w:hAnsi="Times New Roman"/>
          <w:sz w:val="14"/>
          <w:szCs w:val="14"/>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35" w:lineRule="exact"/>
        <w:rPr>
          <w:sz w:val="20"/>
          <w:szCs w:val="20"/>
          <w:color w:val="auto"/>
        </w:rPr>
      </w:pPr>
    </w:p>
    <w:p>
      <w:pPr>
        <w:jc w:val="both"/>
        <w:ind w:left="200" w:right="31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Duties of Trustees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Under Maryland law, there is a presumption that the act of a trustee satisfies the required standard of care. An act of a trustee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relating to or affecting an acquisition or a potential acquisition of control is not subject under Maryland law to a higher duty or greater scrutiny than is applied to any other act of a trustee.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1" w:right="1440" w:bottom="1440" w:gutter="0" w:footer="0" w:header="0"/>
        </w:sectPr>
      </w:pPr>
    </w:p>
    <w:bookmarkStart w:id="26" w:name="page27"/>
    <w:bookmarkEnd w:id="26"/>
    <w:p>
      <w:pPr>
        <w:ind w:left="200" w:right="21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Number of Trustees. </w:t>
      </w:r>
      <w:r>
        <w:rPr>
          <w:rFonts w:ascii="Times New Roman" w:cs="Times New Roman" w:eastAsia="Times New Roman" w:hAnsi="Times New Roman"/>
          <w:sz w:val="14"/>
          <w:szCs w:val="14"/>
          <w:color w:val="auto"/>
        </w:rPr>
        <w:t>The number of trustees may be increased or decreased pursuant to the bylaws, provided that the total number of trustees may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not be less than five or more than 10. Under Maryland law and our declaration of trust, trustees are elected for one-year terms.</w:t>
      </w:r>
    </w:p>
    <w:p>
      <w:pPr>
        <w:spacing w:after="0" w:line="121" w:lineRule="exact"/>
        <w:rPr>
          <w:sz w:val="20"/>
          <w:szCs w:val="20"/>
          <w:color w:val="auto"/>
        </w:rPr>
      </w:pPr>
    </w:p>
    <w:p>
      <w:pPr>
        <w:jc w:val="both"/>
        <w:ind w:left="200" w:right="25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Removal of Trustees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Under the declaration of trust, and subject to the rights of any holders of preferred shares, our trustees may remove a trustee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cause, as defined in our declaration of trust, by the vote of all the other trustees or the shareholders may remove a trustee, with or without cause, at any meeting of shareholders called for that purpose, either by:</w:t>
      </w:r>
    </w:p>
    <w:p>
      <w:pPr>
        <w:spacing w:after="0" w:line="61" w:lineRule="exact"/>
        <w:rPr>
          <w:sz w:val="20"/>
          <w:szCs w:val="20"/>
          <w:color w:val="auto"/>
        </w:rPr>
      </w:pPr>
    </w:p>
    <w:p>
      <w:pPr>
        <w:ind w:left="960" w:right="439" w:hanging="346"/>
        <w:spacing w:after="0" w:line="285" w:lineRule="auto"/>
        <w:tabs>
          <w:tab w:leader="none" w:pos="9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1" w:lineRule="exact"/>
        <w:rPr>
          <w:rFonts w:ascii="Times New Roman" w:cs="Times New Roman" w:eastAsia="Times New Roman" w:hAnsi="Times New Roman"/>
          <w:sz w:val="14"/>
          <w:szCs w:val="14"/>
          <w:color w:val="auto"/>
        </w:rPr>
      </w:pPr>
    </w:p>
    <w:p>
      <w:pPr>
        <w:ind w:left="960" w:right="359" w:hanging="346"/>
        <w:spacing w:after="0" w:line="285" w:lineRule="auto"/>
        <w:tabs>
          <w:tab w:leader="none" w:pos="9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3" w:lineRule="exact"/>
        <w:rPr>
          <w:sz w:val="20"/>
          <w:szCs w:val="20"/>
          <w:color w:val="auto"/>
        </w:rPr>
      </w:pPr>
    </w:p>
    <w:p>
      <w:pPr>
        <w:ind w:left="200" w:right="19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Vacancies on the Board of Trustees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bylaws provide that, subject to the rights of any holders of preferred shares, any vacancy on the Board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7" w:lineRule="exact"/>
        <w:rPr>
          <w:sz w:val="20"/>
          <w:szCs w:val="20"/>
          <w:color w:val="auto"/>
        </w:rPr>
      </w:pPr>
    </w:p>
    <w:p>
      <w:pPr>
        <w:ind w:left="200" w:right="43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Meetings of Shareholders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bylaws provide for an annual meeting of shareholders, to be held in May after delivery of the annual report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39" w:lineRule="exact"/>
        <w:rPr>
          <w:sz w:val="20"/>
          <w:szCs w:val="20"/>
          <w:color w:val="auto"/>
        </w:rPr>
      </w:pPr>
    </w:p>
    <w:p>
      <w:pPr>
        <w:ind w:left="200" w:right="279" w:firstLine="345"/>
        <w:spacing w:after="0" w:line="268" w:lineRule="auto"/>
        <w:rPr>
          <w:sz w:val="20"/>
          <w:szCs w:val="20"/>
          <w:color w:val="auto"/>
        </w:rPr>
      </w:pPr>
      <w:r>
        <w:rPr>
          <w:rFonts w:ascii="Times New Roman" w:cs="Times New Roman" w:eastAsia="Times New Roman" w:hAnsi="Times New Roman"/>
          <w:sz w:val="14"/>
          <w:szCs w:val="14"/>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35" w:lineRule="exact"/>
        <w:rPr>
          <w:sz w:val="20"/>
          <w:szCs w:val="20"/>
          <w:color w:val="auto"/>
        </w:rPr>
      </w:pPr>
    </w:p>
    <w:p>
      <w:pPr>
        <w:ind w:left="200" w:right="219" w:firstLine="345"/>
        <w:spacing w:after="0" w:line="219" w:lineRule="auto"/>
        <w:rPr>
          <w:sz w:val="20"/>
          <w:szCs w:val="20"/>
          <w:color w:val="auto"/>
        </w:rPr>
      </w:pPr>
      <w:r>
        <w:rPr>
          <w:rFonts w:ascii="Times New Roman" w:cs="Times New Roman" w:eastAsia="Times New Roman" w:hAnsi="Times New Roman"/>
          <w:sz w:val="14"/>
          <w:szCs w:val="14"/>
          <w:b w:val="1"/>
          <w:bCs w:val="1"/>
          <w:i w:val="1"/>
          <w:iCs w:val="1"/>
          <w:color w:val="auto"/>
        </w:rPr>
        <w:t>Advance Notice for Shareholder Nominations and Shareholder New Business Proposals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bylaws require advance written notice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and not earlier than the 150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calendar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58" w:lineRule="exact"/>
        <w:rPr>
          <w:sz w:val="20"/>
          <w:szCs w:val="20"/>
          <w:color w:val="auto"/>
        </w:rPr>
      </w:pPr>
    </w:p>
    <w:p>
      <w:pPr>
        <w:ind w:left="200" w:right="279" w:firstLine="345"/>
        <w:spacing w:after="0" w:line="219" w:lineRule="auto"/>
        <w:rPr>
          <w:sz w:val="20"/>
          <w:szCs w:val="20"/>
          <w:color w:val="auto"/>
        </w:rPr>
      </w:pPr>
      <w:r>
        <w:rPr>
          <w:rFonts w:ascii="Times New Roman" w:cs="Times New Roman" w:eastAsia="Times New Roman" w:hAnsi="Times New Roman"/>
          <w:sz w:val="14"/>
          <w:szCs w:val="14"/>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prior to the special meeting and not later than the close of business on the later of the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prior to the special meeting or the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56" w:lineRule="exact"/>
        <w:rPr>
          <w:sz w:val="20"/>
          <w:szCs w:val="20"/>
          <w:color w:val="auto"/>
        </w:rPr>
      </w:pPr>
    </w:p>
    <w:p>
      <w:pPr>
        <w:ind w:left="200" w:right="219" w:firstLine="345"/>
        <w:spacing w:after="0" w:line="260" w:lineRule="auto"/>
        <w:rPr>
          <w:sz w:val="20"/>
          <w:szCs w:val="20"/>
          <w:color w:val="auto"/>
        </w:rPr>
      </w:pPr>
      <w:r>
        <w:rPr>
          <w:rFonts w:ascii="Times New Roman" w:cs="Times New Roman" w:eastAsia="Times New Roman" w:hAnsi="Times New Roman"/>
          <w:sz w:val="14"/>
          <w:szCs w:val="14"/>
          <w:color w:val="auto"/>
        </w:rPr>
        <w:t>Our bylaws provide that we will include in our proxy statement for any annual meeting individuals nominated to stand for election to our Board of Trustees by any shareholder or group of up to 20 shareholders who have owned at least three percent of our outstanding common shares of beneficial interest for at least three years. The number of potential nominees shareholders can submit for any annual meeting is limited to the greater of two nominees or 20% of the total number of trustees on the board. Proxy access is subject to procedural and other conditions and requirements as described more fully in our bylaws.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27" w:name="page28"/>
    <w:bookmarkEnd w:id="27"/>
    <w:p>
      <w:pPr>
        <w:jc w:val="both"/>
        <w:ind w:left="200" w:right="299" w:firstLine="345"/>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35" w:lineRule="exact"/>
        <w:rPr>
          <w:sz w:val="20"/>
          <w:szCs w:val="20"/>
          <w:color w:val="auto"/>
        </w:rPr>
      </w:pPr>
    </w:p>
    <w:p>
      <w:pPr>
        <w:ind w:left="200" w:right="19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Shareholder Liability and Indemnification. </w:t>
      </w:r>
      <w:r>
        <w:rPr>
          <w:rFonts w:ascii="Times New Roman" w:cs="Times New Roman" w:eastAsia="Times New Roman" w:hAnsi="Times New Roman"/>
          <w:sz w:val="14"/>
          <w:szCs w:val="14"/>
          <w:color w:val="auto"/>
        </w:rPr>
        <w:t>Under Maryland law, you will not be personally liable for any obligation of ours solely because you</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39" w:lineRule="exact"/>
        <w:rPr>
          <w:sz w:val="20"/>
          <w:szCs w:val="20"/>
          <w:color w:val="auto"/>
        </w:rPr>
      </w:pPr>
    </w:p>
    <w:p>
      <w:pPr>
        <w:ind w:left="200" w:right="399" w:firstLine="345"/>
        <w:spacing w:after="0" w:line="263" w:lineRule="auto"/>
        <w:rPr>
          <w:sz w:val="20"/>
          <w:szCs w:val="20"/>
          <w:color w:val="auto"/>
        </w:rPr>
      </w:pPr>
      <w:r>
        <w:rPr>
          <w:rFonts w:ascii="Times New Roman" w:cs="Times New Roman" w:eastAsia="Times New Roman" w:hAnsi="Times New Roman"/>
          <w:sz w:val="14"/>
          <w:szCs w:val="14"/>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38" w:lineRule="exact"/>
        <w:rPr>
          <w:sz w:val="20"/>
          <w:szCs w:val="20"/>
          <w:color w:val="auto"/>
        </w:rPr>
      </w:pPr>
    </w:p>
    <w:p>
      <w:pPr>
        <w:ind w:left="200" w:right="27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Limitation of Liability of Trustees and Officers. Our declaration of trust, to the maximum extent permitted under Maryland law in effect from 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65" w:lineRule="exact"/>
        <w:rPr>
          <w:sz w:val="20"/>
          <w:szCs w:val="20"/>
          <w:color w:val="auto"/>
        </w:rPr>
      </w:pPr>
    </w:p>
    <w:p>
      <w:pPr>
        <w:ind w:left="960" w:hanging="346"/>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proved that the trustee or officer actually received an improper benefit or profit in money, property or services; or</w:t>
      </w:r>
    </w:p>
    <w:p>
      <w:pPr>
        <w:spacing w:after="0" w:line="103" w:lineRule="exact"/>
        <w:rPr>
          <w:rFonts w:ascii="Times New Roman" w:cs="Times New Roman" w:eastAsia="Times New Roman" w:hAnsi="Times New Roman"/>
          <w:sz w:val="14"/>
          <w:szCs w:val="14"/>
          <w:color w:val="auto"/>
        </w:rPr>
      </w:pPr>
    </w:p>
    <w:p>
      <w:pPr>
        <w:ind w:left="960" w:right="219" w:hanging="346"/>
        <w:spacing w:after="0" w:line="285" w:lineRule="auto"/>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25" w:lineRule="exact"/>
        <w:rPr>
          <w:sz w:val="20"/>
          <w:szCs w:val="20"/>
          <w:color w:val="auto"/>
        </w:rPr>
      </w:pPr>
    </w:p>
    <w:p>
      <w:pPr>
        <w:ind w:left="200" w:right="439" w:firstLine="345"/>
        <w:spacing w:after="0" w:line="268" w:lineRule="auto"/>
        <w:rPr>
          <w:sz w:val="20"/>
          <w:szCs w:val="20"/>
          <w:color w:val="auto"/>
        </w:rPr>
      </w:pPr>
      <w:r>
        <w:rPr>
          <w:rFonts w:ascii="Times New Roman" w:cs="Times New Roman" w:eastAsia="Times New Roman" w:hAnsi="Times New Roman"/>
          <w:sz w:val="14"/>
          <w:szCs w:val="14"/>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35" w:lineRule="exact"/>
        <w:rPr>
          <w:sz w:val="20"/>
          <w:szCs w:val="20"/>
          <w:color w:val="auto"/>
        </w:rPr>
      </w:pPr>
    </w:p>
    <w:p>
      <w:pPr>
        <w:jc w:val="both"/>
        <w:ind w:left="200" w:right="499" w:firstLine="345"/>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Indemnification of Directors and Officers. </w:t>
      </w:r>
      <w:r>
        <w:rPr>
          <w:rFonts w:ascii="Times New Roman" w:cs="Times New Roman" w:eastAsia="Times New Roman" w:hAnsi="Times New Roman"/>
          <w:sz w:val="14"/>
          <w:szCs w:val="14"/>
          <w:color w:val="auto"/>
        </w:rPr>
        <w:t>Our declaration of trust permits us to indemnify and advance expenses to, to the maximum extent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1" w:lineRule="exact"/>
        <w:rPr>
          <w:sz w:val="20"/>
          <w:szCs w:val="20"/>
          <w:color w:val="auto"/>
        </w:rPr>
      </w:pPr>
    </w:p>
    <w:p>
      <w:pPr>
        <w:ind w:left="200" w:right="239" w:firstLine="345"/>
        <w:spacing w:after="0" w:line="254" w:lineRule="auto"/>
        <w:rPr>
          <w:sz w:val="20"/>
          <w:szCs w:val="20"/>
          <w:color w:val="auto"/>
        </w:rPr>
      </w:pPr>
      <w:r>
        <w:rPr>
          <w:rFonts w:ascii="Times New Roman" w:cs="Times New Roman" w:eastAsia="Times New Roman" w:hAnsi="Times New Roman"/>
          <w:sz w:val="14"/>
          <w:szCs w:val="14"/>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1" w:right="1440"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DESCRIPTION OF DEBT SECURITIES THAT MAY BE OFFERED BY FEDERAL REALTY OP LP</w:t>
      </w:r>
    </w:p>
    <w:p>
      <w:pPr>
        <w:spacing w:after="0" w:line="177" w:lineRule="exact"/>
        <w:rPr>
          <w:sz w:val="20"/>
          <w:szCs w:val="20"/>
          <w:color w:val="auto"/>
        </w:rPr>
      </w:pPr>
    </w:p>
    <w:p>
      <w:pPr>
        <w:ind w:left="200" w:right="639" w:firstLine="345"/>
        <w:spacing w:after="0" w:line="288" w:lineRule="auto"/>
        <w:rPr>
          <w:sz w:val="20"/>
          <w:szCs w:val="20"/>
          <w:color w:val="auto"/>
        </w:rPr>
      </w:pPr>
      <w:r>
        <w:rPr>
          <w:rFonts w:ascii="Times New Roman" w:cs="Times New Roman" w:eastAsia="Times New Roman" w:hAnsi="Times New Roman"/>
          <w:sz w:val="14"/>
          <w:szCs w:val="14"/>
          <w:i w:val="1"/>
          <w:iCs w:val="1"/>
          <w:color w:val="auto"/>
        </w:rPr>
        <w:t>References in this section to “we,” “us,” “our” and “ours” refer only to Federal Realty OP LP and not to the Company unless the context requires otherwise.</w:t>
      </w:r>
    </w:p>
    <w:p>
      <w:pPr>
        <w:spacing w:after="0" w:line="123" w:lineRule="exact"/>
        <w:rPr>
          <w:sz w:val="20"/>
          <w:szCs w:val="20"/>
          <w:color w:val="auto"/>
        </w:rPr>
      </w:pPr>
    </w:p>
    <w:p>
      <w:pPr>
        <w:ind w:left="200" w:right="219" w:firstLine="345"/>
        <w:spacing w:after="0" w:line="260" w:lineRule="auto"/>
        <w:rPr>
          <w:sz w:val="20"/>
          <w:szCs w:val="20"/>
          <w:color w:val="auto"/>
        </w:rPr>
      </w:pPr>
      <w:r>
        <w:rPr>
          <w:rFonts w:ascii="Times New Roman" w:cs="Times New Roman" w:eastAsia="Times New Roman" w:hAnsi="Times New Roman"/>
          <w:sz w:val="14"/>
          <w:szCs w:val="14"/>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General Terms of Debt Securities</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Unless we say otherwise in a prospectus supplement, debt securities we offer through this prospectus:</w:t>
      </w:r>
    </w:p>
    <w:p>
      <w:pPr>
        <w:spacing w:after="0" w:line="103" w:lineRule="exact"/>
        <w:rPr>
          <w:sz w:val="20"/>
          <w:szCs w:val="20"/>
          <w:color w:val="auto"/>
        </w:rPr>
      </w:pPr>
    </w:p>
    <w:p>
      <w:pPr>
        <w:ind w:left="960" w:hanging="346"/>
        <w:spacing w:after="0"/>
        <w:tabs>
          <w:tab w:leader="none" w:pos="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our general, direct and unsecured obligations;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be either senior debt securities or subordinated debt securities.</w:t>
      </w:r>
    </w:p>
    <w:p>
      <w:pPr>
        <w:spacing w:after="0" w:line="177" w:lineRule="exact"/>
        <w:rPr>
          <w:sz w:val="20"/>
          <w:szCs w:val="20"/>
          <w:color w:val="auto"/>
        </w:rPr>
      </w:pPr>
    </w:p>
    <w:p>
      <w:pPr>
        <w:ind w:left="200" w:right="619" w:firstLine="345"/>
        <w:spacing w:after="0" w:line="285" w:lineRule="auto"/>
        <w:rPr>
          <w:sz w:val="20"/>
          <w:szCs w:val="20"/>
          <w:color w:val="auto"/>
        </w:rPr>
      </w:pPr>
      <w:r>
        <w:rPr>
          <w:rFonts w:ascii="Times New Roman" w:cs="Times New Roman" w:eastAsia="Times New Roman" w:hAnsi="Times New Roman"/>
          <w:sz w:val="14"/>
          <w:szCs w:val="14"/>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25" w:lineRule="exact"/>
        <w:rPr>
          <w:sz w:val="20"/>
          <w:szCs w:val="20"/>
          <w:color w:val="auto"/>
        </w:rPr>
      </w:pPr>
    </w:p>
    <w:p>
      <w:pPr>
        <w:ind w:left="200" w:right="319" w:firstLine="345"/>
        <w:spacing w:after="0" w:line="285" w:lineRule="auto"/>
        <w:rPr>
          <w:sz w:val="20"/>
          <w:szCs w:val="20"/>
          <w:color w:val="auto"/>
        </w:rPr>
      </w:pPr>
      <w:r>
        <w:rPr>
          <w:rFonts w:ascii="Times New Roman" w:cs="Times New Roman" w:eastAsia="Times New Roman" w:hAnsi="Times New Roman"/>
          <w:sz w:val="14"/>
          <w:szCs w:val="14"/>
          <w:color w:val="auto"/>
        </w:rPr>
        <w:t>We may incur additional debt, subject to limitations in the agreements governing our credit and other debt facilities and other notes we may have issued.</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Unless we say otherwise in a prospectus supplement:</w:t>
      </w:r>
    </w:p>
    <w:p>
      <w:pPr>
        <w:spacing w:after="0" w:line="103" w:lineRule="exact"/>
        <w:rPr>
          <w:sz w:val="20"/>
          <w:szCs w:val="20"/>
          <w:color w:val="auto"/>
        </w:rPr>
      </w:pPr>
    </w:p>
    <w:p>
      <w:pPr>
        <w:ind w:left="960" w:hanging="346"/>
        <w:spacing w:after="0"/>
        <w:tabs>
          <w:tab w:leader="none" w:pos="9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we offer through this prospectus will not limit the amount of other debt that we may incur;</w:t>
      </w:r>
    </w:p>
    <w:p>
      <w:pPr>
        <w:spacing w:after="0" w:line="103" w:lineRule="exact"/>
        <w:rPr>
          <w:rFonts w:ascii="Times New Roman" w:cs="Times New Roman" w:eastAsia="Times New Roman" w:hAnsi="Times New Roman"/>
          <w:sz w:val="14"/>
          <w:szCs w:val="14"/>
          <w:color w:val="auto"/>
        </w:rPr>
      </w:pPr>
    </w:p>
    <w:p>
      <w:pPr>
        <w:ind w:left="960" w:right="219" w:hanging="346"/>
        <w:spacing w:after="0" w:line="285" w:lineRule="auto"/>
        <w:tabs>
          <w:tab w:leader="none" w:pos="9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list the debt securities on any securities exchange.</w:t>
      </w: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The Indentures</w:t>
      </w:r>
    </w:p>
    <w:p>
      <w:pPr>
        <w:spacing w:after="0" w:line="95" w:lineRule="exact"/>
        <w:rPr>
          <w:sz w:val="20"/>
          <w:szCs w:val="20"/>
          <w:color w:val="auto"/>
        </w:rPr>
      </w:pPr>
    </w:p>
    <w:p>
      <w:pPr>
        <w:ind w:left="200" w:right="239" w:firstLine="345"/>
        <w:spacing w:after="0" w:line="258" w:lineRule="auto"/>
        <w:rPr>
          <w:sz w:val="20"/>
          <w:szCs w:val="20"/>
          <w:color w:val="auto"/>
        </w:rPr>
      </w:pPr>
      <w:r>
        <w:rPr>
          <w:rFonts w:ascii="Times New Roman" w:cs="Times New Roman" w:eastAsia="Times New Roman" w:hAnsi="Times New Roman"/>
          <w:sz w:val="14"/>
          <w:szCs w:val="14"/>
          <w:color w:val="auto"/>
        </w:rPr>
        <w:t>Any debt securities we offer through this prospectus will be issued under one or more indentures, including the senior indenture between us and U.S. Bank Trust Company,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46" w:lineRule="exact"/>
        <w:rPr>
          <w:sz w:val="20"/>
          <w:szCs w:val="20"/>
          <w:color w:val="auto"/>
        </w:rPr>
      </w:pPr>
    </w:p>
    <w:p>
      <w:pPr>
        <w:ind w:left="200" w:right="359" w:firstLine="345"/>
        <w:spacing w:after="0" w:line="258" w:lineRule="auto"/>
        <w:rPr>
          <w:sz w:val="20"/>
          <w:szCs w:val="20"/>
          <w:color w:val="auto"/>
        </w:rPr>
      </w:pPr>
      <w:r>
        <w:rPr>
          <w:rFonts w:ascii="Times New Roman" w:cs="Times New Roman" w:eastAsia="Times New Roman" w:hAnsi="Times New Roman"/>
          <w:sz w:val="14"/>
          <w:szCs w:val="14"/>
          <w:color w:val="auto"/>
        </w:rPr>
        <w:t>Unless we say otherwise in a prospectus supplement, each indenture does not or will not include all the terms of debt securities we may issue through this prospectus. If we issue debt securities through this prospectus, the Board of Trustees of the Company, or any committee thereof, will establish the additional terms for each class or series of debt securities. The additional terms will be either established pursuant to, and set forth in, a supplemental indenture, or established pursuant to a resolution of the Board of Trustees of the Company,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29" w:name="page30"/>
    <w:bookmarkEnd w:id="29"/>
    <w:p>
      <w:pPr>
        <w:ind w:left="200" w:right="319" w:firstLine="345"/>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Additional Terms of Debt Securities</w:t>
      </w:r>
    </w:p>
    <w:p>
      <w:pPr>
        <w:spacing w:after="0" w:line="95" w:lineRule="exact"/>
        <w:rPr>
          <w:sz w:val="20"/>
          <w:szCs w:val="20"/>
          <w:color w:val="auto"/>
        </w:rPr>
      </w:pPr>
    </w:p>
    <w:p>
      <w:pPr>
        <w:ind w:left="200" w:right="259" w:firstLine="345"/>
        <w:spacing w:after="0" w:line="263" w:lineRule="auto"/>
        <w:rPr>
          <w:sz w:val="20"/>
          <w:szCs w:val="20"/>
          <w:color w:val="auto"/>
        </w:rPr>
      </w:pPr>
      <w:r>
        <w:rPr>
          <w:rFonts w:ascii="Times New Roman" w:cs="Times New Roman" w:eastAsia="Times New Roman" w:hAnsi="Times New Roman"/>
          <w:sz w:val="14"/>
          <w:szCs w:val="14"/>
          <w:color w:val="auto"/>
        </w:rPr>
        <w:t>As described above, the terms of a particular class or series of debt securities we offer through this prospectus will be established by the Board of Trustees of the Company, or any committee thereof, when we issue the class or series. We will describe the terms of the class or series in a prospectus supplement. Unless we say otherwise in a prospectus supplement, each indenture provides or will provide that the terms that may be established include the following:</w:t>
      </w:r>
    </w:p>
    <w:p>
      <w:pPr>
        <w:spacing w:after="0" w:line="64" w:lineRule="exact"/>
        <w:rPr>
          <w:sz w:val="20"/>
          <w:szCs w:val="20"/>
          <w:color w:val="auto"/>
        </w:rPr>
      </w:pPr>
    </w:p>
    <w:p>
      <w:pPr>
        <w:ind w:left="960" w:hanging="346"/>
        <w:spacing w:after="0"/>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Title. </w:t>
      </w:r>
      <w:r>
        <w:rPr>
          <w:rFonts w:ascii="Times New Roman" w:cs="Times New Roman" w:eastAsia="Times New Roman" w:hAnsi="Times New Roman"/>
          <w:sz w:val="14"/>
          <w:szCs w:val="14"/>
          <w:color w:val="auto"/>
        </w:rPr>
        <w:t>The title of the debt securities offered.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Amount. </w:t>
      </w:r>
      <w:r>
        <w:rPr>
          <w:rFonts w:ascii="Times New Roman" w:cs="Times New Roman" w:eastAsia="Times New Roman" w:hAnsi="Times New Roman"/>
          <w:sz w:val="14"/>
          <w:szCs w:val="14"/>
          <w:color w:val="auto"/>
        </w:rPr>
        <w:t>Any limit upon the total principal amount of the class or series of debt securities offered.</w:t>
      </w:r>
    </w:p>
    <w:p>
      <w:pPr>
        <w:spacing w:after="0" w:line="103" w:lineRule="exact"/>
        <w:rPr>
          <w:rFonts w:ascii="Times New Roman" w:cs="Times New Roman" w:eastAsia="Times New Roman" w:hAnsi="Times New Roman"/>
          <w:sz w:val="14"/>
          <w:szCs w:val="14"/>
          <w:color w:val="auto"/>
        </w:rPr>
      </w:pPr>
    </w:p>
    <w:p>
      <w:pPr>
        <w:ind w:left="960" w:right="559" w:hanging="346"/>
        <w:spacing w:after="0" w:line="288" w:lineRule="auto"/>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Maturity. </w:t>
      </w:r>
      <w:r>
        <w:rPr>
          <w:rFonts w:ascii="Times New Roman" w:cs="Times New Roman" w:eastAsia="Times New Roman" w:hAnsi="Times New Roman"/>
          <w:sz w:val="14"/>
          <w:szCs w:val="14"/>
          <w:color w:val="auto"/>
        </w:rPr>
        <w:t>The date or dates on which the principal of and premium, if any, on the offered debt securities will mature or the method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determining such date or dates.</w:t>
      </w:r>
    </w:p>
    <w:p>
      <w:pPr>
        <w:spacing w:after="0" w:line="47" w:lineRule="exact"/>
        <w:rPr>
          <w:rFonts w:ascii="Times New Roman" w:cs="Times New Roman" w:eastAsia="Times New Roman" w:hAnsi="Times New Roman"/>
          <w:sz w:val="14"/>
          <w:szCs w:val="14"/>
          <w:color w:val="auto"/>
        </w:rPr>
      </w:pPr>
    </w:p>
    <w:p>
      <w:pPr>
        <w:ind w:left="960" w:right="219" w:hanging="346"/>
        <w:spacing w:after="0" w:line="288" w:lineRule="auto"/>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Interest Rate. </w:t>
      </w:r>
      <w:r>
        <w:rPr>
          <w:rFonts w:ascii="Times New Roman" w:cs="Times New Roman" w:eastAsia="Times New Roman" w:hAnsi="Times New Roman"/>
          <w:sz w:val="14"/>
          <w:szCs w:val="14"/>
          <w:color w:val="auto"/>
        </w:rPr>
        <w:t>The rate or rates (which may be fixed or variable) at which the offered debt securities will bear interest, if any, or the method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calculating such rate or rates.</w:t>
      </w:r>
    </w:p>
    <w:p>
      <w:pPr>
        <w:spacing w:after="0" w:line="47"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Interest Accrual. </w:t>
      </w:r>
      <w:r>
        <w:rPr>
          <w:rFonts w:ascii="Times New Roman" w:cs="Times New Roman" w:eastAsia="Times New Roman" w:hAnsi="Times New Roman"/>
          <w:sz w:val="14"/>
          <w:szCs w:val="14"/>
          <w:color w:val="auto"/>
        </w:rPr>
        <w:t>The date or dates from which interest will accrue or the method by which such date or dates will be determined.</w:t>
      </w:r>
    </w:p>
    <w:p>
      <w:pPr>
        <w:spacing w:after="0" w:line="103" w:lineRule="exact"/>
        <w:rPr>
          <w:rFonts w:ascii="Times New Roman" w:cs="Times New Roman" w:eastAsia="Times New Roman" w:hAnsi="Times New Roman"/>
          <w:sz w:val="14"/>
          <w:szCs w:val="14"/>
          <w:color w:val="auto"/>
        </w:rPr>
      </w:pPr>
    </w:p>
    <w:p>
      <w:pPr>
        <w:ind w:left="960" w:right="239" w:hanging="346"/>
        <w:spacing w:after="0" w:line="288" w:lineRule="auto"/>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Interest Payment Dates. </w:t>
      </w:r>
      <w:r>
        <w:rPr>
          <w:rFonts w:ascii="Times New Roman" w:cs="Times New Roman" w:eastAsia="Times New Roman" w:hAnsi="Times New Roman"/>
          <w:sz w:val="14"/>
          <w:szCs w:val="14"/>
          <w:color w:val="auto"/>
        </w:rPr>
        <w:t>The date or dates on which interest will be payable and the record date or dates to determine the persons who will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receive payment, and the basis upon which interest shall be calculated if other than that of a 360-day year of twelve 30-day months.</w:t>
      </w:r>
    </w:p>
    <w:p>
      <w:pPr>
        <w:spacing w:after="0" w:line="47" w:lineRule="exact"/>
        <w:rPr>
          <w:rFonts w:ascii="Times New Roman" w:cs="Times New Roman" w:eastAsia="Times New Roman" w:hAnsi="Times New Roman"/>
          <w:sz w:val="14"/>
          <w:szCs w:val="14"/>
          <w:color w:val="auto"/>
        </w:rPr>
      </w:pPr>
    </w:p>
    <w:p>
      <w:pPr>
        <w:ind w:left="960" w:right="239" w:hanging="346"/>
        <w:spacing w:after="0" w:line="288" w:lineRule="auto"/>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Place of Payment. </w:t>
      </w:r>
      <w:r>
        <w:rPr>
          <w:rFonts w:ascii="Times New Roman" w:cs="Times New Roman" w:eastAsia="Times New Roman" w:hAnsi="Times New Roman"/>
          <w:sz w:val="14"/>
          <w:szCs w:val="14"/>
          <w:color w:val="auto"/>
        </w:rPr>
        <w:t>The place or places where principal of, premium, if any, and interest, on the offered debt securities will be payable or 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which the offered debt securities may be surrendered for registration of transfer or exchange.</w:t>
      </w:r>
    </w:p>
    <w:p>
      <w:pPr>
        <w:spacing w:after="0" w:line="47" w:lineRule="exact"/>
        <w:rPr>
          <w:rFonts w:ascii="Times New Roman" w:cs="Times New Roman" w:eastAsia="Times New Roman" w:hAnsi="Times New Roman"/>
          <w:sz w:val="14"/>
          <w:szCs w:val="14"/>
          <w:color w:val="auto"/>
        </w:rPr>
      </w:pPr>
    </w:p>
    <w:p>
      <w:pPr>
        <w:ind w:left="960" w:right="419" w:hanging="346"/>
        <w:spacing w:after="0" w:line="270" w:lineRule="auto"/>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Optional Redemption. </w:t>
      </w:r>
      <w:r>
        <w:rPr>
          <w:rFonts w:ascii="Times New Roman" w:cs="Times New Roman" w:eastAsia="Times New Roman" w:hAnsi="Times New Roman"/>
          <w:sz w:val="14"/>
          <w:szCs w:val="14"/>
          <w:color w:val="auto"/>
        </w:rPr>
        <w:t>The period or periods within which, the price or prices at which, the currency or currencies (if other than in 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dollars), including currency unit or units, in which, and the other terms and conditions upon which, the offered debt securities may be redeemed, in whole or in part, at our option, if we have that option.</w:t>
      </w:r>
    </w:p>
    <w:p>
      <w:pPr>
        <w:spacing w:after="0" w:line="59" w:lineRule="exact"/>
        <w:rPr>
          <w:rFonts w:ascii="Times New Roman" w:cs="Times New Roman" w:eastAsia="Times New Roman" w:hAnsi="Times New Roman"/>
          <w:sz w:val="14"/>
          <w:szCs w:val="14"/>
          <w:color w:val="auto"/>
        </w:rPr>
      </w:pPr>
    </w:p>
    <w:p>
      <w:pPr>
        <w:ind w:left="960" w:right="319" w:hanging="346"/>
        <w:spacing w:after="0" w:line="264" w:lineRule="auto"/>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Mandatory Redemption. </w:t>
      </w:r>
      <w:r>
        <w:rPr>
          <w:rFonts w:ascii="Times New Roman" w:cs="Times New Roman" w:eastAsia="Times New Roman" w:hAnsi="Times New Roman"/>
          <w:sz w:val="14"/>
          <w:szCs w:val="14"/>
          <w:color w:val="auto"/>
        </w:rPr>
        <w:t>The obligation, if any, we have to redeem or repurchase the offered debt securities pursuant to any sinking fund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6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Denominations. </w:t>
      </w:r>
      <w:r>
        <w:rPr>
          <w:rFonts w:ascii="Times New Roman" w:cs="Times New Roman" w:eastAsia="Times New Roman" w:hAnsi="Times New Roman"/>
          <w:sz w:val="14"/>
          <w:szCs w:val="14"/>
          <w:color w:val="auto"/>
        </w:rPr>
        <w:t>The denominations in which the offered debt securities are authorized to be issued.</w:t>
      </w:r>
    </w:p>
    <w:p>
      <w:pPr>
        <w:spacing w:after="0" w:line="103" w:lineRule="exact"/>
        <w:rPr>
          <w:rFonts w:ascii="Times New Roman" w:cs="Times New Roman" w:eastAsia="Times New Roman" w:hAnsi="Times New Roman"/>
          <w:sz w:val="14"/>
          <w:szCs w:val="14"/>
          <w:color w:val="auto"/>
        </w:rPr>
      </w:pPr>
    </w:p>
    <w:p>
      <w:pPr>
        <w:ind w:left="960" w:right="359" w:hanging="346"/>
        <w:spacing w:after="0" w:line="264" w:lineRule="auto"/>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Currency. </w:t>
      </w:r>
      <w:r>
        <w:rPr>
          <w:rFonts w:ascii="Times New Roman" w:cs="Times New Roman" w:eastAsia="Times New Roman" w:hAnsi="Times New Roman"/>
          <w:sz w:val="14"/>
          <w:szCs w:val="14"/>
          <w:color w:val="auto"/>
        </w:rPr>
        <w:t>The currency or currency unit in which the offered debt securities may be denominated and/or the currency or currencies,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3" w:lineRule="exact"/>
        <w:rPr>
          <w:rFonts w:ascii="Times New Roman" w:cs="Times New Roman" w:eastAsia="Times New Roman" w:hAnsi="Times New Roman"/>
          <w:sz w:val="14"/>
          <w:szCs w:val="14"/>
          <w:color w:val="auto"/>
        </w:rPr>
      </w:pPr>
    </w:p>
    <w:p>
      <w:pPr>
        <w:ind w:left="960" w:right="499" w:hanging="346"/>
        <w:spacing w:after="0" w:line="288" w:lineRule="auto"/>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Indexed Principal. </w:t>
      </w:r>
      <w:r>
        <w:rPr>
          <w:rFonts w:ascii="Times New Roman" w:cs="Times New Roman" w:eastAsia="Times New Roman" w:hAnsi="Times New Roman"/>
          <w:sz w:val="14"/>
          <w:szCs w:val="14"/>
          <w:color w:val="auto"/>
        </w:rPr>
        <w:t>If the amount of principal of, or premium, if any, or interest on, the offered debt securities may be determined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reference to an index or pursuant to a formula or other method, the manner in which such amounts will be determined.</w:t>
      </w:r>
    </w:p>
    <w:p>
      <w:pPr>
        <w:spacing w:after="0" w:line="47" w:lineRule="exact"/>
        <w:rPr>
          <w:rFonts w:ascii="Times New Roman" w:cs="Times New Roman" w:eastAsia="Times New Roman" w:hAnsi="Times New Roman"/>
          <w:sz w:val="14"/>
          <w:szCs w:val="14"/>
          <w:color w:val="auto"/>
        </w:rPr>
      </w:pPr>
    </w:p>
    <w:p>
      <w:pPr>
        <w:ind w:left="960" w:right="239" w:hanging="346"/>
        <w:spacing w:after="0" w:line="288" w:lineRule="auto"/>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Payment on Acceleration. </w:t>
      </w:r>
      <w:r>
        <w:rPr>
          <w:rFonts w:ascii="Times New Roman" w:cs="Times New Roman" w:eastAsia="Times New Roman" w:hAnsi="Times New Roman"/>
          <w:sz w:val="14"/>
          <w:szCs w:val="14"/>
          <w:color w:val="auto"/>
        </w:rPr>
        <w:t>If other than the principal amount, the amount which will be payable upon declaration of the acceleration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maturity or the method by which such portion shall be determined.</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1" w:right="1440" w:bottom="1440" w:gutter="0" w:footer="0" w:header="0"/>
        </w:sectPr>
      </w:pPr>
    </w:p>
    <w:bookmarkStart w:id="30" w:name="page31"/>
    <w:bookmarkEnd w:id="30"/>
    <w:p>
      <w:pPr>
        <w:ind w:left="960" w:hanging="346"/>
        <w:spacing w:after="0"/>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Special Rights. </w:t>
      </w:r>
      <w:r>
        <w:rPr>
          <w:rFonts w:ascii="Times New Roman" w:cs="Times New Roman" w:eastAsia="Times New Roman" w:hAnsi="Times New Roman"/>
          <w:sz w:val="14"/>
          <w:szCs w:val="14"/>
          <w:color w:val="auto"/>
        </w:rPr>
        <w:t>Provisions, if any, granting special rights to the holders of the offered debt securities if certain specified events occur.</w:t>
      </w:r>
    </w:p>
    <w:p>
      <w:pPr>
        <w:spacing w:after="0" w:line="103" w:lineRule="exact"/>
        <w:rPr>
          <w:rFonts w:ascii="Times New Roman" w:cs="Times New Roman" w:eastAsia="Times New Roman" w:hAnsi="Times New Roman"/>
          <w:sz w:val="14"/>
          <w:szCs w:val="14"/>
          <w:color w:val="auto"/>
        </w:rPr>
      </w:pPr>
    </w:p>
    <w:p>
      <w:pPr>
        <w:ind w:left="960" w:right="319" w:hanging="346"/>
        <w:spacing w:after="0" w:line="288"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Modifications to Indentures. </w:t>
      </w:r>
      <w:r>
        <w:rPr>
          <w:rFonts w:ascii="Times New Roman" w:cs="Times New Roman" w:eastAsia="Times New Roman" w:hAnsi="Times New Roman"/>
          <w:sz w:val="14"/>
          <w:szCs w:val="14"/>
          <w:color w:val="auto"/>
        </w:rPr>
        <w:t>Any addition to, or modification or deletion of, any event of default or any of the covenants specified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indenture with respect to the offered debt securities.</w:t>
      </w:r>
    </w:p>
    <w:p>
      <w:pPr>
        <w:spacing w:after="0" w:line="47" w:lineRule="exact"/>
        <w:rPr>
          <w:rFonts w:ascii="Times New Roman" w:cs="Times New Roman" w:eastAsia="Times New Roman" w:hAnsi="Times New Roman"/>
          <w:sz w:val="14"/>
          <w:szCs w:val="14"/>
          <w:color w:val="auto"/>
        </w:rPr>
      </w:pPr>
    </w:p>
    <w:p>
      <w:pPr>
        <w:ind w:left="960" w:right="1379" w:hanging="346"/>
        <w:spacing w:after="0" w:line="288"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Tax “Gross-Up.” </w:t>
      </w:r>
      <w:r>
        <w:rPr>
          <w:rFonts w:ascii="Times New Roman" w:cs="Times New Roman" w:eastAsia="Times New Roman" w:hAnsi="Times New Roman"/>
          <w:sz w:val="14"/>
          <w:szCs w:val="14"/>
          <w:color w:val="auto"/>
        </w:rPr>
        <w:t>The circumstances, if any, under which we will pay additional amounts on the offered debt securities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held by non-U.S. persons for taxes, assessments or similar charges.</w:t>
      </w:r>
    </w:p>
    <w:p>
      <w:pPr>
        <w:spacing w:after="0" w:line="47"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Registered or Bearer Form. </w:t>
      </w:r>
      <w:r>
        <w:rPr>
          <w:rFonts w:ascii="Times New Roman" w:cs="Times New Roman" w:eastAsia="Times New Roman" w:hAnsi="Times New Roman"/>
          <w:sz w:val="14"/>
          <w:szCs w:val="14"/>
          <w:color w:val="auto"/>
        </w:rPr>
        <w:t>Whether the offered debt securities will be issued in registered or bearer form or both.</w:t>
      </w:r>
    </w:p>
    <w:p>
      <w:pPr>
        <w:spacing w:after="0" w:line="103" w:lineRule="exact"/>
        <w:rPr>
          <w:rFonts w:ascii="Times New Roman" w:cs="Times New Roman" w:eastAsia="Times New Roman" w:hAnsi="Times New Roman"/>
          <w:sz w:val="14"/>
          <w:szCs w:val="14"/>
          <w:color w:val="auto"/>
        </w:rPr>
      </w:pPr>
    </w:p>
    <w:p>
      <w:pPr>
        <w:ind w:left="960" w:right="579" w:hanging="346"/>
        <w:spacing w:after="0" w:line="288"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Dates of Certificates. </w:t>
      </w:r>
      <w:r>
        <w:rPr>
          <w:rFonts w:ascii="Times New Roman" w:cs="Times New Roman" w:eastAsia="Times New Roman" w:hAnsi="Times New Roman"/>
          <w:sz w:val="14"/>
          <w:szCs w:val="14"/>
          <w:color w:val="auto"/>
        </w:rPr>
        <w:t>The date as of which any offered debt securities in bearer form and any temporary global security representing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outstanding securities are dated, if other than the original issuance date of the offered debt securities.</w:t>
      </w:r>
    </w:p>
    <w:p>
      <w:pPr>
        <w:spacing w:after="0" w:line="47"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Forms. </w:t>
      </w:r>
      <w:r>
        <w:rPr>
          <w:rFonts w:ascii="Times New Roman" w:cs="Times New Roman" w:eastAsia="Times New Roman" w:hAnsi="Times New Roman"/>
          <w:sz w:val="14"/>
          <w:szCs w:val="14"/>
          <w:color w:val="auto"/>
        </w:rPr>
        <w:t>The forms of the securities and interest coupons, if any, of the class or series.</w:t>
      </w:r>
    </w:p>
    <w:p>
      <w:pPr>
        <w:spacing w:after="0" w:line="103" w:lineRule="exact"/>
        <w:rPr>
          <w:rFonts w:ascii="Times New Roman" w:cs="Times New Roman" w:eastAsia="Times New Roman" w:hAnsi="Times New Roman"/>
          <w:sz w:val="14"/>
          <w:szCs w:val="14"/>
          <w:color w:val="auto"/>
        </w:rPr>
      </w:pPr>
    </w:p>
    <w:p>
      <w:pPr>
        <w:ind w:left="960" w:right="319" w:hanging="346"/>
        <w:spacing w:after="0" w:line="288"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Registrar and Paying Agent. </w:t>
      </w:r>
      <w:r>
        <w:rPr>
          <w:rFonts w:ascii="Times New Roman" w:cs="Times New Roman" w:eastAsia="Times New Roman" w:hAnsi="Times New Roman"/>
          <w:sz w:val="14"/>
          <w:szCs w:val="14"/>
          <w:color w:val="auto"/>
        </w:rPr>
        <w:t>If other than the trustee under the applicable indenture, the identity of the registrar and any paying agent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offered debt securities.</w:t>
      </w:r>
    </w:p>
    <w:p>
      <w:pPr>
        <w:spacing w:after="0" w:line="47"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Defeasance. </w:t>
      </w:r>
      <w:r>
        <w:rPr>
          <w:rFonts w:ascii="Times New Roman" w:cs="Times New Roman" w:eastAsia="Times New Roman" w:hAnsi="Times New Roman"/>
          <w:sz w:val="14"/>
          <w:szCs w:val="14"/>
          <w:color w:val="auto"/>
        </w:rPr>
        <w:t>Any means of defeasance or covenant defeasance that may be specified for the offered debt securities.</w:t>
      </w:r>
    </w:p>
    <w:p>
      <w:pPr>
        <w:spacing w:after="0" w:line="103" w:lineRule="exact"/>
        <w:rPr>
          <w:rFonts w:ascii="Times New Roman" w:cs="Times New Roman" w:eastAsia="Times New Roman" w:hAnsi="Times New Roman"/>
          <w:sz w:val="14"/>
          <w:szCs w:val="14"/>
          <w:color w:val="auto"/>
        </w:rPr>
      </w:pPr>
    </w:p>
    <w:p>
      <w:pPr>
        <w:ind w:left="960" w:right="219" w:hanging="346"/>
        <w:spacing w:after="0" w:line="264"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Global Securities. </w:t>
      </w:r>
      <w:r>
        <w:rPr>
          <w:rFonts w:ascii="Times New Roman" w:cs="Times New Roman" w:eastAsia="Times New Roman" w:hAnsi="Times New Roman"/>
          <w:sz w:val="14"/>
          <w:szCs w:val="14"/>
          <w:color w:val="auto"/>
        </w:rPr>
        <w:t>Whether the offered debt securities are to be issued in whole or in part in the form of one or more temporary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3" w:lineRule="exact"/>
        <w:rPr>
          <w:rFonts w:ascii="Times New Roman" w:cs="Times New Roman" w:eastAsia="Times New Roman" w:hAnsi="Times New Roman"/>
          <w:sz w:val="14"/>
          <w:szCs w:val="14"/>
          <w:color w:val="auto"/>
        </w:rPr>
      </w:pPr>
    </w:p>
    <w:p>
      <w:pPr>
        <w:ind w:left="960" w:right="219" w:hanging="346"/>
        <w:spacing w:after="0" w:line="270"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Documentation. </w:t>
      </w:r>
      <w:r>
        <w:rPr>
          <w:rFonts w:ascii="Times New Roman" w:cs="Times New Roman" w:eastAsia="Times New Roman" w:hAnsi="Times New Roman"/>
          <w:sz w:val="14"/>
          <w:szCs w:val="14"/>
          <w:color w:val="auto"/>
        </w:rPr>
        <w:t>If the offered debt securities may be issued or delivered, or any installment of principal or interest may be paid, only upon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receipt of certain certificates or other documents or satisfaction of other conditions in addition to those specified in the applicable indenture, the form of those certificates, documents or conditions.</w:t>
      </w:r>
    </w:p>
    <w:p>
      <w:pPr>
        <w:spacing w:after="0" w:line="59" w:lineRule="exact"/>
        <w:rPr>
          <w:rFonts w:ascii="Times New Roman" w:cs="Times New Roman" w:eastAsia="Times New Roman" w:hAnsi="Times New Roman"/>
          <w:sz w:val="14"/>
          <w:szCs w:val="14"/>
          <w:color w:val="auto"/>
        </w:rPr>
      </w:pPr>
    </w:p>
    <w:p>
      <w:pPr>
        <w:ind w:left="960" w:right="399" w:hanging="346"/>
        <w:spacing w:after="0" w:line="270"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Payees. </w:t>
      </w:r>
      <w:r>
        <w:rPr>
          <w:rFonts w:ascii="Times New Roman" w:cs="Times New Roman" w:eastAsia="Times New Roman" w:hAnsi="Times New Roman"/>
          <w:sz w:val="14"/>
          <w:szCs w:val="14"/>
          <w:color w:val="auto"/>
        </w:rPr>
        <w:t>If other than as provided in the applicable indenture, the person to whom any interest on any registered security of the class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series will be payable and the manner in which, or the person to whom, any interest on any bearer securities of the class or series will be payable.</w:t>
      </w:r>
    </w:p>
    <w:p>
      <w:pPr>
        <w:spacing w:after="0" w:line="59" w:lineRule="exact"/>
        <w:rPr>
          <w:rFonts w:ascii="Times New Roman" w:cs="Times New Roman" w:eastAsia="Times New Roman" w:hAnsi="Times New Roman"/>
          <w:sz w:val="14"/>
          <w:szCs w:val="14"/>
          <w:color w:val="auto"/>
        </w:rPr>
      </w:pPr>
    </w:p>
    <w:p>
      <w:pPr>
        <w:ind w:left="960" w:right="379" w:hanging="346"/>
        <w:spacing w:after="0" w:line="270"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Definitions. </w:t>
      </w:r>
      <w:r>
        <w:rPr>
          <w:rFonts w:ascii="Times New Roman" w:cs="Times New Roman" w:eastAsia="Times New Roman" w:hAnsi="Times New Roman"/>
          <w:sz w:val="14"/>
          <w:szCs w:val="14"/>
          <w:color w:val="auto"/>
        </w:rPr>
        <w:t>Any definitions for the offered debt securities of that class or series that are different from or in addition to the definitions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included in the applicable indenture, including, without limitation, the definition of “unrestricted subsidiary” to be used for such class or series.</w:t>
      </w:r>
    </w:p>
    <w:p>
      <w:pPr>
        <w:spacing w:after="0" w:line="59" w:lineRule="exact"/>
        <w:rPr>
          <w:rFonts w:ascii="Times New Roman" w:cs="Times New Roman" w:eastAsia="Times New Roman" w:hAnsi="Times New Roman"/>
          <w:sz w:val="14"/>
          <w:szCs w:val="14"/>
          <w:color w:val="auto"/>
        </w:rPr>
      </w:pPr>
    </w:p>
    <w:p>
      <w:pPr>
        <w:ind w:left="960" w:right="219" w:hanging="346"/>
        <w:spacing w:after="0" w:line="270"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Subordination. </w:t>
      </w:r>
      <w:r>
        <w:rPr>
          <w:rFonts w:ascii="Times New Roman" w:cs="Times New Roman" w:eastAsia="Times New Roman" w:hAnsi="Times New Roman"/>
          <w:sz w:val="14"/>
          <w:szCs w:val="14"/>
          <w:color w:val="auto"/>
        </w:rPr>
        <w:t>In the case of any subordinated indenture that we may enter into, the relative degree to which the offered debt securities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shall be senior to or junior to other debt securities, whether currently outstanding or to be offered in the future, and to other debt, in right of payment.</w:t>
      </w:r>
    </w:p>
    <w:p>
      <w:pPr>
        <w:spacing w:after="0" w:line="59" w:lineRule="exact"/>
        <w:rPr>
          <w:rFonts w:ascii="Times New Roman" w:cs="Times New Roman" w:eastAsia="Times New Roman" w:hAnsi="Times New Roman"/>
          <w:sz w:val="14"/>
          <w:szCs w:val="14"/>
          <w:color w:val="auto"/>
        </w:rPr>
      </w:pPr>
    </w:p>
    <w:p>
      <w:pPr>
        <w:ind w:left="960" w:right="639" w:hanging="346"/>
        <w:spacing w:after="0" w:line="288"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Guarantees. </w:t>
      </w:r>
      <w:r>
        <w:rPr>
          <w:rFonts w:ascii="Times New Roman" w:cs="Times New Roman" w:eastAsia="Times New Roman" w:hAnsi="Times New Roman"/>
          <w:sz w:val="14"/>
          <w:szCs w:val="14"/>
          <w:color w:val="auto"/>
        </w:rPr>
        <w:t>Whether the offered debt securities are guaranteed and, if so, the identity of the guarantors and the terms of the offered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guarantees (including whether and the extent to which the guarantees are subordinated to other debt of the guarantors).</w:t>
      </w:r>
    </w:p>
    <w:p>
      <w:pPr>
        <w:spacing w:after="0" w:line="47" w:lineRule="exact"/>
        <w:rPr>
          <w:rFonts w:ascii="Times New Roman" w:cs="Times New Roman" w:eastAsia="Times New Roman" w:hAnsi="Times New Roman"/>
          <w:sz w:val="14"/>
          <w:szCs w:val="14"/>
          <w:color w:val="auto"/>
        </w:rPr>
      </w:pPr>
    </w:p>
    <w:p>
      <w:pPr>
        <w:ind w:left="960" w:right="319" w:hanging="346"/>
        <w:spacing w:after="0" w:line="264"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Conversion. </w:t>
      </w:r>
      <w:r>
        <w:rPr>
          <w:rFonts w:ascii="Times New Roman" w:cs="Times New Roman" w:eastAsia="Times New Roman" w:hAnsi="Times New Roman"/>
          <w:sz w:val="14"/>
          <w:szCs w:val="14"/>
          <w:color w:val="auto"/>
        </w:rPr>
        <w:t>The terms, if any, upon which the offered debt securities may be converted or exchanged into or for the Company’s common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shares, 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6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Restrictions. </w:t>
      </w:r>
      <w:r>
        <w:rPr>
          <w:rFonts w:ascii="Times New Roman" w:cs="Times New Roman" w:eastAsia="Times New Roman" w:hAnsi="Times New Roman"/>
          <w:sz w:val="14"/>
          <w:szCs w:val="14"/>
          <w:color w:val="auto"/>
        </w:rPr>
        <w:t>Any restrictions on the registration, transfer or exchange of the offered debt securities.</w:t>
      </w:r>
    </w:p>
    <w:p>
      <w:pPr>
        <w:spacing w:after="0" w:line="103" w:lineRule="exact"/>
        <w:rPr>
          <w:rFonts w:ascii="Times New Roman" w:cs="Times New Roman" w:eastAsia="Times New Roman" w:hAnsi="Times New Roman"/>
          <w:sz w:val="14"/>
          <w:szCs w:val="14"/>
          <w:color w:val="auto"/>
        </w:rPr>
      </w:pPr>
    </w:p>
    <w:p>
      <w:pPr>
        <w:ind w:left="960" w:right="279" w:hanging="346"/>
        <w:spacing w:after="0" w:line="270"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Other Terms. </w:t>
      </w:r>
      <w:r>
        <w:rPr>
          <w:rFonts w:ascii="Times New Roman" w:cs="Times New Roman" w:eastAsia="Times New Roman" w:hAnsi="Times New Roman"/>
          <w:sz w:val="14"/>
          <w:szCs w:val="14"/>
          <w:color w:val="auto"/>
        </w:rPr>
        <w:t>Any other terms not inconsistent with the terms of the applicable indenture pertaining to the offered debt securities or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may be required or advisable under U.S. laws or regulations or advisable, as we determine, in connection with marketing of securities of the class or series.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31" w:name="page32"/>
    <w:bookmarkEnd w:id="31"/>
    <w:p>
      <w:pPr>
        <w:ind w:left="2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Form of Securities and Related Matters</w:t>
      </w:r>
    </w:p>
    <w:p>
      <w:pPr>
        <w:spacing w:after="0" w:line="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Registered or Bearer Form. </w:t>
      </w:r>
      <w:r>
        <w:rPr>
          <w:rFonts w:ascii="Times New Roman" w:cs="Times New Roman" w:eastAsia="Times New Roman" w:hAnsi="Times New Roman"/>
          <w:sz w:val="14"/>
          <w:szCs w:val="14"/>
          <w:color w:val="auto"/>
        </w:rPr>
        <w:t>Debt securities may be offered in either registered or bearer form.</w:t>
      </w:r>
    </w:p>
    <w:p>
      <w:pPr>
        <w:spacing w:after="0" w:line="105" w:lineRule="exact"/>
        <w:rPr>
          <w:sz w:val="20"/>
          <w:szCs w:val="20"/>
          <w:color w:val="auto"/>
        </w:rPr>
      </w:pPr>
    </w:p>
    <w:p>
      <w:pPr>
        <w:ind w:left="960" w:right="699" w:hanging="346"/>
        <w:spacing w:after="0" w:line="285" w:lineRule="auto"/>
        <w:tabs>
          <w:tab w:leader="none" w:pos="9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in registered form, we may treat the person named in the register as the owner of the debt securities for all purposes, including payment, exchange and transfer.</w:t>
      </w:r>
    </w:p>
    <w:p>
      <w:pPr>
        <w:spacing w:after="0" w:line="51" w:lineRule="exact"/>
        <w:rPr>
          <w:rFonts w:ascii="Times New Roman" w:cs="Times New Roman" w:eastAsia="Times New Roman" w:hAnsi="Times New Roman"/>
          <w:sz w:val="14"/>
          <w:szCs w:val="14"/>
          <w:color w:val="auto"/>
        </w:rPr>
      </w:pPr>
    </w:p>
    <w:p>
      <w:pPr>
        <w:ind w:left="960" w:right="599" w:hanging="346"/>
        <w:spacing w:after="0" w:line="263" w:lineRule="auto"/>
        <w:tabs>
          <w:tab w:leader="none" w:pos="9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Denominations. </w:t>
      </w:r>
      <w:r>
        <w:rPr>
          <w:rFonts w:ascii="Times New Roman" w:cs="Times New Roman" w:eastAsia="Times New Roman" w:hAnsi="Times New Roman"/>
          <w:sz w:val="14"/>
          <w:szCs w:val="14"/>
          <w:color w:val="auto"/>
        </w:rPr>
        <w:t>Unless we say otherwise in a prospectus supplement, we will issue debt securities in denominations of:</w:t>
      </w:r>
    </w:p>
    <w:p>
      <w:pPr>
        <w:spacing w:after="0" w:line="105" w:lineRule="exact"/>
        <w:rPr>
          <w:sz w:val="20"/>
          <w:szCs w:val="20"/>
          <w:color w:val="auto"/>
        </w:rPr>
      </w:pPr>
    </w:p>
    <w:p>
      <w:pPr>
        <w:ind w:left="960" w:hanging="346"/>
        <w:spacing w:after="0"/>
        <w:tabs>
          <w:tab w:leader="none" w:pos="9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$1,000 (or multiples of $1,000) if we issue the debt securities in registered form;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$5,000 (or multiples of $5,000) if we issue debt securities in bearer form.</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Payment Currencies and Indexed Securities. </w:t>
      </w:r>
      <w:r>
        <w:rPr>
          <w:rFonts w:ascii="Times New Roman" w:cs="Times New Roman" w:eastAsia="Times New Roman" w:hAnsi="Times New Roman"/>
          <w:sz w:val="14"/>
          <w:szCs w:val="14"/>
          <w:color w:val="auto"/>
        </w:rPr>
        <w:t>We may offer debt securities for which:</w:t>
      </w:r>
    </w:p>
    <w:p>
      <w:pPr>
        <w:spacing w:after="0" w:line="105" w:lineRule="exact"/>
        <w:rPr>
          <w:sz w:val="20"/>
          <w:szCs w:val="20"/>
          <w:color w:val="auto"/>
        </w:rPr>
      </w:pPr>
    </w:p>
    <w:p>
      <w:pPr>
        <w:ind w:left="960" w:hanging="346"/>
        <w:spacing w:after="0"/>
        <w:tabs>
          <w:tab w:leader="none" w:pos="9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is payable in a currency other than U.S. dollars;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are denominated in a currency other than U.S. dollars; or</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or interest of, or any other amount due on, the offered debt securities in a currency other than U.S. dollars.</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other currency may be a currency unit composed of various currencies. Payments on debt securities may also be based on an index.</w:t>
      </w:r>
    </w:p>
    <w:p>
      <w:pPr>
        <w:spacing w:after="0" w:line="175" w:lineRule="exact"/>
        <w:rPr>
          <w:sz w:val="20"/>
          <w:szCs w:val="20"/>
          <w:color w:val="auto"/>
        </w:rPr>
      </w:pPr>
    </w:p>
    <w:p>
      <w:pPr>
        <w:ind w:left="200" w:right="279" w:firstLine="345"/>
        <w:spacing w:after="0" w:line="229" w:lineRule="auto"/>
        <w:rPr>
          <w:sz w:val="20"/>
          <w:szCs w:val="20"/>
          <w:color w:val="auto"/>
        </w:rPr>
      </w:pPr>
      <w:r>
        <w:rPr>
          <w:rFonts w:ascii="Times New Roman" w:cs="Times New Roman" w:eastAsia="Times New Roman" w:hAnsi="Times New Roman"/>
          <w:sz w:val="14"/>
          <w:szCs w:val="14"/>
          <w:b w:val="1"/>
          <w:bCs w:val="1"/>
          <w:i w:val="1"/>
          <w:iCs w:val="1"/>
          <w:color w:val="auto"/>
        </w:rPr>
        <w:t xml:space="preserve">Payment, Transfer and Exchange. </w:t>
      </w:r>
      <w:r>
        <w:rPr>
          <w:rFonts w:ascii="Times New Roman" w:cs="Times New Roman" w:eastAsia="Times New Roman" w:hAnsi="Times New Roman"/>
          <w:sz w:val="14"/>
          <w:szCs w:val="14"/>
          <w:color w:val="auto"/>
        </w:rPr>
        <w:t>Unless we say otherwise in a prospectus supplement, the office for paying principal, interest and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amounts on the debt securities is U.S. Bank Trust Company, National Association, 214 North Tryon Street, 27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Floor, Charlotte, North Carolina 28202. We will notify you of any change in the office’s location. At our option, however, we may make any interest payments on debt securities issued in registered form by:</w:t>
      </w:r>
    </w:p>
    <w:p>
      <w:pPr>
        <w:spacing w:after="0" w:line="82" w:lineRule="exact"/>
        <w:rPr>
          <w:sz w:val="20"/>
          <w:szCs w:val="20"/>
          <w:color w:val="auto"/>
        </w:rPr>
      </w:pPr>
    </w:p>
    <w:p>
      <w:pPr>
        <w:ind w:left="960" w:hanging="346"/>
        <w:spacing w:after="0"/>
        <w:tabs>
          <w:tab w:leader="none" w:pos="9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mailing checks to you at the address as it appears in the applicable register for the class or series of debt securities; or</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wire transfer of immediately available funds to an account you maintain located in the United States.</w:t>
      </w:r>
    </w:p>
    <w:p>
      <w:pPr>
        <w:spacing w:after="0" w:line="177" w:lineRule="exact"/>
        <w:rPr>
          <w:sz w:val="20"/>
          <w:szCs w:val="20"/>
          <w:color w:val="auto"/>
        </w:rPr>
      </w:pPr>
    </w:p>
    <w:p>
      <w:pPr>
        <w:ind w:left="200" w:right="399" w:firstLine="345"/>
        <w:spacing w:after="0" w:line="285" w:lineRule="auto"/>
        <w:rPr>
          <w:sz w:val="20"/>
          <w:szCs w:val="20"/>
          <w:color w:val="auto"/>
        </w:rPr>
      </w:pPr>
      <w:r>
        <w:rPr>
          <w:rFonts w:ascii="Times New Roman" w:cs="Times New Roman" w:eastAsia="Times New Roman" w:hAnsi="Times New Roman"/>
          <w:sz w:val="14"/>
          <w:szCs w:val="14"/>
          <w:color w:val="auto"/>
        </w:rPr>
        <w:t>Unless we say otherwise in a prospectus supplement, we will pay interest to the person whose name is in the register at the close of business on the regular record date for such interest.</w:t>
      </w:r>
    </w:p>
    <w:p>
      <w:pPr>
        <w:spacing w:after="0" w:line="125" w:lineRule="exact"/>
        <w:rPr>
          <w:sz w:val="20"/>
          <w:szCs w:val="20"/>
          <w:color w:val="auto"/>
        </w:rPr>
      </w:pPr>
    </w:p>
    <w:p>
      <w:pPr>
        <w:ind w:left="200" w:right="259" w:firstLine="345"/>
        <w:spacing w:after="0" w:line="285" w:lineRule="auto"/>
        <w:rPr>
          <w:sz w:val="20"/>
          <w:szCs w:val="20"/>
          <w:color w:val="auto"/>
        </w:rPr>
      </w:pPr>
      <w:r>
        <w:rPr>
          <w:rFonts w:ascii="Times New Roman" w:cs="Times New Roman" w:eastAsia="Times New Roman" w:hAnsi="Times New Roman"/>
          <w:sz w:val="14"/>
          <w:szCs w:val="14"/>
          <w:color w:val="auto"/>
        </w:rPr>
        <w:t>Unless we say otherwise in a prospectus supplement, payment of interest on bearer securities may be made by transfer to an account you maintain with a bank located outside the United States.</w:t>
      </w:r>
    </w:p>
    <w:p>
      <w:pPr>
        <w:spacing w:after="0" w:line="125" w:lineRule="exact"/>
        <w:rPr>
          <w:sz w:val="20"/>
          <w:szCs w:val="20"/>
          <w:color w:val="auto"/>
        </w:rPr>
      </w:pPr>
    </w:p>
    <w:p>
      <w:pPr>
        <w:ind w:left="200" w:right="259" w:firstLine="345"/>
        <w:spacing w:after="0" w:line="268" w:lineRule="auto"/>
        <w:rPr>
          <w:sz w:val="20"/>
          <w:szCs w:val="20"/>
          <w:color w:val="auto"/>
        </w:rPr>
      </w:pPr>
      <w:r>
        <w:rPr>
          <w:rFonts w:ascii="Times New Roman" w:cs="Times New Roman" w:eastAsia="Times New Roman" w:hAnsi="Times New Roman"/>
          <w:sz w:val="14"/>
          <w:szCs w:val="14"/>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We may issue debt securities of a class or series in the form of one or more fully registered global securities. Each registered global security will:</w:t>
      </w:r>
    </w:p>
    <w:p>
      <w:pPr>
        <w:spacing w:after="0" w:line="103" w:lineRule="exact"/>
        <w:rPr>
          <w:sz w:val="20"/>
          <w:szCs w:val="20"/>
          <w:color w:val="auto"/>
        </w:rPr>
      </w:pPr>
    </w:p>
    <w:p>
      <w:pPr>
        <w:ind w:left="960" w:hanging="346"/>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registered in the name of a depositary or a nominee for the depositary;</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deposited with the depositary or nominee or a custodian therefor; and</w:t>
      </w:r>
    </w:p>
    <w:p>
      <w:pPr>
        <w:spacing w:after="0" w:line="103" w:lineRule="exact"/>
        <w:rPr>
          <w:rFonts w:ascii="Times New Roman" w:cs="Times New Roman" w:eastAsia="Times New Roman" w:hAnsi="Times New Roman"/>
          <w:sz w:val="14"/>
          <w:szCs w:val="14"/>
          <w:color w:val="auto"/>
        </w:rPr>
      </w:pPr>
    </w:p>
    <w:p>
      <w:pPr>
        <w:jc w:val="center"/>
        <w:ind w:left="4440" w:right="1279" w:hanging="3826"/>
        <w:spacing w:after="0" w:line="459" w:lineRule="auto"/>
        <w:tabs>
          <w:tab w:leader="none" w:pos="95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bear a legend regarding the restrictions on exchanges and registration of transfer and any such other appropriate matters. 23</w:t>
      </w:r>
    </w:p>
    <w:p>
      <w:pPr>
        <w:sectPr>
          <w:pgSz w:w="11900" w:h="16838" w:orient="portrait"/>
          <w:cols w:equalWidth="0" w:num="1">
            <w:col w:w="9019"/>
          </w:cols>
          <w:pgMar w:left="1440" w:top="239" w:right="1440" w:bottom="1440" w:gutter="0" w:footer="0" w:header="0"/>
        </w:sectPr>
      </w:pPr>
    </w:p>
    <w:bookmarkStart w:id="32" w:name="page33"/>
    <w:bookmarkEnd w:id="32"/>
    <w:p>
      <w:pPr>
        <w:ind w:left="200" w:right="279" w:firstLine="345"/>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Global securities may be issued in either registered or bearer form and in either temporary or permanent form. The specific terms and procedures, including the specific terms of the depositary arrangement, with respect to any portion of a class or series of debt securities will be described in a prospectus supplement.</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95" w:lineRule="exact"/>
        <w:rPr>
          <w:sz w:val="20"/>
          <w:szCs w:val="20"/>
          <w:color w:val="auto"/>
        </w:rPr>
      </w:pPr>
    </w:p>
    <w:p>
      <w:pPr>
        <w:ind w:left="200" w:right="479" w:firstLine="345"/>
        <w:spacing w:after="0" w:line="285" w:lineRule="auto"/>
        <w:rPr>
          <w:sz w:val="20"/>
          <w:szCs w:val="20"/>
          <w:color w:val="auto"/>
        </w:rPr>
      </w:pPr>
      <w:r>
        <w:rPr>
          <w:rFonts w:ascii="Times New Roman" w:cs="Times New Roman" w:eastAsia="Times New Roman" w:hAnsi="Times New Roman"/>
          <w:sz w:val="14"/>
          <w:szCs w:val="14"/>
          <w:color w:val="auto"/>
        </w:rPr>
        <w:t>Unless we say otherwise in a prospectus supplement, each indenture contains or will contain the following covenants. Any additional material covenants applicable to any class or series of debt securities will be set forth in a prospectus supplement.</w:t>
      </w:r>
    </w:p>
    <w:p>
      <w:pPr>
        <w:spacing w:after="0" w:line="123" w:lineRule="exact"/>
        <w:rPr>
          <w:sz w:val="20"/>
          <w:szCs w:val="20"/>
          <w:color w:val="auto"/>
        </w:rPr>
      </w:pPr>
    </w:p>
    <w:p>
      <w:pPr>
        <w:ind w:left="200" w:right="21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Existence. </w:t>
      </w:r>
      <w:r>
        <w:rPr>
          <w:rFonts w:ascii="Times New Roman" w:cs="Times New Roman" w:eastAsia="Times New Roman" w:hAnsi="Times New Roman"/>
          <w:sz w:val="14"/>
          <w:szCs w:val="14"/>
          <w:color w:val="auto"/>
        </w:rPr>
        <w:t>Except as permitted under “Consolidation, Merger or Sale of Assets,” we will do or cause to be done all things necessary to preserve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33" w:lineRule="exact"/>
        <w:rPr>
          <w:sz w:val="20"/>
          <w:szCs w:val="20"/>
          <w:color w:val="auto"/>
        </w:rPr>
      </w:pPr>
    </w:p>
    <w:p>
      <w:pPr>
        <w:ind w:left="200" w:right="25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Maintenance of Properties. </w:t>
      </w:r>
      <w:r>
        <w:rPr>
          <w:rFonts w:ascii="Times New Roman" w:cs="Times New Roman" w:eastAsia="Times New Roman" w:hAnsi="Times New Roman"/>
          <w:sz w:val="14"/>
          <w:szCs w:val="14"/>
          <w:color w:val="auto"/>
        </w:rPr>
        <w:t>We will cause all of our material properties used or useful in the conduct of our business to be maintained and kept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Payment of Taxes and Other Claims. </w:t>
      </w:r>
      <w:r>
        <w:rPr>
          <w:rFonts w:ascii="Times New Roman" w:cs="Times New Roman" w:eastAsia="Times New Roman" w:hAnsi="Times New Roman"/>
          <w:sz w:val="14"/>
          <w:szCs w:val="14"/>
          <w:color w:val="auto"/>
        </w:rPr>
        <w:t>We will pay or discharge or cause to be paid or discharged, before they shall become delinquent:</w:t>
      </w:r>
    </w:p>
    <w:p>
      <w:pPr>
        <w:spacing w:after="0" w:line="105" w:lineRule="exact"/>
        <w:rPr>
          <w:sz w:val="20"/>
          <w:szCs w:val="20"/>
          <w:color w:val="auto"/>
        </w:rPr>
      </w:pPr>
    </w:p>
    <w:p>
      <w:pPr>
        <w:ind w:left="960" w:hanging="346"/>
        <w:spacing w:after="0"/>
        <w:tabs>
          <w:tab w:leader="none" w:pos="9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taxes, assessments and governmental charges levied or imposed upon us or upon our income, profits or property,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lawful claims for labor, materials and supplies which, if unpaid, might by law become a lien upon our property;</w:t>
      </w:r>
    </w:p>
    <w:p>
      <w:pPr>
        <w:spacing w:after="0" w:line="177" w:lineRule="exact"/>
        <w:rPr>
          <w:sz w:val="20"/>
          <w:szCs w:val="20"/>
          <w:color w:val="auto"/>
        </w:rPr>
      </w:pPr>
    </w:p>
    <w:p>
      <w:pPr>
        <w:ind w:left="200" w:right="379" w:firstLine="345"/>
        <w:spacing w:after="0" w:line="285" w:lineRule="auto"/>
        <w:rPr>
          <w:sz w:val="20"/>
          <w:szCs w:val="20"/>
          <w:color w:val="auto"/>
        </w:rPr>
      </w:pPr>
      <w:r>
        <w:rPr>
          <w:rFonts w:ascii="Times New Roman" w:cs="Times New Roman" w:eastAsia="Times New Roman" w:hAnsi="Times New Roman"/>
          <w:sz w:val="14"/>
          <w:szCs w:val="14"/>
          <w:color w:val="auto"/>
        </w:rPr>
        <w:t>provided, however, that we shall not be required to pay or discharge or cause to be paid or discharged any such tax, assessment, charge or claim whose amount, applicability or validity is being contested in good faith.</w:t>
      </w:r>
    </w:p>
    <w:p>
      <w:pPr>
        <w:spacing w:after="0" w:line="123" w:lineRule="exact"/>
        <w:rPr>
          <w:sz w:val="20"/>
          <w:szCs w:val="20"/>
          <w:color w:val="auto"/>
        </w:rPr>
      </w:pPr>
    </w:p>
    <w:p>
      <w:pPr>
        <w:ind w:left="200" w:right="21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Provision of Financial Information. </w:t>
      </w:r>
      <w:r>
        <w:rPr>
          <w:rFonts w:ascii="Times New Roman" w:cs="Times New Roman" w:eastAsia="Times New Roman" w:hAnsi="Times New Roman"/>
          <w:sz w:val="14"/>
          <w:szCs w:val="14"/>
          <w:color w:val="auto"/>
        </w:rPr>
        <w:t>Whether or not we are subject to Section 13 or 15(d) of the Exchange Act, we will, within 15 days of each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respective dates by which we would have been required to file annual reports, quarterly reports and other documents with the SEC if we were so subject:</w:t>
      </w:r>
    </w:p>
    <w:p>
      <w:pPr>
        <w:spacing w:after="0" w:line="61" w:lineRule="exact"/>
        <w:rPr>
          <w:sz w:val="20"/>
          <w:szCs w:val="20"/>
          <w:color w:val="auto"/>
        </w:rPr>
      </w:pPr>
    </w:p>
    <w:p>
      <w:pPr>
        <w:ind w:left="960" w:right="239" w:hanging="346"/>
        <w:spacing w:after="0" w:line="268" w:lineRule="auto"/>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63" w:lineRule="exact"/>
        <w:rPr>
          <w:rFonts w:ascii="Times New Roman" w:cs="Times New Roman" w:eastAsia="Times New Roman" w:hAnsi="Times New Roman"/>
          <w:sz w:val="14"/>
          <w:szCs w:val="14"/>
          <w:color w:val="auto"/>
        </w:rPr>
      </w:pPr>
    </w:p>
    <w:p>
      <w:pPr>
        <w:ind w:left="960" w:right="359" w:hanging="346"/>
        <w:spacing w:after="0" w:line="285" w:lineRule="auto"/>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51" w:lineRule="exact"/>
        <w:rPr>
          <w:rFonts w:ascii="Times New Roman" w:cs="Times New Roman" w:eastAsia="Times New Roman" w:hAnsi="Times New Roman"/>
          <w:sz w:val="14"/>
          <w:szCs w:val="14"/>
          <w:color w:val="auto"/>
        </w:rPr>
      </w:pPr>
    </w:p>
    <w:p>
      <w:pPr>
        <w:ind w:left="960" w:right="399" w:hanging="346"/>
        <w:spacing w:after="0" w:line="285" w:lineRule="auto"/>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upon written request and payment of the reasonable cost of duplication and delivery, supply copies of those documents to any prospective holder.</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Consolidation, Merger or Sale of Assets</w:t>
      </w:r>
    </w:p>
    <w:p>
      <w:pPr>
        <w:spacing w:after="0" w:line="95" w:lineRule="exact"/>
        <w:rPr>
          <w:sz w:val="20"/>
          <w:szCs w:val="20"/>
          <w:color w:val="auto"/>
        </w:rPr>
      </w:pPr>
    </w:p>
    <w:p>
      <w:pPr>
        <w:ind w:left="200" w:right="459" w:firstLine="345"/>
        <w:spacing w:after="0" w:line="285" w:lineRule="auto"/>
        <w:rPr>
          <w:sz w:val="20"/>
          <w:szCs w:val="20"/>
          <w:color w:val="auto"/>
        </w:rPr>
      </w:pPr>
      <w:r>
        <w:rPr>
          <w:rFonts w:ascii="Times New Roman" w:cs="Times New Roman" w:eastAsia="Times New Roman" w:hAnsi="Times New Roman"/>
          <w:sz w:val="14"/>
          <w:szCs w:val="14"/>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51" w:lineRule="exact"/>
        <w:rPr>
          <w:sz w:val="20"/>
          <w:szCs w:val="20"/>
          <w:color w:val="auto"/>
        </w:rPr>
      </w:pPr>
    </w:p>
    <w:p>
      <w:pPr>
        <w:ind w:left="960" w:hanging="346"/>
        <w:spacing w:after="0"/>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1" w:right="1440" w:bottom="1440" w:gutter="0" w:footer="0" w:header="0"/>
        </w:sectPr>
      </w:pPr>
    </w:p>
    <w:bookmarkStart w:id="33" w:name="page34"/>
    <w:bookmarkEnd w:id="33"/>
    <w:p>
      <w:pPr>
        <w:ind w:left="1300" w:hanging="253"/>
        <w:spacing w:after="0"/>
        <w:tabs>
          <w:tab w:leader="none" w:pos="13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we must be the continuing entity, or</w:t>
      </w:r>
    </w:p>
    <w:p>
      <w:pPr>
        <w:spacing w:after="0" w:line="103" w:lineRule="exact"/>
        <w:rPr>
          <w:rFonts w:ascii="Times New Roman" w:cs="Times New Roman" w:eastAsia="Times New Roman" w:hAnsi="Times New Roman"/>
          <w:sz w:val="14"/>
          <w:szCs w:val="14"/>
          <w:color w:val="auto"/>
        </w:rPr>
      </w:pPr>
    </w:p>
    <w:p>
      <w:pPr>
        <w:ind w:left="1300" w:right="259" w:hanging="253"/>
        <w:spacing w:after="0" w:line="268" w:lineRule="auto"/>
        <w:tabs>
          <w:tab w:leader="none" w:pos="13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63" w:lineRule="exact"/>
        <w:rPr>
          <w:rFonts w:ascii="Times New Roman" w:cs="Times New Roman" w:eastAsia="Times New Roman" w:hAnsi="Times New Roman"/>
          <w:sz w:val="14"/>
          <w:szCs w:val="14"/>
          <w:color w:val="auto"/>
        </w:rPr>
      </w:pPr>
    </w:p>
    <w:p>
      <w:pPr>
        <w:ind w:left="960" w:right="519" w:hanging="346"/>
        <w:spacing w:after="0" w:line="285" w:lineRule="auto"/>
        <w:tabs>
          <w:tab w:leader="none" w:pos="9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transactions, no default or event of default under the debt securities shall have occurred and be continuing; and</w:t>
      </w:r>
    </w:p>
    <w:p>
      <w:pPr>
        <w:spacing w:after="0" w:line="51" w:lineRule="exact"/>
        <w:rPr>
          <w:rFonts w:ascii="Times New Roman" w:cs="Times New Roman" w:eastAsia="Times New Roman" w:hAnsi="Times New Roman"/>
          <w:sz w:val="14"/>
          <w:szCs w:val="14"/>
          <w:color w:val="auto"/>
        </w:rPr>
      </w:pPr>
    </w:p>
    <w:p>
      <w:pPr>
        <w:ind w:left="960" w:right="219" w:hanging="346"/>
        <w:spacing w:after="0" w:line="263" w:lineRule="auto"/>
        <w:tabs>
          <w:tab w:leader="none" w:pos="9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93" w:lineRule="exact"/>
        <w:rPr>
          <w:sz w:val="20"/>
          <w:szCs w:val="20"/>
          <w:color w:val="auto"/>
        </w:rPr>
      </w:pPr>
    </w:p>
    <w:p>
      <w:pPr>
        <w:ind w:left="200" w:right="259" w:firstLine="345"/>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 xml:space="preserve">Generally. </w:t>
      </w:r>
      <w:r>
        <w:rPr>
          <w:rFonts w:ascii="Times New Roman" w:cs="Times New Roman" w:eastAsia="Times New Roman" w:hAnsi="Times New Roman"/>
          <w:sz w:val="14"/>
          <w:szCs w:val="14"/>
          <w:color w:val="auto"/>
        </w:rPr>
        <w:t>Unless we say otherwise in a prospectus supplement, the payment of principal, premium, if any, and interest on subordinated debt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41" w:lineRule="exact"/>
        <w:rPr>
          <w:sz w:val="20"/>
          <w:szCs w:val="20"/>
          <w:color w:val="auto"/>
        </w:rPr>
      </w:pPr>
    </w:p>
    <w:p>
      <w:pPr>
        <w:jc w:val="both"/>
        <w:ind w:left="200" w:right="679" w:firstLine="345"/>
        <w:spacing w:after="0" w:line="268" w:lineRule="auto"/>
        <w:rPr>
          <w:sz w:val="20"/>
          <w:szCs w:val="20"/>
          <w:color w:val="auto"/>
        </w:rPr>
      </w:pPr>
      <w:r>
        <w:rPr>
          <w:rFonts w:ascii="Times New Roman" w:cs="Times New Roman" w:eastAsia="Times New Roman" w:hAnsi="Times New Roman"/>
          <w:sz w:val="14"/>
          <w:szCs w:val="14"/>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63" w:lineRule="exact"/>
        <w:rPr>
          <w:sz w:val="20"/>
          <w:szCs w:val="20"/>
          <w:color w:val="auto"/>
        </w:rPr>
      </w:pPr>
    </w:p>
    <w:p>
      <w:pPr>
        <w:ind w:left="960" w:hanging="346"/>
        <w:spacing w:after="0"/>
        <w:tabs>
          <w:tab w:leader="none" w:pos="9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for money borrowed or represented by purchase-money obligations;</w:t>
      </w:r>
    </w:p>
    <w:p>
      <w:pPr>
        <w:spacing w:after="0" w:line="103" w:lineRule="exact"/>
        <w:rPr>
          <w:rFonts w:ascii="Times New Roman" w:cs="Times New Roman" w:eastAsia="Times New Roman" w:hAnsi="Times New Roman"/>
          <w:sz w:val="14"/>
          <w:szCs w:val="14"/>
          <w:color w:val="auto"/>
        </w:rPr>
      </w:pPr>
    </w:p>
    <w:p>
      <w:pPr>
        <w:ind w:left="960" w:right="639" w:hanging="346"/>
        <w:spacing w:after="0" w:line="285" w:lineRule="auto"/>
        <w:tabs>
          <w:tab w:leader="none" w:pos="9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evidenced by notes, debentures, or bonds, or other securities issued under the provisions of an indenture, fiscal agency agreement or other instrument;</w:t>
      </w:r>
    </w:p>
    <w:p>
      <w:pPr>
        <w:spacing w:after="0" w:line="51" w:lineRule="exact"/>
        <w:rPr>
          <w:rFonts w:ascii="Times New Roman" w:cs="Times New Roman" w:eastAsia="Times New Roman" w:hAnsi="Times New Roman"/>
          <w:sz w:val="14"/>
          <w:szCs w:val="14"/>
          <w:color w:val="auto"/>
        </w:rPr>
      </w:pPr>
    </w:p>
    <w:p>
      <w:pPr>
        <w:ind w:left="960" w:right="439" w:hanging="346"/>
        <w:spacing w:after="0" w:line="285" w:lineRule="auto"/>
        <w:tabs>
          <w:tab w:leader="none" w:pos="9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obligations as lessee under leases of property whether made as part of any sale and leaseback transaction to which we are a party or otherwise;</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of partnerships and joint ventures which is included in our consolidated financial statements;</w:t>
      </w:r>
    </w:p>
    <w:p>
      <w:pPr>
        <w:spacing w:after="0" w:line="103" w:lineRule="exact"/>
        <w:rPr>
          <w:rFonts w:ascii="Times New Roman" w:cs="Times New Roman" w:eastAsia="Times New Roman" w:hAnsi="Times New Roman"/>
          <w:sz w:val="14"/>
          <w:szCs w:val="14"/>
          <w:color w:val="auto"/>
        </w:rPr>
      </w:pPr>
    </w:p>
    <w:p>
      <w:pPr>
        <w:ind w:left="960" w:right="319" w:hanging="346"/>
        <w:spacing w:after="0" w:line="285" w:lineRule="auto"/>
        <w:tabs>
          <w:tab w:leader="none" w:pos="9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Times New Roman" w:cs="Times New Roman" w:eastAsia="Times New Roman" w:hAnsi="Times New Roman"/>
          <w:sz w:val="14"/>
          <w:szCs w:val="14"/>
          <w:color w:val="auto"/>
        </w:rPr>
      </w:pPr>
    </w:p>
    <w:p>
      <w:pPr>
        <w:ind w:left="960" w:right="219" w:hanging="346"/>
        <w:spacing w:after="0" w:line="285" w:lineRule="auto"/>
        <w:tabs>
          <w:tab w:leader="none" w:pos="9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binding commitment to fund any real estate investment or to fund any investment in any entity making a real estate investment, in each case other than</w:t>
      </w:r>
    </w:p>
    <w:p>
      <w:pPr>
        <w:spacing w:after="0" w:line="51" w:lineRule="exact"/>
        <w:rPr>
          <w:rFonts w:ascii="Times New Roman" w:cs="Times New Roman" w:eastAsia="Times New Roman" w:hAnsi="Times New Roman"/>
          <w:sz w:val="14"/>
          <w:szCs w:val="14"/>
          <w:color w:val="auto"/>
        </w:rPr>
      </w:pPr>
    </w:p>
    <w:p>
      <w:pPr>
        <w:ind w:left="1300" w:right="459" w:hanging="253"/>
        <w:spacing w:after="0" w:line="263" w:lineRule="auto"/>
        <w:tabs>
          <w:tab w:leader="none" w:pos="130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66" w:lineRule="exact"/>
        <w:rPr>
          <w:rFonts w:ascii="Times New Roman" w:cs="Times New Roman" w:eastAsia="Times New Roman" w:hAnsi="Times New Roman"/>
          <w:sz w:val="14"/>
          <w:szCs w:val="14"/>
          <w:color w:val="auto"/>
        </w:rPr>
      </w:pPr>
    </w:p>
    <w:p>
      <w:pPr>
        <w:ind w:left="1300" w:right="439" w:hanging="253"/>
        <w:spacing w:after="0" w:line="285" w:lineRule="auto"/>
        <w:tabs>
          <w:tab w:leader="none" w:pos="130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1" w:lineRule="exact"/>
        <w:rPr>
          <w:rFonts w:ascii="Times New Roman" w:cs="Times New Roman" w:eastAsia="Times New Roman" w:hAnsi="Times New Roman"/>
          <w:sz w:val="14"/>
          <w:szCs w:val="14"/>
          <w:color w:val="auto"/>
        </w:rPr>
      </w:pPr>
    </w:p>
    <w:p>
      <w:pPr>
        <w:ind w:left="1300" w:hanging="253"/>
        <w:spacing w:after="0"/>
        <w:tabs>
          <w:tab w:leader="none" w:pos="130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subordinated debt securities.</w:t>
      </w:r>
    </w:p>
    <w:p>
      <w:pPr>
        <w:spacing w:after="0" w:line="177" w:lineRule="exact"/>
        <w:rPr>
          <w:sz w:val="20"/>
          <w:szCs w:val="20"/>
          <w:color w:val="auto"/>
        </w:rPr>
      </w:pPr>
    </w:p>
    <w:p>
      <w:pPr>
        <w:ind w:left="200" w:right="439" w:firstLine="345"/>
        <w:spacing w:after="0" w:line="285" w:lineRule="auto"/>
        <w:rPr>
          <w:sz w:val="20"/>
          <w:szCs w:val="20"/>
          <w:color w:val="auto"/>
        </w:rPr>
      </w:pPr>
      <w:r>
        <w:rPr>
          <w:rFonts w:ascii="Times New Roman" w:cs="Times New Roman" w:eastAsia="Times New Roman" w:hAnsi="Times New Roman"/>
          <w:sz w:val="14"/>
          <w:szCs w:val="14"/>
          <w:color w:val="auto"/>
        </w:rPr>
        <w:t>Unless we say otherwise in a prospectus supplement, there will be no restrictions in any subordinated indenture upon the creation of additional senior debt.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1" w:right="1440" w:bottom="1440" w:gutter="0" w:footer="0" w:header="0"/>
        </w:sectPr>
      </w:pPr>
    </w:p>
    <w:bookmarkStart w:id="34" w:name="page35"/>
    <w:bookmarkEnd w:id="34"/>
    <w:p>
      <w:pPr>
        <w:ind w:left="200" w:right="23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Payment Blockage for Payment Defaults. </w:t>
      </w:r>
      <w:r>
        <w:rPr>
          <w:rFonts w:ascii="Times New Roman" w:cs="Times New Roman" w:eastAsia="Times New Roman" w:hAnsi="Times New Roman"/>
          <w:sz w:val="14"/>
          <w:szCs w:val="14"/>
          <w:color w:val="auto"/>
        </w:rPr>
        <w:t>Unless we say otherwise in a prospectus supplement, if we have defaulted in the payment of any senior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debt, we may not:</w:t>
      </w:r>
    </w:p>
    <w:p>
      <w:pPr>
        <w:spacing w:after="0" w:line="49" w:lineRule="exact"/>
        <w:rPr>
          <w:sz w:val="20"/>
          <w:szCs w:val="20"/>
          <w:color w:val="auto"/>
        </w:rPr>
      </w:pPr>
    </w:p>
    <w:p>
      <w:pPr>
        <w:ind w:left="960" w:hanging="346"/>
        <w:spacing w:after="0"/>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any principal, premium, if any, or interest on subordinated debt securities; or</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redeem, defease, or otherwise acquire any subordinated debt securities.</w:t>
      </w:r>
    </w:p>
    <w:p>
      <w:pPr>
        <w:spacing w:after="0" w:line="177" w:lineRule="exact"/>
        <w:rPr>
          <w:sz w:val="20"/>
          <w:szCs w:val="20"/>
          <w:color w:val="auto"/>
        </w:rPr>
      </w:pPr>
    </w:p>
    <w:p>
      <w:pPr>
        <w:ind w:left="200" w:right="479" w:firstLine="345"/>
        <w:spacing w:after="0" w:line="285" w:lineRule="auto"/>
        <w:rPr>
          <w:sz w:val="20"/>
          <w:szCs w:val="20"/>
          <w:color w:val="auto"/>
        </w:rPr>
      </w:pPr>
      <w:r>
        <w:rPr>
          <w:rFonts w:ascii="Times New Roman" w:cs="Times New Roman" w:eastAsia="Times New Roman" w:hAnsi="Times New Roman"/>
          <w:sz w:val="14"/>
          <w:szCs w:val="14"/>
          <w:color w:val="auto"/>
        </w:rPr>
        <w:t>This prohibition will not affect any payment we have already made to defease debt securities, as described under “— Defeasance or Covenant Defeasance of Indentures,” below.</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We must resume payment on our subordinated debt securities, and make any payments we have missed, when one of the following has occurred:</w:t>
      </w:r>
    </w:p>
    <w:p>
      <w:pPr>
        <w:spacing w:after="0" w:line="103" w:lineRule="exact"/>
        <w:rPr>
          <w:sz w:val="20"/>
          <w:szCs w:val="20"/>
          <w:color w:val="auto"/>
        </w:rPr>
      </w:pPr>
    </w:p>
    <w:p>
      <w:pPr>
        <w:ind w:left="960" w:hanging="346"/>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debt has been discharged or paid in full;</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senior debt have waived payment; or</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default has otherwise been cured or ceased to exist.</w:t>
      </w:r>
    </w:p>
    <w:p>
      <w:pPr>
        <w:spacing w:after="0" w:line="175" w:lineRule="exact"/>
        <w:rPr>
          <w:sz w:val="20"/>
          <w:szCs w:val="20"/>
          <w:color w:val="auto"/>
        </w:rPr>
      </w:pPr>
    </w:p>
    <w:p>
      <w:pPr>
        <w:ind w:left="200" w:right="29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 xml:space="preserve">Payment Blockage for Non-Payment Defaults. </w:t>
      </w:r>
      <w:r>
        <w:rPr>
          <w:rFonts w:ascii="Times New Roman" w:cs="Times New Roman" w:eastAsia="Times New Roman" w:hAnsi="Times New Roman"/>
          <w:sz w:val="14"/>
          <w:szCs w:val="14"/>
          <w:color w:val="auto"/>
        </w:rPr>
        <w:t>Unless we say otherwise in a prospectus supplement, we will also be prohibited from paying 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amounts or distributing any assets if:</w:t>
      </w:r>
    </w:p>
    <w:p>
      <w:pPr>
        <w:spacing w:after="0" w:line="49" w:lineRule="exact"/>
        <w:rPr>
          <w:sz w:val="20"/>
          <w:szCs w:val="20"/>
          <w:color w:val="auto"/>
        </w:rPr>
      </w:pPr>
    </w:p>
    <w:p>
      <w:pPr>
        <w:ind w:left="960" w:hanging="346"/>
        <w:spacing w:after="0"/>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defaulted on senior debt in a way that does not involve a failure to pay amounts but accelerates payment;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trustee for the subordinated debt securities have received written notice of this default.</w:t>
      </w:r>
    </w:p>
    <w:p>
      <w:pPr>
        <w:spacing w:after="0" w:line="177" w:lineRule="exact"/>
        <w:rPr>
          <w:sz w:val="20"/>
          <w:szCs w:val="20"/>
          <w:color w:val="auto"/>
        </w:rPr>
      </w:pPr>
    </w:p>
    <w:p>
      <w:pPr>
        <w:jc w:val="both"/>
        <w:ind w:left="200" w:right="659" w:firstLine="345"/>
        <w:spacing w:after="0" w:line="268" w:lineRule="auto"/>
        <w:rPr>
          <w:sz w:val="20"/>
          <w:szCs w:val="20"/>
          <w:color w:val="auto"/>
        </w:rPr>
      </w:pPr>
      <w:r>
        <w:rPr>
          <w:rFonts w:ascii="Times New Roman" w:cs="Times New Roman" w:eastAsia="Times New Roman" w:hAnsi="Times New Roman"/>
          <w:sz w:val="14"/>
          <w:szCs w:val="14"/>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63" w:lineRule="exact"/>
        <w:rPr>
          <w:sz w:val="20"/>
          <w:szCs w:val="20"/>
          <w:color w:val="auto"/>
        </w:rPr>
      </w:pPr>
    </w:p>
    <w:p>
      <w:pPr>
        <w:ind w:left="960" w:right="259" w:hanging="346"/>
        <w:spacing w:after="0" w:line="285" w:lineRule="auto"/>
        <w:tabs>
          <w:tab w:leader="none" w:pos="9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that is 179 days after receipt of notice (unless we have previously been required to pay all amounts owing on the applicable senior debt);</w:t>
      </w:r>
    </w:p>
    <w:p>
      <w:pPr>
        <w:spacing w:after="0" w:line="51" w:lineRule="exact"/>
        <w:rPr>
          <w:rFonts w:ascii="Times New Roman" w:cs="Times New Roman" w:eastAsia="Times New Roman" w:hAnsi="Times New Roman"/>
          <w:sz w:val="14"/>
          <w:szCs w:val="14"/>
          <w:color w:val="auto"/>
        </w:rPr>
      </w:pPr>
    </w:p>
    <w:p>
      <w:pPr>
        <w:ind w:left="960" w:right="379" w:hanging="346"/>
        <w:spacing w:after="0" w:line="285" w:lineRule="auto"/>
        <w:tabs>
          <w:tab w:leader="none" w:pos="9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the default and all other similar defaults as to which notice has been given shall have been cured, waived or shall have ceased to exist;</w:t>
      </w:r>
    </w:p>
    <w:p>
      <w:pPr>
        <w:spacing w:after="0" w:line="51" w:lineRule="exact"/>
        <w:rPr>
          <w:rFonts w:ascii="Times New Roman" w:cs="Times New Roman" w:eastAsia="Times New Roman" w:hAnsi="Times New Roman"/>
          <w:sz w:val="14"/>
          <w:szCs w:val="14"/>
          <w:color w:val="auto"/>
        </w:rPr>
      </w:pPr>
    </w:p>
    <w:p>
      <w:pPr>
        <w:ind w:left="960" w:right="339" w:hanging="346"/>
        <w:spacing w:after="0" w:line="285" w:lineRule="auto"/>
        <w:tabs>
          <w:tab w:leader="none" w:pos="9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the applicable senior debt (and all other senior debt as to which notice has been given) shall have been discharged or paid in full; and</w:t>
      </w:r>
    </w:p>
    <w:p>
      <w:pPr>
        <w:spacing w:after="0" w:line="51" w:lineRule="exact"/>
        <w:rPr>
          <w:rFonts w:ascii="Times New Roman" w:cs="Times New Roman" w:eastAsia="Times New Roman" w:hAnsi="Times New Roman"/>
          <w:sz w:val="14"/>
          <w:szCs w:val="14"/>
          <w:color w:val="auto"/>
        </w:rPr>
      </w:pPr>
    </w:p>
    <w:p>
      <w:pPr>
        <w:ind w:left="960" w:right="539" w:hanging="346"/>
        <w:spacing w:after="0" w:line="285" w:lineRule="auto"/>
        <w:tabs>
          <w:tab w:leader="none" w:pos="9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we or the trustee receives written notice from the representative of holders of senior debt or the holders of at least a majority of the senior debt terminating the blockage period.</w:t>
      </w:r>
    </w:p>
    <w:p>
      <w:pPr>
        <w:spacing w:after="0" w:line="125" w:lineRule="exact"/>
        <w:rPr>
          <w:sz w:val="20"/>
          <w:szCs w:val="20"/>
          <w:color w:val="auto"/>
        </w:rPr>
      </w:pPr>
    </w:p>
    <w:p>
      <w:pPr>
        <w:ind w:left="200" w:right="359" w:firstLine="345"/>
        <w:spacing w:after="0" w:line="263" w:lineRule="auto"/>
        <w:rPr>
          <w:sz w:val="20"/>
          <w:szCs w:val="20"/>
          <w:color w:val="auto"/>
        </w:rPr>
      </w:pPr>
      <w:r>
        <w:rPr>
          <w:rFonts w:ascii="Times New Roman" w:cs="Times New Roman" w:eastAsia="Times New Roman" w:hAnsi="Times New Roman"/>
          <w:sz w:val="14"/>
          <w:szCs w:val="14"/>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Default Provisions</w:t>
      </w:r>
    </w:p>
    <w:p>
      <w:pPr>
        <w:spacing w:after="0" w:line="93" w:lineRule="exact"/>
        <w:rPr>
          <w:sz w:val="20"/>
          <w:szCs w:val="20"/>
          <w:color w:val="auto"/>
        </w:rPr>
      </w:pPr>
    </w:p>
    <w:p>
      <w:pPr>
        <w:ind w:left="200" w:right="51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 xml:space="preserve">Events of Default. </w:t>
      </w:r>
      <w:r>
        <w:rPr>
          <w:rFonts w:ascii="Times New Roman" w:cs="Times New Roman" w:eastAsia="Times New Roman" w:hAnsi="Times New Roman"/>
          <w:sz w:val="14"/>
          <w:szCs w:val="14"/>
          <w:color w:val="auto"/>
        </w:rPr>
        <w:t>Unless we say otherwise in a prospectus supplement, each of the following is an event of default as to any of our senior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subordinated debt securities:</w:t>
      </w:r>
    </w:p>
    <w:p>
      <w:pPr>
        <w:spacing w:after="0" w:line="123" w:lineRule="exact"/>
        <w:rPr>
          <w:sz w:val="20"/>
          <w:szCs w:val="20"/>
          <w:color w:val="auto"/>
        </w:rPr>
      </w:pPr>
    </w:p>
    <w:p>
      <w:pPr>
        <w:ind w:left="200" w:right="479" w:firstLine="336"/>
        <w:spacing w:after="0" w:line="285" w:lineRule="auto"/>
        <w:tabs>
          <w:tab w:leader="none" w:pos="67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the payment of any interest or any additional amounts on any debt security of that class or series or of any coupon appertaining thereto when it becomes due and payable, if the default continues for a period of 30 days.</w:t>
      </w:r>
    </w:p>
    <w:p>
      <w:pPr>
        <w:spacing w:after="0" w:line="125" w:lineRule="exact"/>
        <w:rPr>
          <w:rFonts w:ascii="Times New Roman" w:cs="Times New Roman" w:eastAsia="Times New Roman" w:hAnsi="Times New Roman"/>
          <w:sz w:val="14"/>
          <w:szCs w:val="14"/>
          <w:color w:val="auto"/>
        </w:rPr>
      </w:pPr>
    </w:p>
    <w:p>
      <w:pPr>
        <w:ind w:left="200" w:right="359" w:firstLine="336"/>
        <w:spacing w:after="0" w:line="285" w:lineRule="auto"/>
        <w:tabs>
          <w:tab w:leader="none" w:pos="67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the payment of the principal of (or premium, if any, on) any debt security of that class or series at its maturity (upon acceleration, optional or mandatory redemption, required purchase or otherwise).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35" w:name="page36"/>
    <w:bookmarkEnd w:id="35"/>
    <w:p>
      <w:pPr>
        <w:ind w:left="660" w:hanging="124"/>
        <w:spacing w:after="0"/>
        <w:tabs>
          <w:tab w:leader="none" w:pos="6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 default in the deposit of any sinking fund payment as required by the terms of any debt security of that class or series.</w:t>
      </w:r>
    </w:p>
    <w:p>
      <w:pPr>
        <w:spacing w:after="0" w:line="177" w:lineRule="exact"/>
        <w:rPr>
          <w:rFonts w:ascii="Times New Roman" w:cs="Times New Roman" w:eastAsia="Times New Roman" w:hAnsi="Times New Roman"/>
          <w:sz w:val="14"/>
          <w:szCs w:val="14"/>
          <w:color w:val="auto"/>
        </w:rPr>
      </w:pPr>
    </w:p>
    <w:p>
      <w:pPr>
        <w:ind w:left="200" w:right="239" w:firstLine="336"/>
        <w:spacing w:after="0" w:line="268" w:lineRule="auto"/>
        <w:tabs>
          <w:tab w:leader="none" w:pos="67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37" w:lineRule="exact"/>
        <w:rPr>
          <w:sz w:val="20"/>
          <w:szCs w:val="20"/>
          <w:color w:val="auto"/>
        </w:rPr>
      </w:pPr>
    </w:p>
    <w:p>
      <w:pPr>
        <w:ind w:left="720" w:hanging="184"/>
        <w:spacing w:after="0"/>
        <w:tabs>
          <w:tab w:leader="none" w:pos="7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by the trustee; or</w:t>
      </w:r>
    </w:p>
    <w:p>
      <w:pPr>
        <w:spacing w:after="0" w:line="177" w:lineRule="exact"/>
        <w:rPr>
          <w:rFonts w:ascii="Times New Roman" w:cs="Times New Roman" w:eastAsia="Times New Roman" w:hAnsi="Times New Roman"/>
          <w:sz w:val="14"/>
          <w:szCs w:val="14"/>
          <w:color w:val="auto"/>
        </w:rPr>
      </w:pPr>
    </w:p>
    <w:p>
      <w:pPr>
        <w:ind w:left="740" w:hanging="204"/>
        <w:spacing w:after="0"/>
        <w:tabs>
          <w:tab w:leader="none" w:pos="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and the trustee by the holders of at least 25% in aggregate principal amount of the outstanding debt securities of the class or series.</w:t>
      </w:r>
    </w:p>
    <w:p>
      <w:pPr>
        <w:spacing w:after="0" w:line="177" w:lineRule="exact"/>
        <w:rPr>
          <w:sz w:val="20"/>
          <w:szCs w:val="20"/>
          <w:color w:val="auto"/>
        </w:rPr>
      </w:pPr>
    </w:p>
    <w:p>
      <w:pPr>
        <w:ind w:left="200" w:right="379" w:firstLine="336"/>
        <w:spacing w:after="0" w:line="256" w:lineRule="auto"/>
        <w:tabs>
          <w:tab w:leader="none" w:pos="683"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48" w:lineRule="exact"/>
        <w:rPr>
          <w:rFonts w:ascii="Times New Roman" w:cs="Times New Roman" w:eastAsia="Times New Roman" w:hAnsi="Times New Roman"/>
          <w:sz w:val="14"/>
          <w:szCs w:val="14"/>
          <w:color w:val="auto"/>
        </w:rPr>
      </w:pPr>
    </w:p>
    <w:p>
      <w:pPr>
        <w:ind w:left="680" w:hanging="144"/>
        <w:spacing w:after="0"/>
        <w:tabs>
          <w:tab w:leader="none" w:pos="6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by a court of competent jurisdiction under any applicable bankruptcy law that:</w:t>
      </w:r>
    </w:p>
    <w:p>
      <w:pPr>
        <w:spacing w:after="0" w:line="93" w:lineRule="exact"/>
        <w:rPr>
          <w:sz w:val="20"/>
          <w:szCs w:val="20"/>
          <w:color w:val="auto"/>
        </w:rPr>
      </w:pPr>
    </w:p>
    <w:p>
      <w:pPr>
        <w:ind w:left="720" w:hanging="184"/>
        <w:spacing w:after="0"/>
        <w:tabs>
          <w:tab w:leader="none" w:pos="7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us or any of our significant subsidiaries in an involuntary case,</w:t>
      </w:r>
    </w:p>
    <w:p>
      <w:pPr>
        <w:spacing w:after="0" w:line="177" w:lineRule="exact"/>
        <w:rPr>
          <w:rFonts w:ascii="Times New Roman" w:cs="Times New Roman" w:eastAsia="Times New Roman" w:hAnsi="Times New Roman"/>
          <w:sz w:val="14"/>
          <w:szCs w:val="14"/>
          <w:color w:val="auto"/>
        </w:rPr>
      </w:pPr>
    </w:p>
    <w:p>
      <w:pPr>
        <w:ind w:left="740" w:hanging="204"/>
        <w:spacing w:after="0"/>
        <w:tabs>
          <w:tab w:leader="none" w:pos="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receiver in respect of us or any of our significant subsidiaries or for all or substantially all of the property of any of us; or</w:t>
      </w:r>
    </w:p>
    <w:p>
      <w:pPr>
        <w:spacing w:after="0" w:line="177" w:lineRule="exact"/>
        <w:rPr>
          <w:rFonts w:ascii="Times New Roman" w:cs="Times New Roman" w:eastAsia="Times New Roman" w:hAnsi="Times New Roman"/>
          <w:sz w:val="14"/>
          <w:szCs w:val="14"/>
          <w:color w:val="auto"/>
        </w:rPr>
      </w:pPr>
    </w:p>
    <w:p>
      <w:pPr>
        <w:ind w:left="720" w:hanging="184"/>
        <w:spacing w:after="0"/>
        <w:tabs>
          <w:tab w:leader="none" w:pos="7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our liquidation or the liquidation of any of our significant subsidiaries, and the order or decree remains unstayed and in effect for 90</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days.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7. We or any of our significant subsidiaries do any of the following:</w:t>
      </w:r>
    </w:p>
    <w:p>
      <w:pPr>
        <w:spacing w:after="0" w:line="93" w:lineRule="exact"/>
        <w:rPr>
          <w:sz w:val="20"/>
          <w:szCs w:val="20"/>
          <w:color w:val="auto"/>
        </w:rPr>
      </w:pPr>
    </w:p>
    <w:p>
      <w:pPr>
        <w:ind w:left="720" w:hanging="184"/>
        <w:spacing w:after="0"/>
        <w:tabs>
          <w:tab w:leader="none" w:pos="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a voluntary case or proceeding under any applicable bankruptcy law;</w:t>
      </w:r>
    </w:p>
    <w:p>
      <w:pPr>
        <w:spacing w:after="0" w:line="177" w:lineRule="exact"/>
        <w:rPr>
          <w:rFonts w:ascii="Times New Roman" w:cs="Times New Roman" w:eastAsia="Times New Roman" w:hAnsi="Times New Roman"/>
          <w:sz w:val="14"/>
          <w:szCs w:val="14"/>
          <w:color w:val="auto"/>
        </w:rPr>
      </w:pPr>
    </w:p>
    <w:p>
      <w:pPr>
        <w:ind w:left="200" w:right="419" w:firstLine="336"/>
        <w:spacing w:after="0" w:line="285" w:lineRule="auto"/>
        <w:tabs>
          <w:tab w:leader="none" w:pos="74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 to the entry of a decree or order for relief in respect of us or any of our significant subsidiaries in an involuntary case or proceeding under any applicable bankruptcy law;</w:t>
      </w:r>
    </w:p>
    <w:p>
      <w:pPr>
        <w:spacing w:after="0" w:line="125" w:lineRule="exact"/>
        <w:rPr>
          <w:rFonts w:ascii="Times New Roman" w:cs="Times New Roman" w:eastAsia="Times New Roman" w:hAnsi="Times New Roman"/>
          <w:sz w:val="14"/>
          <w:szCs w:val="14"/>
          <w:color w:val="auto"/>
        </w:rPr>
      </w:pPr>
    </w:p>
    <w:p>
      <w:pPr>
        <w:ind w:left="720" w:hanging="184"/>
        <w:spacing w:after="0"/>
        <w:tabs>
          <w:tab w:leader="none" w:pos="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 to the appointment of a receiver in respect of us or any of our significant subsidiaries for all or substantially all of our or its property;</w:t>
      </w:r>
    </w:p>
    <w:p>
      <w:pPr>
        <w:spacing w:after="0" w:line="22" w:lineRule="exact"/>
        <w:rPr>
          <w:rFonts w:ascii="Times New Roman" w:cs="Times New Roman" w:eastAsia="Times New Roman" w:hAnsi="Times New Roman"/>
          <w:sz w:val="14"/>
          <w:szCs w:val="14"/>
          <w:color w:val="auto"/>
        </w:rPr>
      </w:pPr>
    </w:p>
    <w:p>
      <w:pPr>
        <w:ind w:left="2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w:t>
      </w:r>
    </w:p>
    <w:p>
      <w:pPr>
        <w:spacing w:after="0" w:line="162" w:lineRule="exact"/>
        <w:rPr>
          <w:rFonts w:ascii="Times New Roman" w:cs="Times New Roman" w:eastAsia="Times New Roman" w:hAnsi="Times New Roman"/>
          <w:sz w:val="14"/>
          <w:szCs w:val="14"/>
          <w:color w:val="auto"/>
        </w:rPr>
      </w:pPr>
    </w:p>
    <w:p>
      <w:pPr>
        <w:ind w:left="740" w:hanging="204"/>
        <w:spacing w:after="0"/>
        <w:tabs>
          <w:tab w:leader="none" w:pos="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our creditors or the creditors of any of our significant subsidiaries.</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8. Any other event of default provided with respect to the debt securities of that class or series.</w:t>
      </w:r>
    </w:p>
    <w:p>
      <w:pPr>
        <w:spacing w:after="0" w:line="175" w:lineRule="exact"/>
        <w:rPr>
          <w:sz w:val="20"/>
          <w:szCs w:val="20"/>
          <w:color w:val="auto"/>
        </w:rPr>
      </w:pPr>
    </w:p>
    <w:p>
      <w:pPr>
        <w:ind w:left="200" w:right="519" w:firstLine="34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 xml:space="preserve">Waiver of Default. </w:t>
      </w:r>
      <w:r>
        <w:rPr>
          <w:rFonts w:ascii="Times New Roman" w:cs="Times New Roman" w:eastAsia="Times New Roman" w:hAnsi="Times New Roman"/>
          <w:sz w:val="14"/>
          <w:szCs w:val="14"/>
          <w:color w:val="auto"/>
        </w:rPr>
        <w:t>Unless we say otherwise in a prospectus supplement, holders of not less than a majority of the debt securities of a class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series may waive any past default except for:</w:t>
      </w:r>
    </w:p>
    <w:p>
      <w:pPr>
        <w:spacing w:after="0" w:line="49" w:lineRule="exact"/>
        <w:rPr>
          <w:sz w:val="20"/>
          <w:szCs w:val="20"/>
          <w:color w:val="auto"/>
        </w:rPr>
      </w:pPr>
    </w:p>
    <w:p>
      <w:pPr>
        <w:ind w:left="960" w:hanging="346"/>
        <w:spacing w:after="0"/>
        <w:tabs>
          <w:tab w:leader="none" w:pos="9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payment default; or</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on any provision that requires the consent of all holders to modify.</w:t>
      </w:r>
    </w:p>
    <w:p>
      <w:pPr>
        <w:spacing w:after="0" w:line="175" w:lineRule="exact"/>
        <w:rPr>
          <w:sz w:val="20"/>
          <w:szCs w:val="20"/>
          <w:color w:val="auto"/>
        </w:rPr>
      </w:pPr>
    </w:p>
    <w:p>
      <w:pPr>
        <w:ind w:left="200" w:right="219" w:firstLine="34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Acceleration of Payment. </w:t>
      </w:r>
      <w:r>
        <w:rPr>
          <w:rFonts w:ascii="Times New Roman" w:cs="Times New Roman" w:eastAsia="Times New Roman" w:hAnsi="Times New Roman"/>
          <w:sz w:val="14"/>
          <w:szCs w:val="14"/>
          <w:color w:val="auto"/>
        </w:rPr>
        <w:t>Unless we say otherwise in a prospectus supplement, each indenture provides or will provide that if an event of default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occurs and continues, the trustee or the holders of not less than 25% in aggregate principal amount of the debt securities of the applicable class or series outstanding may declare all unpaid principal of, premium, if any, and accrued interest on, all the debt securities of the applicable class or series to be due and payable immediately by a notice given in writing to us (and to the trustee if given by the holders of the debt securities of the applicable class or series). The trustee may, then, at its discretion, proceed to protect and enforce the rights of the holders of the applicable debt securities by appropriate judicial proceeding.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1" w:right="1440" w:bottom="1440" w:gutter="0" w:footer="0" w:header="0"/>
        </w:sectPr>
      </w:pPr>
    </w:p>
    <w:bookmarkStart w:id="36" w:name="page37"/>
    <w:bookmarkEnd w:id="36"/>
    <w:p>
      <w:pPr>
        <w:ind w:left="200" w:right="35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Waiver of Acceleration. </w:t>
      </w:r>
      <w:r>
        <w:rPr>
          <w:rFonts w:ascii="Times New Roman" w:cs="Times New Roman" w:eastAsia="Times New Roman" w:hAnsi="Times New Roman"/>
          <w:sz w:val="14"/>
          <w:szCs w:val="14"/>
          <w:color w:val="auto"/>
        </w:rPr>
        <w:t>Unless we say otherwise in a prospectus supplement, each indenture provides or will provide that, after a declaration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61" w:lineRule="exact"/>
        <w:rPr>
          <w:sz w:val="20"/>
          <w:szCs w:val="20"/>
          <w:color w:val="auto"/>
        </w:rPr>
      </w:pPr>
    </w:p>
    <w:p>
      <w:pPr>
        <w:ind w:left="960" w:hanging="346"/>
        <w:spacing w:after="0"/>
        <w:tabs>
          <w:tab w:leader="none" w:pos="9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deposited with the trustee a sum sufficient to pay:</w:t>
      </w:r>
    </w:p>
    <w:p>
      <w:pPr>
        <w:spacing w:after="0" w:line="103" w:lineRule="exact"/>
        <w:rPr>
          <w:rFonts w:ascii="Times New Roman" w:cs="Times New Roman" w:eastAsia="Times New Roman" w:hAnsi="Times New Roman"/>
          <w:sz w:val="14"/>
          <w:szCs w:val="14"/>
          <w:color w:val="auto"/>
        </w:rPr>
      </w:pPr>
    </w:p>
    <w:p>
      <w:pPr>
        <w:ind w:left="1300" w:right="419" w:hanging="253"/>
        <w:spacing w:after="0" w:line="285" w:lineRule="auto"/>
        <w:tabs>
          <w:tab w:leader="none" w:pos="130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overdue interest and any additional amounts payable on all outstanding debt securities of the applicable class or series and any related coupons,</w:t>
      </w:r>
    </w:p>
    <w:p>
      <w:pPr>
        <w:spacing w:after="0" w:line="51" w:lineRule="exact"/>
        <w:rPr>
          <w:rFonts w:ascii="Times New Roman" w:cs="Times New Roman" w:eastAsia="Times New Roman" w:hAnsi="Times New Roman"/>
          <w:sz w:val="14"/>
          <w:szCs w:val="14"/>
          <w:color w:val="auto"/>
        </w:rPr>
      </w:pPr>
    </w:p>
    <w:p>
      <w:pPr>
        <w:ind w:left="1300" w:right="439" w:hanging="253"/>
        <w:spacing w:after="0" w:line="285" w:lineRule="auto"/>
        <w:tabs>
          <w:tab w:leader="none" w:pos="130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and premium, if any, on any debt securities of the applicable class or series which have become due other than by such declaration of acceleration, plus interest thereon at the rate borne by the debt securities,</w:t>
      </w:r>
    </w:p>
    <w:p>
      <w:pPr>
        <w:spacing w:after="0" w:line="51" w:lineRule="exact"/>
        <w:rPr>
          <w:rFonts w:ascii="Times New Roman" w:cs="Times New Roman" w:eastAsia="Times New Roman" w:hAnsi="Times New Roman"/>
          <w:sz w:val="14"/>
          <w:szCs w:val="14"/>
          <w:color w:val="auto"/>
        </w:rPr>
      </w:pPr>
    </w:p>
    <w:p>
      <w:pPr>
        <w:ind w:left="1300" w:hanging="253"/>
        <w:spacing w:after="0"/>
        <w:tabs>
          <w:tab w:leader="none" w:pos="130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payment of such interest is lawful, interest upon overdue interest at the rate borne by the debt securities, and</w:t>
      </w:r>
    </w:p>
    <w:p>
      <w:pPr>
        <w:spacing w:after="0" w:line="103" w:lineRule="exact"/>
        <w:rPr>
          <w:rFonts w:ascii="Times New Roman" w:cs="Times New Roman" w:eastAsia="Times New Roman" w:hAnsi="Times New Roman"/>
          <w:sz w:val="14"/>
          <w:szCs w:val="14"/>
          <w:color w:val="auto"/>
        </w:rPr>
      </w:pPr>
    </w:p>
    <w:p>
      <w:pPr>
        <w:ind w:left="1300" w:right="739" w:hanging="253"/>
        <w:spacing w:after="0" w:line="285" w:lineRule="auto"/>
        <w:tabs>
          <w:tab w:leader="none" w:pos="130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sums paid or advanced by the trustee under the indenture and the reasonable compensation, expenses, disbursements and advances of the trustee, its agents and counsel; and</w:t>
      </w:r>
    </w:p>
    <w:p>
      <w:pPr>
        <w:spacing w:after="0" w:line="51" w:lineRule="exact"/>
        <w:rPr>
          <w:rFonts w:ascii="Times New Roman" w:cs="Times New Roman" w:eastAsia="Times New Roman" w:hAnsi="Times New Roman"/>
          <w:sz w:val="14"/>
          <w:szCs w:val="14"/>
          <w:color w:val="auto"/>
        </w:rPr>
      </w:pPr>
    </w:p>
    <w:p>
      <w:pPr>
        <w:ind w:left="960" w:right="379" w:hanging="346"/>
        <w:spacing w:after="0" w:line="285" w:lineRule="auto"/>
        <w:tabs>
          <w:tab w:leader="none" w:pos="9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other than the non-payment of principal of the debt securities which have become due solely by such declaration of acceleration, have been cured or waived.</w:t>
      </w:r>
    </w:p>
    <w:p>
      <w:pPr>
        <w:spacing w:after="0" w:line="123" w:lineRule="exact"/>
        <w:rPr>
          <w:sz w:val="20"/>
          <w:szCs w:val="20"/>
          <w:color w:val="auto"/>
        </w:rPr>
      </w:pPr>
    </w:p>
    <w:p>
      <w:pPr>
        <w:ind w:left="200" w:right="279" w:firstLine="34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Notices of Default. </w:t>
      </w:r>
      <w:r>
        <w:rPr>
          <w:rFonts w:ascii="Times New Roman" w:cs="Times New Roman" w:eastAsia="Times New Roman" w:hAnsi="Times New Roman"/>
          <w:sz w:val="14"/>
          <w:szCs w:val="14"/>
          <w:color w:val="auto"/>
        </w:rPr>
        <w:t>Unless we say otherwise in a prospectus supplement, we are required to deliver to the trustee, on or before a date not more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class or series of debt securities of any default with respect to such class or series (except a default in the payment of the principal of, and premium, if any, or interest on or any additional amounts with respect to any debt security of such class or series or in the payment of any sinking fund installment in respect of any debt security of such class or series) if the trustee considers such withholding to be in the interest of the holders.</w:t>
      </w:r>
    </w:p>
    <w:p>
      <w:pPr>
        <w:spacing w:after="0" w:line="143" w:lineRule="exact"/>
        <w:rPr>
          <w:sz w:val="20"/>
          <w:szCs w:val="20"/>
          <w:color w:val="auto"/>
        </w:rPr>
      </w:pPr>
    </w:p>
    <w:p>
      <w:pPr>
        <w:ind w:left="200" w:right="199" w:firstLine="34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Limitation on Suits. </w:t>
      </w:r>
      <w:r>
        <w:rPr>
          <w:rFonts w:ascii="Times New Roman" w:cs="Times New Roman" w:eastAsia="Times New Roman" w:hAnsi="Times New Roman"/>
          <w:sz w:val="14"/>
          <w:szCs w:val="14"/>
          <w:color w:val="auto"/>
        </w:rPr>
        <w:t>Unless we say otherwise in a prospectus supplement, each indenture provides or will provide that no holders of debt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securities of any class or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class or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class or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43" w:lineRule="exact"/>
        <w:rPr>
          <w:sz w:val="20"/>
          <w:szCs w:val="20"/>
          <w:color w:val="auto"/>
        </w:rPr>
      </w:pPr>
    </w:p>
    <w:p>
      <w:pPr>
        <w:jc w:val="both"/>
        <w:ind w:left="200" w:right="45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Obligations of Trustee. </w:t>
      </w:r>
      <w:r>
        <w:rPr>
          <w:rFonts w:ascii="Times New Roman" w:cs="Times New Roman" w:eastAsia="Times New Roman" w:hAnsi="Times New Roman"/>
          <w:sz w:val="14"/>
          <w:szCs w:val="14"/>
          <w:color w:val="auto"/>
        </w:rPr>
        <w:t>Unless we say otherwise in a prospectus supplement, the trustee is under no obligation to exercise any of the rights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35" w:lineRule="exact"/>
        <w:rPr>
          <w:sz w:val="20"/>
          <w:szCs w:val="20"/>
          <w:color w:val="auto"/>
        </w:rPr>
      </w:pPr>
    </w:p>
    <w:p>
      <w:pPr>
        <w:ind w:left="200" w:right="379" w:firstLine="345"/>
        <w:spacing w:after="0" w:line="268" w:lineRule="auto"/>
        <w:rPr>
          <w:sz w:val="20"/>
          <w:szCs w:val="20"/>
          <w:color w:val="auto"/>
        </w:rPr>
      </w:pPr>
      <w:r>
        <w:rPr>
          <w:rFonts w:ascii="Times New Roman" w:cs="Times New Roman" w:eastAsia="Times New Roman" w:hAnsi="Times New Roman"/>
          <w:sz w:val="14"/>
          <w:szCs w:val="14"/>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37" w:lineRule="exact"/>
        <w:rPr>
          <w:sz w:val="20"/>
          <w:szCs w:val="20"/>
          <w:color w:val="auto"/>
        </w:rPr>
      </w:pPr>
    </w:p>
    <w:p>
      <w:pPr>
        <w:ind w:left="200" w:right="419" w:firstLine="345"/>
        <w:spacing w:after="0" w:line="285" w:lineRule="auto"/>
        <w:rPr>
          <w:sz w:val="20"/>
          <w:szCs w:val="20"/>
          <w:color w:val="auto"/>
        </w:rPr>
      </w:pPr>
      <w:r>
        <w:rPr>
          <w:rFonts w:ascii="Times New Roman" w:cs="Times New Roman" w:eastAsia="Times New Roman" w:hAnsi="Times New Roman"/>
          <w:sz w:val="14"/>
          <w:szCs w:val="14"/>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37" w:name="page38"/>
    <w:bookmarkEnd w:id="37"/>
    <w:p>
      <w:pPr>
        <w:ind w:left="2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Defeasance or Covenant Defeasance of Indenture</w:t>
      </w:r>
    </w:p>
    <w:p>
      <w:pPr>
        <w:spacing w:after="0" w:line="95" w:lineRule="exact"/>
        <w:rPr>
          <w:sz w:val="20"/>
          <w:szCs w:val="20"/>
          <w:color w:val="auto"/>
        </w:rPr>
      </w:pPr>
    </w:p>
    <w:p>
      <w:pPr>
        <w:ind w:left="200" w:right="219" w:firstLine="345"/>
        <w:spacing w:after="0" w:line="268" w:lineRule="auto"/>
        <w:rPr>
          <w:sz w:val="20"/>
          <w:szCs w:val="20"/>
          <w:color w:val="auto"/>
        </w:rPr>
      </w:pPr>
      <w:r>
        <w:rPr>
          <w:rFonts w:ascii="Times New Roman" w:cs="Times New Roman" w:eastAsia="Times New Roman" w:hAnsi="Times New Roman"/>
          <w:sz w:val="14"/>
          <w:szCs w:val="14"/>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class or series of debt securities that is defeased will be deemed to have been discharged, except for:</w:t>
      </w:r>
    </w:p>
    <w:p>
      <w:pPr>
        <w:spacing w:after="0" w:line="63" w:lineRule="exact"/>
        <w:rPr>
          <w:sz w:val="20"/>
          <w:szCs w:val="20"/>
          <w:color w:val="auto"/>
        </w:rPr>
      </w:pPr>
    </w:p>
    <w:p>
      <w:pPr>
        <w:ind w:left="960" w:right="559" w:hanging="346"/>
        <w:spacing w:after="0" w:line="285" w:lineRule="auto"/>
        <w:tabs>
          <w:tab w:leader="none" w:pos="9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1" w:lineRule="exact"/>
        <w:rPr>
          <w:rFonts w:ascii="Times New Roman" w:cs="Times New Roman" w:eastAsia="Times New Roman" w:hAnsi="Times New Roman"/>
          <w:sz w:val="14"/>
          <w:szCs w:val="14"/>
          <w:color w:val="auto"/>
        </w:rPr>
      </w:pPr>
    </w:p>
    <w:p>
      <w:pPr>
        <w:ind w:left="960" w:right="319" w:hanging="346"/>
        <w:spacing w:after="0" w:line="268" w:lineRule="auto"/>
        <w:tabs>
          <w:tab w:leader="none" w:pos="9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6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powers, trusts, duties and immunities of the trustee;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defeasance provisions of the indenture.</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We will also be able to free ourselves from certain covenants that are described in an indenture by taking the actions described below. The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discharge of obligations using this process is known as “covenant defeasance.” If we defease covenants under debt securities, then certain events</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(not including non-payment, enforceability of any guarantee, bankruptcy and insolvency events) described under “— Events of Default” will no longer</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constitute an event of default with respect to the debt securities.</w:t>
      </w:r>
    </w:p>
    <w:p>
      <w:pPr>
        <w:spacing w:after="0" w:line="163" w:lineRule="exact"/>
        <w:rPr>
          <w:sz w:val="20"/>
          <w:szCs w:val="20"/>
          <w:color w:val="auto"/>
        </w:rPr>
      </w:pPr>
    </w:p>
    <w:p>
      <w:pPr>
        <w:ind w:left="200" w:right="539" w:firstLine="345"/>
        <w:spacing w:after="0" w:line="285" w:lineRule="auto"/>
        <w:rPr>
          <w:sz w:val="20"/>
          <w:szCs w:val="20"/>
          <w:color w:val="auto"/>
        </w:rPr>
      </w:pPr>
      <w:r>
        <w:rPr>
          <w:rFonts w:ascii="Times New Roman" w:cs="Times New Roman" w:eastAsia="Times New Roman" w:hAnsi="Times New Roman"/>
          <w:sz w:val="14"/>
          <w:szCs w:val="14"/>
          <w:color w:val="auto"/>
        </w:rPr>
        <w:t>Unless we say otherwise in a prospectus supplement, in order to exercise either defeasance or covenant defeasance as to the outstanding debt securities of a class or series:</w:t>
      </w:r>
    </w:p>
    <w:p>
      <w:pPr>
        <w:spacing w:after="0" w:line="51" w:lineRule="exact"/>
        <w:rPr>
          <w:sz w:val="20"/>
          <w:szCs w:val="20"/>
          <w:color w:val="auto"/>
        </w:rPr>
      </w:pPr>
    </w:p>
    <w:p>
      <w:pPr>
        <w:ind w:left="960" w:right="219" w:hanging="346"/>
        <w:spacing w:after="0" w:line="257" w:lineRule="auto"/>
        <w:tabs>
          <w:tab w:leader="none" w:pos="9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irrevocably deposit with the trustee, in trust, for the benefit of the holders of the debt securities of the applicable class or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class or series on the stated maturity of such principal or installment of principal or interest and any mandatory sinking fund payments;</w:t>
      </w:r>
    </w:p>
    <w:p>
      <w:pPr>
        <w:spacing w:after="0" w:line="72"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defeasance, we will deliver to the trustee an opinion of counsel confirming that either:</w:t>
      </w:r>
    </w:p>
    <w:p>
      <w:pPr>
        <w:spacing w:after="0" w:line="103" w:lineRule="exact"/>
        <w:rPr>
          <w:rFonts w:ascii="Times New Roman" w:cs="Times New Roman" w:eastAsia="Times New Roman" w:hAnsi="Times New Roman"/>
          <w:sz w:val="14"/>
          <w:szCs w:val="14"/>
          <w:color w:val="auto"/>
        </w:rPr>
      </w:pPr>
    </w:p>
    <w:p>
      <w:pPr>
        <w:ind w:left="1300" w:hanging="253"/>
        <w:spacing w:after="0"/>
        <w:tabs>
          <w:tab w:leader="none" w:pos="13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received from, or there has been published by, the Internal Revenue Service a ruling, or</w:t>
      </w:r>
    </w:p>
    <w:p>
      <w:pPr>
        <w:spacing w:after="0" w:line="103" w:lineRule="exact"/>
        <w:rPr>
          <w:rFonts w:ascii="Times New Roman" w:cs="Times New Roman" w:eastAsia="Times New Roman" w:hAnsi="Times New Roman"/>
          <w:sz w:val="14"/>
          <w:szCs w:val="14"/>
          <w:color w:val="auto"/>
        </w:rPr>
      </w:pPr>
    </w:p>
    <w:p>
      <w:pPr>
        <w:ind w:left="1300" w:hanging="253"/>
        <w:spacing w:after="0"/>
        <w:tabs>
          <w:tab w:leader="none" w:pos="13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execution of the indenture, there has been a change in the applicable federal income tax law,</w:t>
      </w:r>
    </w:p>
    <w:p>
      <w:pPr>
        <w:spacing w:after="0" w:line="177" w:lineRule="exact"/>
        <w:rPr>
          <w:sz w:val="20"/>
          <w:szCs w:val="20"/>
          <w:color w:val="auto"/>
        </w:rPr>
      </w:pPr>
    </w:p>
    <w:p>
      <w:pPr>
        <w:jc w:val="both"/>
        <w:ind w:left="200" w:right="259" w:firstLine="345"/>
        <w:spacing w:after="0" w:line="268" w:lineRule="auto"/>
        <w:rPr>
          <w:sz w:val="20"/>
          <w:szCs w:val="20"/>
          <w:color w:val="auto"/>
        </w:rPr>
      </w:pPr>
      <w:r>
        <w:rPr>
          <w:rFonts w:ascii="Times New Roman" w:cs="Times New Roman" w:eastAsia="Times New Roman" w:hAnsi="Times New Roman"/>
          <w:sz w:val="14"/>
          <w:szCs w:val="14"/>
          <w:color w:val="auto"/>
        </w:rPr>
        <w:t>the effect of either being that the holders of the outstanding debt securities of the applicable class or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63" w:lineRule="exact"/>
        <w:rPr>
          <w:sz w:val="20"/>
          <w:szCs w:val="20"/>
          <w:color w:val="auto"/>
        </w:rPr>
      </w:pPr>
    </w:p>
    <w:p>
      <w:pPr>
        <w:ind w:left="960" w:right="219" w:hanging="346"/>
        <w:spacing w:after="0" w:line="263" w:lineRule="auto"/>
        <w:tabs>
          <w:tab w:leader="none" w:pos="9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covenant defeasance, we will deliver to the trustee an opinion of counsel to the effect that the holders of the debt securities of the applicable class or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6" w:lineRule="exact"/>
        <w:rPr>
          <w:rFonts w:ascii="Times New Roman" w:cs="Times New Roman" w:eastAsia="Times New Roman" w:hAnsi="Times New Roman"/>
          <w:sz w:val="14"/>
          <w:szCs w:val="14"/>
          <w:color w:val="auto"/>
        </w:rPr>
      </w:pPr>
    </w:p>
    <w:p>
      <w:pPr>
        <w:jc w:val="both"/>
        <w:ind w:left="960" w:right="339" w:hanging="346"/>
        <w:spacing w:after="0" w:line="268" w:lineRule="auto"/>
        <w:tabs>
          <w:tab w:leader="none" w:pos="9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38" w:name="page39"/>
    <w:bookmarkEnd w:id="38"/>
    <w:p>
      <w:pPr>
        <w:ind w:left="960" w:right="359" w:hanging="346"/>
        <w:spacing w:after="0" w:line="285" w:lineRule="auto"/>
        <w:tabs>
          <w:tab w:leader="none" w:pos="9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defeasance or covenant defeasance shall not result in a breach or violation of, or constitute a default under, the indenture or any other material agreement or instrument to which we are a party or by which we are bound;</w:t>
      </w:r>
    </w:p>
    <w:p>
      <w:pPr>
        <w:spacing w:after="0" w:line="51" w:lineRule="exact"/>
        <w:rPr>
          <w:rFonts w:ascii="Times New Roman" w:cs="Times New Roman" w:eastAsia="Times New Roman" w:hAnsi="Times New Roman"/>
          <w:sz w:val="14"/>
          <w:szCs w:val="14"/>
          <w:color w:val="auto"/>
        </w:rPr>
      </w:pPr>
    </w:p>
    <w:p>
      <w:pPr>
        <w:ind w:left="960" w:right="339" w:hanging="346"/>
        <w:spacing w:after="0" w:line="285" w:lineRule="auto"/>
        <w:tabs>
          <w:tab w:leader="none" w:pos="9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1" w:lineRule="exact"/>
        <w:rPr>
          <w:rFonts w:ascii="Times New Roman" w:cs="Times New Roman" w:eastAsia="Times New Roman" w:hAnsi="Times New Roman"/>
          <w:sz w:val="14"/>
          <w:szCs w:val="14"/>
          <w:color w:val="auto"/>
        </w:rPr>
      </w:pPr>
    </w:p>
    <w:p>
      <w:pPr>
        <w:ind w:left="960" w:right="259" w:hanging="346"/>
        <w:spacing w:after="0" w:line="268" w:lineRule="auto"/>
        <w:tabs>
          <w:tab w:leader="none" w:pos="9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Modifications and Amendments</w:t>
      </w:r>
    </w:p>
    <w:p>
      <w:pPr>
        <w:spacing w:after="0" w:line="95" w:lineRule="exact"/>
        <w:rPr>
          <w:sz w:val="20"/>
          <w:szCs w:val="20"/>
          <w:color w:val="auto"/>
        </w:rPr>
      </w:pPr>
    </w:p>
    <w:p>
      <w:pPr>
        <w:jc w:val="both"/>
        <w:ind w:left="200" w:right="219" w:firstLine="345"/>
        <w:spacing w:after="0" w:line="263" w:lineRule="auto"/>
        <w:rPr>
          <w:sz w:val="20"/>
          <w:szCs w:val="20"/>
          <w:color w:val="auto"/>
        </w:rPr>
      </w:pPr>
      <w:r>
        <w:rPr>
          <w:rFonts w:ascii="Times New Roman" w:cs="Times New Roman" w:eastAsia="Times New Roman" w:hAnsi="Times New Roman"/>
          <w:sz w:val="14"/>
          <w:szCs w:val="14"/>
          <w:color w:val="auto"/>
        </w:rPr>
        <w:t>Unless we say otherwise in a prospectus supplement, we and the trustee may modify and amend either indenture with the consent of the holders of a majority in aggregate principal amount of the outstanding debt securities of all classes or series affected by the modification or amendment; provided, however, that no modification or amendment may, without the consent of the holder of each outstanding debt security of all classes or series affected by the modification or amendment:</w:t>
      </w:r>
    </w:p>
    <w:p>
      <w:pPr>
        <w:spacing w:after="0" w:line="66" w:lineRule="exact"/>
        <w:rPr>
          <w:sz w:val="20"/>
          <w:szCs w:val="20"/>
          <w:color w:val="auto"/>
        </w:rPr>
      </w:pPr>
    </w:p>
    <w:p>
      <w:pPr>
        <w:ind w:left="960" w:hanging="346"/>
        <w:spacing w:after="0"/>
        <w:tabs>
          <w:tab w:leader="none" w:pos="9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installment of interest on, any debt security;</w:t>
      </w:r>
    </w:p>
    <w:p>
      <w:pPr>
        <w:spacing w:after="0" w:line="103" w:lineRule="exact"/>
        <w:rPr>
          <w:rFonts w:ascii="Times New Roman" w:cs="Times New Roman" w:eastAsia="Times New Roman" w:hAnsi="Times New Roman"/>
          <w:sz w:val="14"/>
          <w:szCs w:val="14"/>
          <w:color w:val="auto"/>
        </w:rPr>
      </w:pPr>
    </w:p>
    <w:p>
      <w:pPr>
        <w:ind w:left="960" w:right="299" w:hanging="346"/>
        <w:spacing w:after="0" w:line="263" w:lineRule="auto"/>
        <w:tabs>
          <w:tab w:leader="none" w:pos="9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6"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any right of repayment at the option of the holder of any class or series of outstanding debt security;</w:t>
      </w:r>
    </w:p>
    <w:p>
      <w:pPr>
        <w:spacing w:after="0" w:line="103" w:lineRule="exact"/>
        <w:rPr>
          <w:rFonts w:ascii="Times New Roman" w:cs="Times New Roman" w:eastAsia="Times New Roman" w:hAnsi="Times New Roman"/>
          <w:sz w:val="14"/>
          <w:szCs w:val="14"/>
          <w:color w:val="auto"/>
        </w:rPr>
      </w:pPr>
    </w:p>
    <w:p>
      <w:pPr>
        <w:ind w:left="960" w:right="359" w:hanging="346"/>
        <w:spacing w:after="0" w:line="285" w:lineRule="auto"/>
        <w:tabs>
          <w:tab w:leader="none" w:pos="9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of repayment where, or the currency, currency unit or composite currency in which, the principal or premium, if any, of any debt security or the interest thereon is payable;</w:t>
      </w:r>
    </w:p>
    <w:p>
      <w:pPr>
        <w:spacing w:after="0" w:line="51" w:lineRule="exact"/>
        <w:rPr>
          <w:rFonts w:ascii="Times New Roman" w:cs="Times New Roman" w:eastAsia="Times New Roman" w:hAnsi="Times New Roman"/>
          <w:sz w:val="14"/>
          <w:szCs w:val="14"/>
          <w:color w:val="auto"/>
        </w:rPr>
      </w:pPr>
    </w:p>
    <w:p>
      <w:pPr>
        <w:ind w:left="960" w:right="479" w:hanging="346"/>
        <w:spacing w:after="0" w:line="285" w:lineRule="auto"/>
        <w:tabs>
          <w:tab w:leader="none" w:pos="9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such payment after the stated maturity of the debt security (or in the case of redemption, on or after the redemption date);</w:t>
      </w:r>
    </w:p>
    <w:p>
      <w:pPr>
        <w:spacing w:after="0" w:line="51" w:lineRule="exact"/>
        <w:rPr>
          <w:rFonts w:ascii="Times New Roman" w:cs="Times New Roman" w:eastAsia="Times New Roman" w:hAnsi="Times New Roman"/>
          <w:sz w:val="14"/>
          <w:szCs w:val="14"/>
          <w:color w:val="auto"/>
        </w:rPr>
      </w:pPr>
    </w:p>
    <w:p>
      <w:pPr>
        <w:ind w:left="960" w:right="299" w:hanging="346"/>
        <w:spacing w:after="0" w:line="268" w:lineRule="auto"/>
        <w:tabs>
          <w:tab w:leader="none" w:pos="9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debt securities of any class or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63" w:lineRule="exact"/>
        <w:rPr>
          <w:rFonts w:ascii="Times New Roman" w:cs="Times New Roman" w:eastAsia="Times New Roman" w:hAnsi="Times New Roman"/>
          <w:sz w:val="14"/>
          <w:szCs w:val="14"/>
          <w:color w:val="auto"/>
        </w:rPr>
      </w:pPr>
    </w:p>
    <w:p>
      <w:pPr>
        <w:jc w:val="both"/>
        <w:ind w:left="960" w:right="279" w:hanging="346"/>
        <w:spacing w:after="0" w:line="263" w:lineRule="auto"/>
        <w:tabs>
          <w:tab w:leader="none" w:pos="9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0" w:lineRule="exact"/>
        <w:rPr>
          <w:sz w:val="20"/>
          <w:szCs w:val="20"/>
          <w:color w:val="auto"/>
        </w:rPr>
      </w:pPr>
    </w:p>
    <w:p>
      <w:pPr>
        <w:ind w:left="200" w:right="639" w:firstLine="345"/>
        <w:spacing w:after="0" w:line="285" w:lineRule="auto"/>
        <w:rPr>
          <w:sz w:val="20"/>
          <w:szCs w:val="20"/>
          <w:color w:val="auto"/>
        </w:rPr>
      </w:pPr>
      <w:r>
        <w:rPr>
          <w:rFonts w:ascii="Times New Roman" w:cs="Times New Roman" w:eastAsia="Times New Roman" w:hAnsi="Times New Roman"/>
          <w:sz w:val="14"/>
          <w:szCs w:val="14"/>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60" w:right="219" w:hanging="346"/>
        <w:spacing w:after="0" w:line="285" w:lineRule="auto"/>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evidences the succession of another person to us and the assumption by any such successor of any covenants under the indenture and in the debt securities of any class or series;</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adds to our covenants for the benefit of the holders of all or any class or series of debt securities or surrenders any of our rights or powers;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adds any additional event of default for the benefit of the holders of all or any class or series of debt securities;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secures the debt securities of any class or series;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1" w:right="1440" w:bottom="1440" w:gutter="0" w:footer="0" w:header="0"/>
        </w:sectPr>
      </w:pPr>
    </w:p>
    <w:bookmarkStart w:id="39" w:name="page40"/>
    <w:bookmarkEnd w:id="39"/>
    <w:p>
      <w:pPr>
        <w:ind w:left="960" w:right="219" w:hanging="346"/>
        <w:spacing w:after="0" w:line="260" w:lineRule="auto"/>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class or series of outstanding debt securities in any material respect;</w:t>
      </w:r>
    </w:p>
    <w:p>
      <w:pPr>
        <w:spacing w:after="0" w:line="68"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eliminates any provision affecting only debt securities not yet issued;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establishes the form or terms of debt securities of any class or series not yet issued;</w:t>
      </w:r>
    </w:p>
    <w:p>
      <w:pPr>
        <w:spacing w:after="0" w:line="103" w:lineRule="exact"/>
        <w:rPr>
          <w:rFonts w:ascii="Times New Roman" w:cs="Times New Roman" w:eastAsia="Times New Roman" w:hAnsi="Times New Roman"/>
          <w:sz w:val="14"/>
          <w:szCs w:val="14"/>
          <w:color w:val="auto"/>
        </w:rPr>
      </w:pPr>
    </w:p>
    <w:p>
      <w:pPr>
        <w:ind w:left="960" w:right="619" w:hanging="346"/>
        <w:spacing w:after="0" w:line="285" w:lineRule="auto"/>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evidences and provides for successor trustees or adds or changes any provisions of the indenture to the extent necessary to permit or facilitate the appointment of a separate trustee or trustees for specific classes or series of debt securities;</w:t>
      </w:r>
    </w:p>
    <w:p>
      <w:pPr>
        <w:spacing w:after="0" w:line="51" w:lineRule="exact"/>
        <w:rPr>
          <w:rFonts w:ascii="Times New Roman" w:cs="Times New Roman" w:eastAsia="Times New Roman" w:hAnsi="Times New Roman"/>
          <w:sz w:val="14"/>
          <w:szCs w:val="14"/>
          <w:color w:val="auto"/>
        </w:rPr>
      </w:pPr>
    </w:p>
    <w:p>
      <w:pPr>
        <w:ind w:left="960" w:right="239" w:hanging="346"/>
        <w:spacing w:after="0" w:line="263" w:lineRule="auto"/>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class or series then outstanding in any material respect; or</w:t>
      </w:r>
    </w:p>
    <w:p>
      <w:pPr>
        <w:spacing w:after="0" w:line="66" w:lineRule="exact"/>
        <w:rPr>
          <w:rFonts w:ascii="Times New Roman" w:cs="Times New Roman" w:eastAsia="Times New Roman" w:hAnsi="Times New Roman"/>
          <w:sz w:val="14"/>
          <w:szCs w:val="14"/>
          <w:color w:val="auto"/>
        </w:rPr>
      </w:pPr>
    </w:p>
    <w:p>
      <w:pPr>
        <w:ind w:left="960" w:right="439" w:hanging="346"/>
        <w:spacing w:after="0" w:line="268" w:lineRule="auto"/>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supplements any provision of the indenture to such extent as shall be necessary to permit the facilitation of defeasance and discharge of any class or series of debt securities; provided, however, that any such action may not adversely affect the interest of holders of debt securities of any class or series then outstanding in any material respect.</w:t>
      </w:r>
    </w:p>
    <w:p>
      <w:pPr>
        <w:spacing w:after="0" w:line="137" w:lineRule="exact"/>
        <w:rPr>
          <w:sz w:val="20"/>
          <w:szCs w:val="20"/>
          <w:color w:val="auto"/>
        </w:rPr>
      </w:pPr>
    </w:p>
    <w:p>
      <w:pPr>
        <w:ind w:left="200" w:right="319" w:firstLine="345"/>
        <w:spacing w:after="0" w:line="285"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debt securities of a class or series outstanding may waive compliance with certain restrictive covenants and provisions of either indenture with respect to that class or series.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Original Issue Discount</w:t>
      </w:r>
    </w:p>
    <w:p>
      <w:pPr>
        <w:spacing w:after="0" w:line="95" w:lineRule="exact"/>
        <w:rPr>
          <w:sz w:val="20"/>
          <w:szCs w:val="20"/>
          <w:color w:val="auto"/>
        </w:rPr>
      </w:pPr>
    </w:p>
    <w:p>
      <w:pPr>
        <w:ind w:left="200" w:right="199" w:firstLine="345"/>
        <w:spacing w:after="0" w:line="258" w:lineRule="auto"/>
        <w:rPr>
          <w:sz w:val="20"/>
          <w:szCs w:val="20"/>
          <w:color w:val="auto"/>
        </w:rPr>
      </w:pPr>
      <w:r>
        <w:rPr>
          <w:rFonts w:ascii="Times New Roman" w:cs="Times New Roman" w:eastAsia="Times New Roman" w:hAnsi="Times New Roman"/>
          <w:sz w:val="14"/>
          <w:szCs w:val="14"/>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for U.S. federal income tax purposes, any debt security with a term of more than one year from the date of issuance that:</w:t>
      </w:r>
    </w:p>
    <w:p>
      <w:pPr>
        <w:spacing w:after="0" w:line="72" w:lineRule="exact"/>
        <w:rPr>
          <w:sz w:val="20"/>
          <w:szCs w:val="20"/>
          <w:color w:val="auto"/>
        </w:rPr>
      </w:pPr>
    </w:p>
    <w:p>
      <w:pPr>
        <w:ind w:left="960" w:hanging="346"/>
        <w:spacing w:after="0"/>
        <w:tabs>
          <w:tab w:leader="none" w:pos="9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provide for the payment of interest prior to maturity; or</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subject to a de minimis exception, issued at a price lower than its stated redemption price at maturity.</w:t>
      </w: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95" w:lineRule="exact"/>
        <w:rPr>
          <w:sz w:val="20"/>
          <w:szCs w:val="20"/>
          <w:color w:val="auto"/>
        </w:rPr>
      </w:pPr>
    </w:p>
    <w:p>
      <w:pPr>
        <w:ind w:left="200" w:right="219" w:firstLine="345"/>
        <w:spacing w:after="0" w:line="285" w:lineRule="auto"/>
        <w:rPr>
          <w:sz w:val="20"/>
          <w:szCs w:val="20"/>
          <w:color w:val="auto"/>
        </w:rPr>
      </w:pPr>
      <w:r>
        <w:rPr>
          <w:rFonts w:ascii="Times New Roman" w:cs="Times New Roman" w:eastAsia="Times New Roman" w:hAnsi="Times New Roman"/>
          <w:sz w:val="14"/>
          <w:szCs w:val="14"/>
          <w:color w:val="auto"/>
        </w:rPr>
        <w:t>Unless we say otherwise in a prospectus supplement, we will send notices to holders of debt securities by mail to the holder’s address as it appears in the register.</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Unless we say otherwise in a prospectus supplement, each indenture and the debt securities will be governed by the laws of the State of New York.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1"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MATERIAL FEDERAL INCOME TAX CONSIDERATIONS</w:t>
      </w:r>
    </w:p>
    <w:p>
      <w:pPr>
        <w:spacing w:after="0" w:line="179" w:lineRule="exact"/>
        <w:rPr>
          <w:sz w:val="20"/>
          <w:szCs w:val="20"/>
          <w:color w:val="auto"/>
        </w:rPr>
      </w:pPr>
    </w:p>
    <w:p>
      <w:pPr>
        <w:ind w:left="200" w:right="219" w:firstLine="345"/>
        <w:spacing w:after="0" w:line="258" w:lineRule="auto"/>
        <w:rPr>
          <w:sz w:val="20"/>
          <w:szCs w:val="20"/>
          <w:color w:val="auto"/>
        </w:rPr>
      </w:pPr>
      <w:r>
        <w:rPr>
          <w:rFonts w:ascii="Times New Roman" w:cs="Times New Roman" w:eastAsia="Times New Roman" w:hAnsi="Times New Roman"/>
          <w:sz w:val="14"/>
          <w:szCs w:val="14"/>
          <w:color w:val="auto"/>
        </w:rPr>
        <w:t>The following section summarizes the material federal income tax issues that you may consider relevant relating to our taxation as a REIT under the Code, and the acquisition, ownership, and disposition of our common, preferred, and depositary shares. In this section, references to the “Company,” “we,” “us,” “our” and “ours” refer only to Federal Realty Investment Trust and not to the Partnership or its subsidiaries unless the context requires otherwise. If we offer one or more additional series of common shares or preferred shares, depositary shares, shares pursuant to share purchase contracts or warrants to purchase equity securities, or the Partnership offers debt securities, the applicable prospectus supplement would include information about additional material U.S. federal income tax considerations relevant to holders of any of the offered securities.</w:t>
      </w:r>
    </w:p>
    <w:p>
      <w:pPr>
        <w:spacing w:after="0" w:line="146" w:lineRule="exact"/>
        <w:rPr>
          <w:sz w:val="20"/>
          <w:szCs w:val="20"/>
          <w:color w:val="auto"/>
        </w:rPr>
      </w:pPr>
    </w:p>
    <w:p>
      <w:pPr>
        <w:ind w:left="200" w:right="219" w:firstLine="345"/>
        <w:spacing w:after="0" w:line="254" w:lineRule="auto"/>
        <w:rPr>
          <w:sz w:val="20"/>
          <w:szCs w:val="20"/>
          <w:color w:val="auto"/>
        </w:rPr>
      </w:pPr>
      <w:r>
        <w:rPr>
          <w:rFonts w:ascii="Times New Roman" w:cs="Times New Roman" w:eastAsia="Times New Roman" w:hAnsi="Times New Roman"/>
          <w:sz w:val="14"/>
          <w:szCs w:val="14"/>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foreign (non-U.S.) governments,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49" w:lineRule="exact"/>
        <w:rPr>
          <w:sz w:val="20"/>
          <w:szCs w:val="20"/>
          <w:color w:val="auto"/>
        </w:rPr>
      </w:pPr>
    </w:p>
    <w:p>
      <w:pPr>
        <w:ind w:left="200" w:right="319" w:firstLine="345"/>
        <w:spacing w:after="0" w:line="285" w:lineRule="auto"/>
        <w:rPr>
          <w:sz w:val="20"/>
          <w:szCs w:val="20"/>
          <w:color w:val="auto"/>
        </w:rPr>
      </w:pPr>
      <w:r>
        <w:rPr>
          <w:rFonts w:ascii="Times New Roman" w:cs="Times New Roman" w:eastAsia="Times New Roman" w:hAnsi="Times New Roman"/>
          <w:sz w:val="14"/>
          <w:szCs w:val="14"/>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25" w:lineRule="exact"/>
        <w:rPr>
          <w:sz w:val="20"/>
          <w:szCs w:val="20"/>
          <w:color w:val="auto"/>
        </w:rPr>
      </w:pPr>
    </w:p>
    <w:p>
      <w:pPr>
        <w:ind w:left="200" w:right="359" w:firstLine="345"/>
        <w:spacing w:after="0" w:line="263" w:lineRule="auto"/>
        <w:rPr>
          <w:sz w:val="20"/>
          <w:szCs w:val="20"/>
          <w:color w:val="auto"/>
        </w:rPr>
      </w:pPr>
      <w:r>
        <w:rPr>
          <w:rFonts w:ascii="Times New Roman" w:cs="Times New Roman" w:eastAsia="Times New Roman" w:hAnsi="Times New Roman"/>
          <w:sz w:val="14"/>
          <w:szCs w:val="14"/>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40" w:lineRule="exact"/>
        <w:rPr>
          <w:sz w:val="20"/>
          <w:szCs w:val="20"/>
          <w:color w:val="auto"/>
        </w:rPr>
      </w:pPr>
    </w:p>
    <w:p>
      <w:pPr>
        <w:ind w:left="200" w:right="239" w:firstLine="345"/>
        <w:spacing w:after="0" w:line="268"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SPECIFIC FEDERAL, STATE, LOCAL, FOREIGN AND OTHER TAX CONSEQUENCES TO THEM OF THE ACQUISITION, OWNERSHIP AND DISPOSITION OF OUR SECURITIES, OUR ELECTION TO BE TAXED AS A REIT AND THE EFFECT OF POTENTIAL CHANGES IN APPLICABLE TAX LAWS.</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Taxation of the Company</w:t>
      </w:r>
    </w:p>
    <w:p>
      <w:pPr>
        <w:spacing w:after="0" w:line="95" w:lineRule="exact"/>
        <w:rPr>
          <w:sz w:val="20"/>
          <w:szCs w:val="20"/>
          <w:color w:val="auto"/>
        </w:rPr>
      </w:pPr>
    </w:p>
    <w:p>
      <w:pPr>
        <w:ind w:left="200" w:right="339" w:firstLine="345"/>
        <w:spacing w:after="0" w:line="268" w:lineRule="auto"/>
        <w:rPr>
          <w:sz w:val="20"/>
          <w:szCs w:val="20"/>
          <w:color w:val="auto"/>
        </w:rPr>
      </w:pPr>
      <w:r>
        <w:rPr>
          <w:rFonts w:ascii="Times New Roman" w:cs="Times New Roman" w:eastAsia="Times New Roman" w:hAnsi="Times New Roman"/>
          <w:sz w:val="14"/>
          <w:szCs w:val="14"/>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9" w:right="1440" w:bottom="1440" w:gutter="0" w:footer="0" w:header="0"/>
        </w:sectPr>
      </w:pPr>
    </w:p>
    <w:bookmarkStart w:id="41" w:name="page42"/>
    <w:bookmarkEnd w:id="41"/>
    <w:p>
      <w:pPr>
        <w:ind w:left="200" w:right="399" w:firstLine="345"/>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37" w:lineRule="exact"/>
        <w:rPr>
          <w:sz w:val="20"/>
          <w:szCs w:val="20"/>
          <w:color w:val="auto"/>
        </w:rPr>
      </w:pPr>
    </w:p>
    <w:p>
      <w:pPr>
        <w:ind w:left="200" w:right="239" w:firstLine="345"/>
        <w:spacing w:after="0" w:line="254" w:lineRule="auto"/>
        <w:rPr>
          <w:sz w:val="20"/>
          <w:szCs w:val="20"/>
          <w:color w:val="auto"/>
        </w:rPr>
      </w:pPr>
      <w:r>
        <w:rPr>
          <w:rFonts w:ascii="Times New Roman" w:cs="Times New Roman" w:eastAsia="Times New Roman" w:hAnsi="Times New Roman"/>
          <w:sz w:val="14"/>
          <w:szCs w:val="14"/>
          <w:color w:val="auto"/>
        </w:rPr>
        <w:t>In the opinion of our tax counsel, Pillsbury Winthrop Shaw Pittman LLP, (i) we qualified as a REIT under Sections 856 through 860 of the Code with respect to each of our taxable years ended through December 31, 2023;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having met and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50" w:lineRule="exact"/>
        <w:rPr>
          <w:sz w:val="20"/>
          <w:szCs w:val="20"/>
          <w:color w:val="auto"/>
        </w:rPr>
      </w:pPr>
    </w:p>
    <w:p>
      <w:pPr>
        <w:ind w:left="200" w:right="199" w:firstLine="345"/>
        <w:spacing w:after="0" w:line="263" w:lineRule="auto"/>
        <w:rPr>
          <w:sz w:val="20"/>
          <w:szCs w:val="20"/>
          <w:color w:val="auto"/>
        </w:rPr>
      </w:pPr>
      <w:r>
        <w:rPr>
          <w:rFonts w:ascii="Times New Roman" w:cs="Times New Roman" w:eastAsia="Times New Roman" w:hAnsi="Times New Roman"/>
          <w:sz w:val="14"/>
          <w:szCs w:val="14"/>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66" w:lineRule="exact"/>
        <w:rPr>
          <w:sz w:val="20"/>
          <w:szCs w:val="20"/>
          <w:color w:val="auto"/>
        </w:rPr>
      </w:pPr>
    </w:p>
    <w:p>
      <w:pPr>
        <w:ind w:left="960" w:right="599" w:hanging="346"/>
        <w:spacing w:after="0" w:line="285" w:lineRule="auto"/>
        <w:tabs>
          <w:tab w:leader="none" w:pos="9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1" w:lineRule="exact"/>
        <w:rPr>
          <w:rFonts w:ascii="Times New Roman" w:cs="Times New Roman" w:eastAsia="Times New Roman" w:hAnsi="Times New Roman"/>
          <w:sz w:val="14"/>
          <w:szCs w:val="14"/>
          <w:color w:val="auto"/>
        </w:rPr>
      </w:pPr>
    </w:p>
    <w:p>
      <w:pPr>
        <w:ind w:left="960" w:right="219" w:hanging="346"/>
        <w:spacing w:after="0" w:line="268" w:lineRule="auto"/>
        <w:tabs>
          <w:tab w:leader="none" w:pos="9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pay income tax at the regular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63" w:lineRule="exact"/>
        <w:rPr>
          <w:rFonts w:ascii="Times New Roman" w:cs="Times New Roman" w:eastAsia="Times New Roman" w:hAnsi="Times New Roman"/>
          <w:sz w:val="14"/>
          <w:szCs w:val="14"/>
          <w:color w:val="auto"/>
        </w:rPr>
      </w:pPr>
    </w:p>
    <w:p>
      <w:pPr>
        <w:ind w:left="960" w:right="419" w:hanging="346"/>
        <w:spacing w:after="0" w:line="285" w:lineRule="auto"/>
        <w:tabs>
          <w:tab w:leader="none" w:pos="9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1" w:lineRule="exact"/>
        <w:rPr>
          <w:rFonts w:ascii="Times New Roman" w:cs="Times New Roman" w:eastAsia="Times New Roman" w:hAnsi="Times New Roman"/>
          <w:sz w:val="14"/>
          <w:szCs w:val="14"/>
          <w:color w:val="auto"/>
        </w:rPr>
      </w:pPr>
    </w:p>
    <w:p>
      <w:pPr>
        <w:ind w:left="960" w:right="519" w:hanging="346"/>
        <w:spacing w:after="0" w:line="285" w:lineRule="auto"/>
        <w:tabs>
          <w:tab w:leader="none" w:pos="9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subsidiaries that are C corporations, including our “taxable REIT subsidiaries,” generally will be required to pay federal corporate income tax on their earnings;</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pay a 100% excise tax on transactions with a “taxable REIT subsidiary” that are not conducted on an arm’s-length basis;</w:t>
      </w:r>
    </w:p>
    <w:p>
      <w:pPr>
        <w:spacing w:after="0" w:line="103" w:lineRule="exact"/>
        <w:rPr>
          <w:rFonts w:ascii="Times New Roman" w:cs="Times New Roman" w:eastAsia="Times New Roman" w:hAnsi="Times New Roman"/>
          <w:sz w:val="14"/>
          <w:szCs w:val="14"/>
          <w:color w:val="auto"/>
        </w:rPr>
      </w:pPr>
    </w:p>
    <w:p>
      <w:pPr>
        <w:ind w:left="960" w:right="279" w:hanging="346"/>
        <w:spacing w:after="0" w:line="263" w:lineRule="auto"/>
        <w:tabs>
          <w:tab w:leader="none" w:pos="9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6" w:lineRule="exact"/>
        <w:rPr>
          <w:rFonts w:ascii="Times New Roman" w:cs="Times New Roman" w:eastAsia="Times New Roman" w:hAnsi="Times New Roman"/>
          <w:sz w:val="14"/>
          <w:szCs w:val="14"/>
          <w:color w:val="auto"/>
        </w:rPr>
      </w:pPr>
    </w:p>
    <w:p>
      <w:pPr>
        <w:ind w:left="960" w:right="399" w:hanging="346"/>
        <w:spacing w:after="0" w:line="263" w:lineRule="auto"/>
        <w:tabs>
          <w:tab w:leader="none" w:pos="9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in more than a de minimis fashion, to satisfy one or more of the asset tests for any quarter of a taxable year, but nonetheless continue to qualify as a REIT because we qualify under certain relief provisions, we may be required to pay a tax equal to the greater of $50,000 or a tax computed at the regular corporate rate on the amount of net income generated by the assets causing the failure from the date of failure until the assets are disposed of or we otherwise return to compliance with the asset test;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1" w:right="1440" w:bottom="1440" w:gutter="0" w:footer="0" w:header="0"/>
        </w:sectPr>
      </w:pPr>
    </w:p>
    <w:bookmarkStart w:id="42" w:name="page43"/>
    <w:bookmarkEnd w:id="42"/>
    <w:p>
      <w:pPr>
        <w:ind w:left="960" w:right="299" w:hanging="346"/>
        <w:spacing w:after="0" w:line="268" w:lineRule="auto"/>
        <w:tabs>
          <w:tab w:leader="none" w:pos="9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63" w:lineRule="exact"/>
        <w:rPr>
          <w:rFonts w:ascii="Times New Roman" w:cs="Times New Roman" w:eastAsia="Times New Roman" w:hAnsi="Times New Roman"/>
          <w:sz w:val="14"/>
          <w:szCs w:val="14"/>
          <w:color w:val="auto"/>
        </w:rPr>
      </w:pPr>
    </w:p>
    <w:p>
      <w:pPr>
        <w:ind w:left="960" w:right="219" w:hanging="346"/>
        <w:spacing w:after="0" w:line="263" w:lineRule="auto"/>
        <w:tabs>
          <w:tab w:leader="none" w:pos="9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66" w:lineRule="exact"/>
        <w:rPr>
          <w:rFonts w:ascii="Times New Roman" w:cs="Times New Roman" w:eastAsia="Times New Roman" w:hAnsi="Times New Roman"/>
          <w:sz w:val="14"/>
          <w:szCs w:val="14"/>
          <w:color w:val="auto"/>
        </w:rPr>
      </w:pPr>
    </w:p>
    <w:p>
      <w:pPr>
        <w:ind w:left="960" w:right="199" w:hanging="346"/>
        <w:spacing w:after="0" w:line="285" w:lineRule="auto"/>
        <w:tabs>
          <w:tab w:leader="none" w:pos="9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elect to retain and pay income tax on our net long-term capital gain; or</w:t>
      </w:r>
    </w:p>
    <w:p>
      <w:pPr>
        <w:spacing w:after="0" w:line="103" w:lineRule="exact"/>
        <w:rPr>
          <w:rFonts w:ascii="Times New Roman" w:cs="Times New Roman" w:eastAsia="Times New Roman" w:hAnsi="Times New Roman"/>
          <w:sz w:val="14"/>
          <w:szCs w:val="14"/>
          <w:color w:val="auto"/>
        </w:rPr>
      </w:pPr>
    </w:p>
    <w:p>
      <w:pPr>
        <w:ind w:left="960" w:right="259" w:hanging="346"/>
        <w:spacing w:after="0" w:line="257" w:lineRule="auto"/>
        <w:tabs>
          <w:tab w:leader="none" w:pos="9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regular corporate rate on the lesser of</w:t>
      </w:r>
    </w:p>
    <w:p>
      <w:pPr>
        <w:spacing w:after="0" w:line="1" w:lineRule="exact"/>
        <w:rPr>
          <w:rFonts w:ascii="Times New Roman" w:cs="Times New Roman" w:eastAsia="Times New Roman" w:hAnsi="Times New Roman"/>
          <w:sz w:val="14"/>
          <w:szCs w:val="14"/>
          <w:color w:val="auto"/>
        </w:rPr>
      </w:pPr>
    </w:p>
    <w:p>
      <w:pPr>
        <w:ind w:left="960" w:right="299"/>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amount of gain that we recognize at the time of the sale or disposition and (ii) the amount of gain that we would have recognized if we had sold the asset at the time we acquired the asset.</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Requirements for REIT Qualification</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To qualify as a REIT, we must meet the following requirements:</w:t>
      </w:r>
    </w:p>
    <w:p>
      <w:pPr>
        <w:spacing w:after="0" w:line="103" w:lineRule="exact"/>
        <w:rPr>
          <w:sz w:val="20"/>
          <w:szCs w:val="20"/>
          <w:color w:val="auto"/>
        </w:rPr>
      </w:pPr>
    </w:p>
    <w:p>
      <w:pPr>
        <w:ind w:left="960" w:hanging="431"/>
        <w:spacing w:after="0"/>
        <w:tabs>
          <w:tab w:leader="none" w:pos="9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managed by one or more trustees or directors;</w:t>
      </w:r>
    </w:p>
    <w:p>
      <w:pPr>
        <w:spacing w:after="0" w:line="103" w:lineRule="exact"/>
        <w:rPr>
          <w:rFonts w:ascii="Times New Roman" w:cs="Times New Roman" w:eastAsia="Times New Roman" w:hAnsi="Times New Roman"/>
          <w:sz w:val="14"/>
          <w:szCs w:val="14"/>
          <w:color w:val="auto"/>
        </w:rPr>
      </w:pPr>
    </w:p>
    <w:p>
      <w:pPr>
        <w:ind w:left="960" w:hanging="431"/>
        <w:spacing w:after="0"/>
        <w:tabs>
          <w:tab w:leader="none" w:pos="9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beneficial ownership is evidenced by transferable shares, or by transferable certificates of beneficial interest;</w:t>
      </w:r>
    </w:p>
    <w:p>
      <w:pPr>
        <w:spacing w:after="0" w:line="103" w:lineRule="exact"/>
        <w:rPr>
          <w:rFonts w:ascii="Times New Roman" w:cs="Times New Roman" w:eastAsia="Times New Roman" w:hAnsi="Times New Roman"/>
          <w:sz w:val="14"/>
          <w:szCs w:val="14"/>
          <w:color w:val="auto"/>
        </w:rPr>
      </w:pPr>
    </w:p>
    <w:p>
      <w:pPr>
        <w:ind w:left="960" w:hanging="431"/>
        <w:spacing w:after="0"/>
        <w:tabs>
          <w:tab w:leader="none" w:pos="9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would be taxable as a domestic corporation, but for Sections 856 through 860 of the Code;</w:t>
      </w:r>
    </w:p>
    <w:p>
      <w:pPr>
        <w:spacing w:after="0" w:line="103" w:lineRule="exact"/>
        <w:rPr>
          <w:rFonts w:ascii="Times New Roman" w:cs="Times New Roman" w:eastAsia="Times New Roman" w:hAnsi="Times New Roman"/>
          <w:sz w:val="14"/>
          <w:szCs w:val="14"/>
          <w:color w:val="auto"/>
        </w:rPr>
      </w:pPr>
    </w:p>
    <w:p>
      <w:pPr>
        <w:ind w:left="960" w:hanging="431"/>
        <w:spacing w:after="0"/>
        <w:tabs>
          <w:tab w:leader="none" w:pos="9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neither a financial institution nor an insurance company subject to certain provisions of the Code;</w:t>
      </w:r>
    </w:p>
    <w:p>
      <w:pPr>
        <w:spacing w:after="0" w:line="103" w:lineRule="exact"/>
        <w:rPr>
          <w:rFonts w:ascii="Times New Roman" w:cs="Times New Roman" w:eastAsia="Times New Roman" w:hAnsi="Times New Roman"/>
          <w:sz w:val="14"/>
          <w:szCs w:val="14"/>
          <w:color w:val="auto"/>
        </w:rPr>
      </w:pPr>
    </w:p>
    <w:p>
      <w:pPr>
        <w:ind w:left="960" w:hanging="431"/>
        <w:spacing w:after="0"/>
        <w:tabs>
          <w:tab w:leader="none" w:pos="9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100 persons are beneficial owners of our shares or ownership certificates;</w:t>
      </w:r>
    </w:p>
    <w:p>
      <w:pPr>
        <w:spacing w:after="0" w:line="103" w:lineRule="exact"/>
        <w:rPr>
          <w:rFonts w:ascii="Times New Roman" w:cs="Times New Roman" w:eastAsia="Times New Roman" w:hAnsi="Times New Roman"/>
          <w:sz w:val="14"/>
          <w:szCs w:val="14"/>
          <w:color w:val="auto"/>
        </w:rPr>
      </w:pPr>
    </w:p>
    <w:p>
      <w:pPr>
        <w:ind w:left="960" w:right="219" w:hanging="431"/>
        <w:spacing w:after="0" w:line="285" w:lineRule="auto"/>
        <w:tabs>
          <w:tab w:leader="none" w:pos="9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1" w:lineRule="exact"/>
        <w:rPr>
          <w:rFonts w:ascii="Times New Roman" w:cs="Times New Roman" w:eastAsia="Times New Roman" w:hAnsi="Times New Roman"/>
          <w:sz w:val="14"/>
          <w:szCs w:val="14"/>
          <w:color w:val="auto"/>
        </w:rPr>
      </w:pPr>
    </w:p>
    <w:p>
      <w:pPr>
        <w:ind w:left="960" w:right="599" w:hanging="431"/>
        <w:spacing w:after="0" w:line="285" w:lineRule="auto"/>
        <w:tabs>
          <w:tab w:leader="none" w:pos="9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1" w:lineRule="exact"/>
        <w:rPr>
          <w:rFonts w:ascii="Times New Roman" w:cs="Times New Roman" w:eastAsia="Times New Roman" w:hAnsi="Times New Roman"/>
          <w:sz w:val="14"/>
          <w:szCs w:val="14"/>
          <w:color w:val="auto"/>
        </w:rPr>
      </w:pPr>
    </w:p>
    <w:p>
      <w:pPr>
        <w:ind w:left="960" w:right="579" w:hanging="431"/>
        <w:spacing w:after="0" w:line="285" w:lineRule="auto"/>
        <w:tabs>
          <w:tab w:leader="none" w:pos="9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 calendar year for federal income tax purposes and comply with the record keeping requirements of the Code and the related Treasury regulations; and</w:t>
      </w:r>
    </w:p>
    <w:p>
      <w:pPr>
        <w:spacing w:after="0" w:line="51" w:lineRule="exact"/>
        <w:rPr>
          <w:rFonts w:ascii="Times New Roman" w:cs="Times New Roman" w:eastAsia="Times New Roman" w:hAnsi="Times New Roman"/>
          <w:sz w:val="14"/>
          <w:szCs w:val="14"/>
          <w:color w:val="auto"/>
        </w:rPr>
      </w:pPr>
    </w:p>
    <w:p>
      <w:pPr>
        <w:ind w:left="960" w:right="919" w:hanging="431"/>
        <w:spacing w:after="0" w:line="285" w:lineRule="auto"/>
        <w:tabs>
          <w:tab w:leader="none" w:pos="9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meet certain other qualification tests, described below, regarding the nature of our income and assets and the amount of our distributions to shareholders.</w:t>
      </w:r>
    </w:p>
    <w:p>
      <w:pPr>
        <w:spacing w:after="0" w:line="125" w:lineRule="exact"/>
        <w:rPr>
          <w:sz w:val="20"/>
          <w:szCs w:val="20"/>
          <w:color w:val="auto"/>
        </w:rPr>
      </w:pPr>
    </w:p>
    <w:p>
      <w:pPr>
        <w:ind w:left="200" w:right="219" w:firstLine="345"/>
        <w:spacing w:after="0" w:line="255" w:lineRule="auto"/>
        <w:rPr>
          <w:sz w:val="20"/>
          <w:szCs w:val="20"/>
          <w:color w:val="auto"/>
        </w:rPr>
      </w:pPr>
      <w:r>
        <w:rPr>
          <w:rFonts w:ascii="Times New Roman" w:cs="Times New Roman" w:eastAsia="Times New Roman" w:hAnsi="Times New Roman"/>
          <w:sz w:val="14"/>
          <w:szCs w:val="14"/>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Code</w:t>
      </w:r>
    </w:p>
    <w:p>
      <w:pPr>
        <w:spacing w:after="0" w:line="3" w:lineRule="exact"/>
        <w:rPr>
          <w:sz w:val="20"/>
          <w:szCs w:val="20"/>
          <w:color w:val="auto"/>
        </w:rPr>
      </w:pPr>
    </w:p>
    <w:p>
      <w:pPr>
        <w:ind w:left="200" w:right="319"/>
        <w:spacing w:after="0" w:line="264" w:lineRule="auto"/>
        <w:rPr>
          <w:sz w:val="20"/>
          <w:szCs w:val="20"/>
          <w:color w:val="auto"/>
        </w:rPr>
      </w:pPr>
      <w:r>
        <w:rPr>
          <w:rFonts w:ascii="Times New Roman" w:cs="Times New Roman" w:eastAsia="Times New Roman" w:hAnsi="Times New Roman"/>
          <w:sz w:val="14"/>
          <w:szCs w:val="14"/>
          <w:color w:val="auto"/>
        </w:rPr>
        <w:t>Section 401(a), and beneficiaries of such a trust will be treated as holding our shares in proportion to their actuarial interests in the trust for purposes of the 5/50 Rule.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1" w:right="1440" w:bottom="1440" w:gutter="0" w:footer="0" w:header="0"/>
        </w:sectPr>
      </w:pPr>
    </w:p>
    <w:bookmarkStart w:id="43" w:name="page44"/>
    <w:bookmarkEnd w:id="43"/>
    <w:p>
      <w:pPr>
        <w:ind w:left="200" w:right="279" w:firstLine="345"/>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“Shares of Beneficial Interest of Federal Realty Investment Trust–Restrictions on Ownership and Transfer of Company Shares.”</w:t>
      </w:r>
    </w:p>
    <w:p>
      <w:pPr>
        <w:spacing w:after="0" w:line="140" w:lineRule="exact"/>
        <w:rPr>
          <w:sz w:val="20"/>
          <w:szCs w:val="20"/>
          <w:color w:val="auto"/>
        </w:rPr>
      </w:pPr>
    </w:p>
    <w:p>
      <w:pPr>
        <w:ind w:left="200" w:right="239" w:firstLine="345"/>
        <w:spacing w:after="0" w:line="255" w:lineRule="auto"/>
        <w:rPr>
          <w:sz w:val="20"/>
          <w:szCs w:val="20"/>
          <w:color w:val="auto"/>
        </w:rPr>
      </w:pPr>
      <w:r>
        <w:rPr>
          <w:rFonts w:ascii="Times New Roman" w:cs="Times New Roman" w:eastAsia="Times New Roman" w:hAnsi="Times New Roman"/>
          <w:sz w:val="14"/>
          <w:szCs w:val="14"/>
          <w:color w:val="auto"/>
        </w:rPr>
        <w:t>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w:t>
      </w:r>
    </w:p>
    <w:p>
      <w:pPr>
        <w:spacing w:after="0" w:line="148" w:lineRule="exact"/>
        <w:rPr>
          <w:sz w:val="20"/>
          <w:szCs w:val="20"/>
          <w:color w:val="auto"/>
        </w:rPr>
      </w:pPr>
    </w:p>
    <w:p>
      <w:pPr>
        <w:ind w:left="200" w:right="259" w:firstLine="345"/>
        <w:spacing w:after="0" w:line="257" w:lineRule="auto"/>
        <w:rPr>
          <w:sz w:val="20"/>
          <w:szCs w:val="20"/>
          <w:color w:val="auto"/>
        </w:rPr>
      </w:pPr>
      <w:r>
        <w:rPr>
          <w:rFonts w:ascii="Times New Roman" w:cs="Times New Roman" w:eastAsia="Times New Roman" w:hAnsi="Times New Roman"/>
          <w:sz w:val="14"/>
          <w:szCs w:val="14"/>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The Partnership has been treated as a disregarded entity for federal income tax purposes (but not necessarily for other tax purposes such as employment and excise taxation) because we have owned 100% of the interests in the Partnership, either directly or through other disregarded entities. We may in the future admit other partners to the Partnership in property contribution transactions, at which time the Partnership will become a partnership for federal income tax purposes, with the consequences described below.</w:t>
      </w:r>
    </w:p>
    <w:p>
      <w:pPr>
        <w:spacing w:after="0" w:line="146" w:lineRule="exact"/>
        <w:rPr>
          <w:sz w:val="20"/>
          <w:szCs w:val="20"/>
          <w:color w:val="auto"/>
        </w:rPr>
      </w:pPr>
    </w:p>
    <w:p>
      <w:pPr>
        <w:ind w:left="200" w:right="239" w:firstLine="345"/>
        <w:spacing w:after="0" w:line="254" w:lineRule="auto"/>
        <w:rPr>
          <w:sz w:val="20"/>
          <w:szCs w:val="20"/>
          <w:color w:val="auto"/>
        </w:rPr>
      </w:pPr>
      <w:r>
        <w:rPr>
          <w:rFonts w:ascii="Times New Roman" w:cs="Times New Roman" w:eastAsia="Times New Roman" w:hAnsi="Times New Roman"/>
          <w:sz w:val="14"/>
          <w:szCs w:val="14"/>
          <w:color w:val="auto"/>
        </w:rPr>
        <w:t>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 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income and asset qualification test purposes, based on our percentage interest in partnership equity capital, subject to special rules relating to the 10% asset test described below.</w:t>
      </w:r>
    </w:p>
    <w:p>
      <w:pPr>
        <w:spacing w:after="0" w:line="153" w:lineRule="exact"/>
        <w:rPr>
          <w:sz w:val="20"/>
          <w:szCs w:val="20"/>
          <w:color w:val="auto"/>
        </w:rPr>
      </w:pPr>
    </w:p>
    <w:p>
      <w:pPr>
        <w:ind w:left="200" w:right="279" w:firstLine="345"/>
        <w:spacing w:after="0" w:line="262" w:lineRule="auto"/>
        <w:rPr>
          <w:sz w:val="20"/>
          <w:szCs w:val="20"/>
          <w:color w:val="auto"/>
        </w:rPr>
      </w:pPr>
      <w:r>
        <w:rPr>
          <w:rFonts w:ascii="Times New Roman" w:cs="Times New Roman" w:eastAsia="Times New Roman" w:hAnsi="Times New Roman"/>
          <w:sz w:val="14"/>
          <w:szCs w:val="14"/>
          <w:color w:val="auto"/>
        </w:rPr>
        <w:t>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w:t>
      </w:r>
    </w:p>
    <w:p>
      <w:pPr>
        <w:spacing w:after="0" w:line="1" w:lineRule="exact"/>
        <w:rPr>
          <w:sz w:val="20"/>
          <w:szCs w:val="20"/>
          <w:color w:val="auto"/>
        </w:rPr>
      </w:pPr>
    </w:p>
    <w:p>
      <w:pPr>
        <w:ind w:left="200" w:right="499"/>
        <w:spacing w:after="0" w:line="264" w:lineRule="auto"/>
        <w:rPr>
          <w:sz w:val="20"/>
          <w:szCs w:val="20"/>
          <w:color w:val="auto"/>
        </w:rPr>
      </w:pPr>
      <w:r>
        <w:rPr>
          <w:rFonts w:ascii="Times New Roman" w:cs="Times New Roman" w:eastAsia="Times New Roman" w:hAnsi="Times New Roman"/>
          <w:sz w:val="14"/>
          <w:szCs w:val="14"/>
          <w:color w:val="auto"/>
        </w:rPr>
        <w:t>or non-managing member in some of the Subsidiary Partnerships. If a Subsidiary Partnership in which the Partnership owns an interest but does not have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1" w:right="1440" w:bottom="1440" w:gutter="0" w:footer="0" w:header="0"/>
        </w:sectPr>
      </w:pPr>
    </w:p>
    <w:bookmarkStart w:id="44" w:name="page45"/>
    <w:bookmarkEnd w:id="44"/>
    <w:p>
      <w:pPr>
        <w:ind w:left="200" w:right="19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Income Tests. </w:t>
      </w:r>
      <w:r>
        <w:rPr>
          <w:rFonts w:ascii="Times New Roman" w:cs="Times New Roman" w:eastAsia="Times New Roman" w:hAnsi="Times New Roman"/>
          <w:sz w:val="14"/>
          <w:szCs w:val="14"/>
          <w:color w:val="auto"/>
        </w:rPr>
        <w:t>We must satisfy two gross income tests annually to maintain our qualification as a REIT:</w:t>
      </w:r>
    </w:p>
    <w:p>
      <w:pPr>
        <w:spacing w:after="0" w:line="105" w:lineRule="exact"/>
        <w:rPr>
          <w:sz w:val="20"/>
          <w:szCs w:val="20"/>
          <w:color w:val="auto"/>
        </w:rPr>
      </w:pPr>
    </w:p>
    <w:p>
      <w:pPr>
        <w:ind w:left="960" w:right="219" w:hanging="346"/>
        <w:spacing w:after="0" w:line="256" w:lineRule="auto"/>
        <w:tabs>
          <w:tab w:leader="none" w:pos="9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74" w:lineRule="exact"/>
        <w:rPr>
          <w:rFonts w:ascii="Times New Roman" w:cs="Times New Roman" w:eastAsia="Times New Roman" w:hAnsi="Times New Roman"/>
          <w:sz w:val="14"/>
          <w:szCs w:val="14"/>
          <w:color w:val="auto"/>
        </w:rPr>
      </w:pPr>
    </w:p>
    <w:p>
      <w:pPr>
        <w:ind w:left="960" w:right="279" w:hanging="346"/>
        <w:spacing w:after="0" w:line="258" w:lineRule="auto"/>
        <w:tabs>
          <w:tab w:leader="none" w:pos="9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paragraphs discuss the specific application of these tests to us.</w:t>
      </w:r>
    </w:p>
    <w:p>
      <w:pPr>
        <w:spacing w:after="0" w:line="175" w:lineRule="exact"/>
        <w:rPr>
          <w:sz w:val="20"/>
          <w:szCs w:val="20"/>
          <w:color w:val="auto"/>
        </w:rPr>
      </w:pPr>
    </w:p>
    <w:p>
      <w:pPr>
        <w:ind w:left="200" w:right="23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Rental Income</w:t>
      </w:r>
      <w:r>
        <w:rPr>
          <w:rFonts w:ascii="Times New Roman" w:cs="Times New Roman" w:eastAsia="Times New Roman" w:hAnsi="Times New Roman"/>
          <w:sz w:val="14"/>
          <w:szCs w:val="14"/>
          <w:color w:val="auto"/>
        </w:rPr>
        <w:t>. The Partnership’s primary source of income derives from leasing properties. There are various limitations on whether rent that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Partnership receives from real property that it owns and leases to tenants will qualify as “rents from real property” (which is qualifying income for purposes of the 75% and 95% gross income tests) under the REIT tax rules:</w:t>
      </w:r>
    </w:p>
    <w:p>
      <w:pPr>
        <w:spacing w:after="0" w:line="61" w:lineRule="exact"/>
        <w:rPr>
          <w:sz w:val="20"/>
          <w:szCs w:val="20"/>
          <w:color w:val="auto"/>
        </w:rPr>
      </w:pPr>
    </w:p>
    <w:p>
      <w:pPr>
        <w:ind w:left="960" w:right="239" w:hanging="346"/>
        <w:spacing w:after="0" w:line="258" w:lineRule="auto"/>
        <w:tabs>
          <w:tab w:leader="none" w:pos="9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rent is based, in whole or in part, on the income or profits of any person although, generally, rent may be based on a fixed percentage or percentages of gross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w:t>
      </w:r>
    </w:p>
    <w:p>
      <w:pPr>
        <w:spacing w:after="0" w:line="71" w:lineRule="exact"/>
        <w:rPr>
          <w:rFonts w:ascii="Times New Roman" w:cs="Times New Roman" w:eastAsia="Times New Roman" w:hAnsi="Times New Roman"/>
          <w:sz w:val="14"/>
          <w:szCs w:val="14"/>
          <w:color w:val="auto"/>
        </w:rPr>
      </w:pPr>
    </w:p>
    <w:p>
      <w:pPr>
        <w:ind w:left="960" w:right="259" w:hanging="346"/>
        <w:spacing w:after="0" w:line="256" w:lineRule="auto"/>
        <w:tabs>
          <w:tab w:leader="none" w:pos="9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1" w:right="1440" w:bottom="1440" w:gutter="0" w:footer="0" w:header="0"/>
        </w:sectPr>
      </w:pPr>
    </w:p>
    <w:bookmarkStart w:id="45" w:name="page46"/>
    <w:bookmarkEnd w:id="45"/>
    <w:p>
      <w:pPr>
        <w:ind w:left="960" w:right="259"/>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69" w:lineRule="exact"/>
        <w:rPr>
          <w:sz w:val="20"/>
          <w:szCs w:val="20"/>
          <w:color w:val="auto"/>
        </w:rPr>
      </w:pPr>
    </w:p>
    <w:p>
      <w:pPr>
        <w:ind w:left="960" w:right="219" w:hanging="346"/>
        <w:spacing w:after="0" w:line="258" w:lineRule="auto"/>
        <w:tabs>
          <w:tab w:leader="none" w:pos="9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w:t>
      </w:r>
    </w:p>
    <w:p>
      <w:pPr>
        <w:spacing w:after="0" w:line="71" w:lineRule="exact"/>
        <w:rPr>
          <w:rFonts w:ascii="Times New Roman" w:cs="Times New Roman" w:eastAsia="Times New Roman" w:hAnsi="Times New Roman"/>
          <w:sz w:val="14"/>
          <w:szCs w:val="14"/>
          <w:color w:val="auto"/>
        </w:rPr>
      </w:pPr>
    </w:p>
    <w:p>
      <w:pPr>
        <w:ind w:left="960" w:right="219" w:hanging="346"/>
        <w:spacing w:after="0" w:line="256" w:lineRule="auto"/>
        <w:tabs>
          <w:tab w:leader="none" w:pos="9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71" w:lineRule="exact"/>
        <w:rPr>
          <w:rFonts w:ascii="Times New Roman" w:cs="Times New Roman" w:eastAsia="Times New Roman" w:hAnsi="Times New Roman"/>
          <w:sz w:val="14"/>
          <w:szCs w:val="14"/>
          <w:color w:val="auto"/>
        </w:rPr>
      </w:pPr>
    </w:p>
    <w:p>
      <w:pPr>
        <w:ind w:left="960" w:right="199" w:hanging="346"/>
        <w:spacing w:after="0" w:line="255" w:lineRule="auto"/>
        <w:tabs>
          <w:tab w:leader="none" w:pos="9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48" w:lineRule="exact"/>
        <w:rPr>
          <w:sz w:val="20"/>
          <w:szCs w:val="20"/>
          <w:color w:val="auto"/>
        </w:rPr>
      </w:pPr>
    </w:p>
    <w:p>
      <w:pPr>
        <w:jc w:val="both"/>
        <w:ind w:left="200" w:right="359" w:firstLine="345"/>
        <w:spacing w:after="0" w:line="268" w:lineRule="auto"/>
        <w:rPr>
          <w:sz w:val="20"/>
          <w:szCs w:val="20"/>
          <w:color w:val="auto"/>
        </w:rPr>
      </w:pPr>
      <w:r>
        <w:rPr>
          <w:rFonts w:ascii="Times New Roman" w:cs="Times New Roman" w:eastAsia="Times New Roman" w:hAnsi="Times New Roman"/>
          <w:sz w:val="14"/>
          <w:szCs w:val="14"/>
          <w:color w:val="auto"/>
        </w:rPr>
        <w:t>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successfully assert a contrary position and, therefore, prevent us from qualifying as a REIT.</w:t>
      </w:r>
    </w:p>
    <w:p>
      <w:pPr>
        <w:spacing w:after="0" w:line="135" w:lineRule="exact"/>
        <w:rPr>
          <w:sz w:val="20"/>
          <w:szCs w:val="20"/>
          <w:color w:val="auto"/>
        </w:rPr>
      </w:pPr>
    </w:p>
    <w:p>
      <w:pPr>
        <w:ind w:left="200" w:right="239" w:firstLine="34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Interest. </w:t>
      </w:r>
      <w:r>
        <w:rPr>
          <w:rFonts w:ascii="Times New Roman" w:cs="Times New Roman" w:eastAsia="Times New Roman" w:hAnsi="Times New Roman"/>
          <w:sz w:val="14"/>
          <w:szCs w:val="14"/>
          <w:color w:val="auto"/>
        </w:rPr>
        <w:t>For purposes of the gross income tests, the term “interest” generally does not include any amount received or accrued, directly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gross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1" w:right="1440" w:bottom="1440" w:gutter="0" w:footer="0" w:header="0"/>
        </w:sectPr>
      </w:pPr>
    </w:p>
    <w:bookmarkStart w:id="46" w:name="page47"/>
    <w:bookmarkEnd w:id="46"/>
    <w:p>
      <w:pPr>
        <w:ind w:left="200" w:right="199" w:firstLine="34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w:t>
      </w:r>
    </w:p>
    <w:p>
      <w:pPr>
        <w:spacing w:after="0" w:line="144" w:lineRule="exact"/>
        <w:rPr>
          <w:sz w:val="20"/>
          <w:szCs w:val="20"/>
          <w:color w:val="auto"/>
        </w:rPr>
      </w:pPr>
    </w:p>
    <w:p>
      <w:pPr>
        <w:ind w:left="200" w:right="33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Dividends. </w:t>
      </w:r>
      <w:r>
        <w:rPr>
          <w:rFonts w:ascii="Times New Roman" w:cs="Times New Roman" w:eastAsia="Times New Roman" w:hAnsi="Times New Roman"/>
          <w:sz w:val="14"/>
          <w:szCs w:val="14"/>
          <w:color w:val="auto"/>
        </w:rPr>
        <w:t>Our share of any dividends received from any corporation (including any taxable REIT subsidiary but excluding any REIT) in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33" w:lineRule="exact"/>
        <w:rPr>
          <w:sz w:val="20"/>
          <w:szCs w:val="20"/>
          <w:color w:val="auto"/>
        </w:rPr>
      </w:pPr>
    </w:p>
    <w:p>
      <w:pPr>
        <w:ind w:left="200" w:right="23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Tax on Income from Property Acquired in Foreclosure. </w:t>
      </w:r>
      <w:r>
        <w:rPr>
          <w:rFonts w:ascii="Times New Roman" w:cs="Times New Roman" w:eastAsia="Times New Roman" w:hAnsi="Times New Roman"/>
          <w:sz w:val="14"/>
          <w:szCs w:val="14"/>
          <w:color w:val="auto"/>
        </w:rPr>
        <w:t>We will be subject to tax at the maximum corporate rate on any income from foreclosure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“Foreclosure property” is any real property (including interests in real property) and any personal property incident to such real property:</w:t>
      </w:r>
    </w:p>
    <w:p>
      <w:pPr>
        <w:spacing w:after="0" w:line="103" w:lineRule="exact"/>
        <w:rPr>
          <w:sz w:val="20"/>
          <w:szCs w:val="20"/>
          <w:color w:val="auto"/>
        </w:rPr>
      </w:pPr>
    </w:p>
    <w:p>
      <w:pPr>
        <w:ind w:left="960" w:right="419" w:hanging="346"/>
        <w:spacing w:after="0" w:line="285" w:lineRule="auto"/>
        <w:tabs>
          <w:tab w:leader="none" w:pos="9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which the related loan was acquired by the REIT at a time when default was not imminent or anticipated;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which the REIT makes a proper election to treat the property as foreclosure property.</w:t>
      </w:r>
    </w:p>
    <w:p>
      <w:pPr>
        <w:spacing w:after="0" w:line="177" w:lineRule="exact"/>
        <w:rPr>
          <w:sz w:val="20"/>
          <w:szCs w:val="20"/>
          <w:color w:val="auto"/>
        </w:rPr>
      </w:pPr>
    </w:p>
    <w:p>
      <w:pPr>
        <w:jc w:val="both"/>
        <w:ind w:left="200" w:right="439" w:firstLine="345"/>
        <w:spacing w:after="0" w:line="268" w:lineRule="auto"/>
        <w:rPr>
          <w:sz w:val="20"/>
          <w:szCs w:val="20"/>
          <w:color w:val="auto"/>
        </w:rPr>
      </w:pPr>
      <w:r>
        <w:rPr>
          <w:rFonts w:ascii="Times New Roman" w:cs="Times New Roman" w:eastAsia="Times New Roman" w:hAnsi="Times New Roman"/>
          <w:sz w:val="14"/>
          <w:szCs w:val="14"/>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63" w:lineRule="exact"/>
        <w:rPr>
          <w:sz w:val="20"/>
          <w:szCs w:val="20"/>
          <w:color w:val="auto"/>
        </w:rPr>
      </w:pPr>
    </w:p>
    <w:p>
      <w:pPr>
        <w:ind w:left="960" w:right="619" w:hanging="346"/>
        <w:spacing w:after="0" w:line="285" w:lineRule="auto"/>
        <w:tabs>
          <w:tab w:leader="none" w:pos="9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day of the third taxable year following the taxable year in which the REIT acquired the property (or longer if an extension is granted by the Secretary of the Treasury);</w:t>
      </w:r>
    </w:p>
    <w:p>
      <w:pPr>
        <w:spacing w:after="0" w:line="51" w:lineRule="exact"/>
        <w:rPr>
          <w:rFonts w:ascii="Times New Roman" w:cs="Times New Roman" w:eastAsia="Times New Roman" w:hAnsi="Times New Roman"/>
          <w:sz w:val="14"/>
          <w:szCs w:val="14"/>
          <w:color w:val="auto"/>
        </w:rPr>
      </w:pPr>
    </w:p>
    <w:p>
      <w:pPr>
        <w:ind w:left="960" w:right="359" w:hanging="346"/>
        <w:spacing w:after="0" w:line="268" w:lineRule="auto"/>
        <w:tabs>
          <w:tab w:leader="none" w:pos="9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63" w:lineRule="exact"/>
        <w:rPr>
          <w:rFonts w:ascii="Times New Roman" w:cs="Times New Roman" w:eastAsia="Times New Roman" w:hAnsi="Times New Roman"/>
          <w:sz w:val="14"/>
          <w:szCs w:val="14"/>
          <w:color w:val="auto"/>
        </w:rPr>
      </w:pPr>
    </w:p>
    <w:p>
      <w:pPr>
        <w:ind w:left="960" w:right="199" w:hanging="346"/>
        <w:spacing w:after="0" w:line="285" w:lineRule="auto"/>
        <w:tabs>
          <w:tab w:leader="none" w:pos="9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Times New Roman" w:cs="Times New Roman" w:eastAsia="Times New Roman" w:hAnsi="Times New Roman"/>
          <w:sz w:val="14"/>
          <w:szCs w:val="14"/>
          <w:color w:val="auto"/>
        </w:rPr>
      </w:pPr>
    </w:p>
    <w:p>
      <w:pPr>
        <w:ind w:left="960" w:right="239" w:hanging="346"/>
        <w:spacing w:after="0" w:line="268" w:lineRule="auto"/>
        <w:tabs>
          <w:tab w:leader="none" w:pos="9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1" w:right="1440" w:bottom="1440" w:gutter="0" w:footer="0" w:header="0"/>
        </w:sectPr>
      </w:pPr>
    </w:p>
    <w:bookmarkStart w:id="47" w:name="page48"/>
    <w:bookmarkEnd w:id="47"/>
    <w:p>
      <w:pPr>
        <w:ind w:left="200" w:right="319" w:firstLine="345"/>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Tax on Prohibited Transactions. </w:t>
      </w:r>
      <w:r>
        <w:rPr>
          <w:rFonts w:ascii="Times New Roman" w:cs="Times New Roman" w:eastAsia="Times New Roman" w:hAnsi="Times New Roman"/>
          <w:sz w:val="14"/>
          <w:szCs w:val="14"/>
          <w:color w:val="auto"/>
        </w:rPr>
        <w:t>A REIT will incur a 100% tax on net income (taking into account foreign currency gains and losses) derived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44" w:lineRule="exact"/>
        <w:rPr>
          <w:sz w:val="20"/>
          <w:szCs w:val="20"/>
          <w:color w:val="auto"/>
        </w:rPr>
      </w:pPr>
    </w:p>
    <w:p>
      <w:pPr>
        <w:ind w:left="200" w:right="259" w:firstLine="345"/>
        <w:spacing w:after="0" w:line="254" w:lineRule="auto"/>
        <w:rPr>
          <w:sz w:val="20"/>
          <w:szCs w:val="20"/>
          <w:color w:val="auto"/>
        </w:rPr>
      </w:pPr>
      <w:r>
        <w:rPr>
          <w:rFonts w:ascii="Times New Roman" w:cs="Times New Roman" w:eastAsia="Times New Roman" w:hAnsi="Times New Roman"/>
          <w:sz w:val="14"/>
          <w:szCs w:val="14"/>
          <w:color w:val="auto"/>
        </w:rPr>
        <w:t>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47" w:lineRule="exact"/>
        <w:rPr>
          <w:sz w:val="20"/>
          <w:szCs w:val="20"/>
          <w:color w:val="auto"/>
        </w:rPr>
      </w:pPr>
    </w:p>
    <w:p>
      <w:pPr>
        <w:ind w:left="200" w:right="399" w:firstLine="345"/>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4"/>
          <w:szCs w:val="14"/>
          <w:color w:val="auto"/>
        </w:rPr>
        <w:t>A REIT will incur a 100% tax on certain transactions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changes to the interest deduction rules may affect interest deductions of our taxable REIT subsidiaries under some circumstances.</w:t>
      </w:r>
    </w:p>
    <w:p>
      <w:pPr>
        <w:spacing w:after="0" w:line="139" w:lineRule="exact"/>
        <w:rPr>
          <w:sz w:val="20"/>
          <w:szCs w:val="20"/>
          <w:color w:val="auto"/>
        </w:rPr>
      </w:pPr>
    </w:p>
    <w:p>
      <w:pPr>
        <w:ind w:left="200" w:right="219" w:firstLine="34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Hedging Transactions. </w:t>
      </w:r>
      <w:r>
        <w:rPr>
          <w:rFonts w:ascii="Times New Roman" w:cs="Times New Roman" w:eastAsia="Times New Roman" w:hAnsi="Times New Roman"/>
          <w:sz w:val="14"/>
          <w:szCs w:val="14"/>
          <w:color w:val="auto"/>
        </w:rPr>
        <w:t>Except to the extent provided by Treasury regulations, any income we derive from a hedging transaction (which may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43" w:lineRule="exact"/>
        <w:rPr>
          <w:sz w:val="20"/>
          <w:szCs w:val="20"/>
          <w:color w:val="auto"/>
        </w:rPr>
      </w:pPr>
    </w:p>
    <w:p>
      <w:pPr>
        <w:ind w:left="200" w:right="23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Like-Kind Exchanges. </w:t>
      </w:r>
      <w:r>
        <w:rPr>
          <w:rFonts w:ascii="Times New Roman" w:cs="Times New Roman" w:eastAsia="Times New Roman" w:hAnsi="Times New Roman"/>
          <w:sz w:val="14"/>
          <w:szCs w:val="14"/>
          <w:color w:val="auto"/>
        </w:rPr>
        <w:t>The Partnership may dispose of properties in transactions intended to qualify as like-kind exchanges under the Code. Such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9" w:right="1440" w:bottom="1440" w:gutter="0" w:footer="0" w:header="0"/>
        </w:sectPr>
      </w:pPr>
    </w:p>
    <w:bookmarkStart w:id="48" w:name="page49"/>
    <w:bookmarkEnd w:id="48"/>
    <w:p>
      <w:pPr>
        <w:ind w:left="200" w:right="219" w:firstLine="34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Relief from Consequences of Failing to Meet Income Tests. </w:t>
      </w:r>
      <w:r>
        <w:rPr>
          <w:rFonts w:ascii="Times New Roman" w:cs="Times New Roman" w:eastAsia="Times New Roman" w:hAnsi="Times New Roman"/>
          <w:sz w:val="14"/>
          <w:szCs w:val="14"/>
          <w:color w:val="auto"/>
        </w:rPr>
        <w:t>If we fail to satisfy one or both of the 75% and 95% gross income tests for 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Asset Tests. </w:t>
      </w:r>
      <w:r>
        <w:rPr>
          <w:rFonts w:ascii="Times New Roman" w:cs="Times New Roman" w:eastAsia="Times New Roman" w:hAnsi="Times New Roman"/>
          <w:sz w:val="14"/>
          <w:szCs w:val="14"/>
          <w:color w:val="auto"/>
        </w:rPr>
        <w:t>To maintain our qualification as a REIT, we also must satisfy the following asset tests at the close of each quarter of each taxable year:</w:t>
      </w:r>
    </w:p>
    <w:p>
      <w:pPr>
        <w:spacing w:after="0" w:line="105" w:lineRule="exact"/>
        <w:rPr>
          <w:sz w:val="20"/>
          <w:szCs w:val="20"/>
          <w:color w:val="auto"/>
        </w:rPr>
      </w:pPr>
    </w:p>
    <w:p>
      <w:pPr>
        <w:ind w:left="960" w:right="439" w:hanging="346"/>
        <w:spacing w:after="0" w:line="285" w:lineRule="auto"/>
        <w:tabs>
          <w:tab w:leader="none" w:pos="9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51" w:lineRule="exact"/>
        <w:rPr>
          <w:rFonts w:ascii="Times New Roman" w:cs="Times New Roman" w:eastAsia="Times New Roman" w:hAnsi="Times New Roman"/>
          <w:sz w:val="14"/>
          <w:szCs w:val="14"/>
          <w:color w:val="auto"/>
        </w:rPr>
      </w:pPr>
    </w:p>
    <w:p>
      <w:pPr>
        <w:ind w:left="1300" w:right="339" w:hanging="253"/>
        <w:spacing w:after="0" w:line="263" w:lineRule="auto"/>
        <w:tabs>
          <w:tab w:leader="none" w:pos="130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w:t>
      </w:r>
    </w:p>
    <w:p>
      <w:pPr>
        <w:spacing w:after="0" w:line="66" w:lineRule="exact"/>
        <w:rPr>
          <w:rFonts w:ascii="Times New Roman" w:cs="Times New Roman" w:eastAsia="Times New Roman" w:hAnsi="Times New Roman"/>
          <w:sz w:val="14"/>
          <w:szCs w:val="14"/>
          <w:color w:val="auto"/>
        </w:rPr>
      </w:pPr>
    </w:p>
    <w:p>
      <w:pPr>
        <w:ind w:left="1300" w:right="359" w:hanging="253"/>
        <w:spacing w:after="0" w:line="268" w:lineRule="auto"/>
        <w:tabs>
          <w:tab w:leader="none" w:pos="130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63" w:lineRule="exact"/>
        <w:rPr>
          <w:rFonts w:ascii="Times New Roman" w:cs="Times New Roman" w:eastAsia="Times New Roman" w:hAnsi="Times New Roman"/>
          <w:sz w:val="14"/>
          <w:szCs w:val="14"/>
          <w:color w:val="auto"/>
        </w:rPr>
      </w:pPr>
    </w:p>
    <w:p>
      <w:pPr>
        <w:ind w:left="1300" w:right="359" w:hanging="253"/>
        <w:spacing w:after="0" w:line="285" w:lineRule="auto"/>
        <w:tabs>
          <w:tab w:leader="none" w:pos="130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temporary investments are investments in stock or debt instruments during the one-year period following our receipt of new capital that we raise through equity or long-term (at least five-year) debt offerings.</w:t>
      </w:r>
    </w:p>
    <w:p>
      <w:pPr>
        <w:spacing w:after="0" w:line="51" w:lineRule="exact"/>
        <w:rPr>
          <w:rFonts w:ascii="Times New Roman" w:cs="Times New Roman" w:eastAsia="Times New Roman" w:hAnsi="Times New Roman"/>
          <w:sz w:val="14"/>
          <w:szCs w:val="14"/>
          <w:color w:val="auto"/>
        </w:rPr>
      </w:pPr>
    </w:p>
    <w:p>
      <w:pPr>
        <w:ind w:left="960" w:right="299" w:hanging="346"/>
        <w:spacing w:after="0" w:line="254" w:lineRule="auto"/>
        <w:tabs>
          <w:tab w:leader="none" w:pos="9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78" w:lineRule="exact"/>
        <w:rPr>
          <w:rFonts w:ascii="Times New Roman" w:cs="Times New Roman" w:eastAsia="Times New Roman" w:hAnsi="Times New Roman"/>
          <w:sz w:val="14"/>
          <w:szCs w:val="14"/>
          <w:color w:val="auto"/>
        </w:rPr>
      </w:pPr>
    </w:p>
    <w:p>
      <w:pPr>
        <w:ind w:left="960" w:right="279" w:hanging="346"/>
        <w:spacing w:after="0" w:line="285" w:lineRule="auto"/>
        <w:tabs>
          <w:tab w:leader="none" w:pos="9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our securities in one or more taxable REIT subsidiaries (unless they would otherwise be treated as real estate assets) may not exceed 20% of the value of our total assets.</w:t>
      </w:r>
    </w:p>
    <w:p>
      <w:pPr>
        <w:spacing w:after="0" w:line="51" w:lineRule="exact"/>
        <w:rPr>
          <w:rFonts w:ascii="Times New Roman" w:cs="Times New Roman" w:eastAsia="Times New Roman" w:hAnsi="Times New Roman"/>
          <w:sz w:val="14"/>
          <w:szCs w:val="14"/>
          <w:color w:val="auto"/>
        </w:rPr>
      </w:pPr>
    </w:p>
    <w:p>
      <w:pPr>
        <w:ind w:left="960" w:right="299" w:hanging="346"/>
        <w:spacing w:after="0" w:line="285" w:lineRule="auto"/>
        <w:tabs>
          <w:tab w:leader="none" w:pos="9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our holdings in debt instruments of publicly offered REITs (unless they would otherwise be treated as real estate assets) may not exceed 25% of the value of our total assets.</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We intend to select future investments so as to comply with the asset tests.</w:t>
      </w:r>
    </w:p>
    <w:p>
      <w:pPr>
        <w:spacing w:after="0" w:line="1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39" w:right="1440" w:bottom="1440" w:gutter="0" w:footer="0" w:header="0"/>
        </w:sectPr>
      </w:pPr>
    </w:p>
    <w:bookmarkStart w:id="49" w:name="page50"/>
    <w:bookmarkEnd w:id="49"/>
    <w:p>
      <w:pPr>
        <w:ind w:left="200" w:right="259" w:firstLine="34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50" w:lineRule="exact"/>
        <w:rPr>
          <w:sz w:val="20"/>
          <w:szCs w:val="20"/>
          <w:color w:val="auto"/>
        </w:rPr>
      </w:pPr>
    </w:p>
    <w:p>
      <w:pPr>
        <w:ind w:left="200" w:right="359" w:firstLine="345"/>
        <w:spacing w:after="0" w:line="260" w:lineRule="auto"/>
        <w:rPr>
          <w:sz w:val="20"/>
          <w:szCs w:val="20"/>
          <w:color w:val="auto"/>
        </w:rPr>
      </w:pPr>
      <w:r>
        <w:rPr>
          <w:rFonts w:ascii="Times New Roman" w:cs="Times New Roman" w:eastAsia="Times New Roman" w:hAnsi="Times New Roman"/>
          <w:sz w:val="14"/>
          <w:szCs w:val="14"/>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1" w:lineRule="exact"/>
        <w:rPr>
          <w:sz w:val="20"/>
          <w:szCs w:val="20"/>
          <w:color w:val="auto"/>
        </w:rPr>
      </w:pPr>
    </w:p>
    <w:p>
      <w:pPr>
        <w:ind w:left="200" w:right="219" w:firstLine="345"/>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Relief from Consequences of Failing to Meet Asset Tests. </w:t>
      </w:r>
      <w:r>
        <w:rPr>
          <w:rFonts w:ascii="Times New Roman" w:cs="Times New Roman" w:eastAsia="Times New Roman" w:hAnsi="Times New Roman"/>
          <w:sz w:val="14"/>
          <w:szCs w:val="14"/>
          <w:color w:val="auto"/>
        </w:rPr>
        <w:t>If we fail to satisfy one or more of the asset tests for any quarter of a taxable year,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equal to the greater of $50,000 or a tax computed at the regular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8" w:lineRule="exact"/>
        <w:rPr>
          <w:sz w:val="20"/>
          <w:szCs w:val="20"/>
          <w:color w:val="auto"/>
        </w:rPr>
      </w:pPr>
    </w:p>
    <w:p>
      <w:pPr>
        <w:ind w:left="200" w:right="519" w:firstLine="34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Distribution Requirements. </w:t>
      </w:r>
      <w:r>
        <w:rPr>
          <w:rFonts w:ascii="Times New Roman" w:cs="Times New Roman" w:eastAsia="Times New Roman" w:hAnsi="Times New Roman"/>
          <w:sz w:val="14"/>
          <w:szCs w:val="14"/>
          <w:color w:val="auto"/>
        </w:rPr>
        <w:t>Each taxable year, we must distribute dividends (other than capital gain dividends and deemed distributions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(2) certain items of non-cash income.</w:t>
      </w:r>
    </w:p>
    <w:p>
      <w:pPr>
        <w:spacing w:after="0" w:line="163" w:lineRule="exact"/>
        <w:rPr>
          <w:sz w:val="20"/>
          <w:szCs w:val="20"/>
          <w:color w:val="auto"/>
        </w:rPr>
      </w:pPr>
    </w:p>
    <w:p>
      <w:pPr>
        <w:ind w:left="200" w:right="219" w:firstLine="345"/>
        <w:spacing w:after="0" w:line="263" w:lineRule="auto"/>
        <w:rPr>
          <w:sz w:val="20"/>
          <w:szCs w:val="20"/>
          <w:color w:val="auto"/>
        </w:rPr>
      </w:pPr>
      <w:r>
        <w:rPr>
          <w:rFonts w:ascii="Times New Roman" w:cs="Times New Roman" w:eastAsia="Times New Roman" w:hAnsi="Times New Roman"/>
          <w:sz w:val="14"/>
          <w:szCs w:val="14"/>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40" w:lineRule="exact"/>
        <w:rPr>
          <w:sz w:val="20"/>
          <w:szCs w:val="20"/>
          <w:color w:val="auto"/>
        </w:rPr>
      </w:pPr>
    </w:p>
    <w:p>
      <w:pPr>
        <w:ind w:left="200" w:right="219" w:firstLine="345"/>
        <w:spacing w:after="0" w:line="257" w:lineRule="auto"/>
        <w:rPr>
          <w:sz w:val="20"/>
          <w:szCs w:val="20"/>
          <w:color w:val="auto"/>
        </w:rPr>
      </w:pPr>
      <w:r>
        <w:rPr>
          <w:rFonts w:ascii="Times New Roman" w:cs="Times New Roman" w:eastAsia="Times New Roman" w:hAnsi="Times New Roman"/>
          <w:sz w:val="14"/>
          <w:szCs w:val="14"/>
          <w:color w:val="auto"/>
        </w:rPr>
        <w:t>In order to be taken into account for purposes of our distribution requirement, except as provided below, the amount distributed must not be preferential — i.e.,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have been and are currently, and expect we will continue to be, a “publicly offered REIT.” However, the preferential dividend rules would apply to subsidiary REITs we may own from time to time, although the IRS has issued multiple private letter rulings, which may not be relied upon as precedent, that a subsidiary REIT that meets certain conditions may be treated as a publicly offered REIT for these purposes.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1" w:right="1440" w:bottom="1440" w:gutter="0" w:footer="0" w:header="0"/>
        </w:sectPr>
      </w:pPr>
    </w:p>
    <w:bookmarkStart w:id="50" w:name="page51"/>
    <w:bookmarkEnd w:id="50"/>
    <w:p>
      <w:pPr>
        <w:ind w:left="200" w:right="299" w:firstLine="345"/>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48" w:lineRule="exact"/>
        <w:rPr>
          <w:sz w:val="20"/>
          <w:szCs w:val="20"/>
          <w:color w:val="auto"/>
        </w:rPr>
      </w:pPr>
    </w:p>
    <w:p>
      <w:pPr>
        <w:ind w:left="200" w:right="259" w:firstLine="345"/>
        <w:spacing w:after="0" w:line="256" w:lineRule="auto"/>
        <w:rPr>
          <w:sz w:val="20"/>
          <w:szCs w:val="20"/>
          <w:color w:val="auto"/>
        </w:rPr>
      </w:pPr>
      <w:r>
        <w:rPr>
          <w:rFonts w:ascii="Times New Roman" w:cs="Times New Roman" w:eastAsia="Times New Roman" w:hAnsi="Times New Roman"/>
          <w:sz w:val="14"/>
          <w:szCs w:val="14"/>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48" w:lineRule="exact"/>
        <w:rPr>
          <w:sz w:val="20"/>
          <w:szCs w:val="20"/>
          <w:color w:val="auto"/>
        </w:rPr>
      </w:pPr>
    </w:p>
    <w:p>
      <w:pPr>
        <w:ind w:left="200" w:right="279" w:firstLine="345"/>
        <w:spacing w:after="0" w:line="255" w:lineRule="auto"/>
        <w:rPr>
          <w:sz w:val="20"/>
          <w:szCs w:val="20"/>
          <w:color w:val="auto"/>
        </w:rPr>
      </w:pPr>
      <w:r>
        <w:rPr>
          <w:rFonts w:ascii="Times New Roman" w:cs="Times New Roman" w:eastAsia="Times New Roman" w:hAnsi="Times New Roman"/>
          <w:sz w:val="14"/>
          <w:szCs w:val="14"/>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48" w:lineRule="exact"/>
        <w:rPr>
          <w:sz w:val="20"/>
          <w:szCs w:val="20"/>
          <w:color w:val="auto"/>
        </w:rPr>
      </w:pPr>
    </w:p>
    <w:p>
      <w:pPr>
        <w:ind w:left="200" w:right="279" w:firstLine="345"/>
        <w:spacing w:after="0" w:line="263" w:lineRule="auto"/>
        <w:rPr>
          <w:sz w:val="20"/>
          <w:szCs w:val="20"/>
          <w:color w:val="auto"/>
        </w:rPr>
      </w:pPr>
      <w:r>
        <w:rPr>
          <w:rFonts w:ascii="Times New Roman" w:cs="Times New Roman" w:eastAsia="Times New Roman" w:hAnsi="Times New Roman"/>
          <w:sz w:val="14"/>
          <w:szCs w:val="14"/>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8" w:lineRule="exact"/>
        <w:rPr>
          <w:sz w:val="20"/>
          <w:szCs w:val="20"/>
          <w:color w:val="auto"/>
        </w:rPr>
      </w:pPr>
    </w:p>
    <w:p>
      <w:pPr>
        <w:ind w:left="200" w:right="259" w:firstLine="345"/>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Record Keeping Requirements. </w:t>
      </w:r>
      <w:r>
        <w:rPr>
          <w:rFonts w:ascii="Times New Roman" w:cs="Times New Roman" w:eastAsia="Times New Roman" w:hAnsi="Times New Roman"/>
          <w:sz w:val="14"/>
          <w:szCs w:val="14"/>
          <w:color w:val="auto"/>
        </w:rPr>
        <w:t>We must maintain certain records in order to qualify as a REIT. In addition, to avoid a monetary penalty, we must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request on an annual basis certain information from our shareholders designed to disclose the actual ownership of our outstanding shares. We have complied, and intend to continue to comply, with such requirements.</w:t>
      </w:r>
    </w:p>
    <w:p>
      <w:pPr>
        <w:spacing w:after="0" w:line="133" w:lineRule="exact"/>
        <w:rPr>
          <w:sz w:val="20"/>
          <w:szCs w:val="20"/>
          <w:color w:val="auto"/>
        </w:rPr>
      </w:pPr>
    </w:p>
    <w:p>
      <w:pPr>
        <w:ind w:left="200" w:right="25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Relief from Other Failures of the REIT Qualification Provisions. </w:t>
      </w:r>
      <w:r>
        <w:rPr>
          <w:rFonts w:ascii="Times New Roman" w:cs="Times New Roman" w:eastAsia="Times New Roman" w:hAnsi="Times New Roman"/>
          <w:sz w:val="14"/>
          <w:szCs w:val="14"/>
          <w:color w:val="auto"/>
        </w:rPr>
        <w:t>If we fail to satisfy one or more of the requirements for REIT qualification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1" w:right="1440" w:bottom="1440" w:gutter="0" w:footer="0" w:header="0"/>
        </w:sectPr>
      </w:pPr>
    </w:p>
    <w:bookmarkStart w:id="51" w:name="page52"/>
    <w:bookmarkEnd w:id="51"/>
    <w:p>
      <w:pPr>
        <w:ind w:left="200" w:right="239" w:firstLine="34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Failure to Qualify. </w:t>
      </w:r>
      <w:r>
        <w:rPr>
          <w:rFonts w:ascii="Times New Roman" w:cs="Times New Roman" w:eastAsia="Times New Roman" w:hAnsi="Times New Roman"/>
          <w:sz w:val="14"/>
          <w:szCs w:val="14"/>
          <w:color w:val="auto"/>
        </w:rPr>
        <w:t>If we fail to qualify as a REIT in any taxable year, and no relief provision applied, we would be subject to federal income tax</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Taxation of Taxable U.S. Shareholders</w:t>
      </w:r>
    </w:p>
    <w:p>
      <w:pPr>
        <w:spacing w:after="0" w:line="95" w:lineRule="exact"/>
        <w:rPr>
          <w:sz w:val="20"/>
          <w:szCs w:val="20"/>
          <w:color w:val="auto"/>
        </w:rPr>
      </w:pPr>
    </w:p>
    <w:p>
      <w:pPr>
        <w:ind w:left="200" w:right="499" w:firstLine="345"/>
        <w:spacing w:after="0" w:line="285" w:lineRule="auto"/>
        <w:rPr>
          <w:sz w:val="20"/>
          <w:szCs w:val="20"/>
          <w:color w:val="auto"/>
        </w:rPr>
      </w:pPr>
      <w:r>
        <w:rPr>
          <w:rFonts w:ascii="Times New Roman" w:cs="Times New Roman" w:eastAsia="Times New Roman" w:hAnsi="Times New Roman"/>
          <w:sz w:val="14"/>
          <w:szCs w:val="14"/>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60" w:hanging="346"/>
        <w:spacing w:after="0"/>
        <w:tabs>
          <w:tab w:leader="none" w:pos="9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individual resident of the United States;</w:t>
      </w:r>
    </w:p>
    <w:p>
      <w:pPr>
        <w:spacing w:after="0" w:line="103" w:lineRule="exact"/>
        <w:rPr>
          <w:rFonts w:ascii="Times New Roman" w:cs="Times New Roman" w:eastAsia="Times New Roman" w:hAnsi="Times New Roman"/>
          <w:sz w:val="14"/>
          <w:szCs w:val="14"/>
          <w:color w:val="auto"/>
        </w:rPr>
      </w:pPr>
    </w:p>
    <w:p>
      <w:pPr>
        <w:ind w:left="960" w:right="259" w:hanging="346"/>
        <w:spacing w:after="0" w:line="285" w:lineRule="auto"/>
        <w:tabs>
          <w:tab w:leader="none" w:pos="9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(including an entity treated as a corporation for federal income tax purposes) created or organized in or under the laws of the United States, any state thereof or the District of Columbia;</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includible in gross income for U.S. federal income tax purposes regardless of its source; or</w:t>
      </w:r>
    </w:p>
    <w:p>
      <w:pPr>
        <w:spacing w:after="0" w:line="103" w:lineRule="exact"/>
        <w:rPr>
          <w:rFonts w:ascii="Times New Roman" w:cs="Times New Roman" w:eastAsia="Times New Roman" w:hAnsi="Times New Roman"/>
          <w:sz w:val="14"/>
          <w:szCs w:val="14"/>
          <w:color w:val="auto"/>
        </w:rPr>
      </w:pPr>
    </w:p>
    <w:p>
      <w:pPr>
        <w:ind w:left="960" w:right="219" w:hanging="346"/>
        <w:spacing w:after="0" w:line="268" w:lineRule="auto"/>
        <w:tabs>
          <w:tab w:leader="none" w:pos="9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37" w:lineRule="exact"/>
        <w:rPr>
          <w:sz w:val="20"/>
          <w:szCs w:val="20"/>
          <w:color w:val="auto"/>
        </w:rPr>
      </w:pPr>
    </w:p>
    <w:p>
      <w:pPr>
        <w:ind w:left="200" w:right="339" w:firstLine="345"/>
        <w:spacing w:after="0" w:line="268" w:lineRule="auto"/>
        <w:rPr>
          <w:sz w:val="20"/>
          <w:szCs w:val="20"/>
          <w:color w:val="auto"/>
        </w:rPr>
      </w:pPr>
      <w:r>
        <w:rPr>
          <w:rFonts w:ascii="Times New Roman" w:cs="Times New Roman" w:eastAsia="Times New Roman" w:hAnsi="Times New Roman"/>
          <w:sz w:val="14"/>
          <w:szCs w:val="14"/>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35" w:lineRule="exact"/>
        <w:rPr>
          <w:sz w:val="20"/>
          <w:szCs w:val="20"/>
          <w:color w:val="auto"/>
        </w:rPr>
      </w:pPr>
    </w:p>
    <w:p>
      <w:pPr>
        <w:ind w:left="200" w:right="199" w:firstLine="34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Dividends and Other Taxable U.S. Shareholder Distributions. </w:t>
      </w:r>
      <w:r>
        <w:rPr>
          <w:rFonts w:ascii="Times New Roman" w:cs="Times New Roman" w:eastAsia="Times New Roman" w:hAnsi="Times New Roman"/>
          <w:sz w:val="14"/>
          <w:szCs w:val="14"/>
          <w:color w:val="auto"/>
        </w:rPr>
        <w:t>As long as we qualify as a REIT, a taxable U.S. shareholder must take into account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48" w:lineRule="exact"/>
        <w:rPr>
          <w:sz w:val="20"/>
          <w:szCs w:val="20"/>
          <w:color w:val="auto"/>
        </w:rPr>
      </w:pPr>
    </w:p>
    <w:p>
      <w:pPr>
        <w:ind w:left="200" w:right="339" w:firstLine="345"/>
        <w:spacing w:after="0" w:line="257" w:lineRule="auto"/>
        <w:rPr>
          <w:sz w:val="20"/>
          <w:szCs w:val="20"/>
          <w:color w:val="auto"/>
        </w:rPr>
      </w:pPr>
      <w:r>
        <w:rPr>
          <w:rFonts w:ascii="Times New Roman" w:cs="Times New Roman" w:eastAsia="Times New Roman" w:hAnsi="Times New Roman"/>
          <w:sz w:val="14"/>
          <w:szCs w:val="14"/>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46" w:lineRule="exact"/>
        <w:rPr>
          <w:sz w:val="20"/>
          <w:szCs w:val="20"/>
          <w:color w:val="auto"/>
        </w:rPr>
      </w:pPr>
    </w:p>
    <w:p>
      <w:pPr>
        <w:ind w:left="200" w:right="279" w:firstLine="345"/>
        <w:spacing w:after="0" w:line="260" w:lineRule="auto"/>
        <w:rPr>
          <w:sz w:val="20"/>
          <w:szCs w:val="20"/>
          <w:color w:val="auto"/>
        </w:rPr>
      </w:pPr>
      <w:r>
        <w:rPr>
          <w:rFonts w:ascii="Times New Roman" w:cs="Times New Roman" w:eastAsia="Times New Roman" w:hAnsi="Times New Roman"/>
          <w:sz w:val="14"/>
          <w:szCs w:val="14"/>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39" w:right="1440" w:bottom="1440" w:gutter="0" w:footer="0" w:header="0"/>
        </w:sectPr>
      </w:pPr>
    </w:p>
    <w:bookmarkStart w:id="52" w:name="page53"/>
    <w:bookmarkEnd w:id="52"/>
    <w:p>
      <w:pPr>
        <w:ind w:left="200" w:right="219" w:firstLine="345"/>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0" w:lineRule="exact"/>
        <w:rPr>
          <w:sz w:val="20"/>
          <w:szCs w:val="20"/>
          <w:color w:val="auto"/>
        </w:rPr>
      </w:pPr>
    </w:p>
    <w:p>
      <w:pPr>
        <w:ind w:left="200" w:right="199" w:firstLine="345"/>
        <w:spacing w:after="0" w:line="255" w:lineRule="auto"/>
        <w:rPr>
          <w:sz w:val="20"/>
          <w:szCs w:val="20"/>
          <w:color w:val="auto"/>
        </w:rPr>
      </w:pPr>
      <w:r>
        <w:rPr>
          <w:rFonts w:ascii="Times New Roman" w:cs="Times New Roman" w:eastAsia="Times New Roman" w:hAnsi="Times New Roman"/>
          <w:sz w:val="14"/>
          <w:szCs w:val="14"/>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48" w:lineRule="exact"/>
        <w:rPr>
          <w:sz w:val="20"/>
          <w:szCs w:val="20"/>
          <w:color w:val="auto"/>
        </w:rPr>
      </w:pPr>
    </w:p>
    <w:p>
      <w:pPr>
        <w:ind w:left="200" w:right="319" w:firstLine="34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Taxation of Taxable U.S. Shareholders on the Disposition of Our Shares. </w:t>
      </w:r>
      <w:r>
        <w:rPr>
          <w:rFonts w:ascii="Times New Roman" w:cs="Times New Roman" w:eastAsia="Times New Roman" w:hAnsi="Times New Roman"/>
          <w:sz w:val="14"/>
          <w:szCs w:val="14"/>
          <w:color w:val="auto"/>
        </w:rPr>
        <w:t>In general, a taxable U.S. shareholder must treat any gain or loss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6" w:lineRule="exact"/>
        <w:rPr>
          <w:sz w:val="20"/>
          <w:szCs w:val="20"/>
          <w:color w:val="auto"/>
        </w:rPr>
      </w:pPr>
    </w:p>
    <w:p>
      <w:pPr>
        <w:ind w:left="200" w:right="239" w:firstLine="345"/>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Capital Gains and Losses. </w:t>
      </w:r>
      <w:r>
        <w:rPr>
          <w:rFonts w:ascii="Times New Roman" w:cs="Times New Roman" w:eastAsia="Times New Roman" w:hAnsi="Times New Roman"/>
          <w:sz w:val="14"/>
          <w:szCs w:val="14"/>
          <w:color w:val="auto"/>
        </w:rPr>
        <w:t>A taxpayer generally must hold a capital asset for more than one year for gain or loss derived from its sale or exchange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1" w:right="1440" w:bottom="1440" w:gutter="0" w:footer="0" w:header="0"/>
        </w:sectPr>
      </w:pPr>
    </w:p>
    <w:bookmarkStart w:id="53" w:name="page54"/>
    <w:bookmarkEnd w:id="53"/>
    <w:p>
      <w:pPr>
        <w:ind w:left="200" w:right="219" w:firstLine="345"/>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Redemption of Preferred Shares for Cash. </w:t>
      </w:r>
      <w:r>
        <w:rPr>
          <w:rFonts w:ascii="Times New Roman" w:cs="Times New Roman" w:eastAsia="Times New Roman" w:hAnsi="Times New Roman"/>
          <w:sz w:val="14"/>
          <w:szCs w:val="14"/>
          <w:color w:val="auto"/>
        </w:rPr>
        <w:t>The treatment accorded to any redemption by us for cash (as distinguished from a sale, exchange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50" w:lineRule="exact"/>
        <w:rPr>
          <w:sz w:val="20"/>
          <w:szCs w:val="20"/>
          <w:color w:val="auto"/>
        </w:rPr>
      </w:pPr>
    </w:p>
    <w:p>
      <w:pPr>
        <w:ind w:left="200" w:right="219" w:firstLine="345"/>
        <w:spacing w:after="0" w:line="256" w:lineRule="auto"/>
        <w:rPr>
          <w:sz w:val="20"/>
          <w:szCs w:val="20"/>
          <w:color w:val="auto"/>
        </w:rPr>
      </w:pPr>
      <w:r>
        <w:rPr>
          <w:rFonts w:ascii="Times New Roman" w:cs="Times New Roman" w:eastAsia="Times New Roman" w:hAnsi="Times New Roman"/>
          <w:sz w:val="14"/>
          <w:szCs w:val="14"/>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46" w:lineRule="exact"/>
        <w:rPr>
          <w:sz w:val="20"/>
          <w:szCs w:val="20"/>
          <w:color w:val="auto"/>
        </w:rPr>
      </w:pPr>
    </w:p>
    <w:p>
      <w:pPr>
        <w:ind w:left="200" w:right="219" w:firstLine="345"/>
        <w:spacing w:after="0" w:line="255" w:lineRule="auto"/>
        <w:rPr>
          <w:sz w:val="20"/>
          <w:szCs w:val="20"/>
          <w:color w:val="auto"/>
        </w:rPr>
      </w:pPr>
      <w:r>
        <w:rPr>
          <w:rFonts w:ascii="Times New Roman" w:cs="Times New Roman" w:eastAsia="Times New Roman" w:hAnsi="Times New Roman"/>
          <w:sz w:val="14"/>
          <w:szCs w:val="14"/>
          <w:color w:val="auto"/>
        </w:rPr>
        <w:t>Under previously proposed Treasury regulations, if any portion of the amount received by a taxable U.S. shareholder on a redemption of our preferred shares is treated as a distribution with respect to our shares but not as a taxable dividend, then such portion would be allocated to all shares held by the taxable U.S. shareholder just before the redemption on a pro rata, share-by-share, basis. The amount applied to each share would first reduce the taxable U.S. shareholder’s basis in that share and any excess after the basis is reduced to zero would result in taxable gain. If the holder had a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permitted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As of March 28, 2019, these proposed Treasury regulations have been withdrawn. As a result, the treatment of adjustments to basis of a taxable U.S. shareholder’s preferred shares with respect to amounts treated as a distribution with respect to preferred shares, but not a dividend, as well as the treatment of the basis of any unredeemed shares, may be less certain. We urge you to consult your tax advisor concerning the treatment of a cash redemption of our preferred shares.</w:t>
      </w:r>
    </w:p>
    <w:p>
      <w:pPr>
        <w:spacing w:after="0" w:line="313" w:lineRule="exact"/>
        <w:rPr>
          <w:sz w:val="20"/>
          <w:szCs w:val="20"/>
          <w:color w:val="auto"/>
        </w:rPr>
      </w:pPr>
    </w:p>
    <w:p>
      <w:pPr>
        <w:ind w:left="200" w:right="219" w:firstLine="34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Redemption or Conversion of Preferred Shares to Common Shares. </w:t>
      </w:r>
      <w:r>
        <w:rPr>
          <w:rFonts w:ascii="Times New Roman" w:cs="Times New Roman" w:eastAsia="Times New Roman" w:hAnsi="Times New Roman"/>
          <w:sz w:val="14"/>
          <w:szCs w:val="14"/>
          <w:color w:val="auto"/>
        </w:rPr>
        <w:t>Assuming that preferred shares will not be redeemed or converted at a time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39" w:right="1440" w:bottom="1440" w:gutter="0" w:footer="0" w:header="0"/>
        </w:sectPr>
      </w:pPr>
    </w:p>
    <w:bookmarkStart w:id="54" w:name="page55"/>
    <w:bookmarkEnd w:id="54"/>
    <w:p>
      <w:pPr>
        <w:jc w:val="both"/>
        <w:ind w:left="200" w:right="359" w:firstLine="345"/>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37" w:lineRule="exact"/>
        <w:rPr>
          <w:sz w:val="20"/>
          <w:szCs w:val="20"/>
          <w:color w:val="auto"/>
        </w:rPr>
      </w:pPr>
    </w:p>
    <w:p>
      <w:pPr>
        <w:ind w:left="200" w:right="459" w:firstLine="345"/>
        <w:spacing w:after="0" w:line="258" w:lineRule="auto"/>
        <w:rPr>
          <w:sz w:val="20"/>
          <w:szCs w:val="20"/>
          <w:color w:val="auto"/>
        </w:rPr>
      </w:pPr>
      <w:r>
        <w:rPr>
          <w:rFonts w:ascii="Times New Roman" w:cs="Times New Roman" w:eastAsia="Times New Roman" w:hAnsi="Times New Roman"/>
          <w:sz w:val="14"/>
          <w:szCs w:val="14"/>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44" w:lineRule="exact"/>
        <w:rPr>
          <w:sz w:val="20"/>
          <w:szCs w:val="20"/>
          <w:color w:val="auto"/>
        </w:rPr>
      </w:pPr>
    </w:p>
    <w:p>
      <w:pPr>
        <w:ind w:left="200" w:right="239" w:firstLine="345"/>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Adjustments to Conversion Price. </w:t>
      </w:r>
      <w:r>
        <w:rPr>
          <w:rFonts w:ascii="Times New Roman" w:cs="Times New Roman" w:eastAsia="Times New Roman" w:hAnsi="Times New Roman"/>
          <w:sz w:val="14"/>
          <w:szCs w:val="14"/>
          <w:color w:val="auto"/>
        </w:rPr>
        <w:t>Under Section 305 of the Code, holders of preferred shares may be deemed to have received a constructive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reasonable adjustment formula. In such a case, if a nonqualifying adjustment were made, the holders of preferred shares might be deemed to have received a taxable share dividend.</w:t>
      </w:r>
    </w:p>
    <w:p>
      <w:pPr>
        <w:spacing w:after="0" w:line="142" w:lineRule="exact"/>
        <w:rPr>
          <w:sz w:val="20"/>
          <w:szCs w:val="20"/>
          <w:color w:val="auto"/>
        </w:rPr>
      </w:pPr>
    </w:p>
    <w:p>
      <w:pPr>
        <w:ind w:left="200" w:right="259" w:firstLine="345"/>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Passive Activity and Investment Income Limitations. </w:t>
      </w:r>
      <w:r>
        <w:rPr>
          <w:rFonts w:ascii="Times New Roman" w:cs="Times New Roman" w:eastAsia="Times New Roman" w:hAnsi="Times New Roman"/>
          <w:sz w:val="14"/>
          <w:szCs w:val="14"/>
          <w:color w:val="auto"/>
        </w:rPr>
        <w:t>Distributions from us and gain from the disposition of our common or preferred shares will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39" w:lineRule="exact"/>
        <w:rPr>
          <w:sz w:val="20"/>
          <w:szCs w:val="20"/>
          <w:color w:val="auto"/>
        </w:rPr>
      </w:pPr>
    </w:p>
    <w:p>
      <w:pPr>
        <w:ind w:left="200" w:right="19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Medicare Tax on Unearned Income. </w:t>
      </w:r>
      <w:r>
        <w:rPr>
          <w:rFonts w:ascii="Times New Roman" w:cs="Times New Roman" w:eastAsia="Times New Roman" w:hAnsi="Times New Roman"/>
          <w:sz w:val="14"/>
          <w:szCs w:val="14"/>
          <w:color w:val="auto"/>
        </w:rPr>
        <w:t>Certain taxable U.S. shareholders who are individuals, estates or trusts are subject to a 3.8% Medicare tax 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37" w:lineRule="exact"/>
        <w:rPr>
          <w:sz w:val="20"/>
          <w:szCs w:val="20"/>
          <w:color w:val="auto"/>
        </w:rPr>
      </w:pPr>
    </w:p>
    <w:p>
      <w:pPr>
        <w:ind w:left="200" w:right="219" w:firstLine="345"/>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Current Tax Rates. </w:t>
      </w:r>
      <w:r>
        <w:rPr>
          <w:rFonts w:ascii="Times New Roman" w:cs="Times New Roman" w:eastAsia="Times New Roman" w:hAnsi="Times New Roman"/>
          <w:sz w:val="14"/>
          <w:szCs w:val="14"/>
          <w:color w:val="auto"/>
        </w:rPr>
        <w:t>The maximum tax rate on the long-term capital gains of domestic non-corporate taxpayers is 20%. The maximum tax rate 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76" w:lineRule="exact"/>
        <w:rPr>
          <w:sz w:val="20"/>
          <w:szCs w:val="20"/>
          <w:color w:val="auto"/>
        </w:rPr>
      </w:pPr>
    </w:p>
    <w:p>
      <w:pPr>
        <w:ind w:left="960" w:hanging="346"/>
        <w:spacing w:after="0"/>
        <w:tabs>
          <w:tab w:leader="none" w:pos="9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shareholder’s long-term capital gain, if any, recognized on the disposition of our shares;</w:t>
      </w:r>
    </w:p>
    <w:p>
      <w:pPr>
        <w:spacing w:after="0" w:line="103" w:lineRule="exact"/>
        <w:rPr>
          <w:rFonts w:ascii="Times New Roman" w:cs="Times New Roman" w:eastAsia="Times New Roman" w:hAnsi="Times New Roman"/>
          <w:sz w:val="14"/>
          <w:szCs w:val="14"/>
          <w:color w:val="auto"/>
        </w:rPr>
      </w:pPr>
    </w:p>
    <w:p>
      <w:pPr>
        <w:ind w:left="960" w:right="399" w:hanging="346"/>
        <w:spacing w:after="0" w:line="285" w:lineRule="auto"/>
        <w:tabs>
          <w:tab w:leader="none" w:pos="9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we designate as long-term capital gain dividends (except to the extent attributable to real estate depreciation, in which case the 25% tax rate applies);</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attributable to dividends we receive from non-REIT corporations (including our taxable REIT subsidiaries);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1" w:right="1440" w:bottom="1440" w:gutter="0" w:footer="0" w:header="0"/>
        </w:sectPr>
      </w:pPr>
    </w:p>
    <w:bookmarkStart w:id="55" w:name="page56"/>
    <w:bookmarkEnd w:id="55"/>
    <w:p>
      <w:pPr>
        <w:ind w:left="960" w:right="759" w:hanging="346"/>
        <w:spacing w:after="0" w:line="285" w:lineRule="auto"/>
        <w:tabs>
          <w:tab w:leader="none" w:pos="9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distributions to the extent attributable to income upon which we have paid corporate tax (for example, the tax we would pay if we distributed less than all of our taxable REIT income).</w:t>
      </w:r>
    </w:p>
    <w:p>
      <w:pPr>
        <w:spacing w:after="0" w:line="125" w:lineRule="exact"/>
        <w:rPr>
          <w:sz w:val="20"/>
          <w:szCs w:val="20"/>
          <w:color w:val="auto"/>
        </w:rPr>
      </w:pPr>
    </w:p>
    <w:p>
      <w:pPr>
        <w:ind w:left="200" w:right="959" w:firstLine="345"/>
        <w:spacing w:after="0" w:line="285" w:lineRule="auto"/>
        <w:rPr>
          <w:sz w:val="20"/>
          <w:szCs w:val="20"/>
          <w:color w:val="auto"/>
        </w:rPr>
      </w:pPr>
      <w:r>
        <w:rPr>
          <w:rFonts w:ascii="Times New Roman" w:cs="Times New Roman" w:eastAsia="Times New Roman" w:hAnsi="Times New Roman"/>
          <w:sz w:val="14"/>
          <w:szCs w:val="14"/>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23" w:lineRule="exact"/>
        <w:rPr>
          <w:sz w:val="20"/>
          <w:szCs w:val="20"/>
          <w:color w:val="auto"/>
        </w:rPr>
      </w:pPr>
    </w:p>
    <w:p>
      <w:pPr>
        <w:ind w:left="200" w:right="199" w:firstLine="345"/>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Information Reporting and Backup Withholding. </w:t>
      </w:r>
      <w:r>
        <w:rPr>
          <w:rFonts w:ascii="Times New Roman" w:cs="Times New Roman" w:eastAsia="Times New Roman" w:hAnsi="Times New Roman"/>
          <w:sz w:val="14"/>
          <w:szCs w:val="14"/>
          <w:color w:val="auto"/>
        </w:rPr>
        <w:t>Taxable U.S. shareholders that are “exempt recipients” (such as corporations) generally will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Taxation of Tax-Exempt U.S. Shareholders</w:t>
      </w:r>
    </w:p>
    <w:p>
      <w:pPr>
        <w:spacing w:after="0" w:line="95" w:lineRule="exact"/>
        <w:rPr>
          <w:sz w:val="20"/>
          <w:szCs w:val="20"/>
          <w:color w:val="auto"/>
        </w:rPr>
      </w:pPr>
    </w:p>
    <w:p>
      <w:pPr>
        <w:ind w:left="200" w:right="219" w:firstLine="345"/>
        <w:spacing w:after="0" w:line="254" w:lineRule="auto"/>
        <w:rPr>
          <w:sz w:val="20"/>
          <w:szCs w:val="20"/>
          <w:color w:val="auto"/>
        </w:rPr>
      </w:pPr>
      <w:r>
        <w:rPr>
          <w:rFonts w:ascii="Times New Roman" w:cs="Times New Roman" w:eastAsia="Times New Roman" w:hAnsi="Times New Roman"/>
          <w:sz w:val="14"/>
          <w:szCs w:val="14"/>
          <w:color w:val="auto"/>
        </w:rPr>
        <w:t>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78" w:lineRule="exact"/>
        <w:rPr>
          <w:sz w:val="20"/>
          <w:szCs w:val="20"/>
          <w:color w:val="auto"/>
        </w:rPr>
      </w:pPr>
    </w:p>
    <w:p>
      <w:pPr>
        <w:ind w:left="960" w:hanging="346"/>
        <w:spacing w:after="0"/>
        <w:tabs>
          <w:tab w:leader="none" w:pos="9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UBTI Percentage is at least 5%;</w:t>
      </w:r>
    </w:p>
    <w:p>
      <w:pPr>
        <w:spacing w:after="0" w:line="103" w:lineRule="exact"/>
        <w:rPr>
          <w:rFonts w:ascii="Times New Roman" w:cs="Times New Roman" w:eastAsia="Times New Roman" w:hAnsi="Times New Roman"/>
          <w:sz w:val="14"/>
          <w:szCs w:val="14"/>
          <w:color w:val="auto"/>
        </w:rPr>
      </w:pPr>
    </w:p>
    <w:p>
      <w:pPr>
        <w:ind w:left="960" w:right="619" w:hanging="346"/>
        <w:spacing w:after="0" w:line="285" w:lineRule="auto"/>
        <w:tabs>
          <w:tab w:leader="none" w:pos="9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1" w:lineRule="exact"/>
        <w:rPr>
          <w:rFonts w:ascii="Times New Roman" w:cs="Times New Roman" w:eastAsia="Times New Roman" w:hAnsi="Times New Roman"/>
          <w:sz w:val="14"/>
          <w:szCs w:val="14"/>
          <w:color w:val="auto"/>
        </w:rPr>
      </w:pPr>
    </w:p>
    <w:p>
      <w:pPr>
        <w:ind w:left="960" w:right="379" w:hanging="346"/>
        <w:spacing w:after="0" w:line="285" w:lineRule="auto"/>
        <w:tabs>
          <w:tab w:leader="none" w:pos="9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25" w:lineRule="exact"/>
        <w:rPr>
          <w:sz w:val="20"/>
          <w:szCs w:val="20"/>
          <w:color w:val="auto"/>
        </w:rPr>
      </w:pPr>
    </w:p>
    <w:p>
      <w:pPr>
        <w:ind w:left="200" w:right="199" w:firstLine="345"/>
        <w:spacing w:after="0" w:line="268" w:lineRule="auto"/>
        <w:rPr>
          <w:sz w:val="20"/>
          <w:szCs w:val="20"/>
          <w:color w:val="auto"/>
        </w:rPr>
      </w:pPr>
      <w:r>
        <w:rPr>
          <w:rFonts w:ascii="Times New Roman" w:cs="Times New Roman" w:eastAsia="Times New Roman" w:hAnsi="Times New Roman"/>
          <w:sz w:val="14"/>
          <w:szCs w:val="14"/>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41" w:right="1440" w:bottom="1440" w:gutter="0" w:footer="0" w:header="0"/>
        </w:sectPr>
      </w:pPr>
    </w:p>
    <w:bookmarkStart w:id="56" w:name="page57"/>
    <w:bookmarkEnd w:id="56"/>
    <w:p>
      <w:pPr>
        <w:ind w:left="2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Taxation of Non-U.S. Shareholders</w:t>
      </w:r>
    </w:p>
    <w:p>
      <w:pPr>
        <w:spacing w:after="0" w:line="95" w:lineRule="exact"/>
        <w:rPr>
          <w:sz w:val="20"/>
          <w:szCs w:val="20"/>
          <w:color w:val="auto"/>
        </w:rPr>
      </w:pPr>
    </w:p>
    <w:p>
      <w:pPr>
        <w:ind w:left="200" w:right="319" w:firstLine="345"/>
        <w:spacing w:after="0" w:line="256" w:lineRule="auto"/>
        <w:rPr>
          <w:sz w:val="20"/>
          <w:szCs w:val="20"/>
          <w:color w:val="auto"/>
        </w:rPr>
      </w:pPr>
      <w:r>
        <w:rPr>
          <w:rFonts w:ascii="Times New Roman" w:cs="Times New Roman" w:eastAsia="Times New Roman" w:hAnsi="Times New Roman"/>
          <w:sz w:val="14"/>
          <w:szCs w:val="14"/>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This discussion also does not address the tax treatment of any conversion or exchange of notes into our shares for persons who would become non-U.S. shareholders upon such conversion or exchange. Such persons are urged to consult their tax advisors regarding the U.S. income tax treatment of such a conversion or exchange. As used herein,</w:t>
      </w:r>
    </w:p>
    <w:p>
      <w:pPr>
        <w:spacing w:after="0" w:line="1" w:lineRule="exact"/>
        <w:rPr>
          <w:sz w:val="20"/>
          <w:szCs w:val="20"/>
          <w:color w:val="auto"/>
        </w:rPr>
      </w:pPr>
    </w:p>
    <w:p>
      <w:pPr>
        <w:ind w:left="200" w:right="339"/>
        <w:spacing w:after="0" w:line="264" w:lineRule="auto"/>
        <w:rPr>
          <w:sz w:val="20"/>
          <w:szCs w:val="20"/>
          <w:color w:val="auto"/>
        </w:rPr>
      </w:pPr>
      <w:r>
        <w:rPr>
          <w:rFonts w:ascii="Times New Roman" w:cs="Times New Roman" w:eastAsia="Times New Roman" w:hAnsi="Times New Roman"/>
          <w:sz w:val="14"/>
          <w:szCs w:val="14"/>
          <w:color w:val="auto"/>
        </w:rPr>
        <w:t>the term “non-U.S. shareholder” means any taxable beneficial owner of our shares (other than a partnership or entity that is treated as a partnership for U.S. federal income tax purposes) that is not a taxable U.S. shareholder or exempt organization.</w:t>
      </w:r>
    </w:p>
    <w:p>
      <w:pPr>
        <w:spacing w:after="0" w:line="137" w:lineRule="exact"/>
        <w:rPr>
          <w:sz w:val="20"/>
          <w:szCs w:val="20"/>
          <w:color w:val="auto"/>
        </w:rPr>
      </w:pPr>
    </w:p>
    <w:p>
      <w:pPr>
        <w:ind w:left="200" w:right="279" w:firstLine="345"/>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Ordinary Dividends. </w:t>
      </w:r>
      <w:r>
        <w:rPr>
          <w:rFonts w:ascii="Times New Roman" w:cs="Times New Roman" w:eastAsia="Times New Roman" w:hAnsi="Times New Roman"/>
          <w:sz w:val="14"/>
          <w:szCs w:val="14"/>
          <w:color w:val="auto"/>
        </w:rPr>
        <w:t>A non-U.S. shareholder that receives a distribution that is not attributable to gain from our sale or exchange of “U.S. real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44" w:lineRule="exact"/>
        <w:rPr>
          <w:sz w:val="20"/>
          <w:szCs w:val="20"/>
          <w:color w:val="auto"/>
        </w:rPr>
      </w:pPr>
    </w:p>
    <w:p>
      <w:pPr>
        <w:ind w:left="200" w:right="279" w:firstLine="34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Return of Capital</w:t>
      </w:r>
      <w:r>
        <w:rPr>
          <w:rFonts w:ascii="Times New Roman" w:cs="Times New Roman" w:eastAsia="Times New Roman" w:hAnsi="Times New Roman"/>
          <w:sz w:val="14"/>
          <w:szCs w:val="14"/>
          <w:color w:val="auto"/>
        </w:rPr>
        <w:t>. A non-U.S. shareholder will not incur tax on a distribution to the extent it exceeds our current and accumulated earnings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45" w:lineRule="exact"/>
        <w:rPr>
          <w:sz w:val="20"/>
          <w:szCs w:val="20"/>
          <w:color w:val="auto"/>
        </w:rPr>
      </w:pPr>
    </w:p>
    <w:p>
      <w:pPr>
        <w:ind w:left="200" w:right="219" w:firstLine="345"/>
        <w:spacing w:after="0" w:line="258" w:lineRule="auto"/>
        <w:rPr>
          <w:sz w:val="20"/>
          <w:szCs w:val="20"/>
          <w:color w:val="auto"/>
        </w:rPr>
      </w:pPr>
      <w:r>
        <w:rPr>
          <w:rFonts w:ascii="Times New Roman" w:cs="Times New Roman" w:eastAsia="Times New Roman" w:hAnsi="Times New Roman"/>
          <w:sz w:val="14"/>
          <w:szCs w:val="14"/>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39" w:right="1440" w:bottom="1440" w:gutter="0" w:footer="0" w:header="0"/>
        </w:sectPr>
      </w:pPr>
    </w:p>
    <w:bookmarkStart w:id="57" w:name="page58"/>
    <w:bookmarkEnd w:id="57"/>
    <w:p>
      <w:pPr>
        <w:ind w:left="200" w:right="539" w:firstLine="345"/>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44" w:lineRule="exact"/>
        <w:rPr>
          <w:sz w:val="20"/>
          <w:szCs w:val="20"/>
          <w:color w:val="auto"/>
        </w:rPr>
      </w:pPr>
    </w:p>
    <w:p>
      <w:pPr>
        <w:ind w:left="200" w:right="43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Capital Gain Dividends. </w:t>
      </w:r>
      <w:r>
        <w:rPr>
          <w:rFonts w:ascii="Times New Roman" w:cs="Times New Roman" w:eastAsia="Times New Roman" w:hAnsi="Times New Roman"/>
          <w:sz w:val="14"/>
          <w:szCs w:val="14"/>
          <w:color w:val="auto"/>
        </w:rPr>
        <w:t>Provided that a particular class of our shares is “regularly traded” on an established securities market in the United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39" w:lineRule="exact"/>
        <w:rPr>
          <w:sz w:val="20"/>
          <w:szCs w:val="20"/>
          <w:color w:val="auto"/>
        </w:rPr>
      </w:pPr>
    </w:p>
    <w:p>
      <w:pPr>
        <w:ind w:left="200" w:right="219" w:firstLine="345"/>
        <w:spacing w:after="0" w:line="254" w:lineRule="auto"/>
        <w:rPr>
          <w:sz w:val="20"/>
          <w:szCs w:val="20"/>
          <w:color w:val="auto"/>
        </w:rPr>
      </w:pPr>
      <w:r>
        <w:rPr>
          <w:rFonts w:ascii="Times New Roman" w:cs="Times New Roman" w:eastAsia="Times New Roman" w:hAnsi="Times New Roman"/>
          <w:sz w:val="14"/>
          <w:szCs w:val="14"/>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on or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49" w:lineRule="exact"/>
        <w:rPr>
          <w:sz w:val="20"/>
          <w:szCs w:val="20"/>
          <w:color w:val="auto"/>
        </w:rPr>
      </w:pPr>
    </w:p>
    <w:p>
      <w:pPr>
        <w:ind w:left="200" w:right="259" w:firstLine="345"/>
        <w:spacing w:after="0" w:line="268" w:lineRule="auto"/>
        <w:rPr>
          <w:sz w:val="20"/>
          <w:szCs w:val="20"/>
          <w:color w:val="auto"/>
        </w:rPr>
      </w:pPr>
      <w:r>
        <w:rPr>
          <w:rFonts w:ascii="Times New Roman" w:cs="Times New Roman" w:eastAsia="Times New Roman" w:hAnsi="Times New Roman"/>
          <w:sz w:val="14"/>
          <w:szCs w:val="14"/>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35" w:lineRule="exact"/>
        <w:rPr>
          <w:sz w:val="20"/>
          <w:szCs w:val="20"/>
          <w:color w:val="auto"/>
        </w:rPr>
      </w:pPr>
    </w:p>
    <w:p>
      <w:pPr>
        <w:ind w:left="200" w:right="359" w:firstLine="34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Retention of Net Capital Gains. </w:t>
      </w:r>
      <w:r>
        <w:rPr>
          <w:rFonts w:ascii="Times New Roman" w:cs="Times New Roman" w:eastAsia="Times New Roman" w:hAnsi="Times New Roman"/>
          <w:sz w:val="14"/>
          <w:szCs w:val="14"/>
          <w:color w:val="auto"/>
        </w:rPr>
        <w:t>Although the law is not clear on the matter, it appears that amounts we designate as retained capital gains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w:t>
      </w:r>
    </w:p>
    <w:p>
      <w:pPr>
        <w:ind w:left="200" w:right="339"/>
        <w:spacing w:after="0" w:line="264" w:lineRule="auto"/>
        <w:rPr>
          <w:sz w:val="20"/>
          <w:szCs w:val="20"/>
          <w:color w:val="auto"/>
        </w:rPr>
      </w:pPr>
      <w:r>
        <w:rPr>
          <w:rFonts w:ascii="Times New Roman" w:cs="Times New Roman" w:eastAsia="Times New Roman" w:hAnsi="Times New Roman"/>
          <w:sz w:val="14"/>
          <w:szCs w:val="14"/>
          <w:color w:val="auto"/>
        </w:rPr>
        <w:t>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37" w:lineRule="exact"/>
        <w:rPr>
          <w:sz w:val="20"/>
          <w:szCs w:val="20"/>
          <w:color w:val="auto"/>
        </w:rPr>
      </w:pPr>
    </w:p>
    <w:p>
      <w:pPr>
        <w:ind w:left="200" w:right="21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Sale of Shares</w:t>
      </w:r>
      <w:r>
        <w:rPr>
          <w:rFonts w:ascii="Times New Roman" w:cs="Times New Roman" w:eastAsia="Times New Roman" w:hAnsi="Times New Roman"/>
          <w:sz w:val="14"/>
          <w:szCs w:val="14"/>
          <w:color w:val="auto"/>
        </w:rPr>
        <w:t>. A non-U.S. shareholder generally will not incur tax under FIRPTA on gain from the sale of its common or preferred shares as long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we are a “domestically controlled REIT.” A “domestically controlled REIT” is a REIT in which at all times during a specified testing</w:t>
      </w:r>
    </w:p>
    <w:p>
      <w:pPr>
        <w:spacing w:after="0" w:line="1" w:lineRule="exact"/>
        <w:rPr>
          <w:sz w:val="20"/>
          <w:szCs w:val="20"/>
          <w:color w:val="auto"/>
        </w:rPr>
      </w:pPr>
    </w:p>
    <w:p>
      <w:pPr>
        <w:ind w:left="200" w:right="199"/>
        <w:spacing w:after="0" w:line="254" w:lineRule="auto"/>
        <w:rPr>
          <w:sz w:val="20"/>
          <w:szCs w:val="20"/>
          <w:color w:val="auto"/>
        </w:rPr>
      </w:pPr>
      <w:r>
        <w:rPr>
          <w:rFonts w:ascii="Times New Roman" w:cs="Times New Roman" w:eastAsia="Times New Roman" w:hAnsi="Times New Roman"/>
          <w:sz w:val="14"/>
          <w:szCs w:val="14"/>
          <w:color w:val="auto"/>
        </w:rPr>
        <w:t>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41" w:right="1440" w:bottom="1440" w:gutter="0" w:footer="0" w:header="0"/>
        </w:sectPr>
      </w:pPr>
    </w:p>
    <w:bookmarkStart w:id="58" w:name="page59"/>
    <w:bookmarkEnd w:id="58"/>
    <w:p>
      <w:pPr>
        <w:ind w:left="200" w:right="25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40" w:lineRule="exact"/>
        <w:rPr>
          <w:sz w:val="20"/>
          <w:szCs w:val="20"/>
          <w:color w:val="auto"/>
        </w:rPr>
      </w:pPr>
    </w:p>
    <w:p>
      <w:pPr>
        <w:ind w:left="200" w:right="319" w:firstLine="345"/>
        <w:spacing w:after="0" w:line="262" w:lineRule="auto"/>
        <w:rPr>
          <w:sz w:val="20"/>
          <w:szCs w:val="20"/>
          <w:color w:val="auto"/>
        </w:rPr>
      </w:pPr>
      <w:r>
        <w:rPr>
          <w:rFonts w:ascii="Times New Roman" w:cs="Times New Roman" w:eastAsia="Times New Roman" w:hAnsi="Times New Roman"/>
          <w:sz w:val="14"/>
          <w:szCs w:val="14"/>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w:t>
      </w:r>
    </w:p>
    <w:p>
      <w:pPr>
        <w:spacing w:after="0" w:line="1" w:lineRule="exact"/>
        <w:rPr>
          <w:sz w:val="20"/>
          <w:szCs w:val="20"/>
          <w:color w:val="auto"/>
        </w:rPr>
      </w:pPr>
    </w:p>
    <w:p>
      <w:pPr>
        <w:ind w:left="200" w:right="259"/>
        <w:spacing w:after="0" w:line="254" w:lineRule="auto"/>
        <w:rPr>
          <w:sz w:val="20"/>
          <w:szCs w:val="20"/>
          <w:color w:val="auto"/>
        </w:rPr>
      </w:pPr>
      <w:r>
        <w:rPr>
          <w:rFonts w:ascii="Times New Roman" w:cs="Times New Roman" w:eastAsia="Times New Roman" w:hAnsi="Times New Roman"/>
          <w:sz w:val="14"/>
          <w:szCs w:val="14"/>
          <w:color w:val="auto"/>
        </w:rPr>
        <w:t>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44" w:lineRule="exact"/>
        <w:rPr>
          <w:sz w:val="20"/>
          <w:szCs w:val="20"/>
          <w:color w:val="auto"/>
        </w:rPr>
      </w:pPr>
    </w:p>
    <w:p>
      <w:pPr>
        <w:ind w:left="200" w:right="359" w:firstLine="34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Wash Sales. </w:t>
      </w:r>
      <w:r>
        <w:rPr>
          <w:rFonts w:ascii="Times New Roman" w:cs="Times New Roman" w:eastAsia="Times New Roman" w:hAnsi="Times New Roman"/>
          <w:sz w:val="14"/>
          <w:szCs w:val="14"/>
          <w:color w:val="auto"/>
        </w:rPr>
        <w:t>In general, special wash sale rules apply if a shareholder owning more than 5% of our common or preferred shares avoids a taxable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2" w:lineRule="exact"/>
        <w:rPr>
          <w:sz w:val="20"/>
          <w:szCs w:val="20"/>
          <w:color w:val="auto"/>
        </w:rPr>
      </w:pPr>
    </w:p>
    <w:p>
      <w:pPr>
        <w:ind w:left="200" w:right="239" w:firstLine="34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Conversion of Preferred Shares to Common Shares. </w:t>
      </w:r>
      <w:r>
        <w:rPr>
          <w:rFonts w:ascii="Times New Roman" w:cs="Times New Roman" w:eastAsia="Times New Roman" w:hAnsi="Times New Roman"/>
          <w:sz w:val="14"/>
          <w:szCs w:val="14"/>
          <w:color w:val="auto"/>
        </w:rPr>
        <w:t>The conversion of preferred shares into our common shares may be a taxable exchange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a 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 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48" w:lineRule="exact"/>
        <w:rPr>
          <w:sz w:val="20"/>
          <w:szCs w:val="20"/>
          <w:color w:val="auto"/>
        </w:rPr>
      </w:pPr>
    </w:p>
    <w:p>
      <w:pPr>
        <w:jc w:val="both"/>
        <w:ind w:left="200" w:right="1159" w:firstLine="345"/>
        <w:spacing w:after="0" w:line="285" w:lineRule="auto"/>
        <w:rPr>
          <w:sz w:val="20"/>
          <w:szCs w:val="20"/>
          <w:color w:val="auto"/>
        </w:rPr>
      </w:pPr>
      <w:r>
        <w:rPr>
          <w:rFonts w:ascii="Times New Roman" w:cs="Times New Roman" w:eastAsia="Times New Roman" w:hAnsi="Times New Roman"/>
          <w:sz w:val="14"/>
          <w:szCs w:val="14"/>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23" w:lineRule="exact"/>
        <w:rPr>
          <w:sz w:val="20"/>
          <w:szCs w:val="20"/>
          <w:color w:val="auto"/>
        </w:rPr>
      </w:pPr>
    </w:p>
    <w:p>
      <w:pPr>
        <w:ind w:left="200" w:right="35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Information Reporting and Backup Withholding. </w:t>
      </w:r>
      <w:r>
        <w:rPr>
          <w:rFonts w:ascii="Times New Roman" w:cs="Times New Roman" w:eastAsia="Times New Roman" w:hAnsi="Times New Roman"/>
          <w:sz w:val="14"/>
          <w:szCs w:val="14"/>
          <w:color w:val="auto"/>
        </w:rPr>
        <w:t>We must report annually to the IRS and to each non-U.S. shareholder the amount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Backup withholding (currently at the rate of 24%) and additional information reporting will generally not apply to distributions</w:t>
      </w:r>
    </w:p>
    <w:p>
      <w:pPr>
        <w:spacing w:after="0" w:line="23" w:lineRule="exact"/>
        <w:rPr>
          <w:sz w:val="20"/>
          <w:szCs w:val="20"/>
          <w:color w:val="auto"/>
        </w:rPr>
      </w:pPr>
    </w:p>
    <w:p>
      <w:pPr>
        <w:ind w:left="200" w:right="219"/>
        <w:spacing w:after="0" w:line="254" w:lineRule="auto"/>
        <w:rPr>
          <w:sz w:val="20"/>
          <w:szCs w:val="20"/>
          <w:color w:val="auto"/>
        </w:rPr>
      </w:pPr>
      <w:r>
        <w:rPr>
          <w:rFonts w:ascii="Times New Roman" w:cs="Times New Roman" w:eastAsia="Times New Roman" w:hAnsi="Times New Roman"/>
          <w:sz w:val="14"/>
          <w:szCs w:val="14"/>
          <w:color w:val="auto"/>
        </w:rPr>
        <w:t>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3" w:lineRule="exact"/>
        <w:rPr>
          <w:sz w:val="20"/>
          <w:szCs w:val="20"/>
          <w:color w:val="auto"/>
        </w:rPr>
      </w:pPr>
    </w:p>
    <w:p>
      <w:pPr>
        <w:ind w:left="960" w:hanging="346"/>
        <w:spacing w:after="0"/>
        <w:tabs>
          <w:tab w:leader="none" w:pos="9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United States person;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41" w:right="1440" w:bottom="1440" w:gutter="0" w:footer="0" w:header="0"/>
        </w:sectPr>
      </w:pPr>
    </w:p>
    <w:bookmarkStart w:id="59" w:name="page60"/>
    <w:bookmarkEnd w:id="59"/>
    <w:p>
      <w:pPr>
        <w:ind w:left="960" w:hanging="346"/>
        <w:spacing w:after="0"/>
        <w:tabs>
          <w:tab w:leader="none" w:pos="9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derives 50% or more of its gross income for a specified three-year period from the conduct of a trade or business in the United States;</w:t>
      </w:r>
    </w:p>
    <w:p>
      <w:pPr>
        <w:spacing w:after="0" w:line="103" w:lineRule="exact"/>
        <w:rPr>
          <w:rFonts w:ascii="Times New Roman" w:cs="Times New Roman" w:eastAsia="Times New Roman" w:hAnsi="Times New Roman"/>
          <w:sz w:val="14"/>
          <w:szCs w:val="14"/>
          <w:color w:val="auto"/>
        </w:rPr>
      </w:pPr>
    </w:p>
    <w:p>
      <w:pPr>
        <w:ind w:left="960" w:right="379" w:hanging="346"/>
        <w:spacing w:after="0" w:line="285" w:lineRule="auto"/>
        <w:tabs>
          <w:tab w:leader="none" w:pos="9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“controlled foreign corporation” (generally, a foreign corporation controlled by stockholders that are United States persons) for U.S. tax purposes; or</w:t>
      </w:r>
    </w:p>
    <w:p>
      <w:pPr>
        <w:spacing w:after="0" w:line="51" w:lineRule="exact"/>
        <w:rPr>
          <w:rFonts w:ascii="Times New Roman" w:cs="Times New Roman" w:eastAsia="Times New Roman" w:hAnsi="Times New Roman"/>
          <w:sz w:val="14"/>
          <w:szCs w:val="14"/>
          <w:color w:val="auto"/>
        </w:rPr>
      </w:pPr>
    </w:p>
    <w:p>
      <w:pPr>
        <w:ind w:left="960" w:right="459" w:hanging="346"/>
        <w:spacing w:after="0" w:line="285" w:lineRule="auto"/>
        <w:tabs>
          <w:tab w:leader="none" w:pos="9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25" w:lineRule="exact"/>
        <w:rPr>
          <w:sz w:val="20"/>
          <w:szCs w:val="20"/>
          <w:color w:val="auto"/>
        </w:rPr>
      </w:pPr>
    </w:p>
    <w:p>
      <w:pPr>
        <w:ind w:left="200" w:right="219" w:firstLine="345"/>
        <w:spacing w:after="0" w:line="258" w:lineRule="auto"/>
        <w:rPr>
          <w:sz w:val="20"/>
          <w:szCs w:val="20"/>
          <w:color w:val="auto"/>
        </w:rPr>
      </w:pPr>
      <w:r>
        <w:rPr>
          <w:rFonts w:ascii="Times New Roman" w:cs="Times New Roman" w:eastAsia="Times New Roman" w:hAnsi="Times New Roman"/>
          <w:sz w:val="14"/>
          <w:szCs w:val="14"/>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44" w:lineRule="exact"/>
        <w:rPr>
          <w:sz w:val="20"/>
          <w:szCs w:val="20"/>
          <w:color w:val="auto"/>
        </w:rPr>
      </w:pPr>
    </w:p>
    <w:p>
      <w:pPr>
        <w:ind w:left="200" w:right="199" w:firstLine="345"/>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Reporting and Withholding on Foreign Financial Accounts. </w:t>
      </w:r>
      <w:r>
        <w:rPr>
          <w:rFonts w:ascii="Times New Roman" w:cs="Times New Roman" w:eastAsia="Times New Roman" w:hAnsi="Times New Roman"/>
          <w:sz w:val="14"/>
          <w:szCs w:val="14"/>
          <w:color w:val="auto"/>
        </w:rPr>
        <w:t>Under sections 1471 through 1474 of the Code, Treasury regulations and related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 other disposition of instruments, such as the shares, that produce withholdable payments.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Tax Aspects of Our Investments in the Partnership and Subsidiary Partnerships</w:t>
      </w:r>
    </w:p>
    <w:p>
      <w:pPr>
        <w:spacing w:after="0" w:line="95" w:lineRule="exact"/>
        <w:rPr>
          <w:sz w:val="20"/>
          <w:szCs w:val="20"/>
          <w:color w:val="auto"/>
        </w:rPr>
      </w:pPr>
    </w:p>
    <w:p>
      <w:pPr>
        <w:ind w:left="200" w:right="199" w:firstLine="345"/>
        <w:spacing w:after="0" w:line="258" w:lineRule="auto"/>
        <w:rPr>
          <w:sz w:val="20"/>
          <w:szCs w:val="20"/>
          <w:color w:val="auto"/>
        </w:rPr>
      </w:pPr>
      <w:r>
        <w:rPr>
          <w:rFonts w:ascii="Times New Roman" w:cs="Times New Roman" w:eastAsia="Times New Roman" w:hAnsi="Times New Roman"/>
          <w:sz w:val="14"/>
          <w:szCs w:val="14"/>
          <w:color w:val="auto"/>
        </w:rPr>
        <w:t>The following discussion summarizes certain federal income tax considerations applicable to our direct or indirect investments in the Partnership and the Subsidiary Partnerships. As described above under “Taxation of the Company — Requirements for REIT Qualification,” the Partnership (but not the Subsidiary Partnerships) currently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41" w:right="1440" w:bottom="1440" w:gutter="0" w:footer="0" w:header="0"/>
        </w:sectPr>
      </w:pPr>
    </w:p>
    <w:bookmarkStart w:id="60" w:name="page61"/>
    <w:bookmarkEnd w:id="60"/>
    <w:p>
      <w:pPr>
        <w:ind w:left="200" w:right="339" w:firstLine="345"/>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Classification as Partnerships. </w:t>
      </w:r>
      <w:r>
        <w:rPr>
          <w:rFonts w:ascii="Times New Roman" w:cs="Times New Roman" w:eastAsia="Times New Roman" w:hAnsi="Times New Roman"/>
          <w:sz w:val="14"/>
          <w:szCs w:val="14"/>
          <w:color w:val="auto"/>
        </w:rPr>
        <w:t>We are entitled to include in our income our distributive share of the Partnership’s and Subsidiary Partnerships’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w:t>
      </w:r>
    </w:p>
    <w:p>
      <w:pPr>
        <w:spacing w:after="0" w:line="141" w:lineRule="exact"/>
        <w:rPr>
          <w:sz w:val="20"/>
          <w:szCs w:val="20"/>
          <w:color w:val="auto"/>
        </w:rPr>
      </w:pPr>
    </w:p>
    <w:p>
      <w:pPr>
        <w:ind w:left="200" w:right="219" w:firstLine="345"/>
        <w:spacing w:after="0" w:line="263" w:lineRule="auto"/>
        <w:rPr>
          <w:sz w:val="20"/>
          <w:szCs w:val="20"/>
          <w:color w:val="auto"/>
        </w:rPr>
      </w:pPr>
      <w:r>
        <w:rPr>
          <w:rFonts w:ascii="Times New Roman" w:cs="Times New Roman" w:eastAsia="Times New Roman" w:hAnsi="Times New Roman"/>
          <w:sz w:val="14"/>
          <w:szCs w:val="14"/>
          <w:color w:val="auto"/>
        </w:rPr>
        <w:t>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w:t>
      </w:r>
    </w:p>
    <w:p>
      <w:pPr>
        <w:spacing w:after="0" w:line="140" w:lineRule="exact"/>
        <w:rPr>
          <w:sz w:val="20"/>
          <w:szCs w:val="20"/>
          <w:color w:val="auto"/>
        </w:rPr>
      </w:pPr>
    </w:p>
    <w:p>
      <w:pPr>
        <w:ind w:left="200" w:right="279" w:firstLine="345"/>
        <w:spacing w:after="0" w:line="256" w:lineRule="auto"/>
        <w:rPr>
          <w:sz w:val="20"/>
          <w:szCs w:val="20"/>
          <w:color w:val="auto"/>
        </w:rPr>
      </w:pPr>
      <w:r>
        <w:rPr>
          <w:rFonts w:ascii="Times New Roman" w:cs="Times New Roman" w:eastAsia="Times New Roman" w:hAnsi="Times New Roman"/>
          <w:sz w:val="14"/>
          <w:szCs w:val="14"/>
          <w:color w:val="auto"/>
        </w:rPr>
        <w:t>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 traded partnership will not, however, be treated as a corporation for any taxable year if 90% or more of the 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w:t>
      </w:r>
    </w:p>
    <w:p>
      <w:pPr>
        <w:spacing w:after="0" w:line="146" w:lineRule="exact"/>
        <w:rPr>
          <w:sz w:val="20"/>
          <w:szCs w:val="20"/>
          <w:color w:val="auto"/>
        </w:rPr>
      </w:pPr>
    </w:p>
    <w:p>
      <w:pPr>
        <w:ind w:left="200" w:right="219" w:firstLine="345"/>
        <w:spacing w:after="0" w:line="256" w:lineRule="auto"/>
        <w:rPr>
          <w:sz w:val="20"/>
          <w:szCs w:val="20"/>
          <w:color w:val="auto"/>
        </w:rPr>
      </w:pPr>
      <w:r>
        <w:rPr>
          <w:rFonts w:ascii="Times New Roman" w:cs="Times New Roman" w:eastAsia="Times New Roman" w:hAnsi="Times New Roman"/>
          <w:sz w:val="14"/>
          <w:szCs w:val="14"/>
          <w:color w:val="auto"/>
        </w:rPr>
        <w:t>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w:t>
      </w:r>
    </w:p>
    <w:p>
      <w:pPr>
        <w:spacing w:after="0" w:line="148" w:lineRule="exact"/>
        <w:rPr>
          <w:sz w:val="20"/>
          <w:szCs w:val="20"/>
          <w:color w:val="auto"/>
        </w:rPr>
      </w:pPr>
    </w:p>
    <w:p>
      <w:pPr>
        <w:ind w:left="200" w:right="259" w:firstLine="345"/>
        <w:spacing w:after="0" w:line="263" w:lineRule="auto"/>
        <w:rPr>
          <w:sz w:val="20"/>
          <w:szCs w:val="20"/>
          <w:color w:val="auto"/>
        </w:rPr>
      </w:pPr>
      <w:r>
        <w:rPr>
          <w:rFonts w:ascii="Times New Roman" w:cs="Times New Roman" w:eastAsia="Times New Roman" w:hAnsi="Times New Roman"/>
          <w:sz w:val="14"/>
          <w:szCs w:val="14"/>
          <w:color w:val="auto"/>
        </w:rPr>
        <w:t>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39" w:right="1440" w:bottom="1440" w:gutter="0" w:footer="0" w:header="0"/>
        </w:sectPr>
      </w:pPr>
    </w:p>
    <w:bookmarkStart w:id="61" w:name="page62"/>
    <w:bookmarkEnd w:id="61"/>
    <w:p>
      <w:pPr>
        <w:ind w:left="200" w:right="299" w:firstLine="345"/>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w:t>
      </w:r>
    </w:p>
    <w:p>
      <w:pPr>
        <w:spacing w:after="0" w:line="140" w:lineRule="exact"/>
        <w:rPr>
          <w:sz w:val="20"/>
          <w:szCs w:val="20"/>
          <w:color w:val="auto"/>
        </w:rPr>
      </w:pPr>
    </w:p>
    <w:p>
      <w:pPr>
        <w:ind w:left="200" w:right="259" w:firstLine="345"/>
        <w:spacing w:after="0" w:line="257" w:lineRule="auto"/>
        <w:rPr>
          <w:sz w:val="20"/>
          <w:szCs w:val="20"/>
          <w:color w:val="auto"/>
        </w:rPr>
      </w:pPr>
      <w:r>
        <w:rPr>
          <w:rFonts w:ascii="Times New Roman" w:cs="Times New Roman" w:eastAsia="Times New Roman" w:hAnsi="Times New Roman"/>
          <w:sz w:val="14"/>
          <w:szCs w:val="14"/>
          <w:color w:val="auto"/>
        </w:rPr>
        <w:t>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w:t>
      </w:r>
    </w:p>
    <w:p>
      <w:pPr>
        <w:spacing w:after="0" w:line="144" w:lineRule="exact"/>
        <w:rPr>
          <w:sz w:val="20"/>
          <w:szCs w:val="20"/>
          <w:color w:val="auto"/>
        </w:rPr>
      </w:pPr>
    </w:p>
    <w:p>
      <w:pPr>
        <w:jc w:val="both"/>
        <w:ind w:left="200" w:right="31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Partners, Not the Partnership, Subject to Tax. </w:t>
      </w:r>
      <w:r>
        <w:rPr>
          <w:rFonts w:ascii="Times New Roman" w:cs="Times New Roman" w:eastAsia="Times New Roman" w:hAnsi="Times New Roman"/>
          <w:sz w:val="14"/>
          <w:szCs w:val="14"/>
          <w:color w:val="auto"/>
        </w:rPr>
        <w:t>The partners of the Partnership are subject to taxation. Except as discussed below in “—Revised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w:t>
      </w:r>
    </w:p>
    <w:p>
      <w:pPr>
        <w:spacing w:after="0" w:line="137" w:lineRule="exact"/>
        <w:rPr>
          <w:sz w:val="20"/>
          <w:szCs w:val="20"/>
          <w:color w:val="auto"/>
        </w:rPr>
      </w:pPr>
    </w:p>
    <w:p>
      <w:pPr>
        <w:ind w:left="200" w:right="319" w:firstLine="34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Partnership Allocations</w:t>
      </w:r>
      <w:r>
        <w:rPr>
          <w:rFonts w:ascii="Times New Roman" w:cs="Times New Roman" w:eastAsia="Times New Roman" w:hAnsi="Times New Roman"/>
          <w:sz w:val="14"/>
          <w:szCs w:val="14"/>
          <w:color w:val="auto"/>
        </w:rPr>
        <w:t>. Although a partnership agreement generally will determine the allocation of income and losses among partners, such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w:t>
      </w:r>
    </w:p>
    <w:p>
      <w:pPr>
        <w:spacing w:after="0" w:line="142" w:lineRule="exact"/>
        <w:rPr>
          <w:sz w:val="20"/>
          <w:szCs w:val="20"/>
          <w:color w:val="auto"/>
        </w:rPr>
      </w:pPr>
    </w:p>
    <w:p>
      <w:pPr>
        <w:ind w:left="200" w:right="219" w:firstLine="34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Tax Allocations with Respect to Contributed Properties</w:t>
      </w:r>
      <w:r>
        <w:rPr>
          <w:rFonts w:ascii="Times New Roman" w:cs="Times New Roman" w:eastAsia="Times New Roman" w:hAnsi="Times New Roman"/>
          <w:sz w:val="14"/>
          <w:szCs w:val="14"/>
          <w:color w:val="auto"/>
        </w:rPr>
        <w:t>. Pursuant to Section 704(c) of the Code, income, gain, loss and deduction attributable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w:t>
      </w:r>
    </w:p>
    <w:p>
      <w:pPr>
        <w:spacing w:after="0" w:line="145" w:lineRule="exact"/>
        <w:rPr>
          <w:sz w:val="20"/>
          <w:szCs w:val="20"/>
          <w:color w:val="auto"/>
        </w:rPr>
      </w:pPr>
    </w:p>
    <w:p>
      <w:pPr>
        <w:ind w:left="200" w:right="259" w:firstLine="345"/>
        <w:spacing w:after="0" w:line="256" w:lineRule="auto"/>
        <w:rPr>
          <w:sz w:val="20"/>
          <w:szCs w:val="20"/>
          <w:color w:val="auto"/>
        </w:rPr>
      </w:pPr>
      <w:r>
        <w:rPr>
          <w:rFonts w:ascii="Times New Roman" w:cs="Times New Roman" w:eastAsia="Times New Roman" w:hAnsi="Times New Roman"/>
          <w:sz w:val="14"/>
          <w:szCs w:val="14"/>
          <w:color w:val="auto"/>
        </w:rPr>
        <w:t>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gain attributable to such Book-Tax Difference (to the extent not previously taken into account) will generally be allocated to the contributing partners, including us, and other partners will generally be allocated only their share of gain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A Book-Tax Difference may also arise as a result of the revaluation of property owned by the Partnership in connection with certain types of</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transactions, including in connection with certain non-pro rata contributions or distributions of assets by the Partnership in exchange for interests in the</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Partnership. In the event of such a revaluation, the partners (including us) who were partners in the Partnership immediately prior to the revaluation will</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be required to take any Book-Tax Difference created as a result of such revaluation into account in substantially the same manner as under the</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Section 704(c) rules discussed above. This would result in us being allocated income, gain, loss and deduction for tax purposes in amounts different than</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the economic or book income allocated to us by the Partnership.</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41" w:right="1440" w:bottom="1440" w:gutter="0" w:footer="0" w:header="0"/>
        </w:sectPr>
      </w:pPr>
    </w:p>
    <w:bookmarkStart w:id="62" w:name="page63"/>
    <w:bookmarkEnd w:id="62"/>
    <w:p>
      <w:pPr>
        <w:ind w:left="200" w:right="279" w:firstLine="345"/>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w:t>
      </w:r>
    </w:p>
    <w:p>
      <w:pPr>
        <w:spacing w:after="0" w:line="143" w:lineRule="exact"/>
        <w:rPr>
          <w:sz w:val="20"/>
          <w:szCs w:val="20"/>
          <w:color w:val="auto"/>
        </w:rPr>
      </w:pPr>
    </w:p>
    <w:p>
      <w:pPr>
        <w:ind w:left="200" w:right="239" w:firstLine="345"/>
        <w:spacing w:after="0" w:line="260" w:lineRule="auto"/>
        <w:rPr>
          <w:sz w:val="20"/>
          <w:szCs w:val="20"/>
          <w:color w:val="auto"/>
        </w:rPr>
      </w:pPr>
      <w:r>
        <w:rPr>
          <w:rFonts w:ascii="Times New Roman" w:cs="Times New Roman" w:eastAsia="Times New Roman" w:hAnsi="Times New Roman"/>
          <w:sz w:val="14"/>
          <w:szCs w:val="14"/>
          <w:color w:val="auto"/>
        </w:rPr>
        <w:t>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Basis in Partnership Interest</w:t>
      </w:r>
      <w:r>
        <w:rPr>
          <w:rFonts w:ascii="Times New Roman" w:cs="Times New Roman" w:eastAsia="Times New Roman" w:hAnsi="Times New Roman"/>
          <w:sz w:val="14"/>
          <w:szCs w:val="14"/>
          <w:color w:val="auto"/>
        </w:rPr>
        <w:t>. Our adjusted tax basis in our partnership interest in the Partnership generally is equal to:</w:t>
      </w:r>
    </w:p>
    <w:p>
      <w:pPr>
        <w:spacing w:after="0" w:line="105" w:lineRule="exact"/>
        <w:rPr>
          <w:sz w:val="20"/>
          <w:szCs w:val="20"/>
          <w:color w:val="auto"/>
        </w:rPr>
      </w:pPr>
    </w:p>
    <w:p>
      <w:pPr>
        <w:ind w:left="960" w:hanging="346"/>
        <w:spacing w:after="0"/>
        <w:tabs>
          <w:tab w:leader="none" w:pos="9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and the adjusted tax basis of any other property contributed by us to the Partnership;</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by</w:t>
      </w:r>
    </w:p>
    <w:p>
      <w:pPr>
        <w:spacing w:after="0" w:line="103" w:lineRule="exact"/>
        <w:rPr>
          <w:rFonts w:ascii="Times New Roman" w:cs="Times New Roman" w:eastAsia="Times New Roman" w:hAnsi="Times New Roman"/>
          <w:sz w:val="14"/>
          <w:szCs w:val="14"/>
          <w:color w:val="auto"/>
        </w:rPr>
      </w:pPr>
    </w:p>
    <w:p>
      <w:pPr>
        <w:ind w:left="1300" w:hanging="253"/>
        <w:spacing w:after="0"/>
        <w:tabs>
          <w:tab w:leader="none" w:pos="13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allocable share of the Partnership’s income, and</w:t>
      </w:r>
    </w:p>
    <w:p>
      <w:pPr>
        <w:spacing w:after="0" w:line="103" w:lineRule="exact"/>
        <w:rPr>
          <w:rFonts w:ascii="Times New Roman" w:cs="Times New Roman" w:eastAsia="Times New Roman" w:hAnsi="Times New Roman"/>
          <w:sz w:val="14"/>
          <w:szCs w:val="14"/>
          <w:color w:val="auto"/>
        </w:rPr>
      </w:pPr>
    </w:p>
    <w:p>
      <w:pPr>
        <w:ind w:left="1300" w:hanging="253"/>
        <w:spacing w:after="0"/>
        <w:tabs>
          <w:tab w:leader="none" w:pos="13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allocable share of debt of the Partnership; and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but not below zero, by</w:t>
      </w:r>
    </w:p>
    <w:p>
      <w:pPr>
        <w:spacing w:after="0" w:line="103" w:lineRule="exact"/>
        <w:rPr>
          <w:rFonts w:ascii="Times New Roman" w:cs="Times New Roman" w:eastAsia="Times New Roman" w:hAnsi="Times New Roman"/>
          <w:sz w:val="14"/>
          <w:szCs w:val="14"/>
          <w:color w:val="auto"/>
        </w:rPr>
      </w:pPr>
    </w:p>
    <w:p>
      <w:pPr>
        <w:ind w:left="1300" w:hanging="253"/>
        <w:spacing w:after="0"/>
        <w:tabs>
          <w:tab w:leader="none" w:pos="13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allocable share of the Partnership’s loss,</w:t>
      </w:r>
    </w:p>
    <w:p>
      <w:pPr>
        <w:spacing w:after="0" w:line="103" w:lineRule="exact"/>
        <w:rPr>
          <w:rFonts w:ascii="Times New Roman" w:cs="Times New Roman" w:eastAsia="Times New Roman" w:hAnsi="Times New Roman"/>
          <w:sz w:val="14"/>
          <w:szCs w:val="14"/>
          <w:color w:val="auto"/>
        </w:rPr>
      </w:pPr>
    </w:p>
    <w:p>
      <w:pPr>
        <w:ind w:left="1300" w:hanging="253"/>
        <w:spacing w:after="0"/>
        <w:tabs>
          <w:tab w:leader="none" w:pos="13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and the basis of any property distributed to us, and</w:t>
      </w:r>
    </w:p>
    <w:p>
      <w:pPr>
        <w:spacing w:after="0" w:line="103" w:lineRule="exact"/>
        <w:rPr>
          <w:rFonts w:ascii="Times New Roman" w:cs="Times New Roman" w:eastAsia="Times New Roman" w:hAnsi="Times New Roman"/>
          <w:sz w:val="14"/>
          <w:szCs w:val="14"/>
          <w:color w:val="auto"/>
        </w:rPr>
      </w:pPr>
    </w:p>
    <w:p>
      <w:pPr>
        <w:ind w:left="1300" w:hanging="253"/>
        <w:spacing w:after="0"/>
        <w:tabs>
          <w:tab w:leader="none" w:pos="130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constructive distributions resulting from a reduction in our share of debt of the Partnership.</w:t>
      </w:r>
    </w:p>
    <w:p>
      <w:pPr>
        <w:spacing w:after="0" w:line="177" w:lineRule="exact"/>
        <w:rPr>
          <w:sz w:val="20"/>
          <w:szCs w:val="20"/>
          <w:color w:val="auto"/>
        </w:rPr>
      </w:pPr>
    </w:p>
    <w:p>
      <w:pPr>
        <w:ind w:left="200" w:right="259" w:firstLine="345"/>
        <w:spacing w:after="0" w:line="257" w:lineRule="auto"/>
        <w:rPr>
          <w:sz w:val="20"/>
          <w:szCs w:val="20"/>
          <w:color w:val="auto"/>
        </w:rPr>
      </w:pPr>
      <w:r>
        <w:rPr>
          <w:rFonts w:ascii="Times New Roman" w:cs="Times New Roman" w:eastAsia="Times New Roman" w:hAnsi="Times New Roman"/>
          <w:sz w:val="14"/>
          <w:szCs w:val="14"/>
          <w:color w:val="auto"/>
        </w:rPr>
        <w:t>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w:t>
      </w:r>
    </w:p>
    <w:p>
      <w:pPr>
        <w:spacing w:after="0" w:line="144" w:lineRule="exact"/>
        <w:rPr>
          <w:sz w:val="20"/>
          <w:szCs w:val="20"/>
          <w:color w:val="auto"/>
        </w:rPr>
      </w:pPr>
    </w:p>
    <w:p>
      <w:pPr>
        <w:ind w:left="200" w:right="199" w:firstLine="34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Sale of the Partnership’s Property. </w:t>
      </w:r>
      <w:r>
        <w:rPr>
          <w:rFonts w:ascii="Times New Roman" w:cs="Times New Roman" w:eastAsia="Times New Roman" w:hAnsi="Times New Roman"/>
          <w:sz w:val="14"/>
          <w:szCs w:val="14"/>
          <w:color w:val="auto"/>
        </w:rPr>
        <w:t>Generally, any gain realized by the Partnership on the sale of property held by the Partnership for more than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w:t>
      </w:r>
    </w:p>
    <w:p>
      <w:pPr>
        <w:spacing w:after="0" w:line="145" w:lineRule="exact"/>
        <w:rPr>
          <w:sz w:val="20"/>
          <w:szCs w:val="20"/>
          <w:color w:val="auto"/>
        </w:rPr>
      </w:pPr>
    </w:p>
    <w:p>
      <w:pPr>
        <w:ind w:left="200" w:right="259" w:firstLine="345"/>
        <w:spacing w:after="0" w:line="258" w:lineRule="auto"/>
        <w:rPr>
          <w:sz w:val="20"/>
          <w:szCs w:val="20"/>
          <w:color w:val="auto"/>
        </w:rPr>
      </w:pPr>
      <w:r>
        <w:rPr>
          <w:rFonts w:ascii="Times New Roman" w:cs="Times New Roman" w:eastAsia="Times New Roman" w:hAnsi="Times New Roman"/>
          <w:sz w:val="14"/>
          <w:szCs w:val="14"/>
          <w:color w:val="auto"/>
        </w:rPr>
        <w:t>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41" w:right="1440" w:bottom="1440" w:gutter="0" w:footer="0" w:header="0"/>
        </w:sectPr>
      </w:pPr>
    </w:p>
    <w:bookmarkStart w:id="63" w:name="page64"/>
    <w:bookmarkEnd w:id="63"/>
    <w:p>
      <w:pPr>
        <w:ind w:left="200" w:right="279" w:firstLine="345"/>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Revised Partnership Audit Rules</w:t>
      </w:r>
      <w:r>
        <w:rPr>
          <w:rFonts w:ascii="Times New Roman" w:cs="Times New Roman" w:eastAsia="Times New Roman" w:hAnsi="Times New Roman"/>
          <w:sz w:val="14"/>
          <w:szCs w:val="14"/>
          <w:color w:val="auto"/>
        </w:rPr>
        <w:t>. Under partnership audit changes generally effective for audits in 2018 and later, a partnership (and not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some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 even though we, as a REIT, may not otherwise have been required to pay additional corporate-level taxes as a result of an audit adjustment.</w:t>
      </w: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Other Tax Considerations</w:t>
      </w:r>
    </w:p>
    <w:p>
      <w:pPr>
        <w:spacing w:after="0" w:line="93" w:lineRule="exact"/>
        <w:rPr>
          <w:sz w:val="20"/>
          <w:szCs w:val="20"/>
          <w:color w:val="auto"/>
        </w:rPr>
      </w:pPr>
    </w:p>
    <w:p>
      <w:pPr>
        <w:jc w:val="both"/>
        <w:ind w:left="200" w:right="239" w:firstLine="345"/>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State and Local Taxes. </w:t>
      </w:r>
      <w:r>
        <w:rPr>
          <w:rFonts w:ascii="Times New Roman" w:cs="Times New Roman" w:eastAsia="Times New Roman" w:hAnsi="Times New Roman"/>
          <w:sz w:val="14"/>
          <w:szCs w:val="14"/>
          <w:color w:val="auto"/>
        </w:rPr>
        <w:t>We and/or you may be subject to state and local tax in various states and localities, including those states and localities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37" w:lineRule="exact"/>
        <w:rPr>
          <w:sz w:val="20"/>
          <w:szCs w:val="20"/>
          <w:color w:val="auto"/>
        </w:rPr>
      </w:pPr>
    </w:p>
    <w:p>
      <w:pPr>
        <w:ind w:left="200" w:right="319" w:firstLine="34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Changes to Tax Laws and Regulations. </w:t>
      </w:r>
      <w:r>
        <w:rPr>
          <w:rFonts w:ascii="Times New Roman" w:cs="Times New Roman" w:eastAsia="Times New Roman" w:hAnsi="Times New Roman"/>
          <w:sz w:val="14"/>
          <w:szCs w:val="14"/>
          <w:color w:val="auto"/>
        </w:rPr>
        <w:t>The rules dealing with federal income taxation are subject to revision by the U.S. Congress, the IRS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Treasury, and statutory changes, new regulations, revisions to existing regulations and revised interpretations of established concepts are issued frequently. In particular, additional legislation, implementing regulations, and other guidance may be enacted or promulgated with respect to the Tax Cuts and Jobs Act of 2017, the 2020 CARES Act, and other recent legislation. We cannot assure you that a change in law, including the possibility of major tax legislation in 2024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SECURITY HOLDERS</w:t>
      </w:r>
    </w:p>
    <w:p>
      <w:pPr>
        <w:spacing w:after="0" w:line="179" w:lineRule="exact"/>
        <w:rPr>
          <w:sz w:val="20"/>
          <w:szCs w:val="20"/>
          <w:color w:val="auto"/>
        </w:rPr>
      </w:pPr>
    </w:p>
    <w:p>
      <w:pPr>
        <w:ind w:left="200" w:right="219" w:firstLine="345"/>
        <w:spacing w:after="0" w:line="260" w:lineRule="auto"/>
        <w:rPr>
          <w:sz w:val="20"/>
          <w:szCs w:val="20"/>
          <w:color w:val="auto"/>
        </w:rPr>
      </w:pPr>
      <w:r>
        <w:rPr>
          <w:rFonts w:ascii="Times New Roman" w:cs="Times New Roman" w:eastAsia="Times New Roman" w:hAnsi="Times New Roman"/>
          <w:sz w:val="14"/>
          <w:szCs w:val="14"/>
          <w:color w:val="auto"/>
        </w:rPr>
        <w:t>Information about selling security holders and the terms of the securities offered for resale, where applicable, will be set forth in a prospectus supplement, in a post-effective amendment or in filings we make with the SEC under the Exchange Act that are incorporated into this prospectus by reference. Selling security holders may be deemed to be underwriters in connection with the securities they resell and any profits on the resale may be deemed to be underwriting discounts and commissions under the Securities Act. The selling security holders will receive all the proceeds from the resale of our securities. We will not receive any proceeds from resales by selling security holders.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Sales by Us</w:t>
      </w:r>
    </w:p>
    <w:p>
      <w:pPr>
        <w:spacing w:after="0" w:line="95" w:lineRule="exact"/>
        <w:rPr>
          <w:sz w:val="20"/>
          <w:szCs w:val="20"/>
          <w:color w:val="auto"/>
        </w:rPr>
      </w:pPr>
    </w:p>
    <w:p>
      <w:pPr>
        <w:ind w:left="200" w:right="199" w:firstLine="345"/>
        <w:spacing w:after="0" w:line="258" w:lineRule="auto"/>
        <w:rPr>
          <w:sz w:val="20"/>
          <w:szCs w:val="20"/>
          <w:color w:val="auto"/>
        </w:rPr>
      </w:pPr>
      <w:r>
        <w:rPr>
          <w:rFonts w:ascii="Times New Roman" w:cs="Times New Roman" w:eastAsia="Times New Roman" w:hAnsi="Times New Roman"/>
          <w:sz w:val="14"/>
          <w:szCs w:val="14"/>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39" w:right="1440" w:bottom="1440" w:gutter="0" w:footer="0" w:header="0"/>
        </w:sectPr>
      </w:pPr>
    </w:p>
    <w:bookmarkStart w:id="64" w:name="page65"/>
    <w:bookmarkEnd w:id="64"/>
    <w:p>
      <w:pPr>
        <w:ind w:left="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methods by which we may distribute securities include:</w:t>
      </w:r>
    </w:p>
    <w:p>
      <w:pPr>
        <w:spacing w:after="0" w:line="103" w:lineRule="exact"/>
        <w:rPr>
          <w:sz w:val="20"/>
          <w:szCs w:val="20"/>
          <w:color w:val="auto"/>
        </w:rPr>
      </w:pPr>
    </w:p>
    <w:p>
      <w:pPr>
        <w:ind w:left="960" w:right="339" w:hanging="346"/>
        <w:spacing w:after="0" w:line="285" w:lineRule="auto"/>
        <w:tabs>
          <w:tab w:leader="none" w:pos="9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block trade (which may involve crosses) in which the dealer so engaged will attempt to sell the securities as agent but may position and resell a portion of the block as principal to facilitate the transaction;</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dealer as principal and resale by such dealer for its account pursuant to this prospectus or any prospectus supplement;</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 transactions and transactions in which the broker solicits purchasers; or</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legally available means.</w:t>
      </w:r>
    </w:p>
    <w:p>
      <w:pPr>
        <w:spacing w:after="0" w:line="177" w:lineRule="exact"/>
        <w:rPr>
          <w:sz w:val="20"/>
          <w:szCs w:val="20"/>
          <w:color w:val="auto"/>
        </w:rPr>
      </w:pPr>
    </w:p>
    <w:p>
      <w:pPr>
        <w:ind w:left="200" w:right="299" w:firstLine="345"/>
        <w:spacing w:after="0" w:line="263" w:lineRule="auto"/>
        <w:rPr>
          <w:sz w:val="20"/>
          <w:szCs w:val="20"/>
          <w:color w:val="auto"/>
        </w:rPr>
      </w:pPr>
      <w:r>
        <w:rPr>
          <w:rFonts w:ascii="Times New Roman" w:cs="Times New Roman" w:eastAsia="Times New Roman" w:hAnsi="Times New Roman"/>
          <w:sz w:val="14"/>
          <w:szCs w:val="14"/>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0" w:lineRule="exact"/>
        <w:rPr>
          <w:sz w:val="20"/>
          <w:szCs w:val="20"/>
          <w:color w:val="auto"/>
        </w:rPr>
      </w:pPr>
    </w:p>
    <w:p>
      <w:pPr>
        <w:ind w:left="200" w:right="239" w:firstLine="345"/>
        <w:spacing w:after="0" w:line="256" w:lineRule="auto"/>
        <w:rPr>
          <w:sz w:val="20"/>
          <w:szCs w:val="20"/>
          <w:color w:val="auto"/>
        </w:rPr>
      </w:pPr>
      <w:r>
        <w:rPr>
          <w:rFonts w:ascii="Times New Roman" w:cs="Times New Roman" w:eastAsia="Times New Roman" w:hAnsi="Times New Roman"/>
          <w:sz w:val="14"/>
          <w:szCs w:val="14"/>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48" w:lineRule="exact"/>
        <w:rPr>
          <w:sz w:val="20"/>
          <w:szCs w:val="20"/>
          <w:color w:val="auto"/>
        </w:rPr>
      </w:pPr>
    </w:p>
    <w:p>
      <w:pPr>
        <w:ind w:left="200" w:right="579" w:firstLine="345"/>
        <w:spacing w:after="0" w:line="285" w:lineRule="auto"/>
        <w:rPr>
          <w:sz w:val="20"/>
          <w:szCs w:val="20"/>
          <w:color w:val="auto"/>
        </w:rPr>
      </w:pPr>
      <w:r>
        <w:rPr>
          <w:rFonts w:ascii="Times New Roman" w:cs="Times New Roman" w:eastAsia="Times New Roman" w:hAnsi="Times New Roman"/>
          <w:sz w:val="14"/>
          <w:szCs w:val="14"/>
          <w:color w:val="auto"/>
        </w:rPr>
        <w:t>Underwriters, dealers and agents may be entitled, under agreements with us, to indemnification against and contribution toward certain civil liabilities, including liabilities under the Securities Act.</w:t>
      </w:r>
    </w:p>
    <w:p>
      <w:pPr>
        <w:spacing w:after="0" w:line="125" w:lineRule="exact"/>
        <w:rPr>
          <w:sz w:val="20"/>
          <w:szCs w:val="20"/>
          <w:color w:val="auto"/>
        </w:rPr>
      </w:pPr>
    </w:p>
    <w:p>
      <w:pPr>
        <w:ind w:left="200" w:right="219" w:firstLine="345"/>
        <w:spacing w:after="0" w:line="256" w:lineRule="auto"/>
        <w:rPr>
          <w:sz w:val="20"/>
          <w:szCs w:val="20"/>
          <w:color w:val="auto"/>
        </w:rPr>
      </w:pPr>
      <w:r>
        <w:rPr>
          <w:rFonts w:ascii="Times New Roman" w:cs="Times New Roman" w:eastAsia="Times New Roman" w:hAnsi="Times New Roman"/>
          <w:sz w:val="14"/>
          <w:szCs w:val="14"/>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48" w:lineRule="exact"/>
        <w:rPr>
          <w:sz w:val="20"/>
          <w:szCs w:val="20"/>
          <w:color w:val="auto"/>
        </w:rPr>
      </w:pPr>
    </w:p>
    <w:p>
      <w:pPr>
        <w:jc w:val="both"/>
        <w:ind w:left="200" w:right="259" w:firstLine="345"/>
        <w:spacing w:after="0" w:line="268" w:lineRule="auto"/>
        <w:rPr>
          <w:sz w:val="20"/>
          <w:szCs w:val="20"/>
          <w:color w:val="auto"/>
        </w:rPr>
      </w:pPr>
      <w:r>
        <w:rPr>
          <w:rFonts w:ascii="Times New Roman" w:cs="Times New Roman" w:eastAsia="Times New Roman" w:hAnsi="Times New Roman"/>
          <w:sz w:val="14"/>
          <w:szCs w:val="14"/>
          <w:color w:val="auto"/>
        </w:rPr>
        <w:t>The securities may or may not be listed on a national securities exchange or traded in the over-the-counter market (other than the common shares and Series C depositary shares, which are quoted on the New York Stock Exchange). No assurance can be given as to the liquidity of the trading market for any such securities.</w:t>
      </w:r>
    </w:p>
    <w:p>
      <w:pPr>
        <w:spacing w:after="0" w:line="137" w:lineRule="exact"/>
        <w:rPr>
          <w:sz w:val="20"/>
          <w:szCs w:val="20"/>
          <w:color w:val="auto"/>
        </w:rPr>
      </w:pPr>
    </w:p>
    <w:p>
      <w:pPr>
        <w:ind w:left="200" w:right="259" w:firstLine="345"/>
        <w:spacing w:after="0" w:line="258" w:lineRule="auto"/>
        <w:rPr>
          <w:sz w:val="20"/>
          <w:szCs w:val="20"/>
          <w:color w:val="auto"/>
        </w:rPr>
      </w:pPr>
      <w:r>
        <w:rPr>
          <w:rFonts w:ascii="Times New Roman" w:cs="Times New Roman" w:eastAsia="Times New Roman" w:hAnsi="Times New Roman"/>
          <w:sz w:val="14"/>
          <w:szCs w:val="14"/>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41" w:right="1440" w:bottom="1440" w:gutter="0" w:footer="0" w:header="0"/>
        </w:sectPr>
      </w:pPr>
    </w:p>
    <w:bookmarkStart w:id="65" w:name="page66"/>
    <w:bookmarkEnd w:id="65"/>
    <w:p>
      <w:pPr>
        <w:ind w:left="200" w:right="21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46" w:lineRule="exact"/>
        <w:rPr>
          <w:sz w:val="20"/>
          <w:szCs w:val="20"/>
          <w:color w:val="auto"/>
        </w:rPr>
      </w:pPr>
    </w:p>
    <w:p>
      <w:pPr>
        <w:ind w:left="200" w:right="679" w:firstLine="345"/>
        <w:spacing w:after="0" w:line="285" w:lineRule="auto"/>
        <w:rPr>
          <w:sz w:val="20"/>
          <w:szCs w:val="20"/>
          <w:color w:val="auto"/>
        </w:rPr>
      </w:pPr>
      <w:r>
        <w:rPr>
          <w:rFonts w:ascii="Times New Roman" w:cs="Times New Roman" w:eastAsia="Times New Roman" w:hAnsi="Times New Roman"/>
          <w:sz w:val="14"/>
          <w:szCs w:val="14"/>
          <w:color w:val="auto"/>
        </w:rPr>
        <w:t>Certain of the underwriters or agents and their affiliates may engage in transactions with and perform services for us or our affiliates in the ordinary course of their respective businesses.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Sales by Selling Security Holders</w:t>
      </w:r>
    </w:p>
    <w:p>
      <w:pPr>
        <w:spacing w:after="0" w:line="95" w:lineRule="exact"/>
        <w:rPr>
          <w:sz w:val="20"/>
          <w:szCs w:val="20"/>
          <w:color w:val="auto"/>
        </w:rPr>
      </w:pPr>
    </w:p>
    <w:p>
      <w:pPr>
        <w:ind w:left="200" w:right="199" w:firstLine="345"/>
        <w:spacing w:after="0" w:line="257" w:lineRule="auto"/>
        <w:rPr>
          <w:sz w:val="20"/>
          <w:szCs w:val="20"/>
          <w:color w:val="auto"/>
        </w:rPr>
      </w:pPr>
      <w:r>
        <w:rPr>
          <w:rFonts w:ascii="Times New Roman" w:cs="Times New Roman" w:eastAsia="Times New Roman" w:hAnsi="Times New Roman"/>
          <w:sz w:val="14"/>
          <w:szCs w:val="14"/>
          <w:color w:val="auto"/>
        </w:rPr>
        <w:t>The selling security 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 holders (including, but not limited to, persons who receive securities from a named selling security holder as a gift, partnership distribution or other non-sale-related transfer after the date of this prospectus) may also use this prospectus and are included when we refer to “selling security holders” in this prospectus. The selling security holders may sell the securities by one or more of the following methods, without limitation:</w:t>
      </w:r>
    </w:p>
    <w:p>
      <w:pPr>
        <w:spacing w:after="0" w:line="72" w:lineRule="exact"/>
        <w:rPr>
          <w:sz w:val="20"/>
          <w:szCs w:val="20"/>
          <w:color w:val="auto"/>
        </w:rPr>
      </w:pPr>
    </w:p>
    <w:p>
      <w:pPr>
        <w:ind w:left="960" w:right="299" w:hanging="346"/>
        <w:spacing w:after="0" w:line="285" w:lineRule="auto"/>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(which may include cross trades) in which the broker or dealer so engaged will attempt to sell the securities as agent but may position and resell a portion of the block as principal to facilitate the transaction;</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 or dealer as principal and resales by the broker or dealer for its own account;</w:t>
      </w:r>
    </w:p>
    <w:p>
      <w:pPr>
        <w:spacing w:after="0" w:line="103" w:lineRule="exact"/>
        <w:rPr>
          <w:rFonts w:ascii="Times New Roman" w:cs="Times New Roman" w:eastAsia="Times New Roman" w:hAnsi="Times New Roman"/>
          <w:sz w:val="14"/>
          <w:szCs w:val="14"/>
          <w:color w:val="auto"/>
        </w:rPr>
      </w:pPr>
    </w:p>
    <w:p>
      <w:pPr>
        <w:ind w:left="960" w:right="559" w:hanging="346"/>
        <w:spacing w:after="0" w:line="285" w:lineRule="auto"/>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or secondary distribution in accordance with the rules of any stock exchange on which the securities may be listed;</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 solicits purchases;</w:t>
      </w:r>
    </w:p>
    <w:p>
      <w:pPr>
        <w:spacing w:after="0" w:line="103" w:lineRule="exact"/>
        <w:rPr>
          <w:rFonts w:ascii="Times New Roman" w:cs="Times New Roman" w:eastAsia="Times New Roman" w:hAnsi="Times New Roman"/>
          <w:sz w:val="14"/>
          <w:szCs w:val="14"/>
          <w:color w:val="auto"/>
        </w:rPr>
      </w:pPr>
    </w:p>
    <w:p>
      <w:pPr>
        <w:ind w:left="960" w:right="239" w:hanging="346"/>
        <w:spacing w:after="0" w:line="285" w:lineRule="auto"/>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offering at other than a fixed price on or through the facilities of any stock exchange on which the securities are listed or to or through a market-maker other than on that stock exchange;</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 directly or through agents;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of options on the securities, whether or the options are listed on an options exchange;</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distribution of the securities by any security holder to its partners, members or stockholders;</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underwritten offerings;</w:t>
      </w:r>
    </w:p>
    <w:p>
      <w:pPr>
        <w:spacing w:after="0" w:line="103" w:lineRule="exact"/>
        <w:rPr>
          <w:rFonts w:ascii="Times New Roman" w:cs="Times New Roman" w:eastAsia="Times New Roman" w:hAnsi="Times New Roman"/>
          <w:sz w:val="14"/>
          <w:szCs w:val="14"/>
          <w:color w:val="auto"/>
        </w:rPr>
      </w:pPr>
    </w:p>
    <w:p>
      <w:pPr>
        <w:ind w:left="960" w:right="399" w:hanging="346"/>
        <w:spacing w:after="0" w:line="285" w:lineRule="auto"/>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agreements between a broker or dealer and any security holder to sell a specified number of the securities at a stipulated price per share; and</w:t>
      </w:r>
    </w:p>
    <w:p>
      <w:pPr>
        <w:spacing w:after="0" w:line="51"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any of these methods of sale or distribution, or any other method permitted by applicable law.</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security holders may also transfer the securities by gift.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41" w:right="1440" w:bottom="1440" w:gutter="0" w:footer="0" w:header="0"/>
        </w:sectPr>
      </w:pPr>
    </w:p>
    <w:bookmarkStart w:id="66" w:name="page67"/>
    <w:bookmarkEnd w:id="66"/>
    <w:p>
      <w:pPr>
        <w:ind w:left="200" w:right="299" w:firstLine="345"/>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selling security holders may engage brokers and dealers, and any brokers or dealers may arrange for other brokers or dealers to participate in effecting sales of the securities. These brokers, dealers or underwriters may act as principals, or as an agent of a selling security holder. Broker-dealers may agree with a selling security holder to sell a specified number of the securities at a stipulated price per share. If the broker-dealer is unable to sell securities acting as agent for a selling security holder, it may purchase as principal any unsold securities at the stipulated price. Broker-dealers who acquire securities as principals may thereafter resell the securities from time to time in transactions on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w:t>
      </w:r>
    </w:p>
    <w:p>
      <w:pPr>
        <w:spacing w:after="0" w:line="148" w:lineRule="exact"/>
        <w:rPr>
          <w:sz w:val="20"/>
          <w:szCs w:val="20"/>
          <w:color w:val="auto"/>
        </w:rPr>
      </w:pPr>
    </w:p>
    <w:p>
      <w:pPr>
        <w:jc w:val="both"/>
        <w:ind w:left="200" w:right="319" w:firstLine="345"/>
        <w:spacing w:after="0" w:line="258" w:lineRule="auto"/>
        <w:rPr>
          <w:sz w:val="20"/>
          <w:szCs w:val="20"/>
          <w:color w:val="auto"/>
        </w:rPr>
      </w:pPr>
      <w:r>
        <w:rPr>
          <w:rFonts w:ascii="Times New Roman" w:cs="Times New Roman" w:eastAsia="Times New Roman" w:hAnsi="Times New Roman"/>
          <w:sz w:val="14"/>
          <w:szCs w:val="14"/>
          <w:color w:val="auto"/>
        </w:rPr>
        <w:t>From time to time, one or more of the selling security holders may pledge, hypothecate or grant a security interest in some or all of the securities owned by them. The pledgees, secured parties or persons to whom the securities have been hypothecated will, upon foreclosure in the event of default, be deemed to be selling security holders. The number of a selling security holder’s securities offered under this prospectus will decrease as and when it takes such actions. The plan of distribution for that selling security holder’s securities will otherwise remain unchanged. In addition, a selling security holder may, from time to time, sell the securities short, and, in those instances, this prospectus may be delivered in connection with the short sales and the securities offered under this prospectus may be used to cover short sales.</w:t>
      </w:r>
    </w:p>
    <w:p>
      <w:pPr>
        <w:spacing w:after="0" w:line="146" w:lineRule="exact"/>
        <w:rPr>
          <w:sz w:val="20"/>
          <w:szCs w:val="20"/>
          <w:color w:val="auto"/>
        </w:rPr>
      </w:pPr>
    </w:p>
    <w:p>
      <w:pPr>
        <w:jc w:val="both"/>
        <w:ind w:left="200" w:right="259" w:firstLine="345"/>
        <w:spacing w:after="0" w:line="268" w:lineRule="auto"/>
        <w:rPr>
          <w:sz w:val="20"/>
          <w:szCs w:val="20"/>
          <w:color w:val="auto"/>
        </w:rPr>
      </w:pPr>
      <w:r>
        <w:rPr>
          <w:rFonts w:ascii="Times New Roman" w:cs="Times New Roman" w:eastAsia="Times New Roman" w:hAnsi="Times New Roman"/>
          <w:sz w:val="14"/>
          <w:szCs w:val="14"/>
          <w:color w:val="auto"/>
        </w:rPr>
        <w:t>The selling security 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w:t>
      </w:r>
    </w:p>
    <w:p>
      <w:pPr>
        <w:spacing w:after="0" w:line="137" w:lineRule="exact"/>
        <w:rPr>
          <w:sz w:val="20"/>
          <w:szCs w:val="20"/>
          <w:color w:val="auto"/>
        </w:rPr>
      </w:pPr>
    </w:p>
    <w:p>
      <w:pPr>
        <w:ind w:left="200" w:right="219" w:firstLine="345"/>
        <w:spacing w:after="0" w:line="258" w:lineRule="auto"/>
        <w:rPr>
          <w:sz w:val="20"/>
          <w:szCs w:val="20"/>
          <w:color w:val="auto"/>
        </w:rPr>
      </w:pPr>
      <w:r>
        <w:rPr>
          <w:rFonts w:ascii="Times New Roman" w:cs="Times New Roman" w:eastAsia="Times New Roman" w:hAnsi="Times New Roman"/>
          <w:sz w:val="14"/>
          <w:szCs w:val="14"/>
          <w:color w:val="auto"/>
        </w:rPr>
        <w:t>A selling security holder may enter into hedging transactions with broker-dealers and the broker-dealers may engage in short sales of the securities in the course of hedging the positions they assume with that selling security holder, including, without limitation, in connection with distributions of the securities by those broker-dealers. A selling security holder may enter into option or other transactions with broker-dealers that involve the delivery of the securities offered hereby to the broker-dealers, who may then resell or otherwise transfer those securities. A selling security holder may also loan or pledge the securities offered hereby to a broker-dealer and the broker-dealer may sell the securities offered hereby so loaned or upon a default may sell or otherwise transfer the pledged securities offered hereby.</w:t>
      </w:r>
    </w:p>
    <w:p>
      <w:pPr>
        <w:spacing w:after="0" w:line="146" w:lineRule="exact"/>
        <w:rPr>
          <w:sz w:val="20"/>
          <w:szCs w:val="20"/>
          <w:color w:val="auto"/>
        </w:rPr>
      </w:pPr>
    </w:p>
    <w:p>
      <w:pPr>
        <w:ind w:left="200" w:right="219" w:firstLine="345"/>
        <w:spacing w:after="0" w:line="257" w:lineRule="auto"/>
        <w:rPr>
          <w:sz w:val="20"/>
          <w:szCs w:val="20"/>
          <w:color w:val="auto"/>
        </w:rPr>
      </w:pPr>
      <w:r>
        <w:rPr>
          <w:rFonts w:ascii="Times New Roman" w:cs="Times New Roman" w:eastAsia="Times New Roman" w:hAnsi="Times New Roman"/>
          <w:sz w:val="14"/>
          <w:szCs w:val="14"/>
          <w:color w:val="auto"/>
        </w:rPr>
        <w:t>The selling security 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 holders and any other person. The anti-manipulation rules under the Exchange Act may apply to sales of securities in the market and to the activities of the selling security 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w:t>
      </w:r>
    </w:p>
    <w:p>
      <w:pPr>
        <w:spacing w:after="0" w:line="146" w:lineRule="exact"/>
        <w:rPr>
          <w:sz w:val="20"/>
          <w:szCs w:val="20"/>
          <w:color w:val="auto"/>
        </w:rPr>
      </w:pPr>
    </w:p>
    <w:p>
      <w:pPr>
        <w:ind w:left="200" w:right="219" w:firstLine="345"/>
        <w:spacing w:after="0" w:line="256" w:lineRule="auto"/>
        <w:rPr>
          <w:sz w:val="20"/>
          <w:szCs w:val="20"/>
          <w:color w:val="auto"/>
        </w:rPr>
      </w:pPr>
      <w:r>
        <w:rPr>
          <w:rFonts w:ascii="Times New Roman" w:cs="Times New Roman" w:eastAsia="Times New Roman" w:hAnsi="Times New Roman"/>
          <w:sz w:val="14"/>
          <w:szCs w:val="14"/>
          <w:color w:val="auto"/>
        </w:rPr>
        <w:t>We may agree to indemnify the selling security 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 holders may agree to indemnify us, the other selling security holders and any underwriter or other person who participates in the offering of the securities, against specified liabilities arising from information provided by the selling security 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 holders may agree to indemnify any brokers, dealers or agents who participate in transactions involving sales of the securities against specified liabilities arising under the federal securities laws in connection with the offering and sale of the securities.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241" w:right="1440" w:bottom="1440" w:gutter="0" w:footer="0" w:header="0"/>
        </w:sectPr>
      </w:pPr>
    </w:p>
    <w:bookmarkStart w:id="67" w:name="page68"/>
    <w:bookmarkEnd w:id="67"/>
    <w:p>
      <w:pPr>
        <w:ind w:left="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We will not receive any proceeds from sales of any securities by the selling security holders.</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We cannot assure you that the selling security holders will sell all or any portion of the securities offered hereby.</w:t>
      </w:r>
    </w:p>
    <w:p>
      <w:pPr>
        <w:spacing w:after="0" w:line="177" w:lineRule="exact"/>
        <w:rPr>
          <w:sz w:val="20"/>
          <w:szCs w:val="20"/>
          <w:color w:val="auto"/>
        </w:rPr>
      </w:pPr>
    </w:p>
    <w:p>
      <w:pPr>
        <w:ind w:left="200" w:right="239" w:firstLine="345"/>
        <w:spacing w:after="0" w:line="268" w:lineRule="auto"/>
        <w:rPr>
          <w:sz w:val="20"/>
          <w:szCs w:val="20"/>
          <w:color w:val="auto"/>
        </w:rPr>
      </w:pPr>
      <w:r>
        <w:rPr>
          <w:rFonts w:ascii="Times New Roman" w:cs="Times New Roman" w:eastAsia="Times New Roman" w:hAnsi="Times New Roman"/>
          <w:sz w:val="14"/>
          <w:szCs w:val="14"/>
          <w:color w:val="auto"/>
        </w:rPr>
        <w:t>We will supply the selling security holders and any stock exchange upon which the securities are listed with reasonable quantities of copies of this prospectus. To the extent required by Rule 424 under the Securities Act in connection with any resale or redistribution by a selling security holder, we will file a prospectus supplement setting forth:</w:t>
      </w:r>
    </w:p>
    <w:p>
      <w:pPr>
        <w:spacing w:after="0" w:line="63" w:lineRule="exact"/>
        <w:rPr>
          <w:sz w:val="20"/>
          <w:szCs w:val="20"/>
          <w:color w:val="auto"/>
        </w:rPr>
      </w:pPr>
    </w:p>
    <w:p>
      <w:pPr>
        <w:ind w:left="960" w:hanging="346"/>
        <w:spacing w:after="0"/>
        <w:tabs>
          <w:tab w:leader="none" w:pos="9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securities to be sold;</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price;</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names of any underwriter, dealer or agent; and</w:t>
      </w:r>
    </w:p>
    <w:p>
      <w:pPr>
        <w:spacing w:after="0" w:line="103" w:lineRule="exact"/>
        <w:rPr>
          <w:rFonts w:ascii="Times New Roman" w:cs="Times New Roman" w:eastAsia="Times New Roman" w:hAnsi="Times New Roman"/>
          <w:sz w:val="14"/>
          <w:szCs w:val="14"/>
          <w:color w:val="auto"/>
        </w:rPr>
      </w:pPr>
    </w:p>
    <w:p>
      <w:pPr>
        <w:ind w:left="960" w:right="299" w:hanging="346"/>
        <w:spacing w:after="0" w:line="285" w:lineRule="auto"/>
        <w:tabs>
          <w:tab w:leader="none" w:pos="9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commissions, discounts, concessions, fees or other items constituting compensation to underwriters, dealers or agents with respect to the particular transaction (which may exceed customary commissions or compensation).</w:t>
      </w:r>
    </w:p>
    <w:p>
      <w:pPr>
        <w:spacing w:after="0" w:line="125" w:lineRule="exact"/>
        <w:rPr>
          <w:sz w:val="20"/>
          <w:szCs w:val="20"/>
          <w:color w:val="auto"/>
        </w:rPr>
      </w:pPr>
    </w:p>
    <w:p>
      <w:pPr>
        <w:ind w:left="200" w:right="219" w:firstLine="345"/>
        <w:spacing w:after="0" w:line="263" w:lineRule="auto"/>
        <w:rPr>
          <w:sz w:val="20"/>
          <w:szCs w:val="20"/>
          <w:color w:val="auto"/>
        </w:rPr>
      </w:pPr>
      <w:r>
        <w:rPr>
          <w:rFonts w:ascii="Times New Roman" w:cs="Times New Roman" w:eastAsia="Times New Roman" w:hAnsi="Times New Roman"/>
          <w:sz w:val="14"/>
          <w:szCs w:val="14"/>
          <w:color w:val="auto"/>
        </w:rPr>
        <w:t>If a selling security 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9" w:lineRule="exact"/>
        <w:rPr>
          <w:sz w:val="20"/>
          <w:szCs w:val="20"/>
          <w:color w:val="auto"/>
        </w:rPr>
      </w:pPr>
    </w:p>
    <w:p>
      <w:pPr>
        <w:ind w:left="200" w:right="199" w:firstLine="345"/>
        <w:spacing w:after="0" w:line="263" w:lineRule="auto"/>
        <w:rPr>
          <w:sz w:val="20"/>
          <w:szCs w:val="20"/>
          <w:color w:val="auto"/>
        </w:rPr>
      </w:pPr>
      <w:r>
        <w:rPr>
          <w:rFonts w:ascii="Times New Roman" w:cs="Times New Roman" w:eastAsia="Times New Roman" w:hAnsi="Times New Roman"/>
          <w:sz w:val="14"/>
          <w:szCs w:val="14"/>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9" w:lineRule="exact"/>
        <w:rPr>
          <w:sz w:val="20"/>
          <w:szCs w:val="20"/>
          <w:color w:val="auto"/>
        </w:rPr>
      </w:pPr>
    </w:p>
    <w:p>
      <w:pPr>
        <w:ind w:left="200" w:right="499" w:firstLine="345"/>
        <w:spacing w:after="0" w:line="263" w:lineRule="auto"/>
        <w:rPr>
          <w:sz w:val="20"/>
          <w:szCs w:val="20"/>
          <w:color w:val="auto"/>
        </w:rPr>
      </w:pPr>
      <w:r>
        <w:rPr>
          <w:rFonts w:ascii="Times New Roman" w:cs="Times New Roman" w:eastAsia="Times New Roman" w:hAnsi="Times New Roman"/>
          <w:sz w:val="14"/>
          <w:szCs w:val="14"/>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9" w:lineRule="exact"/>
        <w:rPr>
          <w:sz w:val="20"/>
          <w:szCs w:val="20"/>
          <w:color w:val="auto"/>
        </w:rPr>
      </w:pPr>
    </w:p>
    <w:p>
      <w:pPr>
        <w:ind w:left="200" w:right="299" w:firstLine="345"/>
        <w:spacing w:after="0" w:line="285"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00" w:right="219" w:firstLine="345"/>
        <w:spacing w:after="0" w:line="256"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by us with the SEC under Sections 13(a), 13(c), 14, or 15(d) of the Exchange Act from the date of this prospectus until the termination of the offering of the securities described in this prospectus or the expiration of the registration statement.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241" w:right="1440" w:bottom="1440" w:gutter="0" w:footer="0" w:header="0"/>
        </w:sectPr>
      </w:pPr>
    </w:p>
    <w:bookmarkStart w:id="68" w:name="page69"/>
    <w:bookmarkEnd w:id="68"/>
    <w:p>
      <w:pPr>
        <w:ind w:left="960" w:hanging="346"/>
        <w:spacing w:after="0"/>
        <w:tabs>
          <w:tab w:leader="none" w:pos="9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 xml:space="preserve">Our Annual Report on </w:t>
      </w:r>
      <w:hyperlink r:id="rId8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2023, filed with the SEC on February 12, 2024;</w:t>
      </w:r>
    </w:p>
    <w:p>
      <w:pPr>
        <w:spacing w:after="0" w:line="103" w:lineRule="exact"/>
        <w:rPr>
          <w:rFonts w:ascii="Times New Roman" w:cs="Times New Roman" w:eastAsia="Times New Roman" w:hAnsi="Times New Roman"/>
          <w:sz w:val="14"/>
          <w:szCs w:val="14"/>
          <w:color w:val="auto"/>
        </w:rPr>
      </w:pPr>
    </w:p>
    <w:p>
      <w:pPr>
        <w:ind w:left="960" w:hanging="346"/>
        <w:spacing w:after="0"/>
        <w:tabs>
          <w:tab w:leader="none" w:pos="9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w:t>
      </w:r>
      <w:hyperlink r:id="rId88">
        <w:r>
          <w:rPr>
            <w:rFonts w:ascii="Times New Roman" w:cs="Times New Roman" w:eastAsia="Times New Roman" w:hAnsi="Times New Roman"/>
            <w:sz w:val="14"/>
            <w:szCs w:val="14"/>
            <w:u w:val="single" w:color="auto"/>
            <w:color w:val="0000EE"/>
          </w:rPr>
          <w:t>Form 8-K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January 11, 2024;</w:t>
      </w:r>
    </w:p>
    <w:p>
      <w:pPr>
        <w:spacing w:after="0" w:line="103" w:lineRule="exact"/>
        <w:rPr>
          <w:rFonts w:ascii="Times New Roman" w:cs="Times New Roman" w:eastAsia="Times New Roman" w:hAnsi="Times New Roman"/>
          <w:sz w:val="14"/>
          <w:szCs w:val="14"/>
          <w:color w:val="auto"/>
        </w:rPr>
      </w:pPr>
    </w:p>
    <w:p>
      <w:pPr>
        <w:ind w:left="960" w:right="739" w:hanging="346"/>
        <w:spacing w:after="0" w:line="285" w:lineRule="auto"/>
        <w:tabs>
          <w:tab w:leader="none" w:pos="9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responsive to part III of our Annual Report on Form 10-K for the year ended December 31, 2022 provided in our definitive proxy statement on </w:t>
      </w:r>
      <w:hyperlink r:id="rId89">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on March 24, 2023; and</w:t>
      </w:r>
    </w:p>
    <w:p>
      <w:pPr>
        <w:spacing w:after="0" w:line="51" w:lineRule="exact"/>
        <w:rPr>
          <w:rFonts w:ascii="Times New Roman" w:cs="Times New Roman" w:eastAsia="Times New Roman" w:hAnsi="Times New Roman"/>
          <w:sz w:val="14"/>
          <w:szCs w:val="14"/>
          <w:color w:val="auto"/>
        </w:rPr>
      </w:pPr>
    </w:p>
    <w:p>
      <w:pPr>
        <w:ind w:left="960" w:right="239" w:hanging="346"/>
        <w:spacing w:after="0" w:line="285" w:lineRule="auto"/>
        <w:tabs>
          <w:tab w:leader="none" w:pos="9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Description of the Company’s common shares and Series C depositary shares contained in </w:t>
      </w:r>
      <w:hyperlink r:id="rId90">
        <w:r>
          <w:rPr>
            <w:rFonts w:ascii="Times New Roman" w:cs="Times New Roman" w:eastAsia="Times New Roman" w:hAnsi="Times New Roman"/>
            <w:sz w:val="14"/>
            <w:szCs w:val="14"/>
            <w:u w:val="single" w:color="auto"/>
            <w:color w:val="0000EE"/>
          </w:rPr>
          <w:t>Exhibit 4.9</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filed with the SEC on February 12, 2024.</w:t>
      </w:r>
    </w:p>
    <w:p>
      <w:pPr>
        <w:spacing w:after="0" w:line="125" w:lineRule="exact"/>
        <w:rPr>
          <w:rFonts w:ascii="Times New Roman" w:cs="Times New Roman" w:eastAsia="Times New Roman" w:hAnsi="Times New Roman"/>
          <w:sz w:val="14"/>
          <w:szCs w:val="14"/>
          <w:color w:val="auto"/>
        </w:rPr>
      </w:pPr>
    </w:p>
    <w:p>
      <w:pPr>
        <w:ind w:left="200" w:right="279" w:firstLine="345"/>
        <w:spacing w:after="0" w:line="257" w:lineRule="auto"/>
        <w:rPr>
          <w:sz w:val="20"/>
          <w:szCs w:val="20"/>
          <w:color w:val="auto"/>
        </w:rPr>
      </w:pPr>
      <w:r>
        <w:rPr>
          <w:rFonts w:ascii="Times New Roman" w:cs="Times New Roman" w:eastAsia="Times New Roman" w:hAnsi="Times New Roman"/>
          <w:sz w:val="14"/>
          <w:szCs w:val="14"/>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44" w:lineRule="exact"/>
        <w:rPr>
          <w:rFonts w:ascii="Times New Roman" w:cs="Times New Roman" w:eastAsia="Times New Roman" w:hAnsi="Times New Roman"/>
          <w:sz w:val="14"/>
          <w:szCs w:val="14"/>
          <w:color w:val="auto"/>
        </w:rPr>
      </w:pPr>
    </w:p>
    <w:p>
      <w:pPr>
        <w:ind w:left="200" w:right="339" w:firstLine="345"/>
        <w:spacing w:after="0" w:line="270" w:lineRule="auto"/>
        <w:rPr>
          <w:sz w:val="20"/>
          <w:szCs w:val="20"/>
          <w:color w:val="auto"/>
        </w:rPr>
      </w:pPr>
      <w:r>
        <w:rPr>
          <w:rFonts w:ascii="Times New Roman" w:cs="Times New Roman" w:eastAsia="Times New Roman" w:hAnsi="Times New Roman"/>
          <w:sz w:val="14"/>
          <w:szCs w:val="14"/>
          <w:color w:val="auto"/>
        </w:rPr>
        <w:t xml:space="preserve">Copies of our SEC filings are available at no cost at our website, </w:t>
      </w:r>
      <w:r>
        <w:rPr>
          <w:rFonts w:ascii="Times New Roman" w:cs="Times New Roman" w:eastAsia="Times New Roman" w:hAnsi="Times New Roman"/>
          <w:sz w:val="14"/>
          <w:szCs w:val="14"/>
          <w:i w:val="1"/>
          <w:iCs w:val="1"/>
          <w:color w:val="auto"/>
        </w:rPr>
        <w:t>www.federalrealty.com</w:t>
      </w:r>
      <w:r>
        <w:rPr>
          <w:rFonts w:ascii="Times New Roman" w:cs="Times New Roman" w:eastAsia="Times New Roman" w:hAnsi="Times New Roman"/>
          <w:sz w:val="14"/>
          <w:szCs w:val="14"/>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1" w:lineRule="exact"/>
        <w:rPr>
          <w:rFonts w:ascii="Times New Roman" w:cs="Times New Roman" w:eastAsia="Times New Roman" w:hAnsi="Times New Roman"/>
          <w:sz w:val="14"/>
          <w:szCs w:val="14"/>
          <w:color w:val="auto"/>
        </w:rPr>
      </w:pPr>
    </w:p>
    <w:p>
      <w:pPr>
        <w:ind w:left="960"/>
        <w:spacing w:after="0"/>
        <w:rPr>
          <w:sz w:val="20"/>
          <w:szCs w:val="20"/>
          <w:color w:val="auto"/>
        </w:rPr>
      </w:pPr>
      <w:r>
        <w:rPr>
          <w:rFonts w:ascii="Times New Roman" w:cs="Times New Roman" w:eastAsia="Times New Roman" w:hAnsi="Times New Roman"/>
          <w:sz w:val="14"/>
          <w:szCs w:val="14"/>
          <w:color w:val="auto"/>
        </w:rPr>
        <w:t>Federal Realty Investment Trust</w:t>
      </w:r>
    </w:p>
    <w:p>
      <w:pPr>
        <w:spacing w:after="0" w:line="23" w:lineRule="exact"/>
        <w:rPr>
          <w:rFonts w:ascii="Times New Roman" w:cs="Times New Roman" w:eastAsia="Times New Roman" w:hAnsi="Times New Roman"/>
          <w:sz w:val="14"/>
          <w:szCs w:val="14"/>
          <w:color w:val="auto"/>
        </w:rPr>
      </w:pPr>
    </w:p>
    <w:p>
      <w:pPr>
        <w:ind w:left="960"/>
        <w:spacing w:after="0"/>
        <w:rPr>
          <w:sz w:val="20"/>
          <w:szCs w:val="20"/>
          <w:color w:val="auto"/>
        </w:rPr>
      </w:pPr>
      <w:r>
        <w:rPr>
          <w:rFonts w:ascii="Times New Roman" w:cs="Times New Roman" w:eastAsia="Times New Roman" w:hAnsi="Times New Roman"/>
          <w:sz w:val="14"/>
          <w:szCs w:val="14"/>
          <w:color w:val="auto"/>
        </w:rPr>
        <w:t>909 Rose Avenue</w:t>
      </w:r>
    </w:p>
    <w:p>
      <w:pPr>
        <w:spacing w:after="0" w:line="8" w:lineRule="exact"/>
        <w:rPr>
          <w:rFonts w:ascii="Times New Roman" w:cs="Times New Roman" w:eastAsia="Times New Roman" w:hAnsi="Times New Roman"/>
          <w:sz w:val="14"/>
          <w:szCs w:val="14"/>
          <w:color w:val="auto"/>
        </w:rPr>
      </w:pPr>
    </w:p>
    <w:p>
      <w:pPr>
        <w:ind w:left="960"/>
        <w:spacing w:after="0"/>
        <w:rPr>
          <w:sz w:val="20"/>
          <w:szCs w:val="20"/>
          <w:color w:val="auto"/>
        </w:rPr>
      </w:pPr>
      <w:r>
        <w:rPr>
          <w:rFonts w:ascii="Times New Roman" w:cs="Times New Roman" w:eastAsia="Times New Roman" w:hAnsi="Times New Roman"/>
          <w:sz w:val="14"/>
          <w:szCs w:val="14"/>
          <w:color w:val="auto"/>
        </w:rPr>
        <w:t>Suite 200</w:t>
      </w:r>
    </w:p>
    <w:p>
      <w:pPr>
        <w:spacing w:after="0" w:line="8" w:lineRule="exact"/>
        <w:rPr>
          <w:rFonts w:ascii="Times New Roman" w:cs="Times New Roman" w:eastAsia="Times New Roman" w:hAnsi="Times New Roman"/>
          <w:sz w:val="14"/>
          <w:szCs w:val="14"/>
          <w:color w:val="auto"/>
        </w:rPr>
      </w:pPr>
    </w:p>
    <w:p>
      <w:pPr>
        <w:ind w:left="960"/>
        <w:spacing w:after="0"/>
        <w:rPr>
          <w:sz w:val="20"/>
          <w:szCs w:val="20"/>
          <w:color w:val="auto"/>
        </w:rPr>
      </w:pPr>
      <w:r>
        <w:rPr>
          <w:rFonts w:ascii="Times New Roman" w:cs="Times New Roman" w:eastAsia="Times New Roman" w:hAnsi="Times New Roman"/>
          <w:sz w:val="14"/>
          <w:szCs w:val="14"/>
          <w:color w:val="auto"/>
        </w:rPr>
        <w:t>North Bethesda, MD 20852</w:t>
      </w:r>
    </w:p>
    <w:p>
      <w:pPr>
        <w:spacing w:after="0" w:line="8" w:lineRule="exact"/>
        <w:rPr>
          <w:rFonts w:ascii="Times New Roman" w:cs="Times New Roman" w:eastAsia="Times New Roman" w:hAnsi="Times New Roman"/>
          <w:sz w:val="14"/>
          <w:szCs w:val="14"/>
          <w:color w:val="auto"/>
        </w:rPr>
      </w:pPr>
    </w:p>
    <w:p>
      <w:pPr>
        <w:ind w:left="96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8" w:lineRule="exact"/>
        <w:rPr>
          <w:rFonts w:ascii="Times New Roman" w:cs="Times New Roman" w:eastAsia="Times New Roman" w:hAnsi="Times New Roman"/>
          <w:sz w:val="14"/>
          <w:szCs w:val="14"/>
          <w:color w:val="auto"/>
        </w:rPr>
      </w:pPr>
    </w:p>
    <w:p>
      <w:pPr>
        <w:ind w:left="960"/>
        <w:spacing w:after="0"/>
        <w:rPr>
          <w:sz w:val="20"/>
          <w:szCs w:val="20"/>
          <w:color w:val="auto"/>
        </w:rPr>
      </w:pPr>
      <w:r>
        <w:rPr>
          <w:rFonts w:ascii="Times New Roman" w:cs="Times New Roman" w:eastAsia="Times New Roman" w:hAnsi="Times New Roman"/>
          <w:sz w:val="14"/>
          <w:szCs w:val="14"/>
          <w:color w:val="auto"/>
        </w:rPr>
        <w:t>(301) 998-8100</w:t>
      </w:r>
    </w:p>
    <w:p>
      <w:pPr>
        <w:spacing w:after="0" w:line="163" w:lineRule="exact"/>
        <w:rPr>
          <w:rFonts w:ascii="Times New Roman" w:cs="Times New Roman" w:eastAsia="Times New Roman" w:hAnsi="Times New Roman"/>
          <w:sz w:val="14"/>
          <w:szCs w:val="14"/>
          <w:color w:val="auto"/>
        </w:rPr>
      </w:pPr>
    </w:p>
    <w:p>
      <w:pPr>
        <w:ind w:left="200" w:right="199" w:firstLine="345"/>
        <w:spacing w:after="0" w:line="263" w:lineRule="auto"/>
        <w:rPr>
          <w:sz w:val="20"/>
          <w:szCs w:val="20"/>
          <w:color w:val="auto"/>
        </w:rPr>
      </w:pPr>
      <w:r>
        <w:rPr>
          <w:rFonts w:ascii="Times New Roman" w:cs="Times New Roman" w:eastAsia="Times New Roman" w:hAnsi="Times New Roman"/>
          <w:sz w:val="14"/>
          <w:szCs w:val="14"/>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37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241" w:right="1440" w:bottom="1440" w:gutter="0" w:footer="0" w:header="0"/>
        </w:sectPr>
      </w:pPr>
    </w:p>
    <w:bookmarkStart w:id="69" w:name="page70"/>
    <w:bookmarkEnd w:id="69"/>
    <w:p>
      <w:pPr>
        <w:spacing w:after="0" w:line="2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200900" cy="33020"/>
                    </a:xfrm>
                    <a:prstGeom prst="rect">
                      <a:avLst/>
                    </a:prstGeom>
                    <a:noFill/>
                  </pic:spPr>
                </pic:pic>
              </a:graphicData>
            </a:graphic>
          </wp:anchor>
        </w:drawing>
        <w:drawing>
          <wp:anchor simplePos="0" relativeHeight="251657728" behindDoc="1" locked="0" layoutInCell="0" allowOverlap="1">
            <wp:simplePos x="0" y="0"/>
            <wp:positionH relativeFrom="page">
              <wp:posOffset>1038860</wp:posOffset>
            </wp:positionH>
            <wp:positionV relativeFrom="page">
              <wp:posOffset>169545</wp:posOffset>
            </wp:positionV>
            <wp:extent cx="547751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5477510" cy="6985"/>
                    </a:xfrm>
                    <a:prstGeom prst="rect">
                      <a:avLst/>
                    </a:prstGeom>
                    <a:noFill/>
                  </pic:spPr>
                </pic:pic>
              </a:graphicData>
            </a:graphic>
          </wp:anchor>
        </w:drawing>
        <w:drawing>
          <wp:anchor simplePos="0" relativeHeight="251657728" behindDoc="1" locked="0" layoutInCell="0" allowOverlap="1">
            <wp:simplePos x="0" y="0"/>
            <wp:positionH relativeFrom="page">
              <wp:posOffset>1038860</wp:posOffset>
            </wp:positionH>
            <wp:positionV relativeFrom="page">
              <wp:posOffset>203200</wp:posOffset>
            </wp:positionV>
            <wp:extent cx="547751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5477510" cy="6985"/>
                    </a:xfrm>
                    <a:prstGeom prst="rect">
                      <a:avLst/>
                    </a:prstGeom>
                    <a:noFill/>
                  </pic:spPr>
                </pic:pic>
              </a:graphicData>
            </a:graphic>
          </wp:anchor>
        </w:drawing>
        <w:drawing>
          <wp:anchor simplePos="0" relativeHeight="251657728" behindDoc="1" locked="0" layoutInCell="0" allowOverlap="1">
            <wp:simplePos x="0" y="0"/>
            <wp:positionH relativeFrom="page">
              <wp:posOffset>3200400</wp:posOffset>
            </wp:positionH>
            <wp:positionV relativeFrom="page">
              <wp:posOffset>981710</wp:posOffset>
            </wp:positionV>
            <wp:extent cx="114808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1148080" cy="6985"/>
                    </a:xfrm>
                    <a:prstGeom prst="rect">
                      <a:avLst/>
                    </a:prstGeom>
                    <a:noFill/>
                  </pic:spPr>
                </pic:pic>
              </a:graphicData>
            </a:graphic>
          </wp:anchor>
        </w:drawing>
        <w:drawing>
          <wp:anchor simplePos="0" relativeHeight="251657728" behindDoc="1" locked="0" layoutInCell="0" allowOverlap="1">
            <wp:simplePos x="0" y="0"/>
            <wp:positionH relativeFrom="page">
              <wp:posOffset>3025775</wp:posOffset>
            </wp:positionH>
            <wp:positionV relativeFrom="page">
              <wp:posOffset>350520</wp:posOffset>
            </wp:positionV>
            <wp:extent cx="1496695" cy="4565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496695" cy="4565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3"/>
          <w:szCs w:val="33"/>
          <w:b w:val="1"/>
          <w:bCs w:val="1"/>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213360</wp:posOffset>
            </wp:positionV>
            <wp:extent cx="114808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1148080" cy="69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3,901,260 Common Shares of Beneficial Interest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143510</wp:posOffset>
            </wp:positionV>
            <wp:extent cx="547751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5477510" cy="698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177165</wp:posOffset>
            </wp:positionV>
            <wp:extent cx="547751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5477510" cy="69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0" w:name="page71"/>
    <w:bookmarkEnd w:id="70"/>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5"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1"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FEDERAL REALTY INVESTMENT TRUST</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16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Maximum</w:t>
            </w:r>
          </w:p>
        </w:tc>
        <w:tc>
          <w:tcPr>
            <w:tcW w:w="4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0"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62"/>
              <w:spacing w:after="0" w:line="190"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Aggregate</w:t>
            </w:r>
          </w:p>
        </w:tc>
        <w:tc>
          <w:tcPr>
            <w:tcW w:w="40" w:type="dxa"/>
            <w:vAlign w:val="bottom"/>
          </w:tcPr>
          <w:p>
            <w:pPr>
              <w:spacing w:after="0"/>
              <w:rPr>
                <w:sz w:val="16"/>
                <w:szCs w:val="16"/>
                <w:color w:val="auto"/>
              </w:rPr>
            </w:pPr>
          </w:p>
        </w:tc>
        <w:tc>
          <w:tcPr>
            <w:tcW w:w="720" w:type="dxa"/>
            <w:vAlign w:val="bottom"/>
            <w:shd w:val="clear" w:color="auto" w:fill="9ADAF6"/>
          </w:tcPr>
          <w:p>
            <w:pPr>
              <w:spacing w:after="0" w:line="190"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3"/>
              </w:rPr>
              <w:t>with</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ind w:left="160"/>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900" w:type="dxa"/>
            <w:vAlign w:val="bottom"/>
            <w:shd w:val="clear" w:color="auto" w:fill="9ADAF6"/>
          </w:tcPr>
          <w:p>
            <w:pPr>
              <w:jc w:val="right"/>
              <w:spacing w:after="0" w:line="116"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 Price</w:t>
            </w:r>
          </w:p>
        </w:tc>
        <w:tc>
          <w:tcPr>
            <w:tcW w:w="4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ind w:right="35"/>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shares of</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beneficial</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interest,</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3,901,260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$ 108.79</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8"/>
              </w:rPr>
              <w:t>0.000087</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$ 36,924.37</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9" w:lineRule="exact"/>
              <w:rPr>
                <w:sz w:val="20"/>
                <w:szCs w:val="20"/>
                <w:color w:val="auto"/>
              </w:rPr>
            </w:pPr>
            <w:r>
              <w:rPr>
                <w:rFonts w:ascii="Arial" w:cs="Arial" w:eastAsia="Arial" w:hAnsi="Arial"/>
                <w:sz w:val="17"/>
                <w:szCs w:val="17"/>
                <w:color w:val="auto"/>
                <w:w w:val="99"/>
              </w:rPr>
              <w:t>424,418,075.40</w:t>
            </w:r>
          </w:p>
        </w:tc>
        <w:tc>
          <w:tcPr>
            <w:tcW w:w="4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line="116" w:lineRule="exact"/>
              <w:rPr>
                <w:sz w:val="20"/>
                <w:szCs w:val="20"/>
                <w:color w:val="auto"/>
              </w:rPr>
            </w:pPr>
            <w:r>
              <w:rPr>
                <w:rFonts w:ascii="Arial" w:cs="Arial" w:eastAsia="Arial" w:hAnsi="Arial"/>
                <w:sz w:val="13"/>
                <w:szCs w:val="13"/>
                <w:color w:val="auto"/>
              </w:rPr>
              <w:t>$.01 par</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value 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ind w:right="35"/>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$ 36,924.37</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424,418,075.40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$ 36,924.37</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1" w:lineRule="exact"/>
        <w:rPr>
          <w:sz w:val="20"/>
          <w:szCs w:val="20"/>
          <w:color w:val="auto"/>
        </w:rPr>
      </w:pPr>
    </w:p>
    <w:p>
      <w:pPr>
        <w:jc w:val="both"/>
        <w:ind w:left="220" w:right="480" w:hanging="184"/>
        <w:spacing w:after="0" w:line="229" w:lineRule="auto"/>
        <w:tabs>
          <w:tab w:leader="none" w:pos="220" w:val="left"/>
        </w:tabs>
        <w:numPr>
          <w:ilvl w:val="0"/>
          <w:numId w:val="87"/>
        </w:numPr>
        <w:rPr>
          <w:rFonts w:ascii="Arial" w:cs="Arial" w:eastAsia="Arial" w:hAnsi="Arial"/>
          <w:sz w:val="20"/>
          <w:szCs w:val="20"/>
          <w:color w:val="auto"/>
          <w:vertAlign w:val="superscript"/>
        </w:rPr>
      </w:pPr>
      <w:r>
        <w:rPr>
          <w:rFonts w:ascii="Arial" w:cs="Arial" w:eastAsia="Arial" w:hAnsi="Arial"/>
          <w:sz w:val="16"/>
          <w:szCs w:val="16"/>
          <w:color w:val="auto"/>
        </w:rPr>
        <w:t>(1) Includes up to 3,901,260 common shares of beneficial interest, $.01 par value per share ("Common Shares"), of Federal Realty Investment Trust issuable in exchange for 3.500% Exchangeable Senior Notes due 2031 of Federal Realty OP LP, assuming a maximum exchange rate of</w:t>
      </w:r>
    </w:p>
    <w:p>
      <w:pPr>
        <w:spacing w:after="0" w:line="1" w:lineRule="exact"/>
        <w:rPr>
          <w:rFonts w:ascii="Arial" w:cs="Arial" w:eastAsia="Arial" w:hAnsi="Arial"/>
          <w:sz w:val="20"/>
          <w:szCs w:val="20"/>
          <w:color w:val="auto"/>
          <w:vertAlign w:val="superscript"/>
        </w:rPr>
      </w:pPr>
    </w:p>
    <w:p>
      <w:pPr>
        <w:ind w:left="220" w:right="200"/>
        <w:spacing w:after="0" w:line="263" w:lineRule="auto"/>
        <w:rPr>
          <w:rFonts w:ascii="Arial" w:cs="Arial" w:eastAsia="Arial" w:hAnsi="Arial"/>
          <w:sz w:val="20"/>
          <w:szCs w:val="20"/>
          <w:color w:val="auto"/>
          <w:vertAlign w:val="superscript"/>
        </w:rPr>
      </w:pPr>
      <w:r>
        <w:rPr>
          <w:rFonts w:ascii="Arial" w:cs="Arial" w:eastAsia="Arial" w:hAnsi="Arial"/>
          <w:sz w:val="16"/>
          <w:szCs w:val="16"/>
          <w:color w:val="auto"/>
        </w:rPr>
        <w:t>8.4810 Common Shares per $1,000 principal amount of notes. (2) Estimated solely for the purpose of calculating the registration fee, based on the average ($108.79 per share) of the high ($109.55 per share) and low ($108.03 per share) prices of the Common Shares on the New York Stock Exchange on October 28, 2026, which date is within five business days prior to filing this Prospectus Supplement, in accordance with Rule 457(c).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49530</wp:posOffset>
            </wp:positionV>
            <wp:extent cx="714692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330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2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ind w:left="15"/>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ind w:right="15"/>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4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ind w:right="15"/>
              <w:spacing w:after="0" w:line="16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jc w:val="center"/>
              <w:ind w:right="235"/>
              <w:spacing w:after="0" w:line="190"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700" w:type="dxa"/>
            <w:vAlign w:val="bottom"/>
            <w:gridSpan w:val="4"/>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2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2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3"/>
          </w:tcPr>
          <w:p>
            <w:pPr>
              <w:jc w:val="center"/>
              <w:ind w:left="535"/>
              <w:spacing w:after="0"/>
              <w:rPr>
                <w:sz w:val="20"/>
                <w:szCs w:val="20"/>
                <w:color w:val="auto"/>
              </w:rPr>
            </w:pPr>
            <w:r>
              <w:rPr>
                <w:rFonts w:ascii="Arial" w:cs="Arial" w:eastAsia="Arial" w:hAnsi="Arial"/>
                <w:sz w:val="17"/>
                <w:szCs w:val="17"/>
                <w:b w:val="1"/>
                <w:bCs w:val="1"/>
                <w:color w:val="auto"/>
                <w:w w:val="98"/>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6"/>
          </w:tcPr>
          <w:p>
            <w:pPr>
              <w:jc w:val="center"/>
              <w:ind w:left="175"/>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330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6"/>
            <w:shd w:val="clear" w:color="auto" w:fill="9ADAF6"/>
          </w:tcPr>
          <w:p>
            <w:pPr>
              <w:jc w:val="center"/>
              <w:ind w:left="255"/>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40" w:type="dxa"/>
            <w:vAlign w:val="bottom"/>
            <w:gridSpan w:val="5"/>
            <w:vMerge w:val="restart"/>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59"/>
              <w:spacing w:after="0" w:line="190"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90"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0"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0"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4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0"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90"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6"/>
            <w:vMerge w:val="restart"/>
            <w:shd w:val="clear" w:color="auto" w:fill="9ADAF6"/>
          </w:tcPr>
          <w:p>
            <w:pPr>
              <w:jc w:val="center"/>
              <w:ind w:left="255"/>
              <w:spacing w:after="0" w:line="190"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0"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6"/>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6"/>
            <w:vMerge w:val="restart"/>
            <w:shd w:val="clear" w:color="auto" w:fill="9ADAF6"/>
          </w:tcPr>
          <w:p>
            <w:pPr>
              <w:jc w:val="center"/>
              <w:ind w:left="255"/>
              <w:spacing w:after="0"/>
              <w:rPr>
                <w:sz w:val="20"/>
                <w:szCs w:val="20"/>
                <w:color w:val="auto"/>
              </w:rPr>
            </w:pPr>
            <w:r>
              <w:rPr>
                <w:rFonts w:ascii="Arial" w:cs="Arial" w:eastAsia="Arial" w:hAnsi="Arial"/>
                <w:sz w:val="17"/>
                <w:szCs w:val="17"/>
                <w:b w:val="1"/>
                <w:bCs w:val="1"/>
                <w:color w:val="auto"/>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5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6"/>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maximum aggregate offering price of the securities to which the prospectus relates is $424,418,075.40. The prospectus is a final prospectus for</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360"/>
      </w:cols>
      <w:pgMar w:left="300" w:top="142" w:right="239" w:bottom="8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decimal"/>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1)"/>
      <w:numFmt w:val="decimal"/>
      <w:start w:val="30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1)"/>
      <w:numFmt w:val="upperLetter"/>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lvl w:ilvl="1">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lvl w:ilvl="1">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lvl w:ilvl="1">
      <w:lvlJc w:val="left"/>
      <w:lvlText w:val="•"/>
      <w:numFmt w:val="bullet"/>
      <w:start w:val="1"/>
    </w:lvl>
  </w:abstractNum>
  <w:abstractNum w:abstractNumId="45">
    <w:nsid w:val="4AD084E9"/>
    <w:multiLevelType w:val="hybridMultilevel"/>
    <w:lvl w:ilvl="0">
      <w:lvlJc w:val="left"/>
      <w:lvlText w:val="•"/>
      <w:numFmt w:val="bullet"/>
      <w:start w:val="1"/>
    </w:lvl>
    <w:lvl w:ilvl="1">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1."/>
      <w:numFmt w:val="decimal"/>
      <w:start w:val="3"/>
    </w:lvl>
  </w:abstractNum>
  <w:abstractNum w:abstractNumId="52">
    <w:nsid w:val="5F5E7FD0"/>
    <w:multiLevelType w:val="hybridMultilevel"/>
    <w:lvl w:ilvl="0">
      <w:lvlJc w:val="left"/>
      <w:lvlText w:val="(%1)"/>
      <w:numFmt w:val="lowerLetter"/>
      <w:start w:val="1"/>
    </w:lvl>
  </w:abstractNum>
  <w:abstractNum w:abstractNumId="53">
    <w:nsid w:val="98A3148"/>
    <w:multiLevelType w:val="hybridMultilevel"/>
    <w:lvl w:ilvl="0">
      <w:lvlJc w:val="left"/>
      <w:lvlText w:val="%1."/>
      <w:numFmt w:val="decimal"/>
      <w:start w:val="5"/>
    </w:lvl>
  </w:abstractNum>
  <w:abstractNum w:abstractNumId="54">
    <w:nsid w:val="799D0247"/>
    <w:multiLevelType w:val="hybridMultilevel"/>
    <w:lvl w:ilvl="0">
      <w:lvlJc w:val="left"/>
      <w:lvlText w:val="(%1)"/>
      <w:numFmt w:val="lowerLetter"/>
      <w:start w:val="1"/>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lvl w:ilvl="1">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lvl w:ilvl="1">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lvl w:ilvl="1">
      <w:lvlJc w:val="left"/>
      <w:lvlText w:val="•"/>
      <w:numFmt w:val="bullet"/>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
      <w:numFmt w:val="bullet"/>
      <w:start w:val="1"/>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
      <w:numFmt w:val="bullet"/>
      <w:start w:val="1"/>
    </w:lvl>
    <w:lvl w:ilvl="1">
      <w:lvlJc w:val="left"/>
      <w:lvlText w:val="•"/>
      <w:numFmt w:val="bullet"/>
      <w:start w:val="1"/>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jpe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87" Type="http://schemas.openxmlformats.org/officeDocument/2006/relationships/hyperlink" Target="http://www.sec.gov/ix?doc=/Archives/edgar/data/34903/000003490324000032/frt-20231231.htm" TargetMode="External"/><Relationship Id="rId88" Type="http://schemas.openxmlformats.org/officeDocument/2006/relationships/hyperlink" Target="http://www.sec.gov/ix?doc=/Archives/edgar/data/34903/000119312524006607/d712379d8k.htm" TargetMode="External"/><Relationship Id="rId89" Type="http://schemas.openxmlformats.org/officeDocument/2006/relationships/hyperlink" Target="http://www.sec.gov/ix?doc=/Archives/edgar/data/34903/000119312523078574/d396603ddef14a.htm" TargetMode="External"/><Relationship Id="rId90" Type="http://schemas.openxmlformats.org/officeDocument/2006/relationships/hyperlink" Target="http://www.sec.gov/Archives/edgar/data/34903/000003490324000032/frt-12312023xex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2026-11-02T15:40:27Z</dcterms:created>
  <dcterms:modified xsi:type="dcterms:W3CDTF">2026-11-02T15:40:27Z</dcterms:modified>
</cp:coreProperties>
</file>