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 March 25, 2020</w:t>
      </w:r>
    </w:p>
    <w:p>
      <w:pPr>
        <w:spacing w:after="0" w:line="200" w:lineRule="exact"/>
        <w:rPr>
          <w:sz w:val="24"/>
          <w:szCs w:val="24"/>
          <w:color w:val="auto"/>
        </w:rPr>
      </w:pPr>
    </w:p>
    <w:p>
      <w:pPr>
        <w:spacing w:after="0" w:line="368"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400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98"/>
              </w:rPr>
              <w:t>Maryland</w:t>
            </w:r>
          </w:p>
        </w:tc>
        <w:tc>
          <w:tcPr>
            <w:tcW w:w="920" w:type="dxa"/>
            <w:vAlign w:val="bottom"/>
          </w:tcPr>
          <w:p>
            <w:pPr>
              <w:spacing w:after="0"/>
              <w:rPr>
                <w:sz w:val="20"/>
                <w:szCs w:val="20"/>
                <w:color w:val="auto"/>
              </w:rPr>
            </w:pPr>
          </w:p>
        </w:tc>
        <w:tc>
          <w:tcPr>
            <w:tcW w:w="110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1-07533</w:t>
            </w:r>
          </w:p>
        </w:tc>
        <w:tc>
          <w:tcPr>
            <w:tcW w:w="1140" w:type="dxa"/>
            <w:vAlign w:val="bottom"/>
          </w:tcPr>
          <w:p>
            <w:pPr>
              <w:spacing w:after="0"/>
              <w:rPr>
                <w:sz w:val="20"/>
                <w:szCs w:val="20"/>
                <w:color w:val="auto"/>
              </w:rPr>
            </w:pPr>
          </w:p>
        </w:tc>
        <w:tc>
          <w:tcPr>
            <w:tcW w:w="3220" w:type="dxa"/>
            <w:vAlign w:val="bottom"/>
          </w:tcPr>
          <w:p>
            <w:pPr>
              <w:jc w:val="center"/>
              <w:ind w:left="844"/>
              <w:spacing w:after="0"/>
              <w:rPr>
                <w:sz w:val="20"/>
                <w:szCs w:val="20"/>
                <w:color w:val="auto"/>
              </w:rPr>
            </w:pPr>
            <w:r>
              <w:rPr>
                <w:rFonts w:ascii="Arial" w:cs="Arial" w:eastAsia="Arial" w:hAnsi="Arial"/>
                <w:sz w:val="18"/>
                <w:szCs w:val="18"/>
                <w:b w:val="1"/>
                <w:bCs w:val="1"/>
                <w:color w:val="auto"/>
                <w:w w:val="89"/>
              </w:rPr>
              <w:t>52-0782497</w:t>
            </w:r>
          </w:p>
        </w:tc>
      </w:tr>
      <w:tr>
        <w:trPr>
          <w:trHeight w:val="171"/>
        </w:trPr>
        <w:tc>
          <w:tcPr>
            <w:tcW w:w="4000" w:type="dxa"/>
            <w:vAlign w:val="bottom"/>
            <w:gridSpan w:val="3"/>
          </w:tcPr>
          <w:p>
            <w:pPr>
              <w:jc w:val="center"/>
              <w:ind w:right="610"/>
              <w:spacing w:after="0"/>
              <w:rPr>
                <w:sz w:val="20"/>
                <w:szCs w:val="20"/>
                <w:color w:val="auto"/>
              </w:rPr>
            </w:pPr>
            <w:r>
              <w:rPr>
                <w:rFonts w:ascii="Arial" w:cs="Arial" w:eastAsia="Arial" w:hAnsi="Arial"/>
                <w:sz w:val="13"/>
                <w:szCs w:val="13"/>
                <w:b w:val="1"/>
                <w:bCs w:val="1"/>
                <w:color w:val="auto"/>
                <w:w w:val="87"/>
              </w:rPr>
              <w:t>(State or other jurisdiction</w:t>
            </w:r>
          </w:p>
        </w:tc>
        <w:tc>
          <w:tcPr>
            <w:tcW w:w="920" w:type="dxa"/>
            <w:vAlign w:val="bottom"/>
          </w:tcPr>
          <w:p>
            <w:pPr>
              <w:spacing w:after="0"/>
              <w:rPr>
                <w:sz w:val="14"/>
                <w:szCs w:val="14"/>
                <w:color w:val="auto"/>
              </w:rPr>
            </w:pPr>
          </w:p>
        </w:tc>
        <w:tc>
          <w:tcPr>
            <w:tcW w:w="2240" w:type="dxa"/>
            <w:vAlign w:val="bottom"/>
            <w:gridSpan w:val="2"/>
          </w:tcPr>
          <w:p>
            <w:pPr>
              <w:jc w:val="center"/>
              <w:ind w:right="1220"/>
              <w:spacing w:after="0"/>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00" w:type="dxa"/>
            <w:vAlign w:val="bottom"/>
            <w:gridSpan w:val="3"/>
          </w:tcPr>
          <w:p>
            <w:pPr>
              <w:jc w:val="center"/>
              <w:ind w:right="590"/>
              <w:spacing w:after="0"/>
              <w:rPr>
                <w:sz w:val="20"/>
                <w:szCs w:val="20"/>
                <w:color w:val="auto"/>
              </w:rPr>
            </w:pPr>
            <w:r>
              <w:rPr>
                <w:rFonts w:ascii="Arial" w:cs="Arial" w:eastAsia="Arial" w:hAnsi="Arial"/>
                <w:sz w:val="13"/>
                <w:szCs w:val="13"/>
                <w:b w:val="1"/>
                <w:bCs w:val="1"/>
                <w:color w:val="auto"/>
                <w:w w:val="88"/>
              </w:rPr>
              <w:t>of incorporation)</w:t>
            </w:r>
          </w:p>
        </w:tc>
        <w:tc>
          <w:tcPr>
            <w:tcW w:w="920" w:type="dxa"/>
            <w:vAlign w:val="bottom"/>
          </w:tcPr>
          <w:p>
            <w:pPr>
              <w:spacing w:after="0"/>
              <w:rPr>
                <w:sz w:val="14"/>
                <w:szCs w:val="14"/>
                <w:color w:val="auto"/>
              </w:rPr>
            </w:pPr>
          </w:p>
        </w:tc>
        <w:tc>
          <w:tcPr>
            <w:tcW w:w="224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844"/>
              <w:spacing w:after="0"/>
              <w:rPr>
                <w:sz w:val="20"/>
                <w:szCs w:val="20"/>
                <w:color w:val="auto"/>
              </w:rPr>
            </w:pPr>
            <w:r>
              <w:rPr>
                <w:rFonts w:ascii="Arial" w:cs="Arial" w:eastAsia="Arial" w:hAnsi="Arial"/>
                <w:sz w:val="13"/>
                <w:szCs w:val="13"/>
                <w:b w:val="1"/>
                <w:bCs w:val="1"/>
                <w:color w:val="auto"/>
                <w:w w:val="89"/>
              </w:rPr>
              <w:t>Identification No.)</w:t>
            </w:r>
          </w:p>
        </w:tc>
      </w:tr>
      <w:tr>
        <w:trPr>
          <w:trHeight w:val="596"/>
        </w:trPr>
        <w:tc>
          <w:tcPr>
            <w:tcW w:w="1500" w:type="dxa"/>
            <w:vAlign w:val="bottom"/>
          </w:tcPr>
          <w:p>
            <w:pPr>
              <w:spacing w:after="0"/>
              <w:rPr>
                <w:sz w:val="24"/>
                <w:szCs w:val="24"/>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b w:val="1"/>
                <w:bCs w:val="1"/>
                <w:color w:val="auto"/>
                <w:w w:val="99"/>
              </w:rPr>
              <w:t>1626 East Jefferson Street,</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Rockville,</w:t>
            </w:r>
          </w:p>
        </w:tc>
        <w:tc>
          <w:tcPr>
            <w:tcW w:w="2240" w:type="dxa"/>
            <w:vAlign w:val="bottom"/>
            <w:gridSpan w:val="2"/>
          </w:tcPr>
          <w:p>
            <w:pPr>
              <w:ind w:left="240"/>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2044"/>
              <w:spacing w:after="0"/>
              <w:rPr>
                <w:sz w:val="20"/>
                <w:szCs w:val="20"/>
                <w:color w:val="auto"/>
              </w:rPr>
            </w:pPr>
            <w:r>
              <w:rPr>
                <w:rFonts w:ascii="Arial" w:cs="Arial" w:eastAsia="Arial" w:hAnsi="Arial"/>
                <w:sz w:val="18"/>
                <w:szCs w:val="18"/>
                <w:b w:val="1"/>
                <w:bCs w:val="1"/>
                <w:color w:val="auto"/>
              </w:rPr>
              <w:t>20852-4041</w:t>
            </w:r>
          </w:p>
        </w:tc>
      </w:tr>
      <w:tr>
        <w:trPr>
          <w:trHeight w:val="281"/>
        </w:trPr>
        <w:tc>
          <w:tcPr>
            <w:tcW w:w="1500" w:type="dxa"/>
            <w:vAlign w:val="bottom"/>
          </w:tcPr>
          <w:p>
            <w:pPr>
              <w:spacing w:after="0"/>
              <w:rPr>
                <w:sz w:val="24"/>
                <w:szCs w:val="24"/>
                <w:color w:val="auto"/>
              </w:rPr>
            </w:pPr>
          </w:p>
        </w:tc>
        <w:tc>
          <w:tcPr>
            <w:tcW w:w="3420" w:type="dxa"/>
            <w:vAlign w:val="bottom"/>
            <w:gridSpan w:val="3"/>
          </w:tcPr>
          <w:p>
            <w:pPr>
              <w:ind w:left="13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jc w:val="center"/>
              <w:ind w:right="1804"/>
              <w:spacing w:after="0"/>
              <w:rPr>
                <w:sz w:val="20"/>
                <w:szCs w:val="20"/>
                <w:color w:val="auto"/>
              </w:rPr>
            </w:pPr>
            <w:r>
              <w:rPr>
                <w:rFonts w:ascii="Arial" w:cs="Arial" w:eastAsia="Arial" w:hAnsi="Arial"/>
                <w:sz w:val="13"/>
                <w:szCs w:val="13"/>
                <w:b w:val="1"/>
                <w:bCs w:val="1"/>
                <w:color w:val="auto"/>
                <w:w w:val="90"/>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80" w:type="dxa"/>
            <w:vAlign w:val="bottom"/>
            <w:gridSpan w:val="5"/>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405"/>
        </w:trPr>
        <w:tc>
          <w:tcPr>
            <w:tcW w:w="1500" w:type="dxa"/>
            <w:vAlign w:val="bottom"/>
          </w:tcPr>
          <w:p>
            <w:pPr>
              <w:spacing w:after="0"/>
              <w:rPr>
                <w:sz w:val="24"/>
                <w:szCs w:val="24"/>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b w:val="1"/>
                <w:bCs w:val="1"/>
                <w:color w:val="auto"/>
                <w:w w:val="91"/>
              </w:rPr>
              <w:t>Title of Each Class</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6"/>
                <w:szCs w:val="16"/>
                <w:b w:val="1"/>
                <w:bCs w:val="1"/>
                <w:color w:val="auto"/>
                <w:w w:val="90"/>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0"/>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20" w:type="dxa"/>
            <w:vAlign w:val="bottom"/>
          </w:tcPr>
          <w:p>
            <w:pPr>
              <w:spacing w:after="0"/>
              <w:rPr>
                <w:sz w:val="24"/>
                <w:szCs w:val="24"/>
                <w:color w:val="auto"/>
              </w:rPr>
            </w:pPr>
          </w:p>
        </w:tc>
        <w:tc>
          <w:tcPr>
            <w:tcW w:w="224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FRT</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247"/>
        </w:trPr>
        <w:tc>
          <w:tcPr>
            <w:tcW w:w="4920" w:type="dxa"/>
            <w:vAlign w:val="bottom"/>
            <w:gridSpan w:val="4"/>
          </w:tcPr>
          <w:p>
            <w:pPr>
              <w:jc w:val="center"/>
              <w:ind w:right="530"/>
              <w:spacing w:after="0"/>
              <w:rPr>
                <w:sz w:val="20"/>
                <w:szCs w:val="20"/>
                <w:color w:val="auto"/>
              </w:rPr>
            </w:pPr>
            <w:r>
              <w:rPr>
                <w:rFonts w:ascii="Arial" w:cs="Arial" w:eastAsia="Arial" w:hAnsi="Arial"/>
                <w:sz w:val="16"/>
                <w:szCs w:val="16"/>
                <w:color w:val="auto"/>
                <w:w w:val="89"/>
              </w:rPr>
              <w:t>$.01 par value per share, with associated Common Share Purchase</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06"/>
        </w:trPr>
        <w:tc>
          <w:tcPr>
            <w:tcW w:w="1500" w:type="dxa"/>
            <w:vAlign w:val="bottom"/>
          </w:tcPr>
          <w:p>
            <w:pPr>
              <w:spacing w:after="0"/>
              <w:rPr>
                <w:sz w:val="17"/>
                <w:szCs w:val="17"/>
                <w:color w:val="auto"/>
              </w:rPr>
            </w:pPr>
          </w:p>
        </w:tc>
        <w:tc>
          <w:tcPr>
            <w:tcW w:w="2500" w:type="dxa"/>
            <w:vAlign w:val="bottom"/>
            <w:gridSpan w:val="2"/>
          </w:tcPr>
          <w:p>
            <w:pPr>
              <w:jc w:val="center"/>
              <w:ind w:right="1110"/>
              <w:spacing w:after="0"/>
              <w:rPr>
                <w:sz w:val="20"/>
                <w:szCs w:val="20"/>
                <w:color w:val="auto"/>
              </w:rPr>
            </w:pPr>
            <w:r>
              <w:rPr>
                <w:rFonts w:ascii="Arial" w:cs="Arial" w:eastAsia="Arial" w:hAnsi="Arial"/>
                <w:sz w:val="16"/>
                <w:szCs w:val="16"/>
                <w:color w:val="auto"/>
                <w:w w:val="92"/>
              </w:rPr>
              <w:t>Rights</w:t>
            </w: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452"/>
        </w:trPr>
        <w:tc>
          <w:tcPr>
            <w:tcW w:w="4000" w:type="dxa"/>
            <w:vAlign w:val="bottom"/>
            <w:gridSpan w:val="3"/>
          </w:tcPr>
          <w:p>
            <w:pPr>
              <w:jc w:val="center"/>
              <w:ind w:left="244"/>
              <w:spacing w:after="0"/>
              <w:rPr>
                <w:sz w:val="20"/>
                <w:szCs w:val="20"/>
                <w:color w:val="auto"/>
              </w:rPr>
            </w:pPr>
            <w:r>
              <w:rPr>
                <w:rFonts w:ascii="Arial" w:cs="Arial" w:eastAsia="Arial" w:hAnsi="Arial"/>
                <w:sz w:val="16"/>
                <w:szCs w:val="16"/>
                <w:color w:val="auto"/>
                <w:w w:val="89"/>
              </w:rPr>
              <w:t>Depositary Shares, each representing 1/1000 of a share</w:t>
            </w:r>
          </w:p>
        </w:tc>
        <w:tc>
          <w:tcPr>
            <w:tcW w:w="920" w:type="dxa"/>
            <w:vAlign w:val="bottom"/>
          </w:tcPr>
          <w:p>
            <w:pPr>
              <w:spacing w:after="0"/>
              <w:rPr>
                <w:sz w:val="24"/>
                <w:szCs w:val="24"/>
                <w:color w:val="auto"/>
              </w:rPr>
            </w:pPr>
          </w:p>
        </w:tc>
        <w:tc>
          <w:tcPr>
            <w:tcW w:w="2240" w:type="dxa"/>
            <w:vAlign w:val="bottom"/>
            <w:gridSpan w:val="2"/>
          </w:tcPr>
          <w:p>
            <w:pPr>
              <w:jc w:val="center"/>
              <w:ind w:right="1140"/>
              <w:spacing w:after="0"/>
              <w:rPr>
                <w:sz w:val="20"/>
                <w:szCs w:val="20"/>
                <w:color w:val="auto"/>
              </w:rPr>
            </w:pPr>
            <w:r>
              <w:rPr>
                <w:rFonts w:ascii="Arial" w:cs="Arial" w:eastAsia="Arial" w:hAnsi="Arial"/>
                <w:sz w:val="18"/>
                <w:szCs w:val="18"/>
                <w:color w:val="auto"/>
                <w:w w:val="92"/>
              </w:rPr>
              <w:t>FRT-C</w:t>
            </w:r>
          </w:p>
        </w:tc>
        <w:tc>
          <w:tcPr>
            <w:tcW w:w="3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44" w:lineRule="exact"/>
        <w:rPr>
          <w:sz w:val="24"/>
          <w:szCs w:val="24"/>
          <w:color w:val="auto"/>
        </w:rPr>
      </w:pPr>
    </w:p>
    <w:p>
      <w:pPr>
        <w:jc w:val="center"/>
        <w:ind w:right="636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34" w:lineRule="exact"/>
        <w:rPr>
          <w:sz w:val="24"/>
          <w:szCs w:val="24"/>
          <w:color w:val="auto"/>
        </w:rPr>
      </w:pPr>
    </w:p>
    <w:p>
      <w:pPr>
        <w:jc w:val="center"/>
        <w:ind w:right="6360"/>
        <w:spacing w:after="0"/>
        <w:rPr>
          <w:sz w:val="20"/>
          <w:szCs w:val="20"/>
          <w:color w:val="auto"/>
        </w:rPr>
      </w:pPr>
      <w:r>
        <w:rPr>
          <w:rFonts w:ascii="Arial" w:cs="Arial" w:eastAsia="Arial" w:hAnsi="Arial"/>
          <w:sz w:val="16"/>
          <w:szCs w:val="16"/>
          <w:color w:val="auto"/>
        </w:rPr>
        <w:t>value per share</w:t>
      </w:r>
    </w:p>
    <w:p>
      <w:pPr>
        <w:spacing w:after="0" w:line="200" w:lineRule="exact"/>
        <w:rPr>
          <w:sz w:val="24"/>
          <w:szCs w:val="24"/>
          <w:color w:val="auto"/>
        </w:rPr>
      </w:pPr>
    </w:p>
    <w:p>
      <w:pPr>
        <w:spacing w:after="0" w:line="229" w:lineRule="exact"/>
        <w:rPr>
          <w:sz w:val="24"/>
          <w:szCs w:val="24"/>
          <w:color w:val="auto"/>
        </w:rPr>
      </w:pPr>
    </w:p>
    <w:p>
      <w:pPr>
        <w:jc w:val="both"/>
        <w:ind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77"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320" w:top="652"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45" w:lineRule="exact"/>
        <w:rPr>
          <w:sz w:val="20"/>
          <w:szCs w:val="20"/>
          <w:color w:val="auto"/>
        </w:rPr>
      </w:pPr>
    </w:p>
    <w:p>
      <w:pPr>
        <w:spacing w:after="0" w:line="272" w:lineRule="auto"/>
        <w:rPr>
          <w:rFonts w:ascii="Arial" w:cs="Arial" w:eastAsia="Arial" w:hAnsi="Arial"/>
          <w:sz w:val="18"/>
          <w:szCs w:val="18"/>
          <w:color w:val="auto"/>
        </w:rPr>
      </w:pPr>
      <w:r>
        <w:rPr>
          <w:rFonts w:ascii="Arial" w:cs="Arial" w:eastAsia="Arial" w:hAnsi="Arial"/>
          <w:sz w:val="18"/>
          <w:szCs w:val="18"/>
          <w:color w:val="auto"/>
        </w:rPr>
        <w:t xml:space="preserve">On March 20, 2020, Federal Realty Investment Trust (“Federal”) borrowed $890 million under the revolving credit facility described in that certain Amended and Restated Credit Agreement dated July 25, 2019 among Federal, Wells Fargo Bank, National Association, as administrative agent, and the other lenders party thereto (the “Credit Agreement”). After giving effect to such borrowing and other borrowings made under the Credit Agreement since January 1, 2020, Federal has now drawn almost the entirety of its $1 billion revolving credit facility under the Credit Agreement. Federal elected to draw on its revolver to further strengthen its financial position and balance sheet, to maximize its financial liquidity and to provide maximum financial flexibility to continue its business initiatives as the effects of the COVID-19 pandemic continue to evolve. The proceeds will be available to be used for working capital and general corporate purposes. For additional information on the terms and conditions of the Credit Agreement, see Federal’s Current Report on </w:t>
      </w:r>
      <w:hyperlink r:id="rId8">
        <w:r>
          <w:rPr>
            <w:rFonts w:ascii="Arial" w:cs="Arial" w:eastAsia="Arial" w:hAnsi="Arial"/>
            <w:sz w:val="18"/>
            <w:szCs w:val="18"/>
            <w:u w:val="single" w:color="auto"/>
            <w:color w:val="0000FF"/>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dated July 29, 2019, which includes a copy of the Credit Agreement as </w:t>
      </w:r>
      <w:hyperlink r:id="rId9">
        <w:r>
          <w:rPr>
            <w:rFonts w:ascii="Arial" w:cs="Arial" w:eastAsia="Arial" w:hAnsi="Arial"/>
            <w:sz w:val="18"/>
            <w:szCs w:val="18"/>
            <w:u w:val="single" w:color="auto"/>
            <w:color w:val="0000FF"/>
          </w:rPr>
          <w:t>Exhibit 10.1</w:t>
        </w:r>
      </w:hyperlink>
      <w:r>
        <w:rPr>
          <w:rFonts w:ascii="Arial" w:cs="Arial" w:eastAsia="Arial" w:hAnsi="Arial"/>
          <w:sz w:val="18"/>
          <w:szCs w:val="18"/>
          <w:color w:val="auto"/>
        </w:rPr>
        <w:t>.</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212529"/>
        </w:rPr>
        <w:t>Item 7.01. Regulation FD Disclosure.</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Given the complex and rapidly evolving circumstances around the COVID-19 pandemic and the draw-down of its credit facility, Federal is withdrawing its 2020 guidance previously disclosed and is not providing an updated outlook at this time.</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contained in this Item 7.01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sectPr>
          <w:pgSz w:w="11900" w:h="16838" w:orient="portrait"/>
          <w:cols w:equalWidth="0" w:num="1">
            <w:col w:w="11120"/>
          </w:cols>
          <w:pgMar w:left="320" w:top="549"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3"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25, 2020</w:t>
      </w:r>
      <w:r>
        <w:rPr>
          <w:sz w:val="20"/>
          <w:szCs w:val="20"/>
          <w:color w:val="auto"/>
        </w:rPr>
        <w:tab/>
      </w:r>
      <w:r>
        <w:rPr>
          <w:rFonts w:ascii="Arial" w:cs="Arial" w:eastAsia="Arial" w:hAnsi="Arial"/>
          <w:sz w:val="19"/>
          <w:szCs w:val="19"/>
          <w:u w:val="single" w:color="auto"/>
          <w:color w:val="auto"/>
        </w:rPr>
        <w:t>/s/ Dawn M. Becker</w:t>
      </w:r>
    </w:p>
    <w:p>
      <w:pPr>
        <w:spacing w:after="0" w:line="36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Dawn M. Becker</w:t>
      </w:r>
    </w:p>
    <w:p>
      <w:pPr>
        <w:spacing w:after="0" w:line="44"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Executive Vice President-General Counsel and Secretary</w:t>
      </w:r>
    </w:p>
    <w:p>
      <w:pPr>
        <w:sectPr>
          <w:pgSz w:w="11900" w:h="16838" w:orient="portrait"/>
          <w:cols w:equalWidth="0" w:num="1">
            <w:col w:w="10660"/>
          </w:cols>
          <w:pgMar w:left="320" w:top="558"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4"/>
        </w:trPr>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20" w:type="dxa"/>
            <w:vAlign w:val="bottom"/>
          </w:tcPr>
          <w:p>
            <w:pPr>
              <w:ind w:left="3000"/>
              <w:spacing w:after="0"/>
              <w:rPr>
                <w:sz w:val="20"/>
                <w:szCs w:val="20"/>
                <w:color w:val="auto"/>
              </w:rPr>
            </w:pPr>
            <w:r>
              <w:rPr>
                <w:rFonts w:ascii="Arial" w:cs="Arial" w:eastAsia="Arial" w:hAnsi="Arial"/>
                <w:sz w:val="22"/>
                <w:szCs w:val="22"/>
                <w:color w:val="auto"/>
              </w:rPr>
              <w:t>EXHIBIT INDEX</w:t>
            </w:r>
          </w:p>
        </w:tc>
      </w:tr>
      <w:tr>
        <w:trPr>
          <w:trHeight w:val="584"/>
        </w:trPr>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94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r>
    </w:tbl>
    <w:p>
      <w:pPr>
        <w:spacing w:after="0" w:line="1" w:lineRule="exact"/>
        <w:rPr>
          <w:sz w:val="20"/>
          <w:szCs w:val="20"/>
          <w:color w:val="auto"/>
        </w:rPr>
      </w:pPr>
    </w:p>
    <w:sectPr>
      <w:pgSz w:w="11900" w:h="16838" w:orient="portrait"/>
      <w:cols w:equalWidth="0" w:num="1">
        <w:col w:w="11240"/>
      </w:cols>
      <w:pgMar w:left="320" w:top="5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34903/000119312519205407/d783287d8k.htm" TargetMode="External"/><Relationship Id="rId9" Type="http://schemas.openxmlformats.org/officeDocument/2006/relationships/hyperlink" Target="https://www.sec.gov/Archives/edgar/data/34903/000119312519205407/d78328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2020-03-25T08:03:21Z</dcterms:created>
  <dcterms:modified xsi:type="dcterms:W3CDTF">2020-03-25T08:03:21Z</dcterms:modified>
</cp:coreProperties>
</file>