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80"/>
        <w:spacing w:after="0"/>
        <w:rPr>
          <w:sz w:val="20"/>
          <w:szCs w:val="20"/>
          <w:color w:val="auto"/>
        </w:rPr>
      </w:pPr>
      <w:r>
        <w:rPr>
          <w:rFonts w:ascii="Courier New" w:cs="Courier New" w:eastAsia="Courier New" w:hAnsi="Courier New"/>
          <w:sz w:val="16"/>
          <w:szCs w:val="16"/>
          <w:color w:val="auto"/>
        </w:rPr>
        <w:t>Filed under Rule 424(b)(5)</w:t>
      </w:r>
    </w:p>
    <w:p>
      <w:pPr>
        <w:spacing w:after="0" w:line="1" w:lineRule="exact"/>
        <w:rPr>
          <w:sz w:val="24"/>
          <w:szCs w:val="24"/>
          <w:color w:val="auto"/>
        </w:rPr>
      </w:pPr>
    </w:p>
    <w:p>
      <w:pPr>
        <w:ind w:left="3780"/>
        <w:spacing w:after="0"/>
        <w:rPr>
          <w:sz w:val="20"/>
          <w:szCs w:val="20"/>
          <w:color w:val="auto"/>
        </w:rPr>
      </w:pPr>
      <w:r>
        <w:rPr>
          <w:rFonts w:ascii="Courier New" w:cs="Courier New" w:eastAsia="Courier New" w:hAnsi="Courier New"/>
          <w:sz w:val="16"/>
          <w:szCs w:val="16"/>
          <w:color w:val="auto"/>
        </w:rPr>
        <w:t>No. 333-97945 and</w:t>
      </w:r>
    </w:p>
    <w:p>
      <w:pPr>
        <w:spacing w:after="0" w:line="1" w:lineRule="exact"/>
        <w:rPr>
          <w:sz w:val="24"/>
          <w:szCs w:val="24"/>
          <w:color w:val="auto"/>
        </w:rPr>
      </w:pPr>
    </w:p>
    <w:p>
      <w:pPr>
        <w:ind w:left="3780"/>
        <w:spacing w:after="0"/>
        <w:rPr>
          <w:sz w:val="20"/>
          <w:szCs w:val="20"/>
          <w:color w:val="auto"/>
        </w:rPr>
      </w:pPr>
      <w:r>
        <w:rPr>
          <w:rFonts w:ascii="Courier New" w:cs="Courier New" w:eastAsia="Courier New" w:hAnsi="Courier New"/>
          <w:sz w:val="16"/>
          <w:szCs w:val="16"/>
          <w:color w:val="auto"/>
        </w:rPr>
        <w:t>No. 333-63619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 SUPPLEMENT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30, 1998)</w:t>
      </w:r>
    </w:p>
    <w:p>
      <w:pPr>
        <w:spacing w:after="0" w:line="183"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$150,000,000</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[LOGO] FEDERAL REALTY</w:t>
      </w:r>
    </w:p>
    <w:p>
      <w:pPr>
        <w:spacing w:after="0" w:line="1"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INVESTMENT TRUST</w:t>
      </w:r>
    </w:p>
    <w:p>
      <w:pPr>
        <w:spacing w:after="0" w:line="183"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6 1/8% Notes due 2007</w:t>
      </w:r>
    </w:p>
    <w:p>
      <w:pPr>
        <w:spacing w:after="0" w:line="183"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3039" w:firstLine="284"/>
        <w:spacing w:after="0" w:line="239" w:lineRule="auto"/>
        <w:rPr>
          <w:sz w:val="20"/>
          <w:szCs w:val="20"/>
          <w:color w:val="auto"/>
        </w:rPr>
      </w:pPr>
      <w:r>
        <w:rPr>
          <w:rFonts w:ascii="Courier New" w:cs="Courier New" w:eastAsia="Courier New" w:hAnsi="Courier New"/>
          <w:sz w:val="16"/>
          <w:szCs w:val="16"/>
          <w:color w:val="auto"/>
        </w:rPr>
        <w:t>We will pay interest on the notes on May 15 and November 15 of each year, beginning May 15, 2003. Interest will accrue from November 19, 2002. We may redeem the notes in whole or in part at any time before maturity at the redemption price described in this prospectus supplement.</w:t>
      </w:r>
    </w:p>
    <w:p>
      <w:pPr>
        <w:spacing w:after="0" w:line="187" w:lineRule="exact"/>
        <w:rPr>
          <w:sz w:val="24"/>
          <w:szCs w:val="24"/>
          <w:color w:val="auto"/>
        </w:rPr>
      </w:pPr>
    </w:p>
    <w:p>
      <w:pPr>
        <w:ind w:right="2759" w:firstLine="284"/>
        <w:spacing w:after="0" w:line="238" w:lineRule="auto"/>
        <w:rPr>
          <w:sz w:val="20"/>
          <w:szCs w:val="20"/>
          <w:color w:val="auto"/>
        </w:rPr>
      </w:pPr>
      <w:r>
        <w:rPr>
          <w:rFonts w:ascii="Courier New" w:cs="Courier New" w:eastAsia="Courier New" w:hAnsi="Courier New"/>
          <w:sz w:val="16"/>
          <w:szCs w:val="16"/>
          <w:color w:val="auto"/>
        </w:rPr>
        <w:t>The notes will be unsecured obligations and rank equally with our other unsecured senior indebtedness. The notes will be issued only in registered form in denominations of $1,000.</w:t>
      </w:r>
    </w:p>
    <w:p>
      <w:pPr>
        <w:spacing w:after="0" w:line="188" w:lineRule="exact"/>
        <w:rPr>
          <w:sz w:val="24"/>
          <w:szCs w:val="24"/>
          <w:color w:val="auto"/>
        </w:rPr>
      </w:pPr>
    </w:p>
    <w:p>
      <w:pPr>
        <w:ind w:right="3039" w:firstLine="284"/>
        <w:spacing w:after="0" w:line="238" w:lineRule="auto"/>
        <w:rPr>
          <w:sz w:val="20"/>
          <w:szCs w:val="20"/>
          <w:color w:val="auto"/>
        </w:rPr>
      </w:pPr>
      <w:r>
        <w:rPr>
          <w:rFonts w:ascii="Courier New" w:cs="Courier New" w:eastAsia="Courier New" w:hAnsi="Courier New"/>
          <w:sz w:val="16"/>
          <w:szCs w:val="16"/>
          <w:color w:val="auto"/>
        </w:rPr>
        <w:t>Investing in our notes involves risks that are described in the "Risk Factors" section on page S-2 of this prospectus supplement and in our Annual Report on Form 10-K for the year ended December 31, 2001.</w:t>
      </w:r>
    </w:p>
    <w:p>
      <w:pPr>
        <w:spacing w:after="0" w:line="184" w:lineRule="exact"/>
        <w:rPr>
          <w:sz w:val="24"/>
          <w:szCs w:val="24"/>
          <w:color w:val="auto"/>
        </w:rPr>
      </w:pPr>
    </w:p>
    <w:tbl>
      <w:tblPr>
        <w:tblLayout w:type="fixed"/>
        <w:tblInd w:w="1040" w:type="dxa"/>
        <w:tblCellMar>
          <w:top w:w="0" w:type="dxa"/>
          <w:left w:w="0" w:type="dxa"/>
          <w:bottom w:w="0" w:type="dxa"/>
          <w:right w:w="0" w:type="dxa"/>
        </w:tblCellMar>
      </w:tblPr>
      <w:tr>
        <w:trPr>
          <w:trHeight w:val="181"/>
        </w:trPr>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728"/>
        </w:trPr>
        <w:tc>
          <w:tcPr>
            <w:tcW w:w="3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Per Note</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3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rPr>
              <w:t>Public offering price (1)...........</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99.764%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$149,646,000</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Underwriting discount...............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$900,000</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Proceeds, before expenses, to us (1)</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99.164%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$148,746,000</w:t>
            </w:r>
          </w:p>
        </w:tc>
      </w:tr>
    </w:tbl>
    <w:p>
      <w:pPr>
        <w:spacing w:after="0" w:line="186" w:lineRule="exact"/>
        <w:rPr>
          <w:sz w:val="24"/>
          <w:szCs w:val="24"/>
          <w:color w:val="auto"/>
        </w:rPr>
      </w:pPr>
    </w:p>
    <w:p>
      <w:pPr>
        <w:ind w:left="660" w:right="2759" w:hanging="379"/>
        <w:spacing w:after="0" w:line="237" w:lineRule="auto"/>
        <w:tabs>
          <w:tab w:leader="none" w:pos="6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Plus accrued interest from November 19, 2002, if settlement occurs after that date</w:t>
      </w:r>
    </w:p>
    <w:p>
      <w:pPr>
        <w:spacing w:after="0" w:line="188" w:lineRule="exact"/>
        <w:rPr>
          <w:sz w:val="24"/>
          <w:szCs w:val="24"/>
          <w:color w:val="auto"/>
        </w:rPr>
      </w:pPr>
    </w:p>
    <w:p>
      <w:pPr>
        <w:ind w:right="3119" w:firstLine="284"/>
        <w:spacing w:after="0" w:line="260"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3" w:lineRule="exact"/>
        <w:rPr>
          <w:sz w:val="24"/>
          <w:szCs w:val="24"/>
          <w:color w:val="auto"/>
        </w:rPr>
      </w:pPr>
    </w:p>
    <w:p>
      <w:pPr>
        <w:ind w:right="3119" w:firstLine="284"/>
        <w:spacing w:after="0" w:line="237" w:lineRule="auto"/>
        <w:rPr>
          <w:sz w:val="20"/>
          <w:szCs w:val="20"/>
          <w:color w:val="auto"/>
        </w:rPr>
      </w:pPr>
      <w:r>
        <w:rPr>
          <w:rFonts w:ascii="Courier New" w:cs="Courier New" w:eastAsia="Courier New" w:hAnsi="Courier New"/>
          <w:sz w:val="16"/>
          <w:szCs w:val="16"/>
          <w:color w:val="auto"/>
        </w:rPr>
        <w:t>The notes will be ready for delivery only in book-entry form through The Depository Trust Company on or about November 19, 2002.</w:t>
      </w:r>
    </w:p>
    <w:p>
      <w:pPr>
        <w:spacing w:after="0" w:line="184"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Joint Book-Running Managers</w:t>
      </w:r>
    </w:p>
    <w:p>
      <w:pPr>
        <w:sectPr>
          <w:pgSz w:w="11900" w:h="16838" w:orient="portrait"/>
          <w:cols w:equalWidth="0" w:num="1">
            <w:col w:w="10219"/>
          </w:cols>
          <w:pgMar w:left="240" w:top="598" w:right="1440" w:bottom="1440" w:gutter="0" w:footer="0" w:header="0"/>
        </w:sectPr>
      </w:pP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Merrill Lynch &amp; Co.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0"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5"/>
          <w:szCs w:val="15"/>
          <w:color w:val="auto"/>
        </w:rPr>
        <w:t>Salomon Smith Barney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Wachovia Securities</w:t>
      </w:r>
    </w:p>
    <w:p>
      <w:pPr>
        <w:spacing w:after="0" w:line="200" w:lineRule="exact"/>
        <w:rPr>
          <w:sz w:val="24"/>
          <w:szCs w:val="24"/>
          <w:color w:val="auto"/>
        </w:rPr>
      </w:pPr>
    </w:p>
    <w:p>
      <w:pPr>
        <w:sectPr>
          <w:pgSz w:w="11900" w:h="16838" w:orient="portrait"/>
          <w:cols w:equalWidth="0" w:num="3">
            <w:col w:w="2020" w:space="720"/>
            <w:col w:w="2220" w:space="720"/>
            <w:col w:w="4539"/>
          </w:cols>
          <w:pgMar w:left="240" w:top="598" w:right="1440" w:bottom="1440" w:gutter="0" w:footer="0" w:header="0"/>
          <w:type w:val="continuous"/>
        </w:sectPr>
      </w:pPr>
    </w:p>
    <w:p>
      <w:pPr>
        <w:spacing w:after="0" w:line="176"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Commerzbank Securities</w:t>
      </w:r>
    </w:p>
    <w:p>
      <w:pPr>
        <w:sectPr>
          <w:pgSz w:w="11900" w:h="16838" w:orient="portrait"/>
          <w:cols w:equalWidth="0" w:num="1">
            <w:col w:w="10219"/>
          </w:cols>
          <w:pgMar w:left="240" w:top="598" w:right="1440" w:bottom="1440" w:gutter="0" w:footer="0" w:header="0"/>
          <w:type w:val="continuous"/>
        </w:sectPr>
      </w:pPr>
    </w:p>
    <w:p>
      <w:pPr>
        <w:spacing w:after="0" w:line="183" w:lineRule="exact"/>
        <w:rPr>
          <w:sz w:val="24"/>
          <w:szCs w:val="24"/>
          <w:color w:val="auto"/>
        </w:rPr>
      </w:pPr>
    </w:p>
    <w:p>
      <w:pPr>
        <w:ind w:left="760"/>
        <w:spacing w:after="0"/>
        <w:rPr>
          <w:sz w:val="20"/>
          <w:szCs w:val="20"/>
          <w:color w:val="auto"/>
        </w:rPr>
      </w:pPr>
      <w:r>
        <w:rPr>
          <w:rFonts w:ascii="Courier New" w:cs="Courier New" w:eastAsia="Courier New" w:hAnsi="Courier New"/>
          <w:sz w:val="16"/>
          <w:szCs w:val="16"/>
          <w:color w:val="auto"/>
        </w:rPr>
        <w:t>Banc of America Securities LLC</w:t>
      </w:r>
    </w:p>
    <w:p>
      <w:pPr>
        <w:spacing w:after="0" w:line="183" w:lineRule="exact"/>
        <w:rPr>
          <w:sz w:val="24"/>
          <w:szCs w:val="24"/>
          <w:color w:val="auto"/>
        </w:rPr>
      </w:pPr>
    </w:p>
    <w:p>
      <w:pPr>
        <w:ind w:left="1520"/>
        <w:spacing w:after="0"/>
        <w:rPr>
          <w:sz w:val="20"/>
          <w:szCs w:val="20"/>
          <w:color w:val="auto"/>
        </w:rPr>
      </w:pPr>
      <w:r>
        <w:rPr>
          <w:rFonts w:ascii="Courier New" w:cs="Courier New" w:eastAsia="Courier New" w:hAnsi="Courier New"/>
          <w:sz w:val="16"/>
          <w:szCs w:val="16"/>
          <w:color w:val="auto"/>
        </w:rPr>
        <w:t>BMO Nesbitt Burns</w:t>
      </w:r>
    </w:p>
    <w:p>
      <w:pPr>
        <w:spacing w:after="0" w:line="183"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Fleet Securities, Inc.</w:t>
      </w:r>
    </w:p>
    <w:p>
      <w:pPr>
        <w:spacing w:after="0" w:line="183"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HVB Capital Markets, Inc.</w:t>
      </w:r>
    </w:p>
    <w:p>
      <w:pPr>
        <w:spacing w:after="0" w:line="186" w:lineRule="exact"/>
        <w:rPr>
          <w:sz w:val="24"/>
          <w:szCs w:val="24"/>
          <w:color w:val="auto"/>
        </w:rPr>
      </w:pPr>
    </w:p>
    <w:p>
      <w:pPr>
        <w:ind w:left="3880"/>
        <w:spacing w:after="0"/>
        <w:rPr>
          <w:sz w:val="20"/>
          <w:szCs w:val="20"/>
          <w:color w:val="auto"/>
        </w:rPr>
      </w:pPr>
      <w:r>
        <w:rPr>
          <w:rFonts w:ascii="Courier New" w:cs="Courier New" w:eastAsia="Courier New" w:hAnsi="Courier New"/>
          <w:sz w:val="15"/>
          <w:szCs w:val="15"/>
          <w:color w:val="auto"/>
        </w:rPr>
        <w:t>Wells Fargo Brokerage Services, LLC</w:t>
      </w:r>
    </w:p>
    <w:p>
      <w:pPr>
        <w:spacing w:after="0" w:line="190"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PNC Capital Markets, Inc.</w:t>
      </w:r>
    </w:p>
    <w:p>
      <w:pPr>
        <w:spacing w:after="0" w:line="183"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The date of this prospectus supplement is November 14, 2002.</w:t>
      </w:r>
    </w:p>
    <w:p>
      <w:pPr>
        <w:sectPr>
          <w:pgSz w:w="11900" w:h="16838" w:orient="portrait"/>
          <w:cols w:equalWidth="0" w:num="1">
            <w:col w:w="10219"/>
          </w:cols>
          <w:pgMar w:left="240" w:top="598" w:right="1440" w:bottom="1440" w:gutter="0" w:footer="0" w:header="0"/>
          <w:type w:val="continuous"/>
        </w:sectPr>
      </w:pPr>
    </w:p>
    <w:bookmarkStart w:id="1" w:name="page2"/>
    <w:bookmarkEnd w:id="1"/>
    <w:p>
      <w:pPr>
        <w:jc w:val="center"/>
        <w:ind w:right="2759"/>
        <w:spacing w:after="0"/>
        <w:rPr>
          <w:sz w:val="20"/>
          <w:szCs w:val="20"/>
          <w:color w:val="auto"/>
        </w:rPr>
      </w:pPr>
      <w:r>
        <w:rPr>
          <w:rFonts w:ascii="Courier New" w:cs="Courier New" w:eastAsia="Courier New" w:hAnsi="Courier New"/>
          <w:sz w:val="16"/>
          <w:szCs w:val="16"/>
          <w:color w:val="auto"/>
        </w:rPr>
        <w:t>TABLE OF CONTENTS</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PROSPECTUS SUPPLEMENT</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780" w:type="dxa"/>
            <w:vAlign w:val="bottom"/>
          </w:tcPr>
          <w:p>
            <w:pPr>
              <w:jc w:val="right"/>
              <w:ind w:right="114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12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780" w:type="dxa"/>
            <w:vAlign w:val="bottom"/>
          </w:tcPr>
          <w:p>
            <w:pPr>
              <w:jc w:val="right"/>
              <w:ind w:right="1141"/>
              <w:spacing w:after="0"/>
              <w:rPr>
                <w:sz w:val="20"/>
                <w:szCs w:val="20"/>
                <w:color w:val="auto"/>
              </w:rPr>
            </w:pPr>
            <w:r>
              <w:rPr>
                <w:rFonts w:ascii="Courier New" w:cs="Courier New" w:eastAsia="Courier New" w:hAnsi="Courier New"/>
                <w:sz w:val="16"/>
                <w:szCs w:val="16"/>
                <w:color w:val="auto"/>
              </w:rPr>
              <w:t>----</w:t>
            </w:r>
          </w:p>
        </w:tc>
      </w:tr>
      <w:tr>
        <w:trPr>
          <w:trHeight w:val="364"/>
        </w:trPr>
        <w:tc>
          <w:tcPr>
            <w:tcW w:w="1280" w:type="dxa"/>
            <w:vAlign w:val="bottom"/>
          </w:tcPr>
          <w:p>
            <w:pPr>
              <w:spacing w:after="0"/>
              <w:rPr>
                <w:sz w:val="24"/>
                <w:szCs w:val="24"/>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WHERE YOU CAN FIND MORE INFORMATION..........</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S-1</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RISK FACTORS.................................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S-2</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PROSPECTUS SUPPLEMENT SUMMARY................</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S-3</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2002 THIRD QUARTER HIGHLIGHTS................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S-7</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USE OF PROCEEDS..............................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S-8</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RATIOS OF EARNINGS TO FIXED CHARGES..........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S-9</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CAPITALIZATION..............................</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w w:val="88"/>
              </w:rPr>
              <w:t>S-10</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SELECTED CONSOLIDATED FINANCIAL DATA.........</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w w:val="88"/>
              </w:rPr>
              <w:t>S-11</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DESCRIPTION OF NOTES.........................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w w:val="88"/>
              </w:rPr>
              <w:t>S-13</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CERTAIN FEDERAL INCOME TAX CONSIDERATIONS....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w w:val="88"/>
              </w:rPr>
              <w:t>S-19</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UNDERWRITING.................................</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w w:val="88"/>
              </w:rPr>
              <w:t>S-20</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NOTICE REGARDING ARTHUR ANDERSEN LLP.........</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w w:val="88"/>
              </w:rPr>
              <w:t>S-21</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LEGAL MATTERS................................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w w:val="88"/>
              </w:rPr>
              <w:t>S-21</w:t>
            </w:r>
          </w:p>
        </w:tc>
      </w:tr>
      <w:tr>
        <w:trPr>
          <w:trHeight w:val="546"/>
        </w:trPr>
        <w:tc>
          <w:tcPr>
            <w:tcW w:w="1280" w:type="dxa"/>
            <w:vAlign w:val="bottom"/>
          </w:tcPr>
          <w:p>
            <w:pPr>
              <w:spacing w:after="0"/>
              <w:rPr>
                <w:sz w:val="24"/>
                <w:szCs w:val="24"/>
                <w:color w:val="auto"/>
              </w:rPr>
            </w:pPr>
          </w:p>
        </w:tc>
        <w:tc>
          <w:tcPr>
            <w:tcW w:w="4400" w:type="dxa"/>
            <w:vAlign w:val="bottom"/>
          </w:tcPr>
          <w:p>
            <w:pPr>
              <w:ind w:left="1940"/>
              <w:spacing w:after="0"/>
              <w:rPr>
                <w:sz w:val="20"/>
                <w:szCs w:val="20"/>
                <w:color w:val="auto"/>
              </w:rPr>
            </w:pPr>
            <w:r>
              <w:rPr>
                <w:rFonts w:ascii="Courier New" w:cs="Courier New" w:eastAsia="Courier New" w:hAnsi="Courier New"/>
                <w:sz w:val="16"/>
                <w:szCs w:val="16"/>
                <w:color w:val="auto"/>
              </w:rPr>
              <w:t>PROSPECTUS</w:t>
            </w:r>
          </w:p>
        </w:tc>
        <w:tc>
          <w:tcPr>
            <w:tcW w:w="1780" w:type="dxa"/>
            <w:vAlign w:val="bottom"/>
          </w:tcPr>
          <w:p>
            <w:pPr>
              <w:spacing w:after="0"/>
              <w:rPr>
                <w:sz w:val="24"/>
                <w:szCs w:val="24"/>
                <w:color w:val="auto"/>
              </w:rPr>
            </w:pPr>
          </w:p>
        </w:tc>
      </w:tr>
      <w:tr>
        <w:trPr>
          <w:trHeight w:val="728"/>
        </w:trPr>
        <w:tc>
          <w:tcPr>
            <w:tcW w:w="1280" w:type="dxa"/>
            <w:vAlign w:val="bottom"/>
          </w:tcPr>
          <w:p>
            <w:pPr>
              <w:spacing w:after="0"/>
              <w:rPr>
                <w:sz w:val="24"/>
                <w:szCs w:val="24"/>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Available Information..........................</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w:t>
            </w:r>
          </w:p>
        </w:tc>
      </w:tr>
      <w:tr>
        <w:trPr>
          <w:trHeight w:val="182"/>
        </w:trPr>
        <w:tc>
          <w:tcPr>
            <w:tcW w:w="1280" w:type="dxa"/>
            <w:vAlign w:val="bottom"/>
          </w:tcPr>
          <w:p>
            <w:pPr>
              <w:spacing w:after="0"/>
              <w:rPr>
                <w:sz w:val="15"/>
                <w:szCs w:val="15"/>
                <w:color w:val="auto"/>
              </w:rPr>
            </w:pPr>
          </w:p>
        </w:tc>
        <w:tc>
          <w:tcPr>
            <w:tcW w:w="6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Incorporation of Certain Documents by Reference  2</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The Trust......................................</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3</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Use of Proceeds................................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4</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Ratios of Earnings to Fixed Charges............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4</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Description of Debt Securities.................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4</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Description of Preferred Shares................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15</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Description of Common Shares...................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21</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Federal Income Tax Considerations..............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22</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Plan of Distribution...........................</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23</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Legal Opinions.................................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24</w:t>
            </w:r>
          </w:p>
        </w:tc>
      </w:tr>
      <w:tr>
        <w:trPr>
          <w:trHeight w:val="182"/>
        </w:trPr>
        <w:tc>
          <w:tcPr>
            <w:tcW w:w="128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w w:val="96"/>
              </w:rPr>
              <w:t>Experts........................................</w:t>
            </w:r>
          </w:p>
        </w:tc>
        <w:tc>
          <w:tcPr>
            <w:tcW w:w="178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24</w:t>
            </w:r>
          </w:p>
        </w:tc>
      </w:tr>
      <w:tr>
        <w:trPr>
          <w:trHeight w:val="546"/>
        </w:trPr>
        <w:tc>
          <w:tcPr>
            <w:tcW w:w="1280" w:type="dxa"/>
            <w:vAlign w:val="bottom"/>
          </w:tcPr>
          <w:p>
            <w:pPr>
              <w:spacing w:after="0"/>
              <w:rPr>
                <w:sz w:val="24"/>
                <w:szCs w:val="24"/>
                <w:color w:val="auto"/>
              </w:rPr>
            </w:pPr>
          </w:p>
        </w:tc>
        <w:tc>
          <w:tcPr>
            <w:tcW w:w="4400" w:type="dxa"/>
            <w:vAlign w:val="bottom"/>
          </w:tcPr>
          <w:p>
            <w:pPr>
              <w:ind w:left="16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24"/>
                <w:szCs w:val="24"/>
                <w:color w:val="auto"/>
              </w:rPr>
            </w:pPr>
          </w:p>
        </w:tc>
      </w:tr>
      <w:tr>
        <w:trPr>
          <w:trHeight w:val="364"/>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You should</w:t>
            </w:r>
          </w:p>
        </w:tc>
        <w:tc>
          <w:tcPr>
            <w:tcW w:w="6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rely only on the information contained or incorporated by</w:t>
            </w:r>
          </w:p>
        </w:tc>
      </w:tr>
      <w:tr>
        <w:trPr>
          <w:trHeight w:val="182"/>
        </w:trPr>
        <w:tc>
          <w:tcPr>
            <w:tcW w:w="7460" w:type="dxa"/>
            <w:vAlign w:val="bottom"/>
            <w:gridSpan w:val="3"/>
          </w:tcPr>
          <w:p>
            <w:pPr>
              <w:jc w:val="right"/>
              <w:ind w:right="281"/>
              <w:spacing w:after="0"/>
              <w:rPr>
                <w:sz w:val="20"/>
                <w:szCs w:val="20"/>
                <w:color w:val="auto"/>
              </w:rPr>
            </w:pPr>
            <w:r>
              <w:rPr>
                <w:rFonts w:ascii="Courier New" w:cs="Courier New" w:eastAsia="Courier New" w:hAnsi="Courier New"/>
                <w:sz w:val="16"/>
                <w:szCs w:val="16"/>
                <w:color w:val="auto"/>
                <w:w w:val="98"/>
              </w:rPr>
              <w:t>reference in this prospectus supplement and the accompanying prospectus. We</w:t>
            </w:r>
          </w:p>
        </w:tc>
      </w:tr>
      <w:tr>
        <w:trPr>
          <w:trHeight w:val="182"/>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6"/>
              </w:rPr>
              <w:t>have not, and</w:t>
            </w:r>
          </w:p>
        </w:tc>
        <w:tc>
          <w:tcPr>
            <w:tcW w:w="61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the underwriters have not, authorized any other person to provide</w:t>
            </w:r>
          </w:p>
        </w:tc>
      </w:tr>
    </w:tbl>
    <w:p>
      <w:pPr>
        <w:spacing w:after="0" w:line="5" w:lineRule="exact"/>
        <w:rPr>
          <w:sz w:val="20"/>
          <w:szCs w:val="20"/>
          <w:color w:val="auto"/>
        </w:rPr>
      </w:pPr>
    </w:p>
    <w:p>
      <w:pPr>
        <w:ind w:right="2939"/>
        <w:spacing w:after="0" w:line="258" w:lineRule="auto"/>
        <w:rPr>
          <w:sz w:val="20"/>
          <w:szCs w:val="20"/>
          <w:color w:val="auto"/>
        </w:rPr>
      </w:pPr>
      <w:r>
        <w:rPr>
          <w:rFonts w:ascii="Courier New" w:cs="Courier New" w:eastAsia="Courier New" w:hAnsi="Courier New"/>
          <w:sz w:val="15"/>
          <w:szCs w:val="15"/>
          <w:color w:val="auto"/>
        </w:rPr>
        <w:t>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9" w:right="1440" w:bottom="1440" w:gutter="0" w:footer="0" w:header="0"/>
        </w:sectPr>
      </w:pPr>
    </w:p>
    <w:bookmarkStart w:id="2" w:name="page3"/>
    <w:bookmarkEnd w:id="2"/>
    <w:p>
      <w:pPr>
        <w:jc w:val="center"/>
        <w:ind w:right="2759"/>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We file annual, quarterly and special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185"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Public Reference Section</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Room 1200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450 Fifth Street, N.W.</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89" w:lineRule="exact"/>
        <w:rPr>
          <w:sz w:val="20"/>
          <w:szCs w:val="20"/>
          <w:color w:val="auto"/>
        </w:rPr>
      </w:pPr>
    </w:p>
    <w:p>
      <w:pPr>
        <w:ind w:right="2759" w:firstLine="284"/>
        <w:spacing w:after="0" w:line="256"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In particular, the information appearing in the accompanying prospectus under the caption "Federal Income Tax Considerations" has been superseded in its entirety by information appearing in the Form 8-K filed on November 13, 2002. We incorporate by reference the documents listed below as well as any future filings made with the SEC under Sections 13(a), 13(c), 14, or 15(d) of the Securities Exchange Act of 1934, or the Exchange Act (Exchange Act File No.</w:t>
      </w:r>
    </w:p>
    <w:p>
      <w:pPr>
        <w:spacing w:after="0" w:line="8"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1-07533), from the date of this prospectus supplement until we terminate the offering hereunder.</w:t>
      </w:r>
    </w:p>
    <w:p>
      <w:pPr>
        <w:spacing w:after="0" w:line="188" w:lineRule="exact"/>
        <w:rPr>
          <w:sz w:val="20"/>
          <w:szCs w:val="20"/>
          <w:color w:val="auto"/>
        </w:rPr>
      </w:pPr>
    </w:p>
    <w:p>
      <w:pPr>
        <w:ind w:left="560" w:right="3039" w:hanging="374"/>
        <w:spacing w:after="0" w:line="237" w:lineRule="auto"/>
        <w:tabs>
          <w:tab w:leader="none" w:pos="5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fiscal year ended December 31, 2001 and filed on March 22, 2002</w:t>
      </w:r>
    </w:p>
    <w:p>
      <w:pPr>
        <w:spacing w:after="0" w:line="188" w:lineRule="exact"/>
        <w:rPr>
          <w:sz w:val="20"/>
          <w:szCs w:val="20"/>
          <w:color w:val="auto"/>
        </w:rPr>
      </w:pPr>
    </w:p>
    <w:p>
      <w:pPr>
        <w:ind w:left="560" w:right="2759" w:hanging="374"/>
        <w:spacing w:after="0" w:line="237" w:lineRule="auto"/>
        <w:tabs>
          <w:tab w:leader="none" w:pos="5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fiscal quarter ended March 31, 2002 and filed on May 2, 2002</w:t>
      </w:r>
    </w:p>
    <w:p>
      <w:pPr>
        <w:spacing w:after="0" w:line="188" w:lineRule="exact"/>
        <w:rPr>
          <w:sz w:val="20"/>
          <w:szCs w:val="20"/>
          <w:color w:val="auto"/>
        </w:rPr>
      </w:pPr>
    </w:p>
    <w:p>
      <w:pPr>
        <w:ind w:left="560" w:right="2839" w:hanging="374"/>
        <w:spacing w:after="0" w:line="237" w:lineRule="auto"/>
        <w:tabs>
          <w:tab w:leader="none" w:pos="5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fiscal quarter ended June 30, 2002 and filed on August 12, 2002</w:t>
      </w:r>
    </w:p>
    <w:p>
      <w:pPr>
        <w:spacing w:after="0" w:line="188" w:lineRule="exact"/>
        <w:rPr>
          <w:sz w:val="20"/>
          <w:szCs w:val="20"/>
          <w:color w:val="auto"/>
        </w:rPr>
      </w:pPr>
    </w:p>
    <w:p>
      <w:pPr>
        <w:ind w:left="560" w:right="2839" w:hanging="374"/>
        <w:spacing w:after="0" w:line="237" w:lineRule="auto"/>
        <w:tabs>
          <w:tab w:leader="none" w:pos="5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fiscal quarter ended September 30, 2002 and filed on October 30, 2002</w:t>
      </w:r>
    </w:p>
    <w:p>
      <w:pPr>
        <w:spacing w:after="0" w:line="188" w:lineRule="exact"/>
        <w:rPr>
          <w:sz w:val="20"/>
          <w:szCs w:val="20"/>
          <w:color w:val="auto"/>
        </w:rPr>
      </w:pPr>
    </w:p>
    <w:p>
      <w:pPr>
        <w:ind w:left="560" w:right="2759" w:hanging="374"/>
        <w:spacing w:after="0" w:line="239" w:lineRule="auto"/>
        <w:tabs>
          <w:tab w:leader="none" w:pos="5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Reports on Form 8-K filed with the SEC on November 13, 2002, October 30, 2002, September 4, 2002, August 12, 2002, June 11, 2002, June 5, 2002, April 30, 2002, March 28, 2002, March 12, 2002 and February 12, 2002</w:t>
      </w:r>
    </w:p>
    <w:p>
      <w:pPr>
        <w:spacing w:after="0" w:line="187"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8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Andrew P. Blocher</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Vice President, Investor Relations and Capital Markets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1626 E. Jefferson Street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Rockville, Maryland 20852</w:t>
      </w:r>
    </w:p>
    <w:p>
      <w:pPr>
        <w:spacing w:after="0" w:line="5" w:lineRule="exact"/>
        <w:rPr>
          <w:sz w:val="20"/>
          <w:szCs w:val="20"/>
          <w:color w:val="auto"/>
        </w:rPr>
      </w:pPr>
    </w:p>
    <w:p>
      <w:pPr>
        <w:ind w:left="3600" w:right="5019" w:hanging="1428"/>
        <w:spacing w:after="0" w:line="476" w:lineRule="auto"/>
        <w:tabs>
          <w:tab w:leader="none" w:pos="27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998-8100 or (800) 658-8980 S-1</w:t>
      </w:r>
    </w:p>
    <w:p>
      <w:pPr>
        <w:sectPr>
          <w:pgSz w:w="11900" w:h="16838" w:orient="portrait"/>
          <w:cols w:equalWidth="0" w:num="1">
            <w:col w:w="10219"/>
          </w:cols>
          <w:pgMar w:left="240" w:top="659" w:right="1440" w:bottom="1440" w:gutter="0" w:footer="0" w:header="0"/>
        </w:sectPr>
      </w:pPr>
    </w:p>
    <w:bookmarkStart w:id="3" w:name="page4"/>
    <w:bookmarkEnd w:id="3"/>
    <w:p>
      <w:pPr>
        <w:ind w:right="2839" w:firstLine="284"/>
        <w:spacing w:after="0"/>
        <w:rPr>
          <w:sz w:val="20"/>
          <w:szCs w:val="20"/>
          <w:color w:val="auto"/>
        </w:rPr>
      </w:pPr>
      <w:r>
        <w:rPr>
          <w:rFonts w:ascii="Courier New" w:cs="Courier New" w:eastAsia="Courier New" w:hAnsi="Courier New"/>
          <w:sz w:val="16"/>
          <w:szCs w:val="16"/>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88" w:lineRule="exact"/>
        <w:rPr>
          <w:sz w:val="20"/>
          <w:szCs w:val="20"/>
          <w:color w:val="auto"/>
        </w:rPr>
      </w:pPr>
    </w:p>
    <w:p>
      <w:pPr>
        <w:jc w:val="both"/>
        <w:ind w:right="2939" w:firstLine="284"/>
        <w:spacing w:after="0" w:line="256" w:lineRule="auto"/>
        <w:rPr>
          <w:sz w:val="20"/>
          <w:szCs w:val="20"/>
          <w:color w:val="auto"/>
        </w:rPr>
      </w:pPr>
      <w:r>
        <w:rPr>
          <w:rFonts w:ascii="Courier New" w:cs="Courier New" w:eastAsia="Courier New" w:hAnsi="Courier New"/>
          <w:sz w:val="15"/>
          <w:szCs w:val="15"/>
          <w:color w:val="auto"/>
        </w:rPr>
        <w:t>You should rely only on the information in this prospectus supplement, the accompanying prospectus and the documents that are incorporated by reference. We have not authorized anyone else to provide you with different information.</w:t>
      </w:r>
    </w:p>
    <w:p>
      <w:pPr>
        <w:spacing w:after="0" w:line="2"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We are not offering these securities in any state where the offer is prohibited by law. You should not assume that the information in this prospectus supplement, the accompanying prospectus or any incorporated document is accurate as of any date other than the date of the document.</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RISK FACTORS</w:t>
      </w:r>
    </w:p>
    <w:p>
      <w:pPr>
        <w:spacing w:after="0" w:line="186"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This prospectus supplement and the accompanying prospectus contain forward-looking statements within the meaning of Section 27A of the Securities Act of 1933, Section 21E of the Exchange Act and the Private Securities Litigation Reform Act of 1995. Also, documents that we "incorporate by reference" into this prospectus supplement and the accompanying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risk factors included or incorporated by reference in this prospectus supplement and the accompanying prospectus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192" w:lineRule="exact"/>
        <w:rPr>
          <w:sz w:val="20"/>
          <w:szCs w:val="20"/>
          <w:color w:val="auto"/>
        </w:rPr>
      </w:pPr>
    </w:p>
    <w:p>
      <w:pPr>
        <w:ind w:left="560" w:right="3219" w:hanging="374"/>
        <w:spacing w:after="0" w:line="237" w:lineRule="auto"/>
        <w:tabs>
          <w:tab w:leader="none" w:pos="5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that our growth will be limited if we cannot obtain additional capital;</w:t>
      </w:r>
    </w:p>
    <w:p>
      <w:pPr>
        <w:spacing w:after="0" w:line="188" w:lineRule="exact"/>
        <w:rPr>
          <w:sz w:val="20"/>
          <w:szCs w:val="20"/>
          <w:color w:val="auto"/>
        </w:rPr>
      </w:pPr>
    </w:p>
    <w:p>
      <w:pPr>
        <w:ind w:left="560" w:right="2839" w:hanging="374"/>
        <w:spacing w:after="0" w:line="239" w:lineRule="auto"/>
        <w:tabs>
          <w:tab w:leader="none" w:pos="5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of financing, such as our ability to consummate additional financings or obtain replacement financing on terms which are acceptable to us, our ability to comply with our existing financial covenants and the possibility of increases in interest rates that would result in increased interest expense;</w:t>
      </w:r>
    </w:p>
    <w:p>
      <w:pPr>
        <w:spacing w:after="0" w:line="189" w:lineRule="exact"/>
        <w:rPr>
          <w:sz w:val="20"/>
          <w:szCs w:val="20"/>
          <w:color w:val="auto"/>
        </w:rPr>
      </w:pPr>
    </w:p>
    <w:p>
      <w:pPr>
        <w:ind w:left="560" w:right="2839" w:hanging="374"/>
        <w:spacing w:after="0"/>
        <w:tabs>
          <w:tab w:leader="none" w:pos="5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normally associated with the real estate industry, including risks that our tenants will not pay rent or that we may be unable to renew leases or relet space at favorable rents as leases expire, that new acquisitions and our development, construction and renovation projects, including our Santana Row project, may fail to perform as expected, that competition for acquisitions could result in increased prices, environmental risks, and, because real estate is illiquid, that we may not be able to sell properties when appropriate; and</w:t>
      </w:r>
    </w:p>
    <w:p>
      <w:pPr>
        <w:spacing w:after="0" w:line="187" w:lineRule="exact"/>
        <w:rPr>
          <w:sz w:val="20"/>
          <w:szCs w:val="20"/>
          <w:color w:val="auto"/>
        </w:rPr>
      </w:pPr>
    </w:p>
    <w:p>
      <w:pPr>
        <w:ind w:left="560" w:right="2839" w:hanging="374"/>
        <w:spacing w:after="0" w:line="239" w:lineRule="auto"/>
        <w:tabs>
          <w:tab w:leader="none" w:pos="5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related to our status as a real estate investment trust, commonly referred to as a REIT, for federal income tax purposes, such as our obligation to comply with complex tax regulations relating to our status as a REIT, the effect of future changes in REIT requirements as a result of new legislation and the adverse consequences if we fail to qualify as a REIT.</w:t>
      </w:r>
    </w:p>
    <w:p>
      <w:pPr>
        <w:spacing w:after="0" w:line="190" w:lineRule="exact"/>
        <w:rPr>
          <w:sz w:val="20"/>
          <w:szCs w:val="20"/>
          <w:color w:val="auto"/>
        </w:rPr>
      </w:pPr>
    </w:p>
    <w:p>
      <w:pPr>
        <w:ind w:right="2759" w:firstLine="284"/>
        <w:spacing w:after="0" w:line="258" w:lineRule="auto"/>
        <w:rPr>
          <w:sz w:val="20"/>
          <w:szCs w:val="20"/>
          <w:color w:val="auto"/>
        </w:rPr>
      </w:pPr>
      <w:r>
        <w:rPr>
          <w:rFonts w:ascii="Courier New" w:cs="Courier New" w:eastAsia="Courier New" w:hAnsi="Courier New"/>
          <w:sz w:val="15"/>
          <w:szCs w:val="15"/>
          <w:color w:val="auto"/>
        </w:rPr>
        <w:t>Given these uncertainties, readers are cautioned not to place undue reliance on these forward-looking statements or those incorporated into this prospectus supplement and the accompanying prospectus. We also make no promise to update any of the forward-looking statements. Investing in the notes involves risk, and you should carefully review the risks and the risk factors incorporated by reference into this prospectus supplement and the accompanying prospectus, including those included in our Annual Report on Form 10-K for the year ended December 31, 2001, as well as the other information in this prospectus supplement and the accompanying prospectus before buying our notes.</w:t>
      </w:r>
    </w:p>
    <w:p>
      <w:pPr>
        <w:spacing w:after="0" w:line="17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663" w:right="1440" w:bottom="1440" w:gutter="0" w:footer="0" w:header="0"/>
        </w:sectPr>
      </w:pPr>
    </w:p>
    <w:bookmarkStart w:id="4" w:name="page5"/>
    <w:bookmarkEnd w:id="4"/>
    <w:p>
      <w:pPr>
        <w:jc w:val="center"/>
        <w:ind w:right="2756"/>
        <w:spacing w:after="0"/>
        <w:rPr>
          <w:sz w:val="20"/>
          <w:szCs w:val="20"/>
          <w:color w:val="auto"/>
        </w:rPr>
      </w:pPr>
      <w:r>
        <w:rPr>
          <w:rFonts w:ascii="Courier New" w:cs="Courier New" w:eastAsia="Courier New" w:hAnsi="Courier New"/>
          <w:sz w:val="16"/>
          <w:szCs w:val="16"/>
          <w:color w:val="auto"/>
        </w:rPr>
        <w:t>PROSPECTUS SUPPLEMENT SUMMARY</w:t>
      </w:r>
    </w:p>
    <w:p>
      <w:pPr>
        <w:spacing w:after="0" w:line="186" w:lineRule="exact"/>
        <w:rPr>
          <w:sz w:val="20"/>
          <w:szCs w:val="20"/>
          <w:color w:val="auto"/>
        </w:rPr>
      </w:pPr>
    </w:p>
    <w:p>
      <w:pPr>
        <w:ind w:left="3" w:right="2839" w:firstLine="284"/>
        <w:spacing w:after="0" w:line="260" w:lineRule="auto"/>
        <w:rPr>
          <w:sz w:val="20"/>
          <w:szCs w:val="20"/>
          <w:color w:val="auto"/>
        </w:rPr>
      </w:pPr>
      <w:r>
        <w:rPr>
          <w:rFonts w:ascii="Courier New" w:cs="Courier New" w:eastAsia="Courier New" w:hAnsi="Courier New"/>
          <w:sz w:val="15"/>
          <w:szCs w:val="15"/>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169"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The Trust</w:t>
      </w:r>
    </w:p>
    <w:p>
      <w:pPr>
        <w:spacing w:after="0" w:line="186" w:lineRule="exact"/>
        <w:rPr>
          <w:sz w:val="20"/>
          <w:szCs w:val="20"/>
          <w:color w:val="auto"/>
        </w:rPr>
      </w:pPr>
    </w:p>
    <w:p>
      <w:pPr>
        <w:ind w:left="3" w:right="2759" w:firstLine="284"/>
        <w:spacing w:after="0" w:line="239" w:lineRule="auto"/>
        <w:rPr>
          <w:sz w:val="20"/>
          <w:szCs w:val="20"/>
          <w:color w:val="auto"/>
        </w:rPr>
      </w:pPr>
      <w:r>
        <w:rPr>
          <w:rFonts w:ascii="Courier New" w:cs="Courier New" w:eastAsia="Courier New" w:hAnsi="Courier New"/>
          <w:sz w:val="16"/>
          <w:szCs w:val="16"/>
          <w:color w:val="auto"/>
        </w:rPr>
        <w:t>Federal Realty Investment Trust is an equity real estate investment trust specializing in the ownership, management, development and redevelopment of high quality retail and mixed-use properties. As of September 30, 2002, we owned or had an interest in 113 community and neighborhood shopping centers and urban retail and mixed-use properties comprising approximately 15 million square feet and one apartment complex, all in strategic metropolitan markets across the United States.</w:t>
      </w:r>
    </w:p>
    <w:p>
      <w:pPr>
        <w:spacing w:after="0" w:line="192" w:lineRule="exact"/>
        <w:rPr>
          <w:sz w:val="20"/>
          <w:szCs w:val="20"/>
          <w:color w:val="auto"/>
        </w:rPr>
      </w:pPr>
    </w:p>
    <w:p>
      <w:pPr>
        <w:jc w:val="both"/>
        <w:ind w:left="3" w:right="2759" w:firstLine="284"/>
        <w:spacing w:after="0" w:line="256" w:lineRule="auto"/>
        <w:rPr>
          <w:sz w:val="20"/>
          <w:szCs w:val="20"/>
          <w:color w:val="auto"/>
        </w:rPr>
      </w:pPr>
      <w:r>
        <w:rPr>
          <w:rFonts w:ascii="Courier New" w:cs="Courier New" w:eastAsia="Courier New" w:hAnsi="Courier New"/>
          <w:sz w:val="15"/>
          <w:szCs w:val="15"/>
          <w:color w:val="auto"/>
        </w:rPr>
        <w:t>We operate in a manner intended to qualify as a real estate investment trust pursuant to provisions of the Internal Revenue Code. Our offices are located at 1626 East Jefferson Street, Rockville, Maryland 20852. Our telephone number is</w:t>
      </w:r>
    </w:p>
    <w:p>
      <w:pPr>
        <w:spacing w:after="0" w:line="2" w:lineRule="exact"/>
        <w:rPr>
          <w:sz w:val="20"/>
          <w:szCs w:val="20"/>
          <w:color w:val="auto"/>
        </w:rPr>
      </w:pPr>
    </w:p>
    <w:p>
      <w:pPr>
        <w:ind w:left="3" w:right="2759" w:hanging="3"/>
        <w:spacing w:after="0" w:line="238" w:lineRule="auto"/>
        <w:tabs>
          <w:tab w:leader="none" w:pos="57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998-8100 or (800) 658-8980. Our website address is www.federalrealty.com. The information contained in our website is not a part of this prospectus supplement.</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Our Competitive Strengths</w:t>
      </w:r>
    </w:p>
    <w:p>
      <w:pPr>
        <w:spacing w:after="0" w:line="186" w:lineRule="exact"/>
        <w:rPr>
          <w:sz w:val="20"/>
          <w:szCs w:val="20"/>
          <w:color w:val="auto"/>
        </w:rPr>
      </w:pPr>
    </w:p>
    <w:p>
      <w:pPr>
        <w:ind w:left="3" w:right="2839" w:firstLine="284"/>
        <w:spacing w:after="0" w:line="237" w:lineRule="auto"/>
        <w:rPr>
          <w:sz w:val="20"/>
          <w:szCs w:val="20"/>
          <w:color w:val="auto"/>
        </w:rPr>
      </w:pPr>
      <w:r>
        <w:rPr>
          <w:rFonts w:ascii="Courier New" w:cs="Courier New" w:eastAsia="Courier New" w:hAnsi="Courier New"/>
          <w:sz w:val="16"/>
          <w:szCs w:val="16"/>
          <w:color w:val="auto"/>
        </w:rPr>
        <w:t>We believe that we distinguish ourselves from other owners and operators of retail and mixed-use properties in a number of ways, including by our:</w:t>
      </w:r>
    </w:p>
    <w:p>
      <w:pPr>
        <w:spacing w:after="0" w:line="188" w:lineRule="exact"/>
        <w:rPr>
          <w:sz w:val="20"/>
          <w:szCs w:val="20"/>
          <w:color w:val="auto"/>
        </w:rPr>
      </w:pPr>
    </w:p>
    <w:p>
      <w:pPr>
        <w:ind w:left="563" w:right="2759" w:hanging="374"/>
        <w:spacing w:after="0" w:line="239" w:lineRule="auto"/>
        <w:tabs>
          <w:tab w:leader="none" w:pos="56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Diverse tenant base. As of September 30, 2002, we had in excess of 2,000 tenants. No single tenant currently represents more than 2.6% of our annualized base rent and our top 10 tenants as a group only represent approximately 16.6% of our annualized base rent.</w:t>
      </w:r>
    </w:p>
    <w:p>
      <w:pPr>
        <w:spacing w:after="0" w:line="187" w:lineRule="exact"/>
        <w:rPr>
          <w:sz w:val="20"/>
          <w:szCs w:val="20"/>
          <w:color w:val="auto"/>
        </w:rPr>
      </w:pPr>
    </w:p>
    <w:p>
      <w:pPr>
        <w:ind w:left="563" w:right="2759" w:hanging="374"/>
        <w:spacing w:after="0" w:line="239" w:lineRule="auto"/>
        <w:tabs>
          <w:tab w:leader="none" w:pos="56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Attractive locations with strong market demographics. Our core portfolio is located in some of the nation's strongest markets, which are characterized by dense populations, affluent residents, and limited land available for the development of competing properties.</w:t>
      </w:r>
    </w:p>
    <w:p>
      <w:pPr>
        <w:spacing w:after="0" w:line="187" w:lineRule="exact"/>
        <w:rPr>
          <w:sz w:val="20"/>
          <w:szCs w:val="20"/>
          <w:color w:val="auto"/>
        </w:rPr>
      </w:pPr>
    </w:p>
    <w:p>
      <w:pPr>
        <w:ind w:left="563" w:right="2839" w:hanging="374"/>
        <w:spacing w:after="0" w:line="239" w:lineRule="auto"/>
        <w:tabs>
          <w:tab w:leader="none" w:pos="5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Seasoned management team. Our senior management team consists of executives with an average of approximately 14 years experience in the management, redevelopment, leasing, acquisition and construction of real estate.</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Our Business and Growth Strategy</w:t>
      </w:r>
    </w:p>
    <w:p>
      <w:pPr>
        <w:spacing w:after="0" w:line="186" w:lineRule="exact"/>
        <w:rPr>
          <w:sz w:val="20"/>
          <w:szCs w:val="20"/>
          <w:color w:val="auto"/>
        </w:rPr>
      </w:pPr>
    </w:p>
    <w:p>
      <w:pPr>
        <w:ind w:left="3" w:right="2759" w:firstLine="284"/>
        <w:spacing w:after="0"/>
        <w:rPr>
          <w:sz w:val="20"/>
          <w:szCs w:val="20"/>
          <w:color w:val="auto"/>
        </w:rPr>
      </w:pPr>
      <w:r>
        <w:rPr>
          <w:rFonts w:ascii="Courier New" w:cs="Courier New" w:eastAsia="Courier New" w:hAnsi="Courier New"/>
          <w:sz w:val="16"/>
          <w:szCs w:val="16"/>
          <w:color w:val="auto"/>
        </w:rPr>
        <w:t>Our primary objective is to redevelop and acquire community and neighborhood shopping centers that are anchored by supermarkets, drug stores or high-volume, value-oriented retailers that provide consumer necessities in order to consistently achieve the highest internal growth rate in our sector. We evaluate each investment opportunity on its individual merits, allocating capital to those investments which we believe will contribute to increasing our cash flow over both the short term and long term. The cornerstones of our business strategy include:</w:t>
      </w:r>
    </w:p>
    <w:p>
      <w:pPr>
        <w:spacing w:after="0" w:line="187" w:lineRule="exact"/>
        <w:rPr>
          <w:sz w:val="20"/>
          <w:szCs w:val="20"/>
          <w:color w:val="auto"/>
        </w:rPr>
      </w:pPr>
    </w:p>
    <w:p>
      <w:pPr>
        <w:ind w:left="563" w:right="3039" w:hanging="374"/>
        <w:spacing w:after="0" w:line="237" w:lineRule="auto"/>
        <w:tabs>
          <w:tab w:leader="none" w:pos="56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our properties to achieve the highest internal growth rate in our sector;</w:t>
      </w:r>
    </w:p>
    <w:p>
      <w:pPr>
        <w:spacing w:after="0" w:line="188" w:lineRule="exact"/>
        <w:rPr>
          <w:sz w:val="20"/>
          <w:szCs w:val="20"/>
          <w:color w:val="auto"/>
        </w:rPr>
      </w:pPr>
    </w:p>
    <w:p>
      <w:pPr>
        <w:ind w:left="563" w:right="2839" w:hanging="374"/>
        <w:spacing w:after="0" w:line="239" w:lineRule="auto"/>
        <w:tabs>
          <w:tab w:leader="none" w:pos="56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older, well-located shopping centers and retail buildings in densely populated and affluent areas with possibilities for enhancing their operating performance through renovation, expansion, reconfiguration and/or retenanting; and</w:t>
      </w:r>
    </w:p>
    <w:p>
      <w:pPr>
        <w:spacing w:after="0" w:line="187" w:lineRule="exact"/>
        <w:rPr>
          <w:sz w:val="20"/>
          <w:szCs w:val="20"/>
          <w:color w:val="auto"/>
        </w:rPr>
      </w:pPr>
    </w:p>
    <w:p>
      <w:pPr>
        <w:ind w:left="3603" w:right="2839" w:hanging="3414"/>
        <w:spacing w:after="0" w:line="476" w:lineRule="auto"/>
        <w:tabs>
          <w:tab w:leader="none" w:pos="57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redevelopment, retenanting and expansion of our existing properties. S-3</w:t>
      </w:r>
    </w:p>
    <w:p>
      <w:pPr>
        <w:sectPr>
          <w:pgSz w:w="11900" w:h="16838" w:orient="portrait"/>
          <w:cols w:equalWidth="0" w:num="1">
            <w:col w:w="10222"/>
          </w:cols>
          <w:pgMar w:left="237" w:top="659" w:right="1440" w:bottom="1440" w:gutter="0" w:footer="0" w:header="0"/>
        </w:sectPr>
      </w:pPr>
    </w:p>
    <w:bookmarkStart w:id="5" w:name="page6"/>
    <w:bookmarkEnd w:id="5"/>
    <w:p>
      <w:pPr>
        <w:jc w:val="center"/>
        <w:ind w:right="2839"/>
        <w:spacing w:after="0"/>
        <w:rPr>
          <w:sz w:val="20"/>
          <w:szCs w:val="20"/>
          <w:color w:val="auto"/>
        </w:rPr>
      </w:pPr>
      <w:r>
        <w:rPr>
          <w:rFonts w:ascii="Courier New" w:cs="Courier New" w:eastAsia="Courier New" w:hAnsi="Courier New"/>
          <w:sz w:val="16"/>
          <w:szCs w:val="16"/>
          <w:color w:val="auto"/>
        </w:rPr>
        <w:t>The Offering</w:t>
      </w:r>
    </w:p>
    <w:p>
      <w:pPr>
        <w:spacing w:after="0" w:line="186"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00" w:lineRule="exact"/>
        <w:rPr>
          <w:sz w:val="20"/>
          <w:szCs w:val="20"/>
          <w:color w:val="auto"/>
        </w:rPr>
      </w:pPr>
    </w:p>
    <w:p>
      <w:pPr>
        <w:spacing w:after="0" w:line="34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6"/>
          <w:szCs w:val="16"/>
          <w:color w:val="auto"/>
        </w:rPr>
        <w:t>Securities Offered.... $150,000,000 aggregate principal amount of 6 1/8%</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Notes due November 15, 2007.</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Maturity.............. The notes will mature on November 15, 2007.</w:t>
      </w:r>
    </w:p>
    <w:p>
      <w:pPr>
        <w:spacing w:after="0" w:line="186" w:lineRule="exact"/>
        <w:rPr>
          <w:sz w:val="20"/>
          <w:szCs w:val="20"/>
          <w:color w:val="auto"/>
        </w:rPr>
      </w:pPr>
    </w:p>
    <w:p>
      <w:pPr>
        <w:ind w:left="2260" w:right="2839" w:hanging="2174"/>
        <w:spacing w:after="0" w:line="238" w:lineRule="auto"/>
        <w:rPr>
          <w:sz w:val="20"/>
          <w:szCs w:val="20"/>
          <w:color w:val="auto"/>
        </w:rPr>
      </w:pPr>
      <w:r>
        <w:rPr>
          <w:rFonts w:ascii="Courier New" w:cs="Courier New" w:eastAsia="Courier New" w:hAnsi="Courier New"/>
          <w:sz w:val="16"/>
          <w:szCs w:val="16"/>
          <w:color w:val="auto"/>
        </w:rPr>
        <w:t>Interest Payment Dates Interest on the notes will be payable semi-annually in arrears on May and November, commencing May 15, 2003, and at maturity.</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Ranking............... The notes will rank pari passu with all of our other</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unsecured and unsubordinated indebtedness, except</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that the notes will be effectively subordinated to the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prior claims of each secured mortgage lender to any</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specific property which secures such lender's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mortgage. After giving effect to the use of proceeds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from this offering, we will have outstanding</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approximately $279.5 million of secured indebtedness</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collateralized by 12 properties and approximately</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$732.5 million of unsecured indebtedness (including</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the $150,000,000 of 6 1/8% Notes due November 15,</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2007) ranking pari passu with the notes.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Use of Proceeds....... Our net proceeds from this offering are estimated to</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be $148.2 million, after deducting the underwriting</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discount and estimated expenses of this offering. We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will use these net proceeds, together with available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insurance proceeds and borrowings under our $300</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million credit facility, to pay in full and retire the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approximately $175.3 million balance outstanding</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under the construction loan for the Santana Row</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development in San Jose, California. See "Use of</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Proceeds" on page S-8 for more information.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Limitations on</w:t>
      </w:r>
    </w:p>
    <w:p>
      <w:pPr>
        <w:spacing w:after="0" w:line="1"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6"/>
          <w:szCs w:val="16"/>
          <w:color w:val="auto"/>
        </w:rPr>
        <w:t>Incurrence of Debt....</w:t>
      </w:r>
      <w:r>
        <w:rPr>
          <w:sz w:val="20"/>
          <w:szCs w:val="20"/>
          <w:color w:val="auto"/>
        </w:rPr>
        <w:tab/>
      </w:r>
      <w:r>
        <w:rPr>
          <w:rFonts w:ascii="Courier New" w:cs="Courier New" w:eastAsia="Courier New" w:hAnsi="Courier New"/>
          <w:sz w:val="15"/>
          <w:szCs w:val="15"/>
          <w:color w:val="auto"/>
        </w:rPr>
        <w:t>The notes contain various covenants, including the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following:</w:t>
      </w:r>
    </w:p>
    <w:p>
      <w:pPr>
        <w:spacing w:after="0" w:line="5" w:lineRule="exact"/>
        <w:rPr>
          <w:sz w:val="20"/>
          <w:szCs w:val="20"/>
          <w:color w:val="auto"/>
        </w:rPr>
      </w:pPr>
    </w:p>
    <w:p>
      <w:pPr>
        <w:ind w:left="2260" w:right="2759" w:firstLine="7"/>
        <w:spacing w:after="0"/>
        <w:tabs>
          <w:tab w:leader="none" w:pos="263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will not permit any subsidiary to, incur any Debt if, immediately after 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65% of the sum of (without duplication) (a)</w:t>
      </w:r>
    </w:p>
    <w:p>
      <w:pPr>
        <w:spacing w:after="0" w:line="5" w:lineRule="exact"/>
        <w:rPr>
          <w:rFonts w:ascii="Courier New" w:cs="Courier New" w:eastAsia="Courier New" w:hAnsi="Courier New"/>
          <w:sz w:val="16"/>
          <w:szCs w:val="16"/>
          <w:color w:val="auto"/>
        </w:rPr>
      </w:pPr>
    </w:p>
    <w:p>
      <w:pPr>
        <w:ind w:left="2260" w:right="321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Total Assets as of the end of the calendar quarter covered in our Annual Report on Form 10-K or</w:t>
      </w:r>
    </w:p>
    <w:p>
      <w:pPr>
        <w:spacing w:after="0" w:line="34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19"/>
          </w:cols>
          <w:pgMar w:left="240" w:top="659" w:right="1440" w:bottom="1440" w:gutter="0" w:footer="0" w:header="0"/>
        </w:sectPr>
      </w:pPr>
    </w:p>
    <w:bookmarkStart w:id="6" w:name="page7"/>
    <w:bookmarkEnd w:id="6"/>
    <w:p>
      <w:pPr>
        <w:ind w:left="20"/>
        <w:spacing w:after="0"/>
        <w:rPr>
          <w:sz w:val="20"/>
          <w:szCs w:val="20"/>
          <w:color w:val="auto"/>
        </w:rPr>
      </w:pPr>
      <w:r>
        <w:rPr>
          <w:rFonts w:ascii="Courier New" w:cs="Courier New" w:eastAsia="Courier New" w:hAnsi="Courier New"/>
          <w:sz w:val="16"/>
          <w:szCs w:val="16"/>
          <w:color w:val="auto"/>
        </w:rPr>
        <w:t>Quarterly Report on Form 10-Q, as the case may be,</w:t>
      </w:r>
    </w:p>
    <w:p>
      <w:pPr>
        <w:spacing w:after="0" w:line="5" w:lineRule="exact"/>
        <w:rPr>
          <w:sz w:val="20"/>
          <w:szCs w:val="20"/>
          <w:color w:val="auto"/>
        </w:rPr>
      </w:pPr>
    </w:p>
    <w:p>
      <w:pPr>
        <w:ind w:left="20" w:right="3799"/>
        <w:spacing w:after="0"/>
        <w:rPr>
          <w:sz w:val="20"/>
          <w:szCs w:val="20"/>
          <w:color w:val="auto"/>
        </w:rPr>
      </w:pPr>
      <w:r>
        <w:rPr>
          <w:rFonts w:ascii="Courier New" w:cs="Courier New" w:eastAsia="Courier New" w:hAnsi="Courier New"/>
          <w:sz w:val="16"/>
          <w:szCs w:val="16"/>
          <w:color w:val="auto"/>
        </w:rPr>
        <w:t>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8" w:lineRule="exact"/>
        <w:rPr>
          <w:sz w:val="20"/>
          <w:szCs w:val="20"/>
          <w:color w:val="auto"/>
        </w:rPr>
      </w:pPr>
    </w:p>
    <w:p>
      <w:pPr>
        <w:ind w:left="20" w:right="3699" w:firstLine="6"/>
        <w:spacing w:after="0" w:line="256" w:lineRule="auto"/>
        <w:tabs>
          <w:tab w:leader="none" w:pos="39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w:t>
      </w:r>
    </w:p>
    <w:p>
      <w:pPr>
        <w:spacing w:after="0" w:line="4" w:lineRule="exact"/>
        <w:rPr>
          <w:rFonts w:ascii="Courier New" w:cs="Courier New" w:eastAsia="Courier New" w:hAnsi="Courier New"/>
          <w:sz w:val="15"/>
          <w:szCs w:val="15"/>
          <w:color w:val="auto"/>
        </w:rPr>
      </w:pPr>
    </w:p>
    <w:p>
      <w:pPr>
        <w:ind w:left="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on Form 10-K or Quarterly Report on Form 10-Q, as</w:t>
      </w:r>
    </w:p>
    <w:p>
      <w:pPr>
        <w:spacing w:after="0" w:line="4" w:lineRule="exact"/>
        <w:rPr>
          <w:rFonts w:ascii="Courier New" w:cs="Courier New" w:eastAsia="Courier New" w:hAnsi="Courier New"/>
          <w:sz w:val="15"/>
          <w:szCs w:val="15"/>
          <w:color w:val="auto"/>
        </w:rPr>
      </w:pPr>
    </w:p>
    <w:p>
      <w:pPr>
        <w:ind w:left="20" w:right="379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provided that for purposes of this limitation, the amount of obligations under capital leases shown as a liability on our consolidated balance sheet shall be deducted from Debt and from Total Assets;</w:t>
      </w:r>
    </w:p>
    <w:p>
      <w:pPr>
        <w:spacing w:after="0" w:line="10" w:lineRule="exact"/>
        <w:rPr>
          <w:rFonts w:ascii="Courier New" w:cs="Courier New" w:eastAsia="Courier New" w:hAnsi="Courier New"/>
          <w:sz w:val="15"/>
          <w:szCs w:val="15"/>
          <w:color w:val="auto"/>
        </w:rPr>
      </w:pPr>
    </w:p>
    <w:p>
      <w:pPr>
        <w:ind w:left="20" w:right="3799" w:firstLine="6"/>
        <w:spacing w:after="0" w:line="239" w:lineRule="auto"/>
        <w:tabs>
          <w:tab w:leader="none" w:pos="39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w:t>
      </w:r>
    </w:p>
    <w:p>
      <w:pPr>
        <w:spacing w:after="0" w:line="367"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9019"/>
          </w:cols>
          <w:pgMar w:left="1440" w:top="1023" w:right="1440" w:bottom="1440" w:gutter="0" w:footer="0" w:header="0"/>
        </w:sectPr>
      </w:pPr>
    </w:p>
    <w:bookmarkStart w:id="7" w:name="page8"/>
    <w:bookmarkEnd w:id="7"/>
    <w:p>
      <w:pPr>
        <w:ind w:left="1900" w:right="2839"/>
        <w:spacing w:after="0"/>
        <w:rPr>
          <w:sz w:val="20"/>
          <w:szCs w:val="20"/>
          <w:color w:val="auto"/>
        </w:rPr>
      </w:pPr>
      <w:r>
        <w:rPr>
          <w:rFonts w:ascii="Courier New" w:cs="Courier New" w:eastAsia="Courier New" w:hAnsi="Courier New"/>
          <w:sz w:val="16"/>
          <w:szCs w:val="16"/>
          <w:color w:val="auto"/>
        </w:rPr>
        <w:t>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(c) in the case of Acquired Debt (as defined below)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202" w:lineRule="exact"/>
        <w:rPr>
          <w:sz w:val="20"/>
          <w:szCs w:val="20"/>
          <w:color w:val="auto"/>
        </w:rPr>
      </w:pPr>
    </w:p>
    <w:p>
      <w:pPr>
        <w:ind w:left="1900" w:right="3119" w:hanging="2"/>
        <w:spacing w:after="0" w:line="239" w:lineRule="auto"/>
        <w:tabs>
          <w:tab w:leader="none" w:pos="227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together with our subsidiaries, will maintain an Unencumbered Total Asset Value in an amount not less than 125% of the aggregate outstanding principal amount of all of our and our subsidiaries' unsecured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 The notes are redeemable at any time at our option, in</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whole or in part, at a redemption price equal to the</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greater of (1) 100% of the principal amount of the</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notes being redeemed, or (2) the sum of the present</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values of the remaining scheduled payments of</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principal and interest thereon discounted to the</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redemption date on a semi-annual basis at the</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Adjusted Treasury Rate plus 37.5 basis points plus, in</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each case, accrued interest thereon to the redemption</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date. See "Description of Notes--Optional</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Redemption."</w:t>
      </w:r>
    </w:p>
    <w:p>
      <w:pPr>
        <w:spacing w:after="0" w:line="200" w:lineRule="exact"/>
        <w:rPr>
          <w:sz w:val="20"/>
          <w:szCs w:val="20"/>
          <w:color w:val="auto"/>
        </w:rPr>
      </w:pP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039"/>
          </w:cols>
          <w:pgMar w:left="420" w:top="1027" w:right="1440" w:bottom="1440" w:gutter="0" w:footer="0" w:header="0"/>
        </w:sectPr>
      </w:pPr>
    </w:p>
    <w:bookmarkStart w:id="8" w:name="page9"/>
    <w:bookmarkEnd w:id="8"/>
    <w:p>
      <w:pPr>
        <w:ind w:left="2360"/>
        <w:spacing w:after="0"/>
        <w:rPr>
          <w:sz w:val="20"/>
          <w:szCs w:val="20"/>
          <w:color w:val="auto"/>
        </w:rPr>
      </w:pPr>
      <w:r>
        <w:rPr>
          <w:rFonts w:ascii="Courier New" w:cs="Courier New" w:eastAsia="Courier New" w:hAnsi="Courier New"/>
          <w:sz w:val="16"/>
          <w:szCs w:val="16"/>
          <w:color w:val="auto"/>
        </w:rPr>
        <w:t>2002 THIRD QUARTER HIGHLIGHTS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Third Quarter Summary Results of Operations</w:t>
      </w:r>
    </w:p>
    <w:p>
      <w:pPr>
        <w:spacing w:after="0" w:line="186"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Financial Results. On October 30, 2002, we announced our results of operations for the quarter ended September 30, 2002. For the quarter ended September 30, 2002, our funds from operations, or "FFO," were $29.7 million, as compared to $28.3 million reported for the same period in the prior year.</w:t>
      </w:r>
    </w:p>
    <w:p>
      <w:pPr>
        <w:spacing w:after="0" w:line="187"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FFO is a supplemental measure of real estate companies' operating performance developed by the National Association of Real Estate Investment Trusts ("NAREIT"). NAREIT defines FFO as follows: income available for common shareholders before depreciation and amortization of real estate assets and before extraordinary items less gains on sale of real estate. NAREIT developed FFO as a relative measure of performance and liquidity of an equity REIT in order to recognize that the value of income-producing real estate historically has not depreciated on the basis determined under generally accepted accounting principles, or GAAP. FFO does not represent cash flows from operating activities in accordance with GAAP (which, unlike FFO, generally reflects all cash effects of transactions and other events in the determination of net income) and should not be considered an alternative to net income as an indication of our performance or to cash flow as a measure of liquidity or ability to pay dividends. 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For a reconciliation of FFO to net income available for common shareholders, please review "Item 2. Management's Discussion and Analysis of Financial Condition and Results of Operations--Results of Operations" of our Form 10-Q for the quarter ended September 30, 2002.</w:t>
      </w:r>
    </w:p>
    <w:p>
      <w:pPr>
        <w:spacing w:after="0" w:line="196"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Portfolio Results. Our rental income for the quarter ended September 30, 2002 was $72.3 million. This represents an increase of 6.0% over the $68.2 million reported for the same period in the prior year. On a same-center basis, which excludes the impact of properties acquired, developed or sold during the analyzed periods, rental income increased 3.1% from $67.1 million to $69.2 million and net operating income increased 4.0% from $49.2 million to $51.2 million.</w:t>
      </w:r>
    </w:p>
    <w:p>
      <w:pPr>
        <w:spacing w:after="0" w:line="192"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At September 30, 2002, our occupancy remained strong at 95.5%, compared to 95.8% at September 30, 2001. During the third quarter, we signed leases for over 480,000 square feet of retail space. On a comparable retail space basis, we leased over 375,000 square feet at an average cash basis increase in rent per square foot of 20%. The weighted-average new rent on these same space leases was $19.05 per square foot compared to the previous average rent of $15.93 per square foot.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Santana Row Update</w:t>
      </w:r>
    </w:p>
    <w:p>
      <w:pPr>
        <w:spacing w:after="0" w:line="186" w:lineRule="exact"/>
        <w:rPr>
          <w:sz w:val="20"/>
          <w:szCs w:val="20"/>
          <w:color w:val="auto"/>
        </w:rPr>
      </w:pPr>
    </w:p>
    <w:p>
      <w:pPr>
        <w:ind w:right="2759" w:firstLine="284"/>
        <w:spacing w:after="0" w:line="257" w:lineRule="auto"/>
        <w:rPr>
          <w:sz w:val="20"/>
          <w:szCs w:val="20"/>
          <w:color w:val="auto"/>
        </w:rPr>
      </w:pPr>
      <w:r>
        <w:rPr>
          <w:rFonts w:ascii="Courier New" w:cs="Courier New" w:eastAsia="Courier New" w:hAnsi="Courier New"/>
          <w:sz w:val="15"/>
          <w:szCs w:val="15"/>
          <w:color w:val="auto"/>
        </w:rPr>
        <w:t>Santana Row is our multi-phase, mixed-use project being built on 42 acres in San Jose, California in the heart of Silicon Valley. On August 19, 2002, a fire broke out at Building Seven in the Santana Row project. Building Seven contained approximately 87,000 square feet of retail space, approximately 1,000 parking spaces and 246 residential units. All but 11 of the residential units in the building, which were originally scheduled to open in early 2003, were destroyed. The retail units and parking structure sustained water and smoke damage but were not structurally impaired. The opening of these retail units, originally scheduled for September 2002, will be delayed until early 2003. The damage related to the fire was limited almost entirely to this single building. We believe that we have adequate insurance coverage to substantially cover our losses from the fire. We estimate the insurance claim to be in the range of $70 million to $90 million which includes costs to clean-up, repair and rebuild, as well as to cover soft costs and lost rents. The cause of the fire has yet to be determined but will not affect our insurance claim. To date, we have received $21 million from our insurance carrier, of which $20 million is being held in escrow by our construction lender, and we intend to use the escrowed funds as part of the payoff and retirement of the construction loan.</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S-7</w:t>
      </w:r>
    </w:p>
    <w:p>
      <w:pPr>
        <w:sectPr>
          <w:pgSz w:w="11900" w:h="16838" w:orient="portrait"/>
          <w:cols w:equalWidth="0" w:num="1">
            <w:col w:w="10219"/>
          </w:cols>
          <w:pgMar w:left="240" w:top="659" w:right="1440" w:bottom="1440" w:gutter="0" w:footer="0" w:header="0"/>
        </w:sectPr>
      </w:pPr>
    </w:p>
    <w:bookmarkStart w:id="9" w:name="page10"/>
    <w:bookmarkEnd w:id="9"/>
    <w:p>
      <w:pPr>
        <w:ind w:right="2759" w:firstLine="284"/>
        <w:spacing w:after="0"/>
        <w:rPr>
          <w:sz w:val="20"/>
          <w:szCs w:val="20"/>
          <w:color w:val="auto"/>
        </w:rPr>
      </w:pPr>
      <w:r>
        <w:rPr>
          <w:rFonts w:ascii="Courier New" w:cs="Courier New" w:eastAsia="Courier New" w:hAnsi="Courier New"/>
          <w:sz w:val="16"/>
          <w:szCs w:val="16"/>
          <w:color w:val="auto"/>
        </w:rPr>
        <w:t>As a result of the fire and the resulting delay in the opening of the project from September 19, 2002, we have redefined Phase I of the project. The redefined Phase I of the project includes a 1,500-foot-long main street and eight buildings which will contain approximately 445,000 square feet of retail space, 255 residential units, a 214 room hotel and the supporting infrastructure. Crate &amp; Barrel, a 40,000 square foot anchor tenant, opened at Santana Row on June 27, 2002. An additional 123,623 square feet of Phase I retail space at Santana Row opened on November 7, 2002, and the remaining Phase I retail space is scheduled to open at various times from now through Spring 2003.</w:t>
      </w:r>
    </w:p>
    <w:p>
      <w:pPr>
        <w:spacing w:after="0" w:line="188" w:lineRule="exact"/>
        <w:rPr>
          <w:sz w:val="20"/>
          <w:szCs w:val="20"/>
          <w:color w:val="auto"/>
        </w:rPr>
      </w:pPr>
    </w:p>
    <w:p>
      <w:pPr>
        <w:ind w:right="3419" w:firstLine="284"/>
        <w:spacing w:after="0" w:line="237" w:lineRule="auto"/>
        <w:rPr>
          <w:sz w:val="20"/>
          <w:szCs w:val="20"/>
          <w:color w:val="auto"/>
        </w:rPr>
      </w:pPr>
      <w:r>
        <w:rPr>
          <w:rFonts w:ascii="Courier New" w:cs="Courier New" w:eastAsia="Courier New" w:hAnsi="Courier New"/>
          <w:sz w:val="16"/>
          <w:szCs w:val="16"/>
          <w:color w:val="auto"/>
        </w:rPr>
        <w:t>As of September 30, 2002 the retail leasing status of the Santana Row project was as follows:</w:t>
      </w:r>
    </w:p>
    <w:p>
      <w:pPr>
        <w:spacing w:after="0" w:line="200" w:lineRule="exact"/>
        <w:rPr>
          <w:sz w:val="20"/>
          <w:szCs w:val="20"/>
          <w:color w:val="auto"/>
        </w:rPr>
      </w:pPr>
    </w:p>
    <w:p>
      <w:pPr>
        <w:spacing w:after="0" w:line="347"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Santana Row Leasing Status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Percentage of Available Retail Percentage of First Floor "Main</w:t>
      </w:r>
    </w:p>
    <w:p>
      <w:pPr>
        <w:spacing w:after="0" w:line="8" w:lineRule="exact"/>
        <w:rPr>
          <w:sz w:val="20"/>
          <w:szCs w:val="20"/>
          <w:color w:val="auto"/>
        </w:rPr>
      </w:pPr>
    </w:p>
    <w:p>
      <w:pPr>
        <w:ind w:left="3300"/>
        <w:spacing w:after="0"/>
        <w:tabs>
          <w:tab w:leader="none" w:pos="5840" w:val="left"/>
        </w:tabs>
        <w:rPr>
          <w:sz w:val="20"/>
          <w:szCs w:val="20"/>
          <w:color w:val="auto"/>
        </w:rPr>
      </w:pPr>
      <w:r>
        <w:rPr>
          <w:rFonts w:ascii="Courier New" w:cs="Courier New" w:eastAsia="Courier New" w:hAnsi="Courier New"/>
          <w:sz w:val="16"/>
          <w:szCs w:val="16"/>
          <w:color w:val="auto"/>
        </w:rPr>
        <w:t>Square Footage</w:t>
      </w:r>
      <w:r>
        <w:rPr>
          <w:sz w:val="20"/>
          <w:szCs w:val="20"/>
          <w:color w:val="auto"/>
        </w:rPr>
        <w:tab/>
      </w:r>
      <w:r>
        <w:rPr>
          <w:rFonts w:ascii="Courier New" w:cs="Courier New" w:eastAsia="Courier New" w:hAnsi="Courier New"/>
          <w:sz w:val="15"/>
          <w:szCs w:val="15"/>
          <w:color w:val="auto"/>
        </w:rPr>
        <w:t>Street" Square Footage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63" w:right="1440" w:bottom="1440" w:gutter="0" w:footer="0" w:header="0"/>
        </w:sectPr>
      </w:pPr>
    </w:p>
    <w:p>
      <w:pPr>
        <w:spacing w:after="0" w:line="194" w:lineRule="exact"/>
        <w:rPr>
          <w:sz w:val="20"/>
          <w:szCs w:val="20"/>
          <w:color w:val="auto"/>
        </w:rPr>
      </w:pPr>
    </w:p>
    <w:p>
      <w:pPr>
        <w:ind w:right="700"/>
        <w:spacing w:after="0" w:line="390" w:lineRule="auto"/>
        <w:rPr>
          <w:sz w:val="20"/>
          <w:szCs w:val="20"/>
          <w:color w:val="auto"/>
        </w:rPr>
      </w:pPr>
      <w:r>
        <w:rPr>
          <w:rFonts w:ascii="Courier New" w:cs="Courier New" w:eastAsia="Courier New" w:hAnsi="Courier New"/>
          <w:sz w:val="15"/>
          <w:szCs w:val="15"/>
          <w:color w:val="auto"/>
        </w:rPr>
        <w:t>Leased.................... Executed Letters of Intent Total..................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92%</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720"/>
            <w:col w:w="2200" w:space="720"/>
            <w:col w:w="3419"/>
          </w:cols>
          <w:pgMar w:left="240" w:top="663" w:right="1440" w:bottom="1440" w:gutter="0" w:footer="0" w:header="0"/>
          <w:type w:val="continuous"/>
        </w:sectPr>
      </w:pPr>
    </w:p>
    <w:p>
      <w:pPr>
        <w:spacing w:after="0" w:line="168"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We estimate the total cost of Phase I to be approximately $445 million, net of insurance proceeds, which includes the acquisition and infrastructure costs for 19 acres of undeveloped land on which we have entitlements to build an additional 946 residential units and approximately 150,000 square feet of additional retail space. As of September 30, 2002, costs of approximately $396 million have been funded. We have capacity under our $300 million credit facility that is more than sufficient to fund, prior to receipt of insurance proceeds, the remaining $49 million of costs to complete Phase I.</w:t>
      </w:r>
    </w:p>
    <w:p>
      <w:pPr>
        <w:spacing w:after="0" w:line="176"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We are evaluating our Building Seven residential options and alternatives, taking into account costs incurred to date, costs to rebuild and market conditions. We believe that we will be able to rebuild an economically viable residential component for Building Seven. We have not determined the scope of future phases of Santana Row and will not do so until the success of Phase I and future demand for retail and residential space is determined. However, as Phase I utilizes only part of the retail and residential entitlements of the property, and as Phase I contains infrastructure for future phases, we expect to identify and execute economically viable additional phases to the project. Future phases will be smaller in scope and will compete for our capital with other investment opportunities that are consistent with our business strategy.</w:t>
      </w:r>
    </w:p>
    <w:p>
      <w:pPr>
        <w:spacing w:after="0" w:line="17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USE OF PROCEEDS</w:t>
      </w:r>
    </w:p>
    <w:p>
      <w:pPr>
        <w:spacing w:after="0" w:line="18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6"/>
          <w:szCs w:val="16"/>
          <w:color w:val="auto"/>
        </w:rPr>
        <w:t>The net proceeds to us from the sale of the notes offered hereby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estimated to be $148.2 million after deducting the discount payable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and other estimated expenses of this offering. We will use these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proceeds, together with $20 million in available insurance proceeds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relating to the Santana Row fire, and approximately $7.1 million in borrowings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our $300 million credit facility, to pay in full and retire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construction loan for the Santana Row development in San Jose, California.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Santana Row construction loan, which has a current outstanding balance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$175.3 million, is due in April 2004 and bears interest at an annual rate equal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at our election, the prime rate plus 0.375% or LIBOR plus 2.125%.</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19"/>
          </w:cols>
          <w:pgMar w:left="240" w:top="663" w:right="1440" w:bottom="1440" w:gutter="0" w:footer="0" w:header="0"/>
          <w:type w:val="continuous"/>
        </w:sectPr>
      </w:pPr>
    </w:p>
    <w:bookmarkStart w:id="10" w:name="page11"/>
    <w:bookmarkEnd w:id="10"/>
    <w:p>
      <w:pPr>
        <w:ind w:left="2083"/>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86" w:lineRule="exact"/>
        <w:rPr>
          <w:sz w:val="20"/>
          <w:szCs w:val="20"/>
          <w:color w:val="auto"/>
        </w:rPr>
      </w:pPr>
    </w:p>
    <w:p>
      <w:pPr>
        <w:ind w:left="3" w:right="2839" w:firstLine="284"/>
        <w:spacing w:after="0" w:line="238" w:lineRule="auto"/>
        <w:rPr>
          <w:sz w:val="20"/>
          <w:szCs w:val="20"/>
          <w:color w:val="auto"/>
        </w:rPr>
      </w:pPr>
      <w:r>
        <w:rPr>
          <w:rFonts w:ascii="Courier New" w:cs="Courier New" w:eastAsia="Courier New" w:hAnsi="Courier New"/>
          <w:sz w:val="16"/>
          <w:szCs w:val="16"/>
          <w:color w:val="auto"/>
        </w:rPr>
        <w:t>The following table sets forth our historical consolidated ratios of earnings to fixed charges and our ratios of earnings to combined fixed charges and preferred stock dividends for the periods shown:</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6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Nine Months Ended</w:t>
            </w:r>
          </w:p>
        </w:tc>
      </w:tr>
      <w:tr>
        <w:trPr>
          <w:trHeight w:val="182"/>
        </w:trPr>
        <w:tc>
          <w:tcPr>
            <w:tcW w:w="16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Year Ended December</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31,</w:t>
            </w:r>
          </w:p>
        </w:tc>
        <w:tc>
          <w:tcPr>
            <w:tcW w:w="1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16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36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9"/>
              </w:rPr>
              <w:t>------------------------</w:t>
            </w:r>
          </w:p>
        </w:tc>
        <w:tc>
          <w:tcPr>
            <w:tcW w:w="1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r>
      <w:tr>
        <w:trPr>
          <w:trHeight w:val="182"/>
        </w:trPr>
        <w:tc>
          <w:tcPr>
            <w:tcW w:w="16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2001</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2001</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16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r>
      <w:tr>
        <w:trPr>
          <w:trHeight w:val="364"/>
        </w:trPr>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w w:val="96"/>
              </w:rPr>
              <w:t>Ratio of earnings</w:t>
            </w:r>
          </w:p>
        </w:tc>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to fixed charges.......................</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1.7x</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1.7x</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1.7x</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1.5x</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1.5x</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1.5x</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1.4x(1)</w:t>
            </w:r>
          </w:p>
        </w:tc>
      </w:tr>
      <w:tr>
        <w:trPr>
          <w:trHeight w:val="182"/>
        </w:trPr>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w w:val="96"/>
              </w:rPr>
              <w:t>Ratio of earnings</w:t>
            </w:r>
          </w:p>
        </w:tc>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to combined fixed charges and preferred</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share dividends</w:t>
            </w:r>
          </w:p>
        </w:tc>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1.6x</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1.5x</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1.5x</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1.4x</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1.3x</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1.4x</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1.1x(1)</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2759" w:hanging="383"/>
        <w:spacing w:after="0" w:line="239" w:lineRule="auto"/>
        <w:tabs>
          <w:tab w:leader="none" w:pos="38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a one-time $8.5 million restructuring charge incurred in the first quarter of 2002, for the nine months ended September 30, 2002, the ratio of earnings to fixed charges would have been 1.5x, and the ratio of earnings to combined fixed charges and preferred share dividends would have been 1.2x.</w:t>
      </w:r>
    </w:p>
    <w:p>
      <w:pPr>
        <w:spacing w:after="0" w:line="189" w:lineRule="exact"/>
        <w:rPr>
          <w:sz w:val="20"/>
          <w:szCs w:val="20"/>
          <w:color w:val="auto"/>
        </w:rPr>
      </w:pPr>
    </w:p>
    <w:p>
      <w:pPr>
        <w:ind w:left="3" w:right="2759" w:firstLine="284"/>
        <w:spacing w:after="0"/>
        <w:rPr>
          <w:sz w:val="20"/>
          <w:szCs w:val="20"/>
          <w:color w:val="auto"/>
        </w:rPr>
      </w:pPr>
      <w:r>
        <w:rPr>
          <w:rFonts w:ascii="Courier New" w:cs="Courier New" w:eastAsia="Courier New" w:hAnsi="Courier New"/>
          <w:sz w:val="16"/>
          <w:szCs w:val="16"/>
          <w:color w:val="auto"/>
        </w:rPr>
        <w:t>The ratios of earnings to fixed charges were computed by dividing earnings by fixed charges. For this purpose, earnings consist of income before gain (loss) on sale of real estate and fixed charges. Fixed charges consist of interest on borrowed funds (including capitalized interest), amortization of debt discount and expense and the portion of rent expense representing an interest factor. The ratios of earnings to combined fixed charges and preferred stock dividends were computed by dividing earnings by the sum of fixed charges and preferred stock dividend requirements. Preferred share dividends consist of dividends paid on our outstanding Series A preferred shares and Series B preferred shares.</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S-9</w:t>
      </w:r>
    </w:p>
    <w:p>
      <w:pPr>
        <w:sectPr>
          <w:pgSz w:w="11900" w:h="16838" w:orient="portrait"/>
          <w:cols w:equalWidth="0" w:num="1">
            <w:col w:w="10222"/>
          </w:cols>
          <w:pgMar w:left="237" w:top="659" w:right="1440" w:bottom="1440" w:gutter="0" w:footer="0" w:header="0"/>
        </w:sectPr>
      </w:pPr>
    </w:p>
    <w:bookmarkStart w:id="11" w:name="page12"/>
    <w:bookmarkEnd w:id="11"/>
    <w:p>
      <w:pPr>
        <w:ind w:left="3023"/>
        <w:spacing w:after="0"/>
        <w:rPr>
          <w:sz w:val="20"/>
          <w:szCs w:val="20"/>
          <w:color w:val="auto"/>
        </w:rPr>
      </w:pPr>
      <w:r>
        <w:rPr>
          <w:rFonts w:ascii="Courier New" w:cs="Courier New" w:eastAsia="Courier New" w:hAnsi="Courier New"/>
          <w:sz w:val="16"/>
          <w:szCs w:val="16"/>
          <w:color w:val="auto"/>
        </w:rPr>
        <w:t>CAPITALIZATION</w:t>
      </w:r>
    </w:p>
    <w:p>
      <w:pPr>
        <w:spacing w:after="0" w:line="183"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The following table sets forth our unaudited historical capitalization as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September 30, 2002, and on an as adjusted basis assuming:</w:t>
      </w:r>
    </w:p>
    <w:p>
      <w:pPr>
        <w:spacing w:after="0" w:line="183" w:lineRule="exact"/>
        <w:rPr>
          <w:sz w:val="20"/>
          <w:szCs w:val="20"/>
          <w:color w:val="auto"/>
        </w:rPr>
      </w:pPr>
    </w:p>
    <w:p>
      <w:pPr>
        <w:ind w:left="563" w:hanging="374"/>
        <w:spacing w:after="0"/>
        <w:tabs>
          <w:tab w:leader="none" w:pos="56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completion of this offering;</w:t>
      </w:r>
    </w:p>
    <w:p>
      <w:pPr>
        <w:spacing w:after="0" w:line="186" w:lineRule="exact"/>
        <w:rPr>
          <w:sz w:val="20"/>
          <w:szCs w:val="20"/>
          <w:color w:val="auto"/>
        </w:rPr>
      </w:pPr>
    </w:p>
    <w:p>
      <w:pPr>
        <w:ind w:left="563" w:right="3419" w:hanging="374"/>
        <w:spacing w:after="0" w:line="237" w:lineRule="auto"/>
        <w:tabs>
          <w:tab w:leader="none" w:pos="56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borrowings of approximately $7.1 million under our $300 million credit facility; and</w:t>
      </w:r>
    </w:p>
    <w:p>
      <w:pPr>
        <w:spacing w:after="0" w:line="188" w:lineRule="exact"/>
        <w:rPr>
          <w:sz w:val="20"/>
          <w:szCs w:val="20"/>
          <w:color w:val="auto"/>
        </w:rPr>
      </w:pPr>
    </w:p>
    <w:p>
      <w:pPr>
        <w:ind w:left="563" w:right="3039" w:hanging="374"/>
        <w:spacing w:after="0" w:line="239" w:lineRule="auto"/>
        <w:tabs>
          <w:tab w:leader="none" w:pos="56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use of the net proceeds from this offering, the proceeds of the borrowings and $20 million of available insurance proceeds relating to the Santana Row fire to pay in full and retire the Santana Row construction loan.</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September 30, 2002</w:t>
            </w:r>
          </w:p>
        </w:tc>
      </w:tr>
      <w:tr>
        <w:trPr>
          <w:trHeight w:val="182"/>
        </w:trPr>
        <w:tc>
          <w:tcPr>
            <w:tcW w:w="5440" w:type="dxa"/>
            <w:vAlign w:val="bottom"/>
          </w:tcPr>
          <w:p>
            <w:pPr>
              <w:spacing w:after="0"/>
              <w:rPr>
                <w:sz w:val="15"/>
                <w:szCs w:val="15"/>
                <w:color w:val="auto"/>
              </w:rPr>
            </w:pPr>
          </w:p>
        </w:tc>
        <w:tc>
          <w:tcPr>
            <w:tcW w:w="260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Historical</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As Adjusted</w:t>
            </w:r>
          </w:p>
        </w:tc>
      </w:tr>
      <w:tr>
        <w:trPr>
          <w:trHeight w:val="182"/>
        </w:trPr>
        <w:tc>
          <w:tcPr>
            <w:tcW w:w="544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(in thousands)</w:t>
            </w:r>
          </w:p>
        </w:tc>
      </w:tr>
      <w:tr>
        <w:trPr>
          <w:trHeight w:val="364"/>
        </w:trPr>
        <w:tc>
          <w:tcPr>
            <w:tcW w:w="5440" w:type="dxa"/>
            <w:vAlign w:val="bottom"/>
          </w:tcPr>
          <w:p>
            <w:pPr>
              <w:spacing w:after="0"/>
              <w:rPr>
                <w:sz w:val="20"/>
                <w:szCs w:val="20"/>
                <w:color w:val="auto"/>
              </w:rPr>
            </w:pPr>
            <w:r>
              <w:rPr>
                <w:rFonts w:ascii="Courier New" w:cs="Courier New" w:eastAsia="Courier New" w:hAnsi="Courier New"/>
                <w:sz w:val="16"/>
                <w:szCs w:val="16"/>
                <w:color w:val="auto"/>
              </w:rPr>
              <w:t>Debt (including obligations under capital leases):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Obligations under capital leases......................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104,454</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104,454</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Mortgages and construction loans payable..............</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440,267(1)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288,942(2)</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Notes payable.........................................</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192,343</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199,478</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Senior notes and debentures...........................</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385,000</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385,000</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5.25% Convertible subordinated debentures.............</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75,000</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75,000</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6 1/8% Notes due November 15, 2007....................</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150,000</w:t>
            </w:r>
          </w:p>
        </w:tc>
      </w:tr>
      <w:tr>
        <w:trPr>
          <w:trHeight w:val="182"/>
        </w:trPr>
        <w:tc>
          <w:tcPr>
            <w:tcW w:w="544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Total debt........................................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w w:val="97"/>
              </w:rPr>
              <w:t>1,197,064(1)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1,202,874(2)</w:t>
            </w:r>
          </w:p>
        </w:tc>
      </w:tr>
      <w:tr>
        <w:trPr>
          <w:trHeight w:val="182"/>
        </w:trPr>
        <w:tc>
          <w:tcPr>
            <w:tcW w:w="544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w w:val="97"/>
              </w:rPr>
              <w:t>Investors' interest in consolidated assets...............</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29,987</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29,987</w:t>
            </w:r>
          </w:p>
        </w:tc>
      </w:tr>
      <w:tr>
        <w:trPr>
          <w:trHeight w:val="182"/>
        </w:trPr>
        <w:tc>
          <w:tcPr>
            <w:tcW w:w="544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7.95% Series A Cumulative Redeemable Preferred Shares.</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100,000</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100,000</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8.5% Series B Cumulative Redeemable Preferred Shares..</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135,000</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135,000</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Common Shares.........................................</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448</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448</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 in capital............................</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812,354</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812,354</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4"/>
              </w:rPr>
              <w:t>(345,645)</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(345,645)</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Less: Treasury shares and other.......................</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(55,768)</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(55,768)</w:t>
            </w:r>
          </w:p>
        </w:tc>
      </w:tr>
      <w:tr>
        <w:trPr>
          <w:trHeight w:val="182"/>
        </w:trPr>
        <w:tc>
          <w:tcPr>
            <w:tcW w:w="544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Total shareholders' equity........................</w:t>
            </w:r>
          </w:p>
        </w:tc>
        <w:tc>
          <w:tcPr>
            <w:tcW w:w="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646,389</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646,389</w:t>
            </w:r>
          </w:p>
        </w:tc>
      </w:tr>
      <w:tr>
        <w:trPr>
          <w:trHeight w:val="182"/>
        </w:trPr>
        <w:tc>
          <w:tcPr>
            <w:tcW w:w="544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Total capitalization...........................</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4"/>
              </w:rPr>
              <w:t>1,873,440</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$1,879,250</w:t>
            </w:r>
          </w:p>
        </w:tc>
      </w:tr>
      <w:tr>
        <w:trPr>
          <w:trHeight w:val="182"/>
        </w:trPr>
        <w:tc>
          <w:tcPr>
            <w:tcW w:w="5440" w:type="dxa"/>
            <w:vAlign w:val="bottom"/>
          </w:tcPr>
          <w:p>
            <w:pPr>
              <w:spacing w:after="0"/>
              <w:rPr>
                <w:sz w:val="15"/>
                <w:szCs w:val="15"/>
                <w:color w:val="auto"/>
              </w:rPr>
            </w:pPr>
          </w:p>
        </w:tc>
        <w:tc>
          <w:tcPr>
            <w:tcW w:w="13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9"/>
              </w:rPr>
              <w:t>==========</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2939" w:hanging="383"/>
        <w:spacing w:after="0" w:line="260" w:lineRule="auto"/>
        <w:tabs>
          <w:tab w:leader="none" w:pos="38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reflect an additional approximately $24.0 million outstanding under the Santana Row construction loan as of the date of this prospectus supplement as a result of draws of approximately $40.0 million and repayment of $16.0 million subsequent to September 30, 2002.</w:t>
      </w:r>
    </w:p>
    <w:p>
      <w:pPr>
        <w:spacing w:after="0" w:line="173" w:lineRule="exact"/>
        <w:rPr>
          <w:rFonts w:ascii="Courier New" w:cs="Courier New" w:eastAsia="Courier New" w:hAnsi="Courier New"/>
          <w:sz w:val="15"/>
          <w:szCs w:val="15"/>
          <w:color w:val="auto"/>
        </w:rPr>
      </w:pPr>
    </w:p>
    <w:p>
      <w:pPr>
        <w:ind w:left="383" w:right="2839" w:hanging="383"/>
        <w:spacing w:after="0" w:line="238" w:lineRule="auto"/>
        <w:tabs>
          <w:tab w:leader="none" w:pos="38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reflect payment in full of the additional approximately $24.0 million outstanding under the Santana Row construction loan as of the date of this prospectus supplement, as described in Note (1).</w:t>
      </w:r>
    </w:p>
    <w:p>
      <w:pPr>
        <w:spacing w:after="0" w:line="184"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S-10</w:t>
      </w:r>
    </w:p>
    <w:p>
      <w:pPr>
        <w:sectPr>
          <w:pgSz w:w="11900" w:h="16838" w:orient="portrait"/>
          <w:cols w:equalWidth="0" w:num="1">
            <w:col w:w="10222"/>
          </w:cols>
          <w:pgMar w:left="237" w:top="659" w:right="1440" w:bottom="1440" w:gutter="0" w:footer="0" w:header="0"/>
        </w:sectPr>
      </w:pPr>
    </w:p>
    <w:bookmarkStart w:id="12" w:name="page13"/>
    <w:bookmarkEnd w:id="12"/>
    <w:p>
      <w:pPr>
        <w:ind w:left="1980"/>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6" w:lineRule="exact"/>
        <w:rPr>
          <w:sz w:val="20"/>
          <w:szCs w:val="20"/>
          <w:color w:val="auto"/>
        </w:rPr>
      </w:pPr>
    </w:p>
    <w:p>
      <w:pPr>
        <w:ind w:right="4060" w:firstLine="284"/>
        <w:spacing w:after="0"/>
        <w:rPr>
          <w:sz w:val="20"/>
          <w:szCs w:val="20"/>
          <w:color w:val="auto"/>
        </w:rPr>
      </w:pPr>
      <w:r>
        <w:rPr>
          <w:rFonts w:ascii="Courier New" w:cs="Courier New" w:eastAsia="Courier New" w:hAnsi="Courier New"/>
          <w:sz w:val="16"/>
          <w:szCs w:val="16"/>
          <w:color w:val="auto"/>
        </w:rPr>
        <w:t>The following table sets forth our selected unaudited consolidated financial data and should be read in conjunction with the consolidated financial statements and notes incorporated by reference in the accompanying prospectus. Our selected operating, other and balance sheet data for the years ended December 31, 2001, 2000 and 1999 and for the periods then ended have been derived from financial statements audited by Arthur Andersen LLP, independent accountants. Our selected operating, other and balance sheet data for the years ended December 31, 1998 and 1997 and for the periods then ended have been derived from financial statements audited by Grant Thornton LLP, independent accountants. Our selected operating, other and balance sheet data for the years 1977 through 2001 have been reclassified to conform to the presentation in 2002 as they relate to income from operations of discontinued assets and the presentation of tax loans receivable issued in connection with employee stock plans as contra-equity. The unaudited financial data for the nine months ended September 30, 2002 and 2001 includes all adjustments, consisting of normal recurring accruals, which we consider necessary for the fair presentation of our financial position and the results of operations for such period. The results for the nine-month period may not be indicative of the results to be expected for the full year.</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60" w:type="dxa"/>
            <w:vAlign w:val="bottom"/>
          </w:tcPr>
          <w:p>
            <w:pPr>
              <w:spacing w:after="0"/>
              <w:rPr>
                <w:sz w:val="15"/>
                <w:szCs w:val="15"/>
                <w:color w:val="auto"/>
              </w:rPr>
            </w:pPr>
          </w:p>
        </w:tc>
        <w:tc>
          <w:tcPr>
            <w:tcW w:w="190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Nine months ended</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spacing w:after="0"/>
              <w:rPr>
                <w:sz w:val="15"/>
                <w:szCs w:val="15"/>
                <w:color w:val="auto"/>
              </w:rPr>
            </w:pPr>
          </w:p>
        </w:tc>
        <w:tc>
          <w:tcPr>
            <w:tcW w:w="1900" w:type="dxa"/>
            <w:vAlign w:val="bottom"/>
            <w:gridSpan w:val="3"/>
          </w:tcPr>
          <w:p>
            <w:pPr>
              <w:jc w:val="right"/>
              <w:ind w:right="261"/>
              <w:spacing w:after="0"/>
              <w:rPr>
                <w:sz w:val="20"/>
                <w:szCs w:val="20"/>
                <w:color w:val="auto"/>
              </w:rPr>
            </w:pPr>
            <w:r>
              <w:rPr>
                <w:rFonts w:ascii="Courier New" w:cs="Courier New" w:eastAsia="Courier New" w:hAnsi="Courier New"/>
                <w:sz w:val="16"/>
                <w:szCs w:val="16"/>
                <w:color w:val="auto"/>
              </w:rPr>
              <w:t>September 30,</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3"/>
          </w:tcPr>
          <w:p>
            <w:pPr>
              <w:jc w:val="right"/>
              <w:ind w:right="261"/>
              <w:spacing w:after="0"/>
              <w:rPr>
                <w:sz w:val="20"/>
                <w:szCs w:val="20"/>
                <w:color w:val="auto"/>
              </w:rPr>
            </w:pPr>
            <w:r>
              <w:rPr>
                <w:rFonts w:ascii="Courier New" w:cs="Courier New" w:eastAsia="Courier New" w:hAnsi="Courier New"/>
                <w:sz w:val="16"/>
                <w:szCs w:val="16"/>
                <w:color w:val="auto"/>
              </w:rPr>
              <w:t>Year-ended December 31,</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spacing w:after="0"/>
              <w:rPr>
                <w:sz w:val="15"/>
                <w:szCs w:val="15"/>
                <w:color w:val="auto"/>
              </w:rPr>
            </w:pPr>
          </w:p>
        </w:tc>
        <w:tc>
          <w:tcPr>
            <w:tcW w:w="4660" w:type="dxa"/>
            <w:vAlign w:val="bottom"/>
            <w:gridSpan w:val="8"/>
          </w:tcPr>
          <w:p>
            <w:pPr>
              <w:jc w:val="right"/>
              <w:ind w:right="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(in thousands, except ratio</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c>
          <w:tcPr>
            <w:tcW w:w="8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information and per share data)</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Rental income.....................................</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$214,242</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$201,177</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$274,567</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$255,634</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$241,356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$218,062</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$185,770</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Other property income.............................</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11,393</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10,189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13,953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11,023</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11,203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10,261</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9,697</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Interest and other income.........................</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3,762</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5,275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6,590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7,532</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7,649</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5,936</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6,036</w:t>
            </w:r>
          </w:p>
        </w:tc>
      </w:tr>
      <w:tr>
        <w:trPr>
          <w:trHeight w:val="182"/>
        </w:trPr>
        <w:tc>
          <w:tcPr>
            <w:tcW w:w="496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229,397</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216,641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295,110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274,189</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260,208</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234,259</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201,503</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45,313</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52,360</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69,313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66,418</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61,492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55,125</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47,288</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47,826</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43,561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59,171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52,559</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49,359</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45,435</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40,966</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Property expenses.................................</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72,366</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65,655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91,063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81,842</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77,715</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71,887</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61,901</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General, administrative and other (1).............</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18,698</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9,971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14,281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13,318</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15,120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16,461</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11,744</w:t>
            </w:r>
          </w:p>
        </w:tc>
      </w:tr>
      <w:tr>
        <w:trPr>
          <w:trHeight w:val="182"/>
        </w:trPr>
        <w:tc>
          <w:tcPr>
            <w:tcW w:w="496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184,203</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171,547</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233,828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214,137</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203,686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188,908</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161,899</w:t>
            </w:r>
          </w:p>
        </w:tc>
      </w:tr>
      <w:tr>
        <w:trPr>
          <w:trHeight w:val="182"/>
        </w:trPr>
        <w:tc>
          <w:tcPr>
            <w:tcW w:w="496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Income before investors' share of operations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gain (loss) on sale of real estate.................</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45,194</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45,094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61,282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60,052</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56,522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45,351</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39,604</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Investors' share of operations......................</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(3,357)</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(3,991)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(5,170)</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(6,544)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(3,899)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(3,124)</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(1,342)</w:t>
            </w:r>
          </w:p>
        </w:tc>
      </w:tr>
      <w:tr>
        <w:trPr>
          <w:trHeight w:val="182"/>
        </w:trPr>
        <w:tc>
          <w:tcPr>
            <w:tcW w:w="496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before gain (loss) on sale of real estate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discontinued operations............................</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41,837</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41,103</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56,112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53,508</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52,623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42,227</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38,262</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from operations of discontinued assets.......</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1,217</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2,581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3,459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3,334</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2,870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2,733</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1,867</w:t>
            </w:r>
          </w:p>
        </w:tc>
      </w:tr>
      <w:tr>
        <w:trPr>
          <w:trHeight w:val="182"/>
        </w:trPr>
        <w:tc>
          <w:tcPr>
            <w:tcW w:w="496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before gain (loss) on sale of real estate....</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43,054</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43,684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59,571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56,842</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55,493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44,960</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40,129</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Gain (loss) on sale of real estate..................</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9,454</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7,898</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9,185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3,681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(7,050)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6,375</w:t>
            </w:r>
          </w:p>
        </w:tc>
      </w:tr>
      <w:tr>
        <w:trPr>
          <w:trHeight w:val="182"/>
        </w:trPr>
        <w:tc>
          <w:tcPr>
            <w:tcW w:w="496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Net income..........................................</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52,508</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51,582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68,756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60,523</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48,443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44,960</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46,504</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Dividends on preferred stock........................</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(14,568)</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(5,963)</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(9,034)</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(7,950)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(7,950)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(7,950)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(1,877)</w:t>
            </w:r>
          </w:p>
        </w:tc>
      </w:tr>
      <w:tr>
        <w:trPr>
          <w:trHeight w:val="182"/>
        </w:trPr>
        <w:tc>
          <w:tcPr>
            <w:tcW w:w="496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Net income available for common shareholders........</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$ 37,940</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$ 45,619</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$ 59,722</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$ 52,573</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$ 40,493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$ 37,010</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$ 44,627</w:t>
            </w:r>
          </w:p>
        </w:tc>
      </w:tr>
      <w:tr>
        <w:trPr>
          <w:trHeight w:val="182"/>
        </w:trPr>
        <w:tc>
          <w:tcPr>
            <w:tcW w:w="496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Basic.............................................</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41,155</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39,061</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39,164</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38,796</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39,574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39,174</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38,475</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Diluted...........................................</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42,421</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40,136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40,266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39,910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40,638</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40,080</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38,988</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Distributions declared on common shares.............</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$ 61,157</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$ 56,607</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$ 75,863</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$ 72,512</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$ 71,630</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$ 69,512</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$ 66,636</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Distributions declared per common share.............</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1.445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1.84</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1.78</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1.74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1.70</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Net cash provided by operating activities (2).......</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$ 96,864</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$ 88,261</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$108,545</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$106,146</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$102,183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$ 90,427</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$ 72,170</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Net cash provided (used by) by financing activities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$ 78,343</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$100,185</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$129,799</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$ 15,214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(8,362)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$ 97,406</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$213,175</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Net cash used in investing activities (2)...........</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$168,118</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$185,167</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$232,138</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$121,741</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$ 99,313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$187,646</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$279,343</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FFO (3).............................................</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$ 76,481</w:t>
            </w:r>
          </w:p>
        </w:tc>
        <w:tc>
          <w:tcPr>
            <w:tcW w:w="9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6"/>
              </w:rPr>
              <w:t>$ 81,924</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$110,432</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$102,173</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$ 96,795</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$ 86,536</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$ 79,733</w:t>
            </w: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Ratio of earnings to fixed charges (4)(5)...........</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1.4x</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1.5x</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1.5x</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1.5x</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1.7x</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1.7x</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1.7x</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Ratio of earnings to combined fixed charges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preferred dividends (4)(6).........................</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1.1x</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1.4x</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1.3x</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1.4x</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1.5x</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1.5x</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1.6x</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Ratio of FFO to combined fixed charges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rPr>
              <w:t>preferred dividends (3)(4) (7).....................</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1.7x</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2.0x</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1.9x</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2.0x</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2.2x</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2.2x</w:t>
            </w:r>
          </w:p>
        </w:tc>
        <w:tc>
          <w:tcPr>
            <w:tcW w:w="1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2.5x</w:t>
            </w:r>
          </w:p>
        </w:tc>
      </w:tr>
      <w:tr>
        <w:trPr>
          <w:trHeight w:val="546"/>
        </w:trPr>
        <w:tc>
          <w:tcPr>
            <w:tcW w:w="496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S-11</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520"/>
          </w:cols>
          <w:pgMar w:left="240" w:top="659" w:right="139" w:bottom="1065" w:gutter="0" w:footer="0" w:header="0"/>
        </w:sectPr>
      </w:pPr>
    </w:p>
    <w:bookmarkStart w:id="13" w:name="page14"/>
    <w:bookmarkEnd w:id="13"/>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3"/>
          </w:tcPr>
          <w:p>
            <w:pPr>
              <w:jc w:val="right"/>
              <w:ind w:right="341"/>
              <w:spacing w:after="0"/>
              <w:rPr>
                <w:sz w:val="20"/>
                <w:szCs w:val="20"/>
                <w:color w:val="auto"/>
              </w:rPr>
            </w:pPr>
            <w:r>
              <w:rPr>
                <w:rFonts w:ascii="Courier New" w:cs="Courier New" w:eastAsia="Courier New" w:hAnsi="Courier New"/>
                <w:sz w:val="16"/>
                <w:szCs w:val="16"/>
                <w:color w:val="auto"/>
              </w:rPr>
              <w:t>September 30,</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December 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2600" w:type="dxa"/>
            <w:vAlign w:val="bottom"/>
          </w:tcPr>
          <w:p>
            <w:pPr>
              <w:spacing w:after="0"/>
              <w:rPr>
                <w:sz w:val="15"/>
                <w:szCs w:val="15"/>
                <w:color w:val="auto"/>
              </w:rPr>
            </w:pPr>
          </w:p>
        </w:tc>
        <w:tc>
          <w:tcPr>
            <w:tcW w:w="20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5340" w:type="dxa"/>
            <w:vAlign w:val="bottom"/>
            <w:gridSpan w:val="10"/>
          </w:tcPr>
          <w:p>
            <w:pPr>
              <w:jc w:val="right"/>
              <w:ind w:right="10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2002</w:t>
            </w:r>
          </w:p>
        </w:tc>
        <w:tc>
          <w:tcPr>
            <w:tcW w:w="1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2000</w:t>
            </w:r>
          </w:p>
        </w:tc>
        <w:tc>
          <w:tcPr>
            <w:tcW w:w="18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c>
          <w:tcPr>
            <w:tcW w:w="10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0" w:type="dxa"/>
            <w:vAlign w:val="bottom"/>
          </w:tcPr>
          <w:p>
            <w:pPr>
              <w:spacing w:after="0"/>
              <w:rPr>
                <w:sz w:val="15"/>
                <w:szCs w:val="15"/>
                <w:color w:val="auto"/>
              </w:rPr>
            </w:pPr>
          </w:p>
        </w:tc>
        <w:tc>
          <w:tcPr>
            <w:tcW w:w="7280" w:type="dxa"/>
            <w:vAlign w:val="bottom"/>
            <w:gridSpan w:val="13"/>
          </w:tcPr>
          <w:p>
            <w:pPr>
              <w:jc w:val="right"/>
              <w:spacing w:after="0"/>
              <w:rPr>
                <w:sz w:val="20"/>
                <w:szCs w:val="20"/>
                <w:color w:val="auto"/>
              </w:rPr>
            </w:pPr>
            <w:r>
              <w:rPr>
                <w:rFonts w:ascii="Courier New" w:cs="Courier New" w:eastAsia="Courier New" w:hAnsi="Courier New"/>
                <w:sz w:val="16"/>
                <w:szCs w:val="16"/>
                <w:color w:val="auto"/>
                <w:w w:val="99"/>
              </w:rPr>
              <w:t>---------- ---------- ---------- ---------- ---------- ---------- ----------</w:t>
            </w:r>
          </w:p>
        </w:tc>
      </w:tr>
      <w:tr>
        <w:trPr>
          <w:trHeight w:val="364"/>
        </w:trPr>
        <w:tc>
          <w:tcPr>
            <w:tcW w:w="260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Real estate assets, at cost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2,254,540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2,065,402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2,104,304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1,854,913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1,721,459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1,642,136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1,453,639</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Total assets...............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2,003,534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1,794,950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1,834,881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1,618,885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1,532,764</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1,483,170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1,315,383</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Total debt (8).............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1,197,064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1,191,836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1,110,468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1,034,446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920,630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846,928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670,890</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Total liabilities..........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1,357,145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1,330,144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1,245,590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1,153,425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1,032,221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954,370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762,763</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Redeemable preferred shares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235,000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235,000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100,000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100,000</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Shareholders' equity.......</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646,389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464,806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589,291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465,460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500,543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528,800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552,620</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rPr>
              <w:t>Number of common shares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2600" w:type="dxa"/>
            <w:vAlign w:val="bottom"/>
          </w:tcPr>
          <w:p>
            <w:pPr>
              <w:ind w:left="100"/>
              <w:spacing w:after="0"/>
              <w:rPr>
                <w:sz w:val="20"/>
                <w:szCs w:val="20"/>
                <w:color w:val="auto"/>
              </w:rPr>
            </w:pPr>
            <w:r>
              <w:rPr>
                <w:rFonts w:ascii="Courier New" w:cs="Courier New" w:eastAsia="Courier New" w:hAnsi="Courier New"/>
                <w:sz w:val="16"/>
                <w:szCs w:val="16"/>
                <w:color w:val="auto"/>
                <w:w w:val="99"/>
              </w:rPr>
              <w:t>outstanding...............</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43,300</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40,012</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40,071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39,469</w:t>
            </w:r>
          </w:p>
        </w:tc>
        <w:tc>
          <w:tcPr>
            <w:tcW w:w="18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40,201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40,080</w:t>
            </w: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39,148</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3" w:right="3319" w:hanging="383"/>
        <w:spacing w:after="0" w:line="239" w:lineRule="auto"/>
        <w:tabs>
          <w:tab w:leader="none" w:pos="38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administrative, and other expenses includes $8.5 million of restructuring costs in the nine months ended September 30, 2002, $2.8 million of costs related to an unconsummated merger in 1999 and $4.7 million of restructuring costs in 1998.</w:t>
      </w:r>
    </w:p>
    <w:p>
      <w:pPr>
        <w:spacing w:after="0" w:line="187" w:lineRule="exact"/>
        <w:rPr>
          <w:rFonts w:ascii="Courier New" w:cs="Courier New" w:eastAsia="Courier New" w:hAnsi="Courier New"/>
          <w:sz w:val="16"/>
          <w:szCs w:val="16"/>
          <w:color w:val="auto"/>
        </w:rPr>
      </w:pPr>
    </w:p>
    <w:p>
      <w:pPr>
        <w:ind w:left="383" w:right="2759" w:hanging="383"/>
        <w:spacing w:after="0" w:line="239" w:lineRule="auto"/>
        <w:tabs>
          <w:tab w:leader="none" w:pos="38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 See our "Consolidated Statements of Cash Flows" contained in our periodic reports filed with the SEC, which are incorporated by reference in this prospectus supplement.</w:t>
      </w:r>
    </w:p>
    <w:p>
      <w:pPr>
        <w:spacing w:after="0" w:line="187" w:lineRule="exact"/>
        <w:rPr>
          <w:rFonts w:ascii="Courier New" w:cs="Courier New" w:eastAsia="Courier New" w:hAnsi="Courier New"/>
          <w:sz w:val="16"/>
          <w:szCs w:val="16"/>
          <w:color w:val="auto"/>
        </w:rPr>
      </w:pPr>
    </w:p>
    <w:p>
      <w:pPr>
        <w:ind w:left="383" w:right="2939" w:hanging="383"/>
        <w:spacing w:after="0" w:line="260" w:lineRule="auto"/>
        <w:tabs>
          <w:tab w:leader="none" w:pos="38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has historically reported its FFO in addition to its net income and net cash provided by operating activities. FFO, which is a non-GAAP measure, is described under "Summary--2002 Third Quarter Highlights--2002 Third Quarter Results of Operations--Financial Results."</w:t>
      </w:r>
    </w:p>
    <w:p>
      <w:pPr>
        <w:spacing w:after="0" w:line="173" w:lineRule="exact"/>
        <w:rPr>
          <w:rFonts w:ascii="Courier New" w:cs="Courier New" w:eastAsia="Courier New" w:hAnsi="Courier New"/>
          <w:sz w:val="15"/>
          <w:szCs w:val="15"/>
          <w:color w:val="auto"/>
        </w:rPr>
      </w:pPr>
    </w:p>
    <w:p>
      <w:pPr>
        <w:ind w:left="383" w:right="3039" w:hanging="383"/>
        <w:spacing w:after="0" w:line="237" w:lineRule="auto"/>
        <w:tabs>
          <w:tab w:leader="none" w:pos="38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computation of these ratios is described under "Ratio of Earnings to Fixed Charges."</w:t>
      </w:r>
    </w:p>
    <w:p>
      <w:pPr>
        <w:spacing w:after="0" w:line="187" w:lineRule="exact"/>
        <w:rPr>
          <w:rFonts w:ascii="Courier New" w:cs="Courier New" w:eastAsia="Courier New" w:hAnsi="Courier New"/>
          <w:sz w:val="16"/>
          <w:szCs w:val="16"/>
          <w:color w:val="auto"/>
        </w:rPr>
      </w:pPr>
    </w:p>
    <w:p>
      <w:pPr>
        <w:ind w:left="383" w:right="3039" w:hanging="383"/>
        <w:spacing w:after="0" w:line="238" w:lineRule="auto"/>
        <w:tabs>
          <w:tab w:leader="none" w:pos="38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a one-time $8.5 million restructuring charge incurred in the first quarter of 2002, for the nine months ended September 30, 2002, the ratio of earnings to fixed charges would have been 1.5x.</w:t>
      </w:r>
    </w:p>
    <w:p>
      <w:pPr>
        <w:spacing w:after="0" w:line="188" w:lineRule="exact"/>
        <w:rPr>
          <w:rFonts w:ascii="Courier New" w:cs="Courier New" w:eastAsia="Courier New" w:hAnsi="Courier New"/>
          <w:sz w:val="16"/>
          <w:szCs w:val="16"/>
          <w:color w:val="auto"/>
        </w:rPr>
      </w:pPr>
    </w:p>
    <w:p>
      <w:pPr>
        <w:ind w:left="383" w:right="2939" w:hanging="383"/>
        <w:spacing w:after="0" w:line="239" w:lineRule="auto"/>
        <w:tabs>
          <w:tab w:leader="none" w:pos="38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a one-time $8.5 million restructuring charge incurred in the first quarter of 2002, for the nine months ended September 30, 2002, the ratio of earnings to combined fixed charges and preferred share dividends would have been 1.2x.</w:t>
      </w:r>
    </w:p>
    <w:p>
      <w:pPr>
        <w:spacing w:after="0" w:line="187" w:lineRule="exact"/>
        <w:rPr>
          <w:rFonts w:ascii="Courier New" w:cs="Courier New" w:eastAsia="Courier New" w:hAnsi="Courier New"/>
          <w:sz w:val="16"/>
          <w:szCs w:val="16"/>
          <w:color w:val="auto"/>
        </w:rPr>
      </w:pPr>
    </w:p>
    <w:p>
      <w:pPr>
        <w:ind w:left="383" w:right="2839" w:hanging="383"/>
        <w:spacing w:after="0" w:line="239" w:lineRule="auto"/>
        <w:tabs>
          <w:tab w:leader="none" w:pos="38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a one-time $8.5 million restructuring charge incurred in the first quarter of 2002, for the nine months ended September 30, 2002, the ratio of FFO to combined fixed charges and preferred share dividends would have been 1.8x.</w:t>
      </w:r>
    </w:p>
    <w:p>
      <w:pPr>
        <w:spacing w:after="0" w:line="183" w:lineRule="exact"/>
        <w:rPr>
          <w:rFonts w:ascii="Courier New" w:cs="Courier New" w:eastAsia="Courier New" w:hAnsi="Courier New"/>
          <w:sz w:val="16"/>
          <w:szCs w:val="16"/>
          <w:color w:val="auto"/>
        </w:rPr>
      </w:pPr>
    </w:p>
    <w:p>
      <w:pPr>
        <w:ind w:left="383" w:hanging="383"/>
        <w:spacing w:after="0"/>
        <w:tabs>
          <w:tab w:leader="none" w:pos="38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obligations under capital leases.</w:t>
      </w:r>
    </w:p>
    <w:p>
      <w:pPr>
        <w:spacing w:after="0" w:line="183"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S-12</w:t>
      </w:r>
    </w:p>
    <w:p>
      <w:pPr>
        <w:sectPr>
          <w:pgSz w:w="11900" w:h="16838" w:orient="portrait"/>
          <w:cols w:equalWidth="0" w:num="1">
            <w:col w:w="10222"/>
          </w:cols>
          <w:pgMar w:left="237" w:top="1023" w:right="1440" w:bottom="1440" w:gutter="0" w:footer="0" w:header="0"/>
        </w:sectPr>
      </w:pPr>
    </w:p>
    <w:bookmarkStart w:id="14" w:name="page15"/>
    <w:bookmarkEnd w:id="14"/>
    <w:p>
      <w:pPr>
        <w:jc w:val="center"/>
        <w:ind w:right="2836"/>
        <w:spacing w:after="0"/>
        <w:rPr>
          <w:sz w:val="20"/>
          <w:szCs w:val="20"/>
          <w:color w:val="auto"/>
        </w:rPr>
      </w:pPr>
      <w:r>
        <w:rPr>
          <w:rFonts w:ascii="Courier New" w:cs="Courier New" w:eastAsia="Courier New" w:hAnsi="Courier New"/>
          <w:sz w:val="16"/>
          <w:szCs w:val="16"/>
          <w:color w:val="auto"/>
        </w:rPr>
        <w:t>DESCRIPTION OF NOTES</w:t>
      </w:r>
    </w:p>
    <w:p>
      <w:pPr>
        <w:spacing w:after="0" w:line="186" w:lineRule="exact"/>
        <w:rPr>
          <w:sz w:val="20"/>
          <w:szCs w:val="20"/>
          <w:color w:val="auto"/>
        </w:rPr>
      </w:pPr>
    </w:p>
    <w:p>
      <w:pPr>
        <w:ind w:left="3" w:right="2839" w:firstLine="284"/>
        <w:spacing w:after="0" w:line="239" w:lineRule="auto"/>
        <w:rPr>
          <w:sz w:val="20"/>
          <w:szCs w:val="20"/>
          <w:color w:val="auto"/>
        </w:rPr>
      </w:pPr>
      <w:r>
        <w:rPr>
          <w:rFonts w:ascii="Courier New" w:cs="Courier New" w:eastAsia="Courier New" w:hAnsi="Courier New"/>
          <w:sz w:val="16"/>
          <w:szCs w:val="16"/>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General</w:t>
      </w:r>
    </w:p>
    <w:p>
      <w:pPr>
        <w:spacing w:after="0" w:line="186" w:lineRule="exact"/>
        <w:rPr>
          <w:sz w:val="20"/>
          <w:szCs w:val="20"/>
          <w:color w:val="auto"/>
        </w:rPr>
      </w:pPr>
    </w:p>
    <w:p>
      <w:pPr>
        <w:ind w:left="3" w:right="2839" w:firstLine="284"/>
        <w:spacing w:after="0" w:line="239" w:lineRule="auto"/>
        <w:rPr>
          <w:sz w:val="20"/>
          <w:szCs w:val="20"/>
          <w:color w:val="auto"/>
        </w:rPr>
      </w:pPr>
      <w:r>
        <w:rPr>
          <w:rFonts w:ascii="Courier New" w:cs="Courier New" w:eastAsia="Courier New" w:hAnsi="Courier New"/>
          <w:sz w:val="16"/>
          <w:szCs w:val="16"/>
          <w:color w:val="auto"/>
        </w:rPr>
        <w:t>We are offering $150 million of our 6 1/8% notes maturing on November 15, 2007. The notes are to be issued as a separate series of Debt Securities under the Senior Indenture, which is more fully described in the accompanying prospectus.</w:t>
      </w:r>
    </w:p>
    <w:p>
      <w:pPr>
        <w:spacing w:after="0" w:line="187" w:lineRule="exact"/>
        <w:rPr>
          <w:sz w:val="20"/>
          <w:szCs w:val="20"/>
          <w:color w:val="auto"/>
        </w:rPr>
      </w:pPr>
    </w:p>
    <w:p>
      <w:pPr>
        <w:ind w:left="3" w:right="2759" w:firstLine="284"/>
        <w:spacing w:after="0" w:line="238" w:lineRule="auto"/>
        <w:rPr>
          <w:sz w:val="20"/>
          <w:szCs w:val="20"/>
          <w:color w:val="auto"/>
        </w:rPr>
      </w:pPr>
      <w:r>
        <w:rPr>
          <w:rFonts w:ascii="Courier New" w:cs="Courier New" w:eastAsia="Courier New" w:hAnsi="Courier New"/>
          <w:sz w:val="16"/>
          <w:szCs w:val="16"/>
          <w:color w:val="auto"/>
        </w:rPr>
        <w:t>We will pay interest on the notes semi-annually in arrears on May 15 and November 15 of each year, commencing May 15, 2003, to the registered holders of the notes on the preceding May 1 or November 1.</w:t>
      </w:r>
    </w:p>
    <w:p>
      <w:pPr>
        <w:spacing w:after="0" w:line="188" w:lineRule="exact"/>
        <w:rPr>
          <w:sz w:val="20"/>
          <w:szCs w:val="20"/>
          <w:color w:val="auto"/>
        </w:rPr>
      </w:pPr>
    </w:p>
    <w:p>
      <w:pPr>
        <w:ind w:left="3" w:right="3039" w:firstLine="284"/>
        <w:spacing w:after="0" w:line="237" w:lineRule="auto"/>
        <w:rPr>
          <w:sz w:val="20"/>
          <w:szCs w:val="20"/>
          <w:color w:val="auto"/>
        </w:rPr>
      </w:pPr>
      <w:r>
        <w:rPr>
          <w:rFonts w:ascii="Courier New" w:cs="Courier New" w:eastAsia="Courier New" w:hAnsi="Courier New"/>
          <w:sz w:val="16"/>
          <w:szCs w:val="16"/>
          <w:color w:val="auto"/>
        </w:rPr>
        <w:t>The defeasance and covenant defeasance provisions of the Senior Indenture apply to the notes.</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Optional Redemption</w:t>
      </w:r>
    </w:p>
    <w:p>
      <w:pPr>
        <w:spacing w:after="0" w:line="186" w:lineRule="exact"/>
        <w:rPr>
          <w:sz w:val="20"/>
          <w:szCs w:val="20"/>
          <w:color w:val="auto"/>
        </w:rPr>
      </w:pPr>
    </w:p>
    <w:p>
      <w:pPr>
        <w:ind w:left="3" w:right="2759" w:firstLine="284"/>
        <w:spacing w:after="0"/>
        <w:rPr>
          <w:sz w:val="20"/>
          <w:szCs w:val="20"/>
          <w:color w:val="auto"/>
        </w:rPr>
      </w:pPr>
      <w:r>
        <w:rPr>
          <w:rFonts w:ascii="Courier New" w:cs="Courier New" w:eastAsia="Courier New" w:hAnsi="Courier New"/>
          <w:sz w:val="16"/>
          <w:szCs w:val="16"/>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37.5 basis points plus, in each case, accrued interest thereon to the redemption date.</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As used herein:</w:t>
      </w:r>
    </w:p>
    <w:p>
      <w:pPr>
        <w:spacing w:after="0" w:line="186" w:lineRule="exact"/>
        <w:rPr>
          <w:sz w:val="20"/>
          <w:szCs w:val="20"/>
          <w:color w:val="auto"/>
        </w:rPr>
      </w:pPr>
    </w:p>
    <w:p>
      <w:pPr>
        <w:ind w:left="3" w:right="2939" w:firstLine="284"/>
        <w:spacing w:after="0" w:line="239" w:lineRule="auto"/>
        <w:rPr>
          <w:sz w:val="20"/>
          <w:szCs w:val="20"/>
          <w:color w:val="auto"/>
        </w:rPr>
      </w:pPr>
      <w:r>
        <w:rPr>
          <w:rFonts w:ascii="Courier New" w:cs="Courier New" w:eastAsia="Courier New" w:hAnsi="Courier New"/>
          <w:sz w:val="16"/>
          <w:szCs w:val="16"/>
          <w:color w:val="auto"/>
        </w:rPr>
        <w:t>"Adjusted Treasury Rate"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9" w:lineRule="exact"/>
        <w:rPr>
          <w:sz w:val="20"/>
          <w:szCs w:val="20"/>
          <w:color w:val="auto"/>
        </w:rPr>
      </w:pPr>
    </w:p>
    <w:p>
      <w:pPr>
        <w:ind w:left="3" w:right="2759" w:firstLine="284"/>
        <w:spacing w:after="0" w:line="239"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90" w:lineRule="exact"/>
        <w:rPr>
          <w:sz w:val="20"/>
          <w:szCs w:val="20"/>
          <w:color w:val="auto"/>
        </w:rPr>
      </w:pPr>
    </w:p>
    <w:p>
      <w:pPr>
        <w:ind w:left="3" w:right="2839" w:firstLine="284"/>
        <w:spacing w:after="0" w:line="259" w:lineRule="auto"/>
        <w:rPr>
          <w:sz w:val="20"/>
          <w:szCs w:val="20"/>
          <w:color w:val="auto"/>
        </w:rPr>
      </w:pPr>
      <w:r>
        <w:rPr>
          <w:rFonts w:ascii="Courier New" w:cs="Courier New" w:eastAsia="Courier New" w:hAnsi="Courier New"/>
          <w:sz w:val="15"/>
          <w:szCs w:val="15"/>
          <w:color w:val="auto"/>
        </w:rPr>
        <w:t>"Comparable Treasury Price"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70"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"Quotation Agent" means the Reference Treasury Dealer appointed by us.</w:t>
      </w:r>
    </w:p>
    <w:p>
      <w:pPr>
        <w:spacing w:after="0" w:line="186" w:lineRule="exact"/>
        <w:rPr>
          <w:sz w:val="20"/>
          <w:szCs w:val="20"/>
          <w:color w:val="auto"/>
        </w:rPr>
      </w:pPr>
    </w:p>
    <w:p>
      <w:pPr>
        <w:ind w:left="283"/>
        <w:spacing w:after="0"/>
        <w:rPr>
          <w:sz w:val="20"/>
          <w:szCs w:val="20"/>
          <w:color w:val="auto"/>
        </w:rPr>
      </w:pPr>
      <w:r>
        <w:rPr>
          <w:rFonts w:ascii="Courier New" w:cs="Courier New" w:eastAsia="Courier New" w:hAnsi="Courier New"/>
          <w:sz w:val="15"/>
          <w:szCs w:val="15"/>
          <w:color w:val="auto"/>
        </w:rPr>
        <w:t>"Reference Treasury Dealer" means (1) each of Merrill Lynch, Pierce, Fenner</w:t>
      </w:r>
    </w:p>
    <w:p>
      <w:pPr>
        <w:spacing w:after="0" w:line="12" w:lineRule="exact"/>
        <w:rPr>
          <w:sz w:val="20"/>
          <w:szCs w:val="20"/>
          <w:color w:val="auto"/>
        </w:rPr>
      </w:pPr>
    </w:p>
    <w:p>
      <w:pPr>
        <w:ind w:left="3" w:right="2759" w:hanging="3"/>
        <w:spacing w:after="0" w:line="239" w:lineRule="auto"/>
        <w:tabs>
          <w:tab w:leader="none" w:pos="19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Smith Incorporated, Salomon Smith Barney Inc. and Wachovia Securities, Inc. and their respective successors; provided, however, that if any of the foregoing cease to be a primary U.S. Government securities dealer (a "Primary Treasury Dealer"), we will substitute therefor another Primary Treasury Dealer; and (2) any other Primary Treasury Dealer selected by us.</w:t>
      </w:r>
    </w:p>
    <w:p>
      <w:pPr>
        <w:spacing w:after="0" w:line="189" w:lineRule="exact"/>
        <w:rPr>
          <w:sz w:val="20"/>
          <w:szCs w:val="20"/>
          <w:color w:val="auto"/>
        </w:rPr>
      </w:pPr>
    </w:p>
    <w:p>
      <w:pPr>
        <w:ind w:left="3" w:right="2759" w:firstLine="284"/>
        <w:spacing w:after="0" w:line="238"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us, of the bid and asked prices for the Comparable Treasury Issue</w:t>
      </w:r>
    </w:p>
    <w:p>
      <w:pPr>
        <w:spacing w:after="0" w:line="184"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22"/>
          </w:cols>
          <w:pgMar w:left="237" w:top="659" w:right="1440" w:bottom="1440" w:gutter="0" w:footer="0" w:header="0"/>
        </w:sectPr>
      </w:pPr>
    </w:p>
    <w:bookmarkStart w:id="15" w:name="page16"/>
    <w:bookmarkEnd w:id="15"/>
    <w:p>
      <w:pPr>
        <w:ind w:right="2759"/>
        <w:spacing w:after="0" w:line="238" w:lineRule="auto"/>
        <w:rPr>
          <w:sz w:val="20"/>
          <w:szCs w:val="20"/>
          <w:color w:val="auto"/>
        </w:rPr>
      </w:pPr>
      <w:r>
        <w:rPr>
          <w:rFonts w:ascii="Courier New" w:cs="Courier New" w:eastAsia="Courier New" w:hAnsi="Courier New"/>
          <w:sz w:val="16"/>
          <w:szCs w:val="16"/>
          <w:color w:val="auto"/>
        </w:rPr>
        <w:t>(expressed in each case as a percentage of its principal amount) quoted in writing to the Trustee by such Reference Treasury Dealer at 5:00 p.m., New York City time, on the third Business Day preceding such redemption date.</w:t>
      </w:r>
    </w:p>
    <w:p>
      <w:pPr>
        <w:spacing w:after="0" w:line="188"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6"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Limitations on Incurrence of Debt. The notes will provide that we will not, and will not permit any subsidiary to, incur any Debt (as defined below) if, immediately after 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65% of the sum of (without duplication) (1) Total Assets (as defined below)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93" w:lineRule="exact"/>
        <w:rPr>
          <w:sz w:val="20"/>
          <w:szCs w:val="20"/>
          <w:color w:val="auto"/>
        </w:rPr>
      </w:pPr>
    </w:p>
    <w:p>
      <w:pPr>
        <w:ind w:right="2759" w:firstLine="284"/>
        <w:spacing w:after="0" w:line="257" w:lineRule="auto"/>
        <w:rPr>
          <w:sz w:val="20"/>
          <w:szCs w:val="20"/>
          <w:color w:val="auto"/>
        </w:rPr>
      </w:pPr>
      <w:r>
        <w:rPr>
          <w:rFonts w:ascii="Courier New" w:cs="Courier New" w:eastAsia="Courier New" w:hAnsi="Courier New"/>
          <w:sz w:val="15"/>
          <w:szCs w:val="15"/>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provided that for purposes of this limitation, the amount of obligations under capital leases shown as a liability on our consolidated balance sheet shall be deducted from Debt and from Total Assets.</w:t>
      </w:r>
    </w:p>
    <w:p>
      <w:pPr>
        <w:spacing w:after="0" w:line="362" w:lineRule="exact"/>
        <w:rPr>
          <w:sz w:val="20"/>
          <w:szCs w:val="20"/>
          <w:color w:val="auto"/>
        </w:rPr>
      </w:pPr>
    </w:p>
    <w:p>
      <w:pPr>
        <w:ind w:right="2759" w:firstLine="284"/>
        <w:spacing w:after="0" w:line="257" w:lineRule="auto"/>
        <w:rPr>
          <w:sz w:val="20"/>
          <w:szCs w:val="20"/>
          <w:color w:val="auto"/>
        </w:rPr>
      </w:pPr>
      <w:r>
        <w:rPr>
          <w:rFonts w:ascii="Courier New" w:cs="Courier New" w:eastAsia="Courier New" w:hAnsi="Courier New"/>
          <w:sz w:val="15"/>
          <w:szCs w:val="15"/>
          <w:color w:val="auto"/>
        </w:rPr>
        <w:t>Furthermore, the notes also will provide that we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 quarter period and the application of the proceeds therefrom, including to refinance other Debt, had occurred at the beginning of such period; (2) the repayment or retirement of any other Debt by us and our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(3) in the case of Acquired Debt (as defined below) or Debt incurred in connection with any acquisition since the first day of such four-quarter period, the related acquisition had occurred as of the first day of such period with the appropriate</w:t>
      </w:r>
    </w:p>
    <w:p>
      <w:pPr>
        <w:spacing w:after="0" w:line="35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S-14</w:t>
      </w:r>
    </w:p>
    <w:p>
      <w:pPr>
        <w:sectPr>
          <w:pgSz w:w="11900" w:h="16838" w:orient="portrait"/>
          <w:cols w:equalWidth="0" w:num="1">
            <w:col w:w="10219"/>
          </w:cols>
          <w:pgMar w:left="240" w:top="663" w:right="1440" w:bottom="1440" w:gutter="0" w:footer="0" w:header="0"/>
        </w:sectPr>
      </w:pPr>
    </w:p>
    <w:bookmarkStart w:id="16" w:name="page17"/>
    <w:bookmarkEnd w:id="16"/>
    <w:p>
      <w:pPr>
        <w:ind w:right="2759"/>
        <w:spacing w:after="0"/>
        <w:rPr>
          <w:sz w:val="20"/>
          <w:szCs w:val="20"/>
          <w:color w:val="auto"/>
        </w:rPr>
      </w:pPr>
      <w:r>
        <w:rPr>
          <w:rFonts w:ascii="Courier New" w:cs="Courier New" w:eastAsia="Courier New" w:hAnsi="Courier New"/>
          <w:sz w:val="16"/>
          <w:szCs w:val="16"/>
          <w:color w:val="auto"/>
        </w:rPr>
        <w:t>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7"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Maintenance of Unencumbered Total Asset Value. The notes will provide that we, together with our subsidiaries, will at all times maintain an Unencumbered Total Asset Value (as defined below) in an amount not less than 125% of the aggregate outstanding principal amount of all our and our subsidiaries' unsecured Debt.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used herein:</w:t>
      </w:r>
    </w:p>
    <w:p>
      <w:pPr>
        <w:spacing w:after="0" w:line="186"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"Acquired Debt"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92"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"Annual Debt Service Charge" as of any date means the maximum amount which is payable in any period for interest on, and original issue discount of, our and our subsidiaries' Debt and the amount of dividends which are payable in respect of any Disqualified Stock.</w:t>
      </w:r>
    </w:p>
    <w:p>
      <w:pPr>
        <w:spacing w:after="0" w:line="187"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9" w:lineRule="exact"/>
        <w:rPr>
          <w:sz w:val="20"/>
          <w:szCs w:val="20"/>
          <w:color w:val="auto"/>
        </w:rPr>
      </w:pPr>
    </w:p>
    <w:p>
      <w:pPr>
        <w:ind w:right="3039" w:firstLine="284"/>
        <w:spacing w:after="0" w:line="238" w:lineRule="auto"/>
        <w:rPr>
          <w:sz w:val="20"/>
          <w:szCs w:val="20"/>
          <w:color w:val="auto"/>
        </w:rPr>
      </w:pPr>
      <w:r>
        <w:rPr>
          <w:rFonts w:ascii="Courier New" w:cs="Courier New" w:eastAsia="Courier New" w:hAnsi="Courier New"/>
          <w:sz w:val="16"/>
          <w:szCs w:val="16"/>
          <w:color w:val="auto"/>
        </w:rPr>
        <w:t>"Consolidated Income Available for Debt Service" for any period means our and our subsidiaries' Funds from Operations plus amounts which have been deducted for interest on our and our subsidiaries' Debt.</w:t>
      </w:r>
    </w:p>
    <w:p>
      <w:pPr>
        <w:spacing w:after="0" w:line="188" w:lineRule="exact"/>
        <w:rPr>
          <w:sz w:val="20"/>
          <w:szCs w:val="20"/>
          <w:color w:val="auto"/>
        </w:rPr>
      </w:pPr>
    </w:p>
    <w:p>
      <w:pPr>
        <w:ind w:right="2759" w:firstLine="284"/>
        <w:spacing w:after="0" w:line="257" w:lineRule="auto"/>
        <w:rPr>
          <w:sz w:val="20"/>
          <w:szCs w:val="20"/>
          <w:color w:val="auto"/>
        </w:rPr>
      </w:pPr>
      <w:r>
        <w:rPr>
          <w:rFonts w:ascii="Courier New" w:cs="Courier New" w:eastAsia="Courier New" w:hAnsi="Courier New"/>
          <w:sz w:val="15"/>
          <w:szCs w:val="15"/>
          <w:color w:val="auto"/>
        </w:rPr>
        <w:t>"Debt"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provided that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35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S-15</w:t>
      </w:r>
    </w:p>
    <w:p>
      <w:pPr>
        <w:sectPr>
          <w:pgSz w:w="11900" w:h="16838" w:orient="portrait"/>
          <w:cols w:equalWidth="0" w:num="1">
            <w:col w:w="10219"/>
          </w:cols>
          <w:pgMar w:left="240" w:top="663" w:right="1440" w:bottom="1440" w:gutter="0" w:footer="0" w:header="0"/>
        </w:sectPr>
      </w:pPr>
    </w:p>
    <w:bookmarkStart w:id="17" w:name="page18"/>
    <w:bookmarkEnd w:id="17"/>
    <w:p>
      <w:pPr>
        <w:ind w:right="2759" w:firstLine="284"/>
        <w:spacing w:after="0" w:line="258" w:lineRule="auto"/>
        <w:rPr>
          <w:sz w:val="20"/>
          <w:szCs w:val="20"/>
          <w:color w:val="auto"/>
        </w:rPr>
      </w:pPr>
      <w:r>
        <w:rPr>
          <w:rFonts w:ascii="Courier New" w:cs="Courier New" w:eastAsia="Courier New" w:hAnsi="Courier New"/>
          <w:sz w:val="15"/>
          <w:szCs w:val="15"/>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76" w:lineRule="exact"/>
        <w:rPr>
          <w:sz w:val="20"/>
          <w:szCs w:val="20"/>
          <w:color w:val="auto"/>
        </w:rPr>
      </w:pPr>
    </w:p>
    <w:p>
      <w:pPr>
        <w:ind w:right="3119" w:firstLine="284"/>
        <w:spacing w:after="0" w:line="238" w:lineRule="auto"/>
        <w:rPr>
          <w:sz w:val="20"/>
          <w:szCs w:val="20"/>
          <w:color w:val="auto"/>
        </w:rPr>
      </w:pPr>
      <w:r>
        <w:rPr>
          <w:rFonts w:ascii="Courier New" w:cs="Courier New" w:eastAsia="Courier New" w:hAnsi="Courier New"/>
          <w:sz w:val="16"/>
          <w:szCs w:val="16"/>
          <w:color w:val="auto"/>
        </w:rPr>
        <w:t>"Funds from Operations" for any period means income available to common shareholders before depreciation and amortization of real estate assets and before extraordinary items less gain on sale of real estate.</w:t>
      </w:r>
    </w:p>
    <w:p>
      <w:pPr>
        <w:spacing w:after="0" w:line="188"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"Total Assets" as of any date means the sum of (1) our and all of our subsidiaries' Undepreciated Real Estate Assets and (2) all of our other assets determined in accordance with generally accepted accounting principles (but excluding goodwill).</w:t>
      </w:r>
    </w:p>
    <w:p>
      <w:pPr>
        <w:spacing w:after="0" w:line="187" w:lineRule="exact"/>
        <w:rPr>
          <w:sz w:val="20"/>
          <w:szCs w:val="20"/>
          <w:color w:val="auto"/>
        </w:rPr>
      </w:pPr>
    </w:p>
    <w:p>
      <w:pPr>
        <w:ind w:right="2759" w:firstLine="284"/>
        <w:spacing w:after="0" w:line="260" w:lineRule="auto"/>
        <w:rPr>
          <w:sz w:val="20"/>
          <w:szCs w:val="20"/>
          <w:color w:val="auto"/>
        </w:rPr>
      </w:pPr>
      <w:r>
        <w:rPr>
          <w:rFonts w:ascii="Courier New" w:cs="Courier New" w:eastAsia="Courier New" w:hAnsi="Courier New"/>
          <w:sz w:val="15"/>
          <w:szCs w:val="15"/>
          <w:color w:val="auto"/>
        </w:rPr>
        <w:t>"Undepreciated Real Estate Assets"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73"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"Unencumbered Total Asset Value" as of any date means the sum of (a) those Undepreciated Real Estate Assets not encumbered by any mortgage, lien, 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92" w:lineRule="exact"/>
        <w:rPr>
          <w:sz w:val="20"/>
          <w:szCs w:val="20"/>
          <w:color w:val="auto"/>
        </w:rPr>
      </w:pPr>
    </w:p>
    <w:p>
      <w:pPr>
        <w:ind w:right="2839" w:firstLine="284"/>
        <w:spacing w:after="0" w:line="267" w:lineRule="auto"/>
        <w:rPr>
          <w:sz w:val="20"/>
          <w:szCs w:val="20"/>
          <w:color w:val="auto"/>
        </w:rPr>
      </w:pPr>
      <w:r>
        <w:rPr>
          <w:rFonts w:ascii="Courier New" w:cs="Courier New" w:eastAsia="Courier New" w:hAnsi="Courier New"/>
          <w:sz w:val="15"/>
          <w:szCs w:val="15"/>
          <w:color w:val="auto"/>
        </w:rPr>
        <w:t>See "Description of Debt Securities--Certain Covenants" in the accompanying prospectus for a description of additional covenants applicable to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186"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We have established a depositary arrangement with The Depository Trust Company (the "Depositary") with respect to the notes, the terms of which are summarized below. Upon issuance, the notes will be represented by a single Global Security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88"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So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the Global Security or Securities representing the notes will not be entitled to receive physical delivery of Certificated notes and will not be considered the Holders thereof for any purpose under the Senior Indenture, and no Global Security representing the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92" w:lineRule="exact"/>
        <w:rPr>
          <w:sz w:val="20"/>
          <w:szCs w:val="20"/>
          <w:color w:val="auto"/>
        </w:rPr>
      </w:pPr>
    </w:p>
    <w:p>
      <w:pPr>
        <w:ind w:right="2939" w:firstLine="284"/>
        <w:spacing w:after="0" w:line="262" w:lineRule="auto"/>
        <w:rPr>
          <w:sz w:val="20"/>
          <w:szCs w:val="20"/>
          <w:color w:val="auto"/>
        </w:rPr>
      </w:pPr>
      <w:r>
        <w:rPr>
          <w:rFonts w:ascii="Courier New" w:cs="Courier New" w:eastAsia="Courier New" w:hAnsi="Courier New"/>
          <w:sz w:val="15"/>
          <w:szCs w:val="15"/>
          <w:color w:val="auto"/>
        </w:rPr>
        <w:t>The Global Security representing the notes will be exchangeable for Certificated Notes of like tenor and terms and of differing authorized denominations aggregating a like principal amount, only if (1) the Depositary</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S-16</w:t>
      </w:r>
    </w:p>
    <w:p>
      <w:pPr>
        <w:sectPr>
          <w:pgSz w:w="11900" w:h="16838" w:orient="portrait"/>
          <w:cols w:equalWidth="0" w:num="1">
            <w:col w:w="10219"/>
          </w:cols>
          <w:pgMar w:left="240" w:top="663" w:right="1440" w:bottom="1440" w:gutter="0" w:footer="0" w:header="0"/>
        </w:sectPr>
      </w:pPr>
    </w:p>
    <w:bookmarkStart w:id="18" w:name="page19"/>
    <w:bookmarkEnd w:id="18"/>
    <w:p>
      <w:pPr>
        <w:ind w:right="2759"/>
        <w:spacing w:after="0"/>
        <w:rPr>
          <w:sz w:val="20"/>
          <w:szCs w:val="20"/>
          <w:color w:val="auto"/>
        </w:rPr>
      </w:pPr>
      <w:r>
        <w:rPr>
          <w:rFonts w:ascii="Courier New" w:cs="Courier New" w:eastAsia="Courier New" w:hAnsi="Courier New"/>
          <w:sz w:val="16"/>
          <w:szCs w:val="16"/>
          <w:color w:val="auto"/>
        </w:rPr>
        <w:t>notifies us that it is unwilling or unable to continue as Depositary for the Global Securities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Securities Registrar.</w:t>
      </w:r>
    </w:p>
    <w:p>
      <w:pPr>
        <w:spacing w:after="0" w:line="191" w:lineRule="exact"/>
        <w:rPr>
          <w:sz w:val="20"/>
          <w:szCs w:val="20"/>
          <w:color w:val="auto"/>
        </w:rPr>
      </w:pPr>
    </w:p>
    <w:p>
      <w:pPr>
        <w:ind w:right="2839" w:firstLine="284"/>
        <w:spacing w:after="0" w:line="258" w:lineRule="auto"/>
        <w:rPr>
          <w:sz w:val="20"/>
          <w:szCs w:val="20"/>
          <w:color w:val="auto"/>
        </w:rPr>
      </w:pPr>
      <w:r>
        <w:rPr>
          <w:rFonts w:ascii="Courier New" w:cs="Courier New" w:eastAsia="Courier New" w:hAnsi="Courier New"/>
          <w:sz w:val="15"/>
          <w:szCs w:val="15"/>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76" w:lineRule="exact"/>
        <w:rPr>
          <w:sz w:val="20"/>
          <w:szCs w:val="20"/>
          <w:color w:val="auto"/>
        </w:rPr>
      </w:pPr>
    </w:p>
    <w:p>
      <w:pPr>
        <w:ind w:right="2759" w:firstLine="284"/>
        <w:spacing w:after="0" w:line="257" w:lineRule="auto"/>
        <w:rPr>
          <w:sz w:val="20"/>
          <w:szCs w:val="20"/>
          <w:color w:val="auto"/>
        </w:rPr>
      </w:pPr>
      <w:r>
        <w:rPr>
          <w:rFonts w:ascii="Courier New" w:cs="Courier New" w:eastAsia="Courier New" w:hAnsi="Courier New"/>
          <w:sz w:val="15"/>
          <w:szCs w:val="15"/>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180"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92" w:lineRule="exact"/>
        <w:rPr>
          <w:sz w:val="20"/>
          <w:szCs w:val="20"/>
          <w:color w:val="auto"/>
        </w:rPr>
      </w:pPr>
    </w:p>
    <w:p>
      <w:pPr>
        <w:ind w:right="2839" w:firstLine="284"/>
        <w:spacing w:after="0"/>
        <w:rPr>
          <w:sz w:val="20"/>
          <w:szCs w:val="20"/>
          <w:color w:val="auto"/>
        </w:rPr>
      </w:pPr>
      <w:r>
        <w:rPr>
          <w:rFonts w:ascii="Courier New" w:cs="Courier New" w:eastAsia="Courier New" w:hAnsi="Courier New"/>
          <w:sz w:val="16"/>
          <w:szCs w:val="16"/>
          <w:color w:val="auto"/>
        </w:rPr>
        <w:t>To facilitate subsequent transfers, the Global Security representing the notes which are deposited with, or on behalf of, the Depositary are registered in the name of the Depositary's partnership nominee, Cede &amp; Co. The deposit of the Global Security with, or on behalf of, the Depositary and their registration in the name of Cede &amp; Co. effect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S-17</w:t>
      </w:r>
    </w:p>
    <w:p>
      <w:pPr>
        <w:sectPr>
          <w:pgSz w:w="11900" w:h="16838" w:orient="portrait"/>
          <w:cols w:equalWidth="0" w:num="1">
            <w:col w:w="10219"/>
          </w:cols>
          <w:pgMar w:left="240" w:top="663" w:right="1440" w:bottom="1440" w:gutter="0" w:footer="0" w:header="0"/>
        </w:sectPr>
      </w:pPr>
    </w:p>
    <w:bookmarkStart w:id="19" w:name="page20"/>
    <w:bookmarkEnd w:id="19"/>
    <w:p>
      <w:pPr>
        <w:ind w:right="2759" w:firstLine="284"/>
        <w:spacing w:after="0" w:line="239" w:lineRule="auto"/>
        <w:rPr>
          <w:sz w:val="20"/>
          <w:szCs w:val="20"/>
          <w:color w:val="auto"/>
        </w:rPr>
      </w:pPr>
      <w:r>
        <w:rPr>
          <w:rFonts w:ascii="Courier New" w:cs="Courier New" w:eastAsia="Courier New" w:hAnsi="Courier New"/>
          <w:sz w:val="16"/>
          <w:szCs w:val="16"/>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9"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92"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92"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If applicable, redemption notices shall be sent to Cede &amp; Co. If less than all of the notes within an issue are being redeemed, the Depositary's practice is to determine by lot the amount of the interest of each Direct Participant in such issue to be redeemed.</w:t>
      </w:r>
    </w:p>
    <w:p>
      <w:pPr>
        <w:spacing w:after="0" w:line="187"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8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S-18</w:t>
      </w:r>
    </w:p>
    <w:p>
      <w:pPr>
        <w:sectPr>
          <w:pgSz w:w="11900" w:h="16838" w:orient="portrait"/>
          <w:cols w:equalWidth="0" w:num="1">
            <w:col w:w="10219"/>
          </w:cols>
          <w:pgMar w:left="240" w:top="663" w:right="1440" w:bottom="1440" w:gutter="0" w:footer="0" w:header="0"/>
        </w:sectPr>
      </w:pPr>
    </w:p>
    <w:bookmarkStart w:id="20" w:name="page21"/>
    <w:bookmarkEnd w:id="20"/>
    <w:p>
      <w:pPr>
        <w:ind w:left="1800"/>
        <w:spacing w:after="0"/>
        <w:rPr>
          <w:sz w:val="20"/>
          <w:szCs w:val="20"/>
          <w:color w:val="auto"/>
        </w:rPr>
      </w:pPr>
      <w:r>
        <w:rPr>
          <w:rFonts w:ascii="Courier New" w:cs="Courier New" w:eastAsia="Courier New" w:hAnsi="Courier New"/>
          <w:sz w:val="16"/>
          <w:szCs w:val="16"/>
          <w:color w:val="auto"/>
        </w:rPr>
        <w:t>CERTAIN FEDERAL INCOME TAX CONSIDERATIONS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6" w:lineRule="exact"/>
        <w:rPr>
          <w:sz w:val="20"/>
          <w:szCs w:val="20"/>
          <w:color w:val="auto"/>
        </w:rPr>
      </w:pPr>
    </w:p>
    <w:p>
      <w:pPr>
        <w:ind w:right="2759" w:firstLine="284"/>
        <w:spacing w:after="0" w:line="257" w:lineRule="auto"/>
        <w:rPr>
          <w:sz w:val="20"/>
          <w:szCs w:val="20"/>
          <w:color w:val="auto"/>
        </w:rPr>
      </w:pPr>
      <w:r>
        <w:rPr>
          <w:rFonts w:ascii="Courier New" w:cs="Courier New" w:eastAsia="Courier New" w:hAnsi="Courier New"/>
          <w:sz w:val="15"/>
          <w:szCs w:val="15"/>
          <w:color w:val="auto"/>
        </w:rPr>
        <w:t>Subject to the U.S. federal income tax considerations contained in our Current Report on Form 8-K filed with the SEC on November 13, 2002, which is incorporated into this prospectus supplement, the following is a general discussion of the material U.S. federal income tax considerations applicable to initial holders of the notes. Except as specifically provided below with respect to non-U.S. holders (as described below), the discussion is limited to holders of notes that are U.S. holders and who hold the notes as capital assets. For purposes of this discussion, a U.S. holder means a holder of notes that for U.S. federal income tax purposes is (i) a citizen of the United States, (ii) a corporation or partnership (including an entity treated as a corporation or partnership for U.S. federal income tax purposes) created or organized in or under the laws of the United States or of a political subdivision thereof, (iii) an estate whose income is includible in gross income for U.S. federal income tax purposes regardless of its source, or (iv) any trust with respect to which (A) a U.S. court is able to exercise primary supervision over the administration of such trust and (B) one or more U.S. persons have authority to control all substantial decisions of the trust. A non-U.S. holder means any beneficial owner of a note that is not a U.S. holder.</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186" w:lineRule="exact"/>
        <w:rPr>
          <w:sz w:val="20"/>
          <w:szCs w:val="20"/>
          <w:color w:val="auto"/>
        </w:rPr>
      </w:pPr>
    </w:p>
    <w:p>
      <w:pPr>
        <w:jc w:val="both"/>
        <w:ind w:right="3119" w:firstLine="284"/>
        <w:spacing w:after="0" w:line="238" w:lineRule="auto"/>
        <w:rPr>
          <w:sz w:val="20"/>
          <w:szCs w:val="20"/>
          <w:color w:val="auto"/>
        </w:rPr>
      </w:pPr>
      <w:r>
        <w:rPr>
          <w:rFonts w:ascii="Courier New" w:cs="Courier New" w:eastAsia="Courier New" w:hAnsi="Courier New"/>
          <w:sz w:val="16"/>
          <w:szCs w:val="16"/>
          <w:color w:val="auto"/>
        </w:rPr>
        <w:t>A U.S. holder of the notes generally will be required to report interest earned on the notes as ordinary income in accordance with the U.S. holder's method of tax accounting.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Disposition</w:t>
      </w:r>
    </w:p>
    <w:p>
      <w:pPr>
        <w:spacing w:after="0" w:line="186"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Upon the sale, exchange, redemption, retirement or other disposition of a note, a U.S. holder who acquired the note upon its issuance will generally recognize capital gain or loss equal to the difference (if any) between the amount realized (other than amounts attributable to accrued but unpaid stated interest which will be taxable as ordinary income) and such U.S. holder's tax basis in the note. The U.S. holder's tax basis for a note generally will be the purchase price for the note. Such gain or loss shall be treated as long-term capital gain or loss if the note was held for more than one year.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Non-U.S. Holders</w:t>
      </w:r>
    </w:p>
    <w:p>
      <w:pPr>
        <w:spacing w:after="0" w:line="186"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The rules governing the U.S. federal income taxation of non-U.S. holders are complex, and no attempt will be made herein to provide more than a summary of such rules. Prospective non-U.S. holders should consult with their own tax advisors to determine the impact of federal, state and local laws with regard to the notes.</w:t>
      </w:r>
    </w:p>
    <w:p>
      <w:pPr>
        <w:spacing w:after="0" w:line="189" w:lineRule="exact"/>
        <w:rPr>
          <w:sz w:val="20"/>
          <w:szCs w:val="20"/>
          <w:color w:val="auto"/>
        </w:rPr>
      </w:pPr>
    </w:p>
    <w:p>
      <w:pPr>
        <w:ind w:right="2759" w:firstLine="284"/>
        <w:spacing w:after="0" w:line="257" w:lineRule="auto"/>
        <w:rPr>
          <w:sz w:val="20"/>
          <w:szCs w:val="20"/>
          <w:color w:val="auto"/>
        </w:rPr>
      </w:pPr>
      <w:r>
        <w:rPr>
          <w:rFonts w:ascii="Courier New" w:cs="Courier New" w:eastAsia="Courier New" w:hAnsi="Courier New"/>
          <w:sz w:val="15"/>
          <w:szCs w:val="15"/>
          <w:color w:val="auto"/>
        </w:rPr>
        <w:t>A non-U.S. holder generally will not be subject to U.S. federal income or withholding tax on payments of interest on a note, provided that (i) the non-U.S. holder is not (A) a direct or indirect owner of 10% or more of the total voting power of all our voting stock, (B) a controlled foreign corporation related to us through stock ownership, or (C) a bank whose receipt of interest on a note is pursuant to a loan agreement entered into in the ordinary course of business; (ii) such interest payments are not effectively connected with the conduct by the non-U.S. holder of a trade or business within the United States; and (iii) we or our paying agent receives certain information from the non-U.S. holder (or a financial institution that holds the notes in the ordinary course of its trade or business) certifying that such holder is a non-U.S. holder. Generally a non-U.S. holder will not be subject to U.S. federal income or withholding tax on gains from the sale or other disposition of a note provided that (i) such gains are not effectively connected with the conduct by the non-U.S. holder of a trade or business within the U.S.; (ii) such non-U.S. holder is not an individual who is present in the U.S. for 183 days or more in the taxable year of disposition and meets certain other requirements; and (iii) the non-U.S. holder is not subject to backup withholding as a result of failing to provide to the selling broker evidence establishing such holder's status as a non-U.S. holder, if required.</w:t>
      </w:r>
    </w:p>
    <w:p>
      <w:pPr>
        <w:spacing w:after="0" w:line="35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S-19</w:t>
      </w:r>
    </w:p>
    <w:p>
      <w:pPr>
        <w:sectPr>
          <w:pgSz w:w="11900" w:h="16838" w:orient="portrait"/>
          <w:cols w:equalWidth="0" w:num="1">
            <w:col w:w="10219"/>
          </w:cols>
          <w:pgMar w:left="240" w:top="659" w:right="1440" w:bottom="1440" w:gutter="0" w:footer="0" w:header="0"/>
        </w:sectPr>
      </w:pPr>
    </w:p>
    <w:bookmarkStart w:id="21" w:name="page22"/>
    <w:bookmarkEnd w:id="21"/>
    <w:p>
      <w:pPr>
        <w:jc w:val="center"/>
        <w:ind w:right="2839"/>
        <w:spacing w:after="0"/>
        <w:rPr>
          <w:sz w:val="20"/>
          <w:szCs w:val="20"/>
          <w:color w:val="auto"/>
        </w:rPr>
      </w:pPr>
      <w:r>
        <w:rPr>
          <w:rFonts w:ascii="Courier New" w:cs="Courier New" w:eastAsia="Courier New" w:hAnsi="Courier New"/>
          <w:sz w:val="16"/>
          <w:szCs w:val="16"/>
          <w:color w:val="auto"/>
        </w:rPr>
        <w:t>UNDERWRITING</w:t>
      </w:r>
    </w:p>
    <w:p>
      <w:pPr>
        <w:spacing w:after="0" w:line="186"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We intend to offer the notes through the underwriters named below. Subject to the terms and conditions contained in an underwriting agreement and the related pricing agreement between us and the underwriters, we have agreed to sell to the underwriters, and the underwriters severally have agreed to purchase from us, the principal amount of the notes listed opposite their names below.</w:t>
      </w:r>
    </w:p>
    <w:p>
      <w:pPr>
        <w:spacing w:after="0" w:line="200" w:lineRule="exact"/>
        <w:rPr>
          <w:sz w:val="20"/>
          <w:szCs w:val="20"/>
          <w:color w:val="auto"/>
        </w:rPr>
      </w:pPr>
    </w:p>
    <w:p>
      <w:pPr>
        <w:spacing w:after="0" w:line="350" w:lineRule="exact"/>
        <w:rPr>
          <w:sz w:val="20"/>
          <w:szCs w:val="20"/>
          <w:color w:val="auto"/>
        </w:rPr>
      </w:pPr>
    </w:p>
    <w:tbl>
      <w:tblPr>
        <w:tblLayout w:type="fixed"/>
        <w:tblInd w:w="1420"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Principal</w:t>
            </w:r>
          </w:p>
        </w:tc>
      </w:tr>
      <w:tr>
        <w:trPr>
          <w:trHeight w:val="182"/>
        </w:trPr>
        <w:tc>
          <w:tcPr>
            <w:tcW w:w="3540" w:type="dxa"/>
            <w:vAlign w:val="bottom"/>
          </w:tcPr>
          <w:p>
            <w:pPr>
              <w:jc w:val="right"/>
              <w:ind w:right="1581"/>
              <w:spacing w:after="0"/>
              <w:rPr>
                <w:sz w:val="20"/>
                <w:szCs w:val="20"/>
                <w:color w:val="auto"/>
              </w:rPr>
            </w:pPr>
            <w:r>
              <w:rPr>
                <w:rFonts w:ascii="Courier New" w:cs="Courier New" w:eastAsia="Courier New" w:hAnsi="Courier New"/>
                <w:sz w:val="16"/>
                <w:szCs w:val="16"/>
                <w:color w:val="auto"/>
              </w:rPr>
              <w:t>Underwriter</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Amount</w:t>
            </w:r>
          </w:p>
        </w:tc>
      </w:tr>
      <w:tr>
        <w:trPr>
          <w:trHeight w:val="182"/>
        </w:trPr>
        <w:tc>
          <w:tcPr>
            <w:tcW w:w="3540" w:type="dxa"/>
            <w:vAlign w:val="bottom"/>
          </w:tcPr>
          <w:p>
            <w:pPr>
              <w:jc w:val="right"/>
              <w:ind w:right="15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Merrill Lynch, Pierce, Fenner &amp; Smith</w:t>
            </w:r>
          </w:p>
        </w:tc>
        <w:tc>
          <w:tcPr>
            <w:tcW w:w="1180" w:type="dxa"/>
            <w:vAlign w:val="bottom"/>
          </w:tcPr>
          <w:p>
            <w:pPr>
              <w:spacing w:after="0"/>
              <w:rPr>
                <w:sz w:val="24"/>
                <w:szCs w:val="24"/>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Incorporated.............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$ 42,500,000</w:t>
            </w: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Salomon Smith Barney Inc.............</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42,500,000</w:t>
            </w: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Wachovia Securities, Inc.............</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42,500,000</w:t>
            </w: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Commerzbank Capital Markets Corp.....</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6,000,000</w:t>
            </w: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Banc of America Securities LLC.......</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3,000,000</w:t>
            </w: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BMO Nesbitt Burns Corp...............</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3,000,000</w:t>
            </w: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Fleet Securities, Inc................</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3,000,000</w:t>
            </w: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HVB Capital Markets, Inc.............</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3,000,000</w:t>
            </w: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Wells Fargo Brokerage Services, LLC..</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3,000,000</w:t>
            </w: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PNC Capital Markets, Inc.............</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1,500,000</w:t>
            </w:r>
          </w:p>
        </w:tc>
      </w:tr>
      <w:tr>
        <w:trPr>
          <w:trHeight w:val="182"/>
        </w:trPr>
        <w:tc>
          <w:tcPr>
            <w:tcW w:w="3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$150,000,000</w:t>
            </w:r>
          </w:p>
        </w:tc>
      </w:tr>
      <w:tr>
        <w:trPr>
          <w:trHeight w:val="182"/>
        </w:trPr>
        <w:tc>
          <w:tcPr>
            <w:tcW w:w="35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89" w:lineRule="exact"/>
        <w:rPr>
          <w:sz w:val="20"/>
          <w:szCs w:val="20"/>
          <w:color w:val="auto"/>
        </w:rPr>
      </w:pPr>
    </w:p>
    <w:p>
      <w:pPr>
        <w:jc w:val="both"/>
        <w:ind w:right="3039" w:firstLine="284"/>
        <w:spacing w:after="0" w:line="262" w:lineRule="auto"/>
        <w:rPr>
          <w:sz w:val="20"/>
          <w:szCs w:val="20"/>
          <w:color w:val="auto"/>
        </w:rPr>
      </w:pPr>
      <w:r>
        <w:rPr>
          <w:rFonts w:ascii="Courier New" w:cs="Courier New" w:eastAsia="Courier New" w:hAnsi="Courier New"/>
          <w:sz w:val="15"/>
          <w:szCs w:val="15"/>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1"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Commissions and Discounts</w:t>
      </w:r>
    </w:p>
    <w:p>
      <w:pPr>
        <w:spacing w:after="0" w:line="186"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The underwriters have advised us that they propose initially to offer the notes to the public at the public offering price on the cover page of this prospectus supplement, and to dealers at that price less a concession not in excess of .35% of the principal amount of the notes to other dealers. The underwriters may allow, and the dealers may reallow, a discount not in excess of .25% of the principal amount of the notes to other dealers. After the initial public offering, the public offering price, concession and discount may be changed.</w:t>
      </w:r>
    </w:p>
    <w:p>
      <w:pPr>
        <w:spacing w:after="0" w:line="187" w:lineRule="exact"/>
        <w:rPr>
          <w:sz w:val="20"/>
          <w:szCs w:val="20"/>
          <w:color w:val="auto"/>
        </w:rPr>
      </w:pPr>
    </w:p>
    <w:p>
      <w:pPr>
        <w:ind w:right="2939" w:firstLine="284"/>
        <w:spacing w:after="0" w:line="237" w:lineRule="auto"/>
        <w:rPr>
          <w:sz w:val="20"/>
          <w:szCs w:val="20"/>
          <w:color w:val="auto"/>
        </w:rPr>
      </w:pPr>
      <w:r>
        <w:rPr>
          <w:rFonts w:ascii="Courier New" w:cs="Courier New" w:eastAsia="Courier New" w:hAnsi="Courier New"/>
          <w:sz w:val="16"/>
          <w:szCs w:val="16"/>
          <w:color w:val="auto"/>
        </w:rPr>
        <w:t>The expenses of the offering, not including the underwriting discount, are estimated to be $500,000 and are payable by us.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Issue of Notes</w:t>
      </w:r>
    </w:p>
    <w:p>
      <w:pPr>
        <w:spacing w:after="0" w:line="186" w:lineRule="exact"/>
        <w:rPr>
          <w:sz w:val="20"/>
          <w:szCs w:val="20"/>
          <w:color w:val="auto"/>
        </w:rPr>
      </w:pPr>
    </w:p>
    <w:p>
      <w:pPr>
        <w:ind w:right="2759" w:firstLine="284"/>
        <w:spacing w:after="0" w:line="258" w:lineRule="auto"/>
        <w:rPr>
          <w:sz w:val="20"/>
          <w:szCs w:val="20"/>
          <w:color w:val="auto"/>
        </w:rPr>
      </w:pPr>
      <w:r>
        <w:rPr>
          <w:rFonts w:ascii="Courier New" w:cs="Courier New" w:eastAsia="Courier New" w:hAnsi="Courier New"/>
          <w:sz w:val="15"/>
          <w:szCs w:val="15"/>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70"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S-20</w:t>
      </w:r>
    </w:p>
    <w:p>
      <w:pPr>
        <w:sectPr>
          <w:pgSz w:w="11900" w:h="16838" w:orient="portrait"/>
          <w:cols w:equalWidth="0" w:num="1">
            <w:col w:w="10219"/>
          </w:cols>
          <w:pgMar w:left="240" w:top="65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Price Stabilization and Short Positions</w:t>
      </w:r>
    </w:p>
    <w:p>
      <w:pPr>
        <w:spacing w:after="0" w:line="186" w:lineRule="exact"/>
        <w:rPr>
          <w:sz w:val="20"/>
          <w:szCs w:val="20"/>
          <w:color w:val="auto"/>
        </w:rPr>
      </w:pPr>
    </w:p>
    <w:p>
      <w:pPr>
        <w:ind w:right="2759" w:firstLine="284"/>
        <w:spacing w:after="0" w:line="258" w:lineRule="auto"/>
        <w:rPr>
          <w:sz w:val="20"/>
          <w:szCs w:val="20"/>
          <w:color w:val="auto"/>
        </w:rPr>
      </w:pPr>
      <w:r>
        <w:rPr>
          <w:rFonts w:ascii="Courier New" w:cs="Courier New" w:eastAsia="Courier New" w:hAnsi="Courier New"/>
          <w:sz w:val="15"/>
          <w:szCs w:val="15"/>
          <w:color w:val="auto"/>
        </w:rPr>
        <w:t>In connection with the offering, the underwriters are permitted to engage in transactions that stabilize the market price of the notes. Such transactions consist of bids or purchases to peg, fix or maintain the price of the notes. If the underwriters create a short position in the notes in connection with the offering, i.e.,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175"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Relationships</w:t>
      </w:r>
    </w:p>
    <w:p>
      <w:pPr>
        <w:spacing w:after="0" w:line="186" w:lineRule="exact"/>
        <w:rPr>
          <w:sz w:val="20"/>
          <w:szCs w:val="20"/>
          <w:color w:val="auto"/>
        </w:rPr>
      </w:pPr>
    </w:p>
    <w:p>
      <w:pPr>
        <w:ind w:right="2939" w:firstLine="284"/>
        <w:spacing w:after="0" w:line="239" w:lineRule="auto"/>
        <w:rPr>
          <w:sz w:val="20"/>
          <w:szCs w:val="20"/>
          <w:color w:val="auto"/>
        </w:rPr>
      </w:pPr>
      <w:r>
        <w:rPr>
          <w:rFonts w:ascii="Courier New" w:cs="Courier New" w:eastAsia="Courier New" w:hAnsi="Courier New"/>
          <w:sz w:val="16"/>
          <w:szCs w:val="16"/>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 Wachovia Bank, National Association, an affiliate of Wachovia Securities, Inc., acts as lead arranger and administrative agent under our credit facility and is the Trustee under the Senior Indenture.</w:t>
      </w:r>
    </w:p>
    <w:p>
      <w:pPr>
        <w:spacing w:after="0" w:line="18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NOTICE REGARDING ARTHUR ANDERSEN LLP</w:t>
      </w:r>
    </w:p>
    <w:p>
      <w:pPr>
        <w:spacing w:after="0" w:line="186" w:lineRule="exact"/>
        <w:rPr>
          <w:sz w:val="20"/>
          <w:szCs w:val="20"/>
          <w:color w:val="auto"/>
        </w:rPr>
      </w:pPr>
    </w:p>
    <w:p>
      <w:pPr>
        <w:jc w:val="both"/>
        <w:ind w:right="3039" w:firstLine="284"/>
        <w:spacing w:after="0" w:line="267" w:lineRule="auto"/>
        <w:rPr>
          <w:sz w:val="20"/>
          <w:szCs w:val="20"/>
          <w:color w:val="auto"/>
        </w:rPr>
      </w:pPr>
      <w:r>
        <w:rPr>
          <w:rFonts w:ascii="Courier New" w:cs="Courier New" w:eastAsia="Courier New" w:hAnsi="Courier New"/>
          <w:sz w:val="15"/>
          <w:szCs w:val="15"/>
          <w:color w:val="auto"/>
        </w:rPr>
        <w:t>On June 4, 2002, we announced that we had appointed Grant Thornton LLP as our independent auditor for fiscal year 2002, replacing Arthur Andersen LLP.</w:t>
      </w:r>
    </w:p>
    <w:p>
      <w:pPr>
        <w:spacing w:after="0" w:line="168" w:lineRule="exact"/>
        <w:rPr>
          <w:sz w:val="20"/>
          <w:szCs w:val="20"/>
          <w:color w:val="auto"/>
        </w:rPr>
      </w:pPr>
    </w:p>
    <w:p>
      <w:pPr>
        <w:ind w:right="2839" w:firstLine="284"/>
        <w:spacing w:after="0" w:line="257" w:lineRule="auto"/>
        <w:rPr>
          <w:sz w:val="20"/>
          <w:szCs w:val="20"/>
          <w:color w:val="auto"/>
        </w:rPr>
      </w:pPr>
      <w:r>
        <w:rPr>
          <w:rFonts w:ascii="Courier New" w:cs="Courier New" w:eastAsia="Courier New" w:hAnsi="Courier New"/>
          <w:sz w:val="15"/>
          <w:szCs w:val="15"/>
          <w:color w:val="auto"/>
        </w:rPr>
        <w:t>Section 11(a) of the Securities Act of 1933, as amended,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81" w:lineRule="exact"/>
        <w:rPr>
          <w:sz w:val="20"/>
          <w:szCs w:val="20"/>
          <w:color w:val="auto"/>
        </w:rPr>
      </w:pPr>
    </w:p>
    <w:p>
      <w:pPr>
        <w:ind w:right="2759" w:firstLine="284"/>
        <w:spacing w:after="0" w:line="239" w:lineRule="auto"/>
        <w:rPr>
          <w:sz w:val="20"/>
          <w:szCs w:val="20"/>
          <w:color w:val="auto"/>
        </w:rPr>
      </w:pPr>
      <w:r>
        <w:rPr>
          <w:rFonts w:ascii="Courier New" w:cs="Courier New" w:eastAsia="Courier New" w:hAnsi="Courier New"/>
          <w:sz w:val="16"/>
          <w:szCs w:val="16"/>
          <w:color w:val="auto"/>
        </w:rPr>
        <w:t>Prior to the date of this prospectus, the Arthur Andersen partners who reviewed our most recent audited financial statements, as of December 31, 2001 and 2000 and for each of the three years in the period ended December 31, 2001, resigned from Arthur Andersen. As a result, after reasonable efforts, we have been unable to obtain Arthur Andersen's written consent to the incorporation by reference into this prospectus supplement of its audit reports with respect to our financial statements.</w:t>
      </w:r>
    </w:p>
    <w:p>
      <w:pPr>
        <w:spacing w:after="0" w:line="192" w:lineRule="exact"/>
        <w:rPr>
          <w:sz w:val="20"/>
          <w:szCs w:val="20"/>
          <w:color w:val="auto"/>
        </w:rPr>
      </w:pPr>
    </w:p>
    <w:p>
      <w:pPr>
        <w:ind w:right="2839" w:firstLine="284"/>
        <w:spacing w:after="0" w:line="239" w:lineRule="auto"/>
        <w:rPr>
          <w:sz w:val="20"/>
          <w:szCs w:val="20"/>
          <w:color w:val="auto"/>
        </w:rPr>
      </w:pPr>
      <w:r>
        <w:rPr>
          <w:rFonts w:ascii="Courier New" w:cs="Courier New" w:eastAsia="Courier New" w:hAnsi="Courier New"/>
          <w:sz w:val="16"/>
          <w:szCs w:val="16"/>
          <w:color w:val="auto"/>
        </w:rPr>
        <w:t>Under these circumstances, Rule 437a under the Securities Act permits us to file the registration statement of which this prospectus supplement forms a part without a written consent from Arthur Andersen. Accordingly, Arthur Andersen will not be liable to you under Section 11(a) of the Securities Act because it has not consented to being named as an expert in the registration statement of which this prospectus supplement forms a part.</w:t>
      </w:r>
    </w:p>
    <w:p>
      <w:pPr>
        <w:spacing w:after="0" w:line="18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ind w:right="2759" w:firstLine="284"/>
        <w:spacing w:after="0"/>
        <w:rPr>
          <w:sz w:val="20"/>
          <w:szCs w:val="20"/>
          <w:color w:val="auto"/>
        </w:rPr>
      </w:pPr>
      <w:r>
        <w:rPr>
          <w:rFonts w:ascii="Courier New" w:cs="Courier New" w:eastAsia="Courier New" w:hAnsi="Courier New"/>
          <w:sz w:val="16"/>
          <w:szCs w:val="16"/>
          <w:color w:val="auto"/>
        </w:rPr>
        <w:t>The legality of the notes offered by this prospectus will be passed upon for us by Shaw Pittman LLP, a law partnership including professional corporations. In addition, the description of federal income tax consequences incorporated by reference into this prospectus from our Current Report on Form 8-K filed with the SEC on November 13, 2002 is, to the extent that it constitutes matters of law, summaries of legal matters or legal conclusions, the opinion of Shaw Pittman LLP. Sidley Austin Brown &amp; Wood LLP, New York, New York, will act as counsel to the underwriters.</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S-21</w:t>
      </w:r>
    </w:p>
    <w:p>
      <w:pPr>
        <w:sectPr>
          <w:pgSz w:w="11900" w:h="16838" w:orient="portrait"/>
          <w:cols w:equalWidth="0" w:num="1">
            <w:col w:w="10219"/>
          </w:cols>
          <w:pgMar w:left="240" w:top="659" w:right="1440" w:bottom="1440" w:gutter="0" w:footer="0" w:header="0"/>
        </w:sectPr>
      </w:pPr>
    </w:p>
    <w:bookmarkStart w:id="23" w:name="page24"/>
    <w:bookmarkEnd w:id="23"/>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$150,000,000</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[LOGO]</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Federal Realty</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Investment Trust</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6 1/8% Notes due 2007</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PROSPECTUS SUPPLEMENT</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Merrill Lynch &amp; Co.</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Salomon Smith Barney</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Wachovia Securities</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Commerzbank Securities</w:t>
      </w:r>
    </w:p>
    <w:p>
      <w:pPr>
        <w:spacing w:after="0" w:line="18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Banc of America Securities LLC</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BMO Nesbitt Burns</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Fleet Securities,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HVB Capital Markets,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Wells Fargo Brokerage Services, LLC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PNC Capital Markets,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November 14, 2002</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1">
        <w:col w:w="10219"/>
      </w:cols>
      <w:pgMar w:left="240" w:top="6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30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30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2"/>
    </w:lvl>
  </w:abstractNum>
  <w:abstractNum w:abstractNumId="20">
    <w:nsid w:val="8EDBDAB"/>
    <w:multiLevelType w:val="hybridMultilevel"/>
    <w:lvl w:ilvl="0">
      <w:lvlJc w:val="left"/>
      <w:lvlText w:val="(%1)"/>
      <w:numFmt w:val="decimal"/>
      <w:start w:val="4"/>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2019-12-13T00:58:21Z</dcterms:created>
  <dcterms:modified xsi:type="dcterms:W3CDTF">2019-12-13T00:58:21Z</dcterms:modified>
</cp:coreProperties>
</file>