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46" w:lineRule="exact"/>
        <w:rPr>
          <w:sz w:val="24"/>
          <w:szCs w:val="24"/>
          <w:color w:val="auto"/>
        </w:rPr>
      </w:pPr>
    </w:p>
    <w:tbl>
      <w:tblPr>
        <w:tblLayout w:type="fixed"/>
        <w:tblInd w:w="18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380" w:type="dxa"/>
            <w:vAlign w:val="bottom"/>
            <w:gridSpan w:val="2"/>
          </w:tcPr>
          <w:p>
            <w:pPr>
              <w:jc w:val="center"/>
              <w:ind w:right="2185"/>
              <w:spacing w:after="0"/>
              <w:rPr>
                <w:sz w:val="20"/>
                <w:szCs w:val="20"/>
                <w:color w:val="auto"/>
              </w:rPr>
            </w:pPr>
            <w:r>
              <w:rPr>
                <w:rFonts w:ascii="Arial" w:cs="Arial" w:eastAsia="Arial" w:hAnsi="Arial"/>
                <w:sz w:val="16"/>
                <w:szCs w:val="16"/>
                <w:b w:val="1"/>
                <w:bCs w:val="1"/>
                <w:color w:val="auto"/>
                <w:w w:val="96"/>
              </w:rPr>
              <w:t>Maryland</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60" w:type="dxa"/>
            <w:vAlign w:val="bottom"/>
            <w:gridSpan w:val="2"/>
          </w:tcPr>
          <w:p>
            <w:pPr>
              <w:ind w:left="800"/>
              <w:spacing w:after="0"/>
              <w:rPr>
                <w:sz w:val="20"/>
                <w:szCs w:val="20"/>
                <w:color w:val="auto"/>
              </w:rPr>
            </w:pPr>
            <w:r>
              <w:rPr>
                <w:rFonts w:ascii="Arial" w:cs="Arial" w:eastAsia="Arial" w:hAnsi="Arial"/>
                <w:sz w:val="16"/>
                <w:szCs w:val="16"/>
                <w:b w:val="1"/>
                <w:bCs w:val="1"/>
                <w:color w:val="auto"/>
              </w:rPr>
              <w:t>52-0782497</w:t>
            </w:r>
          </w:p>
        </w:tc>
      </w:tr>
      <w:tr>
        <w:trPr>
          <w:trHeight w:val="237"/>
        </w:trPr>
        <w:tc>
          <w:tcPr>
            <w:tcW w:w="4880" w:type="dxa"/>
            <w:vAlign w:val="bottom"/>
            <w:gridSpan w:val="3"/>
          </w:tcPr>
          <w:p>
            <w:pPr>
              <w:jc w:val="center"/>
              <w:ind w:right="685"/>
              <w:spacing w:after="0"/>
              <w:rPr>
                <w:sz w:val="20"/>
                <w:szCs w:val="20"/>
                <w:color w:val="auto"/>
              </w:rPr>
            </w:pPr>
            <w:r>
              <w:rPr>
                <w:rFonts w:ascii="Arial" w:cs="Arial" w:eastAsia="Arial" w:hAnsi="Arial"/>
                <w:sz w:val="14"/>
                <w:szCs w:val="14"/>
                <w:b w:val="1"/>
                <w:bCs w:val="1"/>
                <w:color w:val="auto"/>
                <w:w w:val="93"/>
              </w:rPr>
              <w:t>(State of Organization)</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(IRS Employer Identification No.)</w:t>
            </w:r>
          </w:p>
        </w:tc>
      </w:tr>
      <w:tr>
        <w:trPr>
          <w:trHeight w:val="35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20" w:type="dxa"/>
            <w:vAlign w:val="bottom"/>
            <w:gridSpan w:val="5"/>
          </w:tcPr>
          <w:p>
            <w:pPr>
              <w:jc w:val="center"/>
              <w:ind w:right="2142"/>
              <w:spacing w:after="0"/>
              <w:rPr>
                <w:sz w:val="20"/>
                <w:szCs w:val="20"/>
                <w:color w:val="auto"/>
              </w:rPr>
            </w:pPr>
            <w:r>
              <w:rPr>
                <w:rFonts w:ascii="Arial" w:cs="Arial" w:eastAsia="Arial" w:hAnsi="Arial"/>
                <w:sz w:val="16"/>
                <w:szCs w:val="16"/>
                <w:b w:val="1"/>
                <w:bCs w:val="1"/>
                <w:color w:val="auto"/>
                <w:w w:val="91"/>
              </w:rPr>
              <w:t>909 Rose Avenue, Suite 200, North Bethesda, Maryland 20852</w:t>
            </w: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4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(301) 998-8100</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520" w:type="dxa"/>
            <w:vAlign w:val="bottom"/>
            <w:gridSpan w:val="5"/>
          </w:tcPr>
          <w:p>
            <w:pPr>
              <w:jc w:val="center"/>
              <w:ind w:right="2162"/>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768"/>
        </w:trPr>
        <w:tc>
          <w:tcPr>
            <w:tcW w:w="1500" w:type="dxa"/>
            <w:vAlign w:val="bottom"/>
          </w:tcPr>
          <w:p>
            <w:pPr>
              <w:spacing w:after="0"/>
              <w:rPr>
                <w:sz w:val="24"/>
                <w:szCs w:val="24"/>
                <w:color w:val="auto"/>
              </w:rPr>
            </w:pPr>
          </w:p>
        </w:tc>
        <w:tc>
          <w:tcPr>
            <w:tcW w:w="3380" w:type="dxa"/>
            <w:vAlign w:val="bottom"/>
            <w:gridSpan w:val="2"/>
          </w:tcPr>
          <w:p>
            <w:pPr>
              <w:jc w:val="center"/>
              <w:ind w:right="2005"/>
              <w:spacing w:after="0"/>
              <w:rPr>
                <w:sz w:val="20"/>
                <w:szCs w:val="20"/>
                <w:color w:val="auto"/>
              </w:rPr>
            </w:pPr>
            <w:r>
              <w:rPr>
                <w:rFonts w:ascii="Arial" w:cs="Arial" w:eastAsia="Arial" w:hAnsi="Arial"/>
                <w:sz w:val="16"/>
                <w:szCs w:val="16"/>
                <w:b w:val="1"/>
                <w:bCs w:val="1"/>
                <w:color w:val="auto"/>
                <w:w w:val="91"/>
              </w:rPr>
              <w:t>Title of Each Class</w:t>
            </w:r>
          </w:p>
        </w:tc>
        <w:tc>
          <w:tcPr>
            <w:tcW w:w="218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0"/>
              </w:rPr>
              <w:t>Trading Symbol</w:t>
            </w:r>
          </w:p>
        </w:tc>
        <w:tc>
          <w:tcPr>
            <w:tcW w:w="32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4880" w:type="dxa"/>
            <w:vAlign w:val="bottom"/>
            <w:gridSpan w:val="3"/>
          </w:tcPr>
          <w:p>
            <w:pPr>
              <w:jc w:val="center"/>
              <w:ind w:right="485"/>
              <w:spacing w:after="0"/>
              <w:rPr>
                <w:sz w:val="20"/>
                <w:szCs w:val="20"/>
                <w:color w:val="auto"/>
              </w:rPr>
            </w:pPr>
            <w:r>
              <w:rPr>
                <w:rFonts w:ascii="Arial" w:cs="Arial" w:eastAsia="Arial" w:hAnsi="Arial"/>
                <w:sz w:val="16"/>
                <w:szCs w:val="16"/>
                <w:color w:val="auto"/>
                <w:w w:val="92"/>
              </w:rPr>
              <w:t>Common Shares of Beneficial Interest</w:t>
            </w: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FRT</w:t>
            </w:r>
          </w:p>
        </w:tc>
        <w:tc>
          <w:tcPr>
            <w:tcW w:w="40" w:type="dxa"/>
            <w:vAlign w:val="bottom"/>
          </w:tcPr>
          <w:p>
            <w:pPr>
              <w:spacing w:after="0"/>
              <w:rPr>
                <w:sz w:val="21"/>
                <w:szCs w:val="21"/>
                <w:color w:val="auto"/>
              </w:rPr>
            </w:pP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r>
      <w:tr>
        <w:trPr>
          <w:trHeight w:val="166"/>
        </w:trPr>
        <w:tc>
          <w:tcPr>
            <w:tcW w:w="4880" w:type="dxa"/>
            <w:vAlign w:val="bottom"/>
            <w:gridSpan w:val="3"/>
          </w:tcPr>
          <w:p>
            <w:pPr>
              <w:jc w:val="center"/>
              <w:ind w:right="505"/>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380" w:type="dxa"/>
            <w:vAlign w:val="bottom"/>
            <w:gridSpan w:val="2"/>
          </w:tcPr>
          <w:p>
            <w:pPr>
              <w:jc w:val="center"/>
              <w:ind w:right="2005"/>
              <w:spacing w:after="0"/>
              <w:rPr>
                <w:sz w:val="20"/>
                <w:szCs w:val="20"/>
                <w:color w:val="auto"/>
              </w:rPr>
            </w:pPr>
            <w:r>
              <w:rPr>
                <w:rFonts w:ascii="Arial" w:cs="Arial" w:eastAsia="Arial" w:hAnsi="Arial"/>
                <w:sz w:val="16"/>
                <w:szCs w:val="16"/>
                <w:color w:val="auto"/>
                <w:w w:val="92"/>
              </w:rPr>
              <w:t>Rights</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30"/>
        </w:trPr>
        <w:tc>
          <w:tcPr>
            <w:tcW w:w="4880" w:type="dxa"/>
            <w:vAlign w:val="bottom"/>
            <w:gridSpan w:val="3"/>
          </w:tcPr>
          <w:p>
            <w:pPr>
              <w:jc w:val="center"/>
              <w:ind w:right="485"/>
              <w:spacing w:after="0"/>
              <w:rPr>
                <w:sz w:val="20"/>
                <w:szCs w:val="20"/>
                <w:color w:val="auto"/>
              </w:rPr>
            </w:pPr>
            <w:r>
              <w:rPr>
                <w:rFonts w:ascii="Arial" w:cs="Arial" w:eastAsia="Arial" w:hAnsi="Arial"/>
                <w:sz w:val="16"/>
                <w:szCs w:val="16"/>
                <w:color w:val="auto"/>
                <w:w w:val="89"/>
              </w:rPr>
              <w:t>Depositary Shares, each representing 1/1000 of a share</w:t>
            </w:r>
          </w:p>
        </w:tc>
        <w:tc>
          <w:tcPr>
            <w:tcW w:w="218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FRT-C</w:t>
            </w:r>
          </w:p>
        </w:tc>
        <w:tc>
          <w:tcPr>
            <w:tcW w:w="40" w:type="dxa"/>
            <w:vAlign w:val="bottom"/>
          </w:tcPr>
          <w:p>
            <w:pPr>
              <w:spacing w:after="0"/>
              <w:rPr>
                <w:sz w:val="24"/>
                <w:szCs w:val="24"/>
                <w:color w:val="auto"/>
              </w:rPr>
            </w:pP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r>
    </w:tbl>
    <w:p>
      <w:pPr>
        <w:spacing w:after="0" w:line="4" w:lineRule="exact"/>
        <w:rPr>
          <w:sz w:val="24"/>
          <w:szCs w:val="24"/>
          <w:color w:val="auto"/>
        </w:rPr>
      </w:pPr>
    </w:p>
    <w:p>
      <w:pPr>
        <w:jc w:val="center"/>
        <w:ind w:right="65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580"/>
        <w:spacing w:after="0"/>
        <w:rPr>
          <w:sz w:val="20"/>
          <w:szCs w:val="20"/>
          <w:color w:val="auto"/>
        </w:rPr>
      </w:pPr>
      <w:r>
        <w:rPr>
          <w:rFonts w:ascii="Arial" w:cs="Arial" w:eastAsia="Arial" w:hAnsi="Arial"/>
          <w:sz w:val="16"/>
          <w:szCs w:val="16"/>
          <w:color w:val="auto"/>
        </w:rPr>
        <w:t>value per share</w:t>
      </w:r>
    </w:p>
    <w:p>
      <w:pPr>
        <w:spacing w:after="0" w:line="20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0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3"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3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6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1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43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20" w:type="dxa"/>
            <w:vAlign w:val="bottom"/>
          </w:tcPr>
          <w:p>
            <w:pPr>
              <w:ind w:left="6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19"/>
        </w:trPr>
        <w:tc>
          <w:tcPr>
            <w:tcW w:w="1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320" w:type="dxa"/>
            <w:vAlign w:val="bottom"/>
          </w:tcPr>
          <w:p>
            <w:pPr>
              <w:ind w:left="6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8"/>
        </w:trPr>
        <w:tc>
          <w:tcPr>
            <w:tcW w:w="10660" w:type="dxa"/>
            <w:vAlign w:val="bottom"/>
            <w:gridSpan w:val="3"/>
          </w:tcPr>
          <w:p>
            <w:pPr>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4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6340" w:type="dxa"/>
            <w:vAlign w:val="bottom"/>
            <w:gridSpan w:val="2"/>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2580"/>
        <w:spacing w:after="0" w:line="29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The number of registrant’s common shares outstanding on July 30, 2021 was 77,768,140.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JUNE 30, 2021</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0"/>
        </w:trPr>
        <w:tc>
          <w:tcPr>
            <w:tcW w:w="1340" w:type="dxa"/>
            <w:vAlign w:val="bottom"/>
          </w:tcPr>
          <w:p>
            <w:pPr>
              <w:ind w:left="560"/>
              <w:spacing w:after="0" w:line="190" w:lineRule="exact"/>
              <w:rPr>
                <w:sz w:val="20"/>
                <w:szCs w:val="20"/>
                <w:color w:val="auto"/>
              </w:rPr>
            </w:pPr>
            <w:r>
              <w:rPr>
                <w:rFonts w:ascii="Arial" w:cs="Arial" w:eastAsia="Arial" w:hAnsi="Arial"/>
                <w:sz w:val="18"/>
                <w:szCs w:val="18"/>
                <w:color w:val="auto"/>
              </w:rPr>
              <w:t>Item 1.</w:t>
            </w:r>
          </w:p>
        </w:tc>
        <w:tc>
          <w:tcPr>
            <w:tcW w:w="9640" w:type="dxa"/>
            <w:vAlign w:val="bottom"/>
          </w:tcPr>
          <w:p>
            <w:pPr>
              <w:ind w:left="140"/>
              <w:spacing w:after="0" w:line="190" w:lineRule="exact"/>
              <w:rPr>
                <w:sz w:val="20"/>
                <w:szCs w:val="20"/>
                <w:color w:val="auto"/>
              </w:rPr>
            </w:pPr>
            <w:r>
              <w:rPr>
                <w:rFonts w:ascii="Arial" w:cs="Arial" w:eastAsia="Arial" w:hAnsi="Arial"/>
                <w:sz w:val="18"/>
                <w:szCs w:val="18"/>
                <w:color w:val="auto"/>
              </w:rPr>
              <w:t>Financial Statements</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Balance Sheets as of June 30, 2021 (unaudited) and December 31, 2020</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w w:val="95"/>
              </w:rPr>
              <w:t>Consolidated Statements of Comprehensive Income (unaudited) for the three and six months ended June 30, 2021 and 2020</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w w:val="97"/>
              </w:rPr>
              <w:t>Consolidated Statements of Shareholders' Equity (unaudited) for the three and six months ended June 30, 2021 and 2020</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2021 and 2020</w:t>
            </w: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34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2.</w:t>
            </w:r>
          </w:p>
        </w:tc>
        <w:tc>
          <w:tcPr>
            <w:tcW w:w="96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3.</w:t>
            </w:r>
          </w:p>
        </w:tc>
        <w:tc>
          <w:tcPr>
            <w:tcW w:w="96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4.</w:t>
            </w:r>
          </w:p>
        </w:tc>
        <w:tc>
          <w:tcPr>
            <w:tcW w:w="96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479"/>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1.</w:t>
            </w:r>
          </w:p>
        </w:tc>
        <w:tc>
          <w:tcPr>
            <w:tcW w:w="96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1A.</w:t>
            </w:r>
          </w:p>
        </w:tc>
        <w:tc>
          <w:tcPr>
            <w:tcW w:w="96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2.</w:t>
            </w:r>
          </w:p>
        </w:tc>
        <w:tc>
          <w:tcPr>
            <w:tcW w:w="96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3.</w:t>
            </w:r>
          </w:p>
        </w:tc>
        <w:tc>
          <w:tcPr>
            <w:tcW w:w="964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09"/>
        </w:trPr>
        <w:tc>
          <w:tcPr>
            <w:tcW w:w="1340" w:type="dxa"/>
            <w:vAlign w:val="bottom"/>
          </w:tcPr>
          <w:p>
            <w:pPr>
              <w:ind w:left="560"/>
              <w:spacing w:after="0"/>
              <w:rPr>
                <w:sz w:val="20"/>
                <w:szCs w:val="20"/>
                <w:color w:val="auto"/>
              </w:rPr>
            </w:pPr>
            <w:r>
              <w:rPr>
                <w:rFonts w:ascii="Arial" w:cs="Arial" w:eastAsia="Arial" w:hAnsi="Arial"/>
                <w:sz w:val="18"/>
                <w:szCs w:val="18"/>
                <w:color w:val="auto"/>
              </w:rPr>
              <w:t>Item 4.</w:t>
            </w:r>
          </w:p>
        </w:tc>
        <w:tc>
          <w:tcPr>
            <w:tcW w:w="964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5.</w:t>
            </w:r>
          </w:p>
        </w:tc>
        <w:tc>
          <w:tcPr>
            <w:tcW w:w="96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10"/>
        </w:trPr>
        <w:tc>
          <w:tcPr>
            <w:tcW w:w="1340" w:type="dxa"/>
            <w:vAlign w:val="bottom"/>
          </w:tcPr>
          <w:p>
            <w:pPr>
              <w:ind w:left="560"/>
              <w:spacing w:after="0"/>
              <w:rPr>
                <w:sz w:val="20"/>
                <w:szCs w:val="20"/>
                <w:color w:val="auto"/>
              </w:rPr>
            </w:pPr>
            <w:r>
              <w:rPr>
                <w:rFonts w:ascii="Arial" w:cs="Arial" w:eastAsia="Arial" w:hAnsi="Arial"/>
                <w:sz w:val="18"/>
                <w:szCs w:val="18"/>
                <w:color w:val="auto"/>
              </w:rPr>
              <w:t>Item 6.</w:t>
            </w:r>
          </w:p>
        </w:tc>
        <w:tc>
          <w:tcPr>
            <w:tcW w:w="96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479"/>
        </w:trPr>
        <w:tc>
          <w:tcPr>
            <w:tcW w:w="13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4"/>
        </w:trPr>
        <w:tc>
          <w:tcPr>
            <w:tcW w:w="8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4"/>
          </w:tcPr>
          <w:p>
            <w:pPr>
              <w:jc w:val="right"/>
              <w:ind w:right="131"/>
              <w:spacing w:after="0" w:line="135"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0"/>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Operating (including $2,184,537 and $1,703,202 of consolidated variable interest entities,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7,771,981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rPr>
              <w:t>Construction-in-progress (including $24,679 and $44,896 of consolidated variable interest entities,</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858,488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9,270,625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8,582,870</w:t>
            </w: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2"/>
              </w:rPr>
              <w:t>Less accumulated depreciation and amortization (including $359,198 and $335,735 of consolidated variable</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(2,444,329)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(2,357,692)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 estate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6,826,296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6,225,178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9"/>
              </w:rPr>
              <w:t>Mortgages payable, net (including $396,732 and $413,681 of consolidated variable interest entities,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466,026</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respectively)</w:t>
            </w: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Notes payable,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3,405,282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3,404,488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Security deposits payable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4,921,157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600" w:type="dxa"/>
            <w:vAlign w:val="bottom"/>
          </w:tcPr>
          <w:p>
            <w:pPr>
              <w:ind w:left="80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77,760,588 and 76,727,394</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3,297,305</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(1,062,641)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2,490,089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2,464,157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2,575,839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2,548,747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230,795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175,479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447,930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406,277</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407,784</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80,729</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20,065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124,972</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285,429</w:t>
            </w:r>
          </w:p>
        </w:tc>
        <w:tc>
          <w:tcPr>
            <w:tcW w:w="0" w:type="dxa"/>
            <w:vAlign w:val="bottom"/>
          </w:tcPr>
          <w:p>
            <w:pPr>
              <w:spacing w:after="0"/>
              <w:rPr>
                <w:sz w:val="1"/>
                <w:szCs w:val="1"/>
                <w:color w:val="auto"/>
              </w:rPr>
            </w:pPr>
          </w:p>
        </w:tc>
      </w:tr>
      <w:tr>
        <w:trPr>
          <w:trHeight w:val="183"/>
        </w:trPr>
        <w:tc>
          <w:tcPr>
            <w:tcW w:w="6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40"/>
              <w:spacing w:after="0"/>
              <w:rPr>
                <w:sz w:val="20"/>
                <w:szCs w:val="20"/>
                <w:color w:val="auto"/>
              </w:rPr>
            </w:pPr>
            <w:r>
              <w:rPr>
                <w:rFonts w:ascii="Arial" w:cs="Arial" w:eastAsia="Arial" w:hAnsi="Arial"/>
                <w:sz w:val="18"/>
                <w:szCs w:val="18"/>
                <w:color w:val="auto"/>
              </w:rPr>
              <w:t>Gain on sale of real estate and change in control of interest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183"/>
        </w:trPr>
        <w:tc>
          <w:tcPr>
            <w:tcW w:w="6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134,037</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OTHER INCOME/(EXPENSE)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(62,518)</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65,270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shares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61,249</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77,474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75,394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77,160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4"/>
          </w:tcPr>
          <w:p>
            <w:pPr>
              <w:jc w:val="right"/>
              <w:ind w:right="80"/>
              <w:spacing w:after="0"/>
              <w:rPr>
                <w:sz w:val="20"/>
                <w:szCs w:val="20"/>
                <w:color w:val="auto"/>
              </w:rPr>
            </w:pPr>
            <w:r>
              <w:rPr>
                <w:rFonts w:ascii="Arial" w:cs="Arial" w:eastAsia="Arial" w:hAnsi="Arial"/>
                <w:sz w:val="14"/>
                <w:szCs w:val="14"/>
                <w:b w:val="1"/>
                <w:bCs w:val="1"/>
                <w:color w:val="auto"/>
              </w:rPr>
              <w:t>Shareholders’ Equity of the Trust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7"/>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120"/>
              <w:spacing w:after="0" w:line="135" w:lineRule="exact"/>
              <w:rPr>
                <w:sz w:val="20"/>
                <w:szCs w:val="20"/>
                <w:color w:val="auto"/>
              </w:rPr>
            </w:pPr>
            <w:r>
              <w:rPr>
                <w:rFonts w:ascii="Arial" w:cs="Arial" w:eastAsia="Arial" w:hAnsi="Arial"/>
                <w:sz w:val="14"/>
                <w:szCs w:val="14"/>
                <w:b w:val="1"/>
                <w:bCs w:val="1"/>
                <w:color w:val="auto"/>
                <w:w w:val="91"/>
              </w:rPr>
              <w:t>Dividends in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6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4"/>
          </w:tcPr>
          <w:p>
            <w:pPr>
              <w:jc w:val="right"/>
              <w:ind w:right="280"/>
              <w:spacing w:after="0" w:line="108"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4"/>
          </w:tcPr>
          <w:p>
            <w:pPr>
              <w:spacing w:after="0" w:line="108" w:lineRule="exact"/>
              <w:rPr>
                <w:sz w:val="20"/>
                <w:szCs w:val="20"/>
                <w:color w:val="auto"/>
              </w:rPr>
            </w:pPr>
            <w:r>
              <w:rPr>
                <w:rFonts w:ascii="Arial" w:cs="Arial" w:eastAsia="Arial" w:hAnsi="Arial"/>
                <w:sz w:val="12"/>
                <w:szCs w:val="12"/>
                <w:b w:val="1"/>
                <w:bCs w:val="1"/>
                <w:color w:val="auto"/>
              </w:rPr>
              <w:t>Excess of Net</w:t>
            </w:r>
          </w:p>
        </w:tc>
        <w:tc>
          <w:tcPr>
            <w:tcW w:w="1080" w:type="dxa"/>
            <w:vAlign w:val="bottom"/>
            <w:gridSpan w:val="5"/>
          </w:tcPr>
          <w:p>
            <w:pPr>
              <w:jc w:val="center"/>
              <w:ind w:right="80"/>
              <w:spacing w:after="0" w:line="108" w:lineRule="exact"/>
              <w:rPr>
                <w:sz w:val="20"/>
                <w:szCs w:val="20"/>
                <w:color w:val="auto"/>
              </w:rPr>
            </w:pPr>
            <w:r>
              <w:rPr>
                <w:rFonts w:ascii="Arial" w:cs="Arial" w:eastAsia="Arial" w:hAnsi="Arial"/>
                <w:sz w:val="12"/>
                <w:szCs w:val="12"/>
                <w:b w:val="1"/>
                <w:bCs w:val="1"/>
                <w:color w:val="auto"/>
              </w:rPr>
              <w:t>Comprehensive</w:t>
            </w:r>
          </w:p>
        </w:tc>
        <w:tc>
          <w:tcPr>
            <w:tcW w:w="1060" w:type="dxa"/>
            <w:vAlign w:val="bottom"/>
            <w:gridSpan w:val="4"/>
          </w:tcPr>
          <w:p>
            <w:pPr>
              <w:ind w:left="40"/>
              <w:spacing w:after="0" w:line="108" w:lineRule="exact"/>
              <w:rPr>
                <w:sz w:val="20"/>
                <w:szCs w:val="20"/>
                <w:color w:val="auto"/>
              </w:rPr>
            </w:pPr>
            <w:r>
              <w:rPr>
                <w:rFonts w:ascii="Arial" w:cs="Arial" w:eastAsia="Arial" w:hAnsi="Arial"/>
                <w:sz w:val="12"/>
                <w:szCs w:val="12"/>
                <w:b w:val="1"/>
                <w:bCs w:val="1"/>
                <w:color w:val="auto"/>
              </w:rPr>
              <w:t>Noncontrolling</w:t>
            </w:r>
          </w:p>
        </w:tc>
        <w:tc>
          <w:tcPr>
            <w:tcW w:w="90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76,727,394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3,297,305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(988,272)</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2,548,747</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excluding $1,877 attributable to</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94,440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95,921</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Other comprehensive income - change in fair value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of interest rate swaps, excluding $231 attributable</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 redeemable noncontrolling interest</w:t>
            </w: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Dividends declared to common shareholders ($2.12</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(164,788)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(164,788)</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per share)</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$1,735 attributable to redeemable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(1,727)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847,509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87,124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87,133</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11,516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Share-based compensation expense, net of</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152,185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7,507</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forfeitures</w:t>
            </w: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withheld for employee taxes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(27,500)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Redemption of OP units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49,484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Contributions from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$74,530 attributable to redeemable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9"/>
              </w:rPr>
              <w:t>$ 159,997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77,760,588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3,395,189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(1,062,641)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2,575,839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60" w:type="dxa"/>
            <w:vAlign w:val="bottom"/>
            <w:gridSpan w:val="2"/>
          </w:tcPr>
          <w:p>
            <w:pPr>
              <w:spacing w:after="0"/>
              <w:rPr>
                <w:sz w:val="15"/>
                <w:szCs w:val="15"/>
                <w:color w:val="auto"/>
              </w:rPr>
            </w:pPr>
          </w:p>
        </w:tc>
        <w:tc>
          <w:tcPr>
            <w:tcW w:w="7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$ 159,997</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77,706,466</w:t>
            </w: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3,386,917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 (1,024,417)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(2,300)</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2,604,960</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excluding $1,069 attributable to</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46,204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46,990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Other comprehensive loss - change in fair value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interest rate swaps, excluding $119 attributable to</w:t>
            </w: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(938)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w:t>
            </w: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Dividends declared to common shareholders ($1.06</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(82,417)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(82,417)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per share)</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$1,039 attributable to redeemable</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5,236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474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Share-based compensation expense, net of forfeitures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4,473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3,358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3,358</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withheld for employee taxes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5"/>
          </w:tcPr>
          <w:p>
            <w:pPr>
              <w:jc w:val="right"/>
              <w:spacing w:after="0"/>
              <w:rPr>
                <w:sz w:val="20"/>
                <w:szCs w:val="20"/>
                <w:color w:val="auto"/>
              </w:rPr>
            </w:pPr>
            <w:r>
              <w:rPr>
                <w:rFonts w:ascii="Arial" w:cs="Arial" w:eastAsia="Arial" w:hAnsi="Arial"/>
                <w:sz w:val="14"/>
                <w:szCs w:val="14"/>
                <w:color w:val="auto"/>
              </w:rPr>
              <w:t>(71)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Redemption of OP units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44,468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4,530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Contributions from noncontrolling interests,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$74,530 attributable to redeemable</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6,554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6,554</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9"/>
              </w:rPr>
              <w:t>$ 159,997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77,760,588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3,395,189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 (1,062,641)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(3,238)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2,575,839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4"/>
          </w:tcPr>
          <w:p>
            <w:pPr>
              <w:ind w:left="280"/>
              <w:spacing w:after="0"/>
              <w:rPr>
                <w:sz w:val="20"/>
                <w:szCs w:val="20"/>
                <w:color w:val="auto"/>
              </w:rPr>
            </w:pPr>
            <w:r>
              <w:rPr>
                <w:rFonts w:ascii="Arial" w:cs="Arial" w:eastAsia="Arial" w:hAnsi="Arial"/>
                <w:sz w:val="14"/>
                <w:szCs w:val="14"/>
                <w:b w:val="1"/>
                <w:bCs w:val="1"/>
                <w:color w:val="auto"/>
                <w:w w:val="96"/>
              </w:rPr>
              <w:t>Shareholders’ Equity of the Trust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vMerge w:val="restart"/>
          </w:tcPr>
          <w:p>
            <w:pPr>
              <w:jc w:val="right"/>
              <w:ind w:right="188"/>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vMerge w:val="restart"/>
          </w:tcPr>
          <w:p>
            <w:pPr>
              <w:jc w:val="center"/>
              <w:ind w:right="48"/>
              <w:spacing w:after="0"/>
              <w:rPr>
                <w:sz w:val="20"/>
                <w:szCs w:val="20"/>
                <w:color w:val="auto"/>
              </w:rPr>
            </w:pPr>
            <w:r>
              <w:rPr>
                <w:rFonts w:ascii="Arial" w:cs="Arial" w:eastAsia="Arial" w:hAnsi="Arial"/>
                <w:sz w:val="14"/>
                <w:szCs w:val="14"/>
                <w:b w:val="1"/>
                <w:bCs w:val="1"/>
                <w:color w:val="auto"/>
                <w:w w:val="91"/>
              </w:rPr>
              <w:t>Common 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5"/>
          </w:tcPr>
          <w:p>
            <w:pPr>
              <w:spacing w:after="0" w:line="148"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060" w:type="dxa"/>
            <w:vAlign w:val="bottom"/>
            <w:gridSpan w:val="5"/>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920" w:type="dxa"/>
            <w:vAlign w:val="bottom"/>
            <w:gridSpan w:val="5"/>
          </w:tcPr>
          <w:p>
            <w:pPr>
              <w:jc w:val="right"/>
              <w:ind w:right="120"/>
              <w:spacing w:after="0" w:line="135" w:lineRule="exact"/>
              <w:rPr>
                <w:sz w:val="20"/>
                <w:szCs w:val="20"/>
                <w:color w:val="auto"/>
              </w:rPr>
            </w:pPr>
            <w:r>
              <w:rPr>
                <w:rFonts w:ascii="Arial" w:cs="Arial" w:eastAsia="Arial" w:hAnsi="Arial"/>
                <w:sz w:val="14"/>
                <w:szCs w:val="14"/>
                <w:b w:val="1"/>
                <w:bCs w:val="1"/>
                <w:color w:val="auto"/>
                <w:w w:val="93"/>
              </w:rPr>
              <w:t>Dividends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9"/>
                <w:szCs w:val="9"/>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9"/>
                <w:szCs w:val="9"/>
                <w:color w:val="auto"/>
              </w:rPr>
            </w:pPr>
          </w:p>
        </w:tc>
        <w:tc>
          <w:tcPr>
            <w:tcW w:w="6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4"/>
          </w:tcPr>
          <w:p>
            <w:pPr>
              <w:jc w:val="center"/>
              <w:ind w:right="220"/>
              <w:spacing w:after="0" w:line="108"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5"/>
          </w:tcPr>
          <w:p>
            <w:pPr>
              <w:spacing w:after="0" w:line="108" w:lineRule="exact"/>
              <w:rPr>
                <w:sz w:val="20"/>
                <w:szCs w:val="20"/>
                <w:color w:val="auto"/>
              </w:rPr>
            </w:pPr>
            <w:r>
              <w:rPr>
                <w:rFonts w:ascii="Arial" w:cs="Arial" w:eastAsia="Arial" w:hAnsi="Arial"/>
                <w:sz w:val="12"/>
                <w:szCs w:val="12"/>
                <w:b w:val="1"/>
                <w:bCs w:val="1"/>
                <w:color w:val="auto"/>
              </w:rPr>
              <w:t>Excess of Net</w:t>
            </w:r>
          </w:p>
        </w:tc>
        <w:tc>
          <w:tcPr>
            <w:tcW w:w="20" w:type="dxa"/>
            <w:vAlign w:val="bottom"/>
          </w:tcPr>
          <w:p>
            <w:pPr>
              <w:spacing w:after="0"/>
              <w:rPr>
                <w:sz w:val="9"/>
                <w:szCs w:val="9"/>
                <w:color w:val="auto"/>
              </w:rPr>
            </w:pPr>
          </w:p>
        </w:tc>
        <w:tc>
          <w:tcPr>
            <w:tcW w:w="1060" w:type="dxa"/>
            <w:vAlign w:val="bottom"/>
            <w:gridSpan w:val="5"/>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060" w:type="dxa"/>
            <w:vAlign w:val="bottom"/>
            <w:gridSpan w:val="5"/>
          </w:tcPr>
          <w:p>
            <w:pPr>
              <w:ind w:left="20"/>
              <w:spacing w:after="0" w:line="108" w:lineRule="exact"/>
              <w:rPr>
                <w:sz w:val="20"/>
                <w:szCs w:val="20"/>
                <w:color w:val="auto"/>
              </w:rPr>
            </w:pPr>
            <w:r>
              <w:rPr>
                <w:rFonts w:ascii="Arial" w:cs="Arial" w:eastAsia="Arial" w:hAnsi="Arial"/>
                <w:sz w:val="12"/>
                <w:szCs w:val="12"/>
                <w:b w:val="1"/>
                <w:bCs w:val="1"/>
                <w:color w:val="auto"/>
              </w:rPr>
              <w:t>Noncontrolling</w:t>
            </w:r>
          </w:p>
        </w:tc>
        <w:tc>
          <w:tcPr>
            <w:tcW w:w="900" w:type="dxa"/>
            <w:vAlign w:val="bottom"/>
            <w:gridSpan w:val="3"/>
          </w:tcPr>
          <w:p>
            <w:pPr>
              <w:ind w:left="20"/>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14"/>
          </w:tcPr>
          <w:p>
            <w:pPr>
              <w:jc w:val="center"/>
              <w:ind w:left="148"/>
              <w:spacing w:after="0"/>
              <w:rPr>
                <w:sz w:val="20"/>
                <w:szCs w:val="20"/>
                <w:color w:val="auto"/>
              </w:rPr>
            </w:pPr>
            <w:r>
              <w:rPr>
                <w:rFonts w:ascii="Arial" w:cs="Arial" w:eastAsia="Arial" w:hAnsi="Arial"/>
                <w:sz w:val="14"/>
                <w:szCs w:val="14"/>
                <w:b w:val="1"/>
                <w:bCs w:val="1"/>
                <w:color w:val="auto"/>
                <w:w w:val="91"/>
              </w:rPr>
              <w:t>(In thousands, except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89"/>
              </w:rPr>
              <w:t>$ 159,997</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75,540,804</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3,166,522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(791,124)</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100,791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2,636,132</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January 1, 2020 adoption of new accounting</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standard</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excluding $1,157 attributable to</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65,270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66,143</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Other comprehensive loss - change in fair value of</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(6,945)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(6,945)</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Dividends declared to common shareholders ($2.10</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(158,810)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(158,810)</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excluding $847 attributable to redeemable</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Common shares issued, net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10,605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Share-based compensation expense, net of</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114,092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7,028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forfeitures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withheld for employee taxes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(32,390)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Redemption of OP units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Contributions from noncontrolling interests,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excluding $19,515 attributable to redeemable</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4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405,896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89"/>
              </w:rPr>
              <w:t>$ 159,997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75,633,140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3,170,480</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(889,195)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(7,758)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96,817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2,531,101</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6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$ 159,997</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75,622,504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3,166,899</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(818,284)</w:t>
            </w:r>
          </w:p>
        </w:tc>
        <w:tc>
          <w:tcPr>
            <w:tcW w:w="2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(7,265)</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2,599,608</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Net income, excluding $142 attributable to</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10,507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10,717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Other comprehensive loss - change in fair value of</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(493)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Dividends declared to common shareholders ($1.05</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(79,407)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(79,407)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per share)</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excluding $93 attributable to redeemable</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restart"/>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issued,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6,771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2"/>
              </w:rPr>
              <w:t>Share-based compensation expense, net of forfeitures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4,026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3,087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Shares withheld for employee taxes</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405,896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9"/>
              </w:rPr>
              <w:t>$ 159,997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75,633,140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3,170,480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(889,195)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(7,758)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96,817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2,531,101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1"/>
        </w:trPr>
        <w:tc>
          <w:tcPr>
            <w:tcW w:w="8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2"/>
        </w:trPr>
        <w:tc>
          <w:tcPr>
            <w:tcW w:w="83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124,972</w:t>
            </w: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(11,682)</w:t>
            </w:r>
          </w:p>
        </w:tc>
      </w:tr>
      <w:tr>
        <w:trPr>
          <w:trHeight w:val="229"/>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partnerships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r>
      <w:tr>
        <w:trPr>
          <w:trHeight w:val="230"/>
        </w:trPr>
        <w:tc>
          <w:tcPr>
            <w:tcW w:w="838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5,240</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Decrease (increase) in accounts receivable,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(17,128)</w:t>
            </w: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w:t>
            </w:r>
          </w:p>
        </w:tc>
      </w:tr>
      <w:tr>
        <w:trPr>
          <w:trHeight w:val="229"/>
        </w:trPr>
        <w:tc>
          <w:tcPr>
            <w:tcW w:w="8380" w:type="dxa"/>
            <w:vAlign w:val="bottom"/>
          </w:tcPr>
          <w:p>
            <w:pPr>
              <w:ind w:left="680"/>
              <w:spacing w:after="0"/>
              <w:rPr>
                <w:sz w:val="20"/>
                <w:szCs w:val="20"/>
                <w:color w:val="auto"/>
              </w:rPr>
            </w:pPr>
            <w:r>
              <w:rPr>
                <w:rFonts w:ascii="Arial" w:cs="Arial" w:eastAsia="Arial" w:hAnsi="Arial"/>
                <w:sz w:val="18"/>
                <w:szCs w:val="18"/>
                <w:color w:val="auto"/>
              </w:rPr>
              <w:t>Increase in accounts payable and accrued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5,756</w:t>
            </w:r>
          </w:p>
        </w:tc>
      </w:tr>
      <w:tr>
        <w:trPr>
          <w:trHeight w:val="230"/>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security deposits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r>
      <w:tr>
        <w:trPr>
          <w:trHeight w:val="223"/>
        </w:trPr>
        <w:tc>
          <w:tcPr>
            <w:tcW w:w="838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247,209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181,382</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Acquisition of real estate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(332,574)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(9,409)</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(213,181)</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Capital expenditures - 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(30,388)</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17,015</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r>
      <w:tr>
        <w:trPr>
          <w:trHeight w:val="230"/>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Repayment (issuance) of mortgage and other notes receivable,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(257,198)</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to amend revolving credit facility</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700,085</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notes payable, net of costs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398,732</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(151,310)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(166,847)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(161,874)</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withheld for employee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r>
      <w:tr>
        <w:trPr>
          <w:trHeight w:val="223"/>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923,439</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847,623</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1,001,237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June 30, 2021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communities where we believe retail demand exceeds supply, in strategically selected metropolitan markets in the Mid-Atlantic and Northeast regions of the United States, California, and South Florida. As of June 30, 2021, we owned or had a majority interest in community and neighborhood shopping centers and mixed-use properties which are operated as 105 predominantly retail real estate projects.</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2020,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2021 are not necessarily indicative of the results that may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Since March 2020, we have been, and continue to be, impacted by the novel coronavirus ("COVID-19") pandemic. While we currently expect the impact to our properties to be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Federal, state, and local governments have taken various actions since the onset of the pandemic to mitigate the spread of COVID-19. These actions range from closure of nonessential businesses and ordering residents to generally stay at home at the onset of the pandemic to phased re-openings and capacity limitations and now to generally lifted restrictions as COVID-19 vaccination rates increase. These closures and restrictions, along with general concern over the spread of COVID-19, required a significant number of tenants to close their operations or to significantly limit the amount of business they were able to conduct,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impacted their ability to timely pay rent as required under our leases and also caused many tenants to close their businesses permanently. While recent results are improving, we continued to see elevated levels of collectibility related impacts and accordingly, during the three and six months ended June 30, 2021, we recognized collectibility related adjustments of $6.4 million and $21.2 million, respectively. This includes not only the impact of tenants recognized on a cash basis but also changes in our collectibility assessments from probable to not probable, disputed rents, and any rent abatements directly related to COVID-19. As of June 30, 2021, the revenue from approximately 35% of our tenants (based on total commercial leases) is being recognized on a cash basis.</w:t>
      </w:r>
    </w:p>
    <w:p>
      <w:pPr>
        <w:spacing w:after="0" w:line="57" w:lineRule="exact"/>
        <w:rPr>
          <w:sz w:val="20"/>
          <w:szCs w:val="20"/>
          <w:color w:val="auto"/>
        </w:rPr>
      </w:pPr>
    </w:p>
    <w:p>
      <w:pPr>
        <w:ind w:right="1520"/>
        <w:spacing w:after="0" w:line="360" w:lineRule="auto"/>
        <w:rPr>
          <w:sz w:val="20"/>
          <w:szCs w:val="20"/>
          <w:color w:val="auto"/>
        </w:rPr>
      </w:pPr>
      <w:r>
        <w:rPr>
          <w:rFonts w:ascii="Arial" w:cs="Arial" w:eastAsia="Arial" w:hAnsi="Arial"/>
          <w:sz w:val="18"/>
          <w:szCs w:val="18"/>
          <w:color w:val="auto"/>
        </w:rPr>
        <w:t xml:space="preserve">For more information, see Item 2. Management's Discussion and Analysis of Financial Condition and Results of Operations - Outlook. </w:t>
      </w:r>
      <w:r>
        <w:rPr>
          <w:rFonts w:ascii="Arial" w:cs="Arial" w:eastAsia="Arial" w:hAnsi="Arial"/>
          <w:sz w:val="18"/>
          <w:szCs w:val="18"/>
          <w:b w:val="1"/>
          <w:bCs w:val="1"/>
          <w:color w:val="auto"/>
        </w:rPr>
        <w:t>Mortgage Notes Receivable</w:t>
      </w:r>
    </w:p>
    <w:p>
      <w:pPr>
        <w:ind w:right="80"/>
        <w:spacing w:after="0" w:line="277" w:lineRule="auto"/>
        <w:rPr>
          <w:sz w:val="20"/>
          <w:szCs w:val="20"/>
          <w:color w:val="auto"/>
        </w:rPr>
      </w:pPr>
      <w:r>
        <w:rPr>
          <w:rFonts w:ascii="Arial" w:cs="Arial" w:eastAsia="Arial" w:hAnsi="Arial"/>
          <w:sz w:val="18"/>
          <w:szCs w:val="18"/>
          <w:color w:val="auto"/>
        </w:rPr>
        <w:t>On May 11, 2021, two of our outstanding mortgage notes receivable were repaid. Including interest, the net proceeds were $33.8 million. As a result of the transaction, our mortgage notes receivable, net of valuation allowance, decreased $30.3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Equity Sales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24, 2021, we replaced our existing at-the-market (“ATM”) equity program with a new ATM equity program in which we may from time to time offer and sell common shares having an aggregate offering price of up to $500.0 million. The new ATM equity program also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method to determine the dilution, if any, from the forward sales contracts during the period of time prior to settlement. As of June 30, 2021, no forward sales contracts have settled.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ectPr>
          <w:pgSz w:w="11900" w:h="16838" w:orient="portrait"/>
          <w:cols w:equalWidth="0" w:num="1">
            <w:col w:w="11240"/>
          </w:cols>
          <w:pgMar w:left="320" w:top="126"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20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57" w:lineRule="exact"/>
        <w:rPr>
          <w:sz w:val="20"/>
          <w:szCs w:val="20"/>
          <w:color w:val="auto"/>
        </w:rPr>
      </w:pPr>
    </w:p>
    <w:p>
      <w:pPr>
        <w:ind w:left="20" w:right="120"/>
        <w:spacing w:after="0" w:line="221" w:lineRule="auto"/>
        <w:rPr>
          <w:sz w:val="20"/>
          <w:szCs w:val="20"/>
          <w:color w:val="auto"/>
        </w:rPr>
      </w:pPr>
      <w:r>
        <w:rPr>
          <w:rFonts w:ascii="Arial" w:cs="Arial" w:eastAsia="Arial" w:hAnsi="Arial"/>
          <w:sz w:val="17"/>
          <w:szCs w:val="17"/>
          <w:color w:val="auto"/>
        </w:rPr>
        <w:t xml:space="preserve">ASU 2020-04, March 2020, </w:t>
      </w:r>
      <w:r>
        <w:rPr>
          <w:rFonts w:ascii="Arial" w:cs="Arial" w:eastAsia="Arial" w:hAnsi="Arial"/>
          <w:sz w:val="17"/>
          <w:szCs w:val="17"/>
          <w:i w:val="1"/>
          <w:iCs w:val="1"/>
          <w:color w:val="auto"/>
        </w:rPr>
        <w:t>Reference Rate Reform (Topic 848)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line="215" w:lineRule="auto"/>
        <w:rPr>
          <w:sz w:val="20"/>
          <w:szCs w:val="20"/>
          <w:color w:val="auto"/>
        </w:rPr>
      </w:pPr>
      <w:r>
        <w:rPr>
          <w:rFonts w:ascii="Arial" w:cs="Arial" w:eastAsia="Arial" w:hAnsi="Arial"/>
          <w:sz w:val="17"/>
          <w:szCs w:val="17"/>
          <w:color w:val="auto"/>
        </w:rPr>
        <w:t xml:space="preserve">ASU 2021-05, July 2021, </w:t>
      </w:r>
      <w:r>
        <w:rPr>
          <w:rFonts w:ascii="Arial" w:cs="Arial" w:eastAsia="Arial" w:hAnsi="Arial"/>
          <w:sz w:val="17"/>
          <w:szCs w:val="17"/>
          <w:i w:val="1"/>
          <w:iCs w:val="1"/>
          <w:color w:val="auto"/>
        </w:rPr>
        <w:t>Lessors - Certain Leases with Variable Lease Payments (Topic 842)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463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right="60"/>
        <w:spacing w:after="0" w:line="219" w:lineRule="auto"/>
        <w:rPr>
          <w:sz w:val="20"/>
          <w:szCs w:val="20"/>
          <w:color w:val="auto"/>
        </w:rPr>
      </w:pPr>
      <w:r>
        <w:rPr>
          <w:rFonts w:ascii="Arial" w:cs="Arial" w:eastAsia="Arial" w:hAnsi="Arial"/>
          <w:sz w:val="16"/>
          <w:szCs w:val="16"/>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09" w:lineRule="exact"/>
        <w:rPr>
          <w:sz w:val="20"/>
          <w:szCs w:val="20"/>
          <w:color w:val="auto"/>
        </w:rPr>
      </w:pPr>
    </w:p>
    <w:p>
      <w:pPr>
        <w:ind w:right="620"/>
        <w:spacing w:after="0" w:line="232" w:lineRule="auto"/>
        <w:rPr>
          <w:sz w:val="20"/>
          <w:szCs w:val="20"/>
          <w:color w:val="auto"/>
        </w:rPr>
      </w:pPr>
      <w:r>
        <w:rPr>
          <w:rFonts w:ascii="Arial" w:cs="Arial" w:eastAsia="Arial" w:hAnsi="Arial"/>
          <w:sz w:val="17"/>
          <w:szCs w:val="17"/>
          <w:color w:val="auto"/>
        </w:rPr>
        <w:t>This guidance can be applied immediately, however, is generally only available through December 31, 2022.</w:t>
      </w:r>
    </w:p>
    <w:p>
      <w:pPr>
        <w:spacing w:after="0" w:line="236" w:lineRule="auto"/>
        <w:rPr>
          <w:sz w:val="20"/>
          <w:szCs w:val="20"/>
          <w:color w:val="auto"/>
        </w:rPr>
      </w:pPr>
      <w:r>
        <w:rPr>
          <w:rFonts w:ascii="Arial" w:cs="Arial" w:eastAsia="Arial" w:hAnsi="Arial"/>
          <w:sz w:val="15"/>
          <w:szCs w:val="15"/>
          <w:color w:val="auto"/>
        </w:rPr>
        <w:t>This ASU amends the lessor lease classification in ASC 842 for leases that include variable lease payments that are not based on an index or rate. Under the amended guidance, lessors will classify a lease with variable payments that do not depend on an index or rate as an operating lease if the lease would have been classified as a sales-type lease or a direct financing lease under the previous ASU 842 classification criteria, and sales-type or direct financing lease classification would result in a Day 1 loss.</w:t>
      </w:r>
    </w:p>
    <w:p>
      <w:pPr>
        <w:spacing w:after="0" w:line="108"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This guidance is effective for annual periods beginning after December 15, 2021, and interim periods therein.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700"/>
        <w:spacing w:after="0" w:line="263" w:lineRule="auto"/>
        <w:rPr>
          <w:sz w:val="20"/>
          <w:szCs w:val="20"/>
          <w:color w:val="auto"/>
        </w:rPr>
      </w:pPr>
      <w:r>
        <w:rPr>
          <w:rFonts w:ascii="Arial" w:cs="Arial" w:eastAsia="Arial" w:hAnsi="Arial"/>
          <w:sz w:val="17"/>
          <w:szCs w:val="17"/>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-11430</wp:posOffset>
            </wp:positionV>
            <wp:extent cx="2211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1" w:lineRule="exact"/>
        <w:rPr>
          <w:sz w:val="20"/>
          <w:szCs w:val="20"/>
          <w:color w:val="auto"/>
        </w:rPr>
      </w:pPr>
    </w:p>
    <w:p>
      <w:pPr>
        <w:jc w:val="both"/>
        <w:ind w:right="320"/>
        <w:spacing w:after="0" w:line="221" w:lineRule="auto"/>
        <w:rPr>
          <w:sz w:val="20"/>
          <w:szCs w:val="20"/>
          <w:color w:val="auto"/>
        </w:rPr>
      </w:pPr>
      <w:r>
        <w:rPr>
          <w:rFonts w:ascii="Arial" w:cs="Arial" w:eastAsia="Arial" w:hAnsi="Arial"/>
          <w:sz w:val="17"/>
          <w:szCs w:val="17"/>
          <w:color w:val="auto"/>
        </w:rPr>
        <w:t>We are still evaluating the impact of reference rate reform and whether we will apply any of these practical expedients.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color w:val="auto"/>
        </w:rPr>
        <w:t>The adoption of this standard does not have an impact to our consolidated financial statements.</w:t>
      </w:r>
    </w:p>
    <w:p>
      <w:pPr>
        <w:spacing w:after="0" w:line="1462" w:lineRule="exact"/>
        <w:rPr>
          <w:sz w:val="20"/>
          <w:szCs w:val="20"/>
          <w:color w:val="auto"/>
        </w:rPr>
      </w:pPr>
    </w:p>
    <w:p>
      <w:pPr>
        <w:sectPr>
          <w:pgSz w:w="11900" w:h="16838" w:orient="portrait"/>
          <w:cols w:equalWidth="0" w:num="3">
            <w:col w:w="2060" w:space="160"/>
            <w:col w:w="5380" w:space="180"/>
            <w:col w:w="3460"/>
          </w:cols>
          <w:pgMar w:left="320" w:top="126"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center"/>
              <w:ind w:right="174"/>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left="737"/>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6"/>
          </w:tcPr>
          <w:p>
            <w:pPr>
              <w:jc w:val="center"/>
              <w:ind w:right="194"/>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SUPPLEMENTAL DISCLOSURES: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costs incurred</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capitalized</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Cash paid for interest, net of amounts capitalized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280" w:type="dxa"/>
            <w:vAlign w:val="bottom"/>
            <w:tcBorders>
              <w:bottom w:val="single" w:sz="8" w:color="auto"/>
            </w:tcBorders>
            <w:gridSpan w:val="2"/>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60,782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paid for income taxes</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DownREIT operating partnership units issued with acquisition</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Mortgage loans assumed with acquisition</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DownREIT operating partnership units redeemed for common shares</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Shares issued under dividend reinvestment plan</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center"/>
              <w:ind w:right="154"/>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304,268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798,329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 (1)</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316,936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Date Acquired</w:t>
            </w:r>
          </w:p>
        </w:tc>
        <w:tc>
          <w:tcPr>
            <w:tcW w:w="100" w:type="dxa"/>
            <w:vAlign w:val="bottom"/>
          </w:tcPr>
          <w:p>
            <w:pPr>
              <w:spacing w:after="0"/>
              <w:rPr>
                <w:sz w:val="18"/>
                <w:szCs w:val="18"/>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City/State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Gross Leasable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Joint Venture</w:t>
            </w:r>
          </w:p>
        </w:tc>
        <w:tc>
          <w:tcPr>
            <w:tcW w:w="200" w:type="dxa"/>
            <w:vAlign w:val="bottom"/>
          </w:tcPr>
          <w:p>
            <w:pPr>
              <w:spacing w:after="0"/>
              <w:rPr>
                <w:sz w:val="18"/>
                <w:szCs w:val="18"/>
                <w:color w:val="auto"/>
              </w:rPr>
            </w:pPr>
          </w:p>
        </w:tc>
        <w:tc>
          <w:tcPr>
            <w:tcW w:w="132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w w:val="95"/>
              </w:rPr>
              <w:t>Gross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Area (GLA)</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(1)</w:t>
            </w: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1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June 1, 2021</w:t>
            </w: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Grossmont Center</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400" w:type="dxa"/>
            <w:vAlign w:val="bottom"/>
          </w:tcPr>
          <w:p>
            <w:pPr>
              <w:jc w:val="right"/>
              <w:spacing w:after="0"/>
              <w:rPr>
                <w:sz w:val="20"/>
                <w:szCs w:val="20"/>
                <w:color w:val="auto"/>
              </w:rPr>
            </w:pPr>
            <w:r>
              <w:rPr>
                <w:rFonts w:ascii="Arial" w:cs="Arial" w:eastAsia="Arial" w:hAnsi="Arial"/>
                <w:sz w:val="18"/>
                <w:szCs w:val="18"/>
                <w:color w:val="auto"/>
              </w:rPr>
              <w:t>933,000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30"/>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14, 2021</w:t>
            </w: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Hilton Village</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40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20" w:hanging="332"/>
        <w:spacing w:after="0" w:line="258"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Arial" w:cs="Arial" w:eastAsia="Arial" w:hAnsi="Arial"/>
          <w:sz w:val="18"/>
          <w:szCs w:val="18"/>
          <w:color w:val="auto"/>
        </w:rPr>
      </w:pPr>
    </w:p>
    <w:p>
      <w:pPr>
        <w:ind w:left="340" w:right="60" w:hanging="332"/>
        <w:spacing w:after="0" w:line="260"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right="540" w:hanging="332"/>
        <w:spacing w:after="0" w:line="281" w:lineRule="auto"/>
        <w:tabs>
          <w:tab w:leader="none" w:pos="334"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spacing w:after="0" w:line="1" w:lineRule="exact"/>
        <w:rPr>
          <w:rFonts w:ascii="Arial" w:cs="Arial" w:eastAsia="Arial" w:hAnsi="Arial"/>
          <w:sz w:val="17"/>
          <w:szCs w:val="17"/>
          <w:color w:val="auto"/>
        </w:rPr>
      </w:pPr>
    </w:p>
    <w:p>
      <w:pPr>
        <w:ind w:left="340" w:right="180" w:hanging="332"/>
        <w:spacing w:after="0" w:line="258"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 and $28.3 million were allocated to other liabilities for "below market leases."</w:t>
      </w:r>
    </w:p>
    <w:p>
      <w:pPr>
        <w:spacing w:after="0" w:line="1" w:lineRule="exact"/>
        <w:rPr>
          <w:rFonts w:ascii="Arial" w:cs="Arial" w:eastAsia="Arial" w:hAnsi="Arial"/>
          <w:sz w:val="18"/>
          <w:szCs w:val="18"/>
          <w:color w:val="auto"/>
        </w:rPr>
      </w:pPr>
    </w:p>
    <w:p>
      <w:pPr>
        <w:ind w:left="340" w:right="20" w:hanging="332"/>
        <w:spacing w:after="0" w:line="259"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On March 19, 2021, we sold a portion of Graham Park Plaza in Falls Church, Virginia for $20.3 million, resulting in a gain on sale of $15.6 million.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Towne Center, at par, prior to its original maturity date.</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June 2020, we provided notice for the early repayment of the Plaza Del Sol mortgage loan, at par, on September 1, 2021.</w:t>
      </w:r>
    </w:p>
    <w:p>
      <w:pPr>
        <w:spacing w:after="0" w:line="10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During the three and six months ended June 30, 2021, there were no borrowings on our $1.0 billion revolving credit facility. Our revolving credit facility, term loan, and certain notes require us to comply with various financial covenants, including the maintenance of minimum shareholders' equity and debt coverage ratios and a maximum ratio of debt to net worth. As of June 30, 2021, we were in compliance with all default related debt covenants.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767,651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886,887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879,390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3,405,282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3,717,381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3,404,488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3,761,465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June 30, 2021,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2021 was a liability of $2.4 million and is included in "other liabilities and deferred credits" on our consolidated balance sheet. For the three months ended June 30, 2021, the value of our interest rate swaps decreased $1.2 million and increased $2.3 million for the six months ended June 30, 2021 (including $0.3 million reclassified from other comprehensive loss to interest expense for the three months, and $0.5 million reclassified from other comprehensive income to interest expense for the six months ended June 30, 2021). A summary of our financial liabilities that are measured at fair value on a recurring basis, by level within the fair value hierarchy is as follows: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bottom w:val="single" w:sz="8" w:color="auto"/>
            </w:tcBorders>
          </w:tcPr>
          <w:p>
            <w:pPr>
              <w:spacing w:after="0"/>
              <w:rPr>
                <w:sz w:val="16"/>
                <w:szCs w:val="16"/>
                <w:color w:val="auto"/>
              </w:rPr>
            </w:pPr>
          </w:p>
        </w:tc>
      </w:tr>
      <w:tr>
        <w:trPr>
          <w:trHeight w:val="187"/>
        </w:trPr>
        <w:tc>
          <w:tcPr>
            <w:tcW w:w="27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18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78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bl>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six months ended June 30, 2021, our share of the change in fair value of the related swaps included in "accumulated other comprehensive loss" was a decrease of $0.1 million and $0.3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694,133 downREIT operating partnership units are outstanding which have a total fair value of approximately $81.3 million, which is calculated by multiplying the outstanding number of downREIT partnership units by our closing stock price on June 30, 2021.</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120" w:type="dxa"/>
            <w:vAlign w:val="bottom"/>
          </w:tcPr>
          <w:p>
            <w:pPr>
              <w:spacing w:after="0"/>
              <w:rPr>
                <w:sz w:val="15"/>
                <w:szCs w:val="15"/>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0.677</w:t>
            </w:r>
          </w:p>
        </w:tc>
      </w:tr>
      <w:tr>
        <w:trPr>
          <w:trHeight w:val="230"/>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February 24, 2021, we replaced our existing ATM equity program with a new ATM equity program in which we may from time to time offer and sell common shares having an aggregate offering price of up to $500.0 million. On May 7, 2021, we amended this ATM equity program, which resets the limit to $500.0 million. The new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six months ended June 30, 2021, we issued 847,471 common shares at a weighted average price per share of $104.19 for net cash proceeds of $87.1 million including paying $0.9 million in commissions and $0.3 million in additional offering expenses related to the sales of these common shares. We also entered into forward sales contracts for the three and six months ended June 30, 2021 for 1,194,733 and 1,526,051 shares, respectively, under our ATM equity program at a weighted average offering price of $117.47 and $115.30, respectively. The forward price that we will receive upon physical settlement of the agreements is subject to the adjustment for (i) commissions, (ii) a floating interest rate factor equal to a specified daily rate less a spread, (iii) the forward purchasers' stock borrowing costs and (iv) scheduled dividends during the term of the forward sale agreements. The open forward shares may be settled at any time on or before multiple required settlement dates ranging from</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2022 to June 2022. We have remaining capacity to issue up to $359.7 million in common shares under our ATM equity program as of June 30, 2021.</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r>
      <w:tr>
        <w:trPr>
          <w:trHeight w:val="195"/>
        </w:trPr>
        <w:tc>
          <w:tcPr>
            <w:tcW w:w="5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2020</w:t>
            </w:r>
          </w:p>
        </w:tc>
      </w:tr>
      <w:tr>
        <w:trPr>
          <w:trHeight w:val="183"/>
        </w:trPr>
        <w:tc>
          <w:tcPr>
            <w:tcW w:w="5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of common shares, restricted stock units, and options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3,358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3,087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share-based compensation</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2021, we had 0.3 million and for the three and six months ended June 30, 2020, we had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issuable shares were excluded from the diluted EPS calculation because their impact is anti-dilutive:</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of 682 stock options for both the three and six months ended June 30, 2021 and 2020,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conversions of downREIT operating partnership units and 5.417% Series 1 Cumulative Convertible Preferred Shares for all periods presented, and</w:t>
      </w:r>
    </w:p>
    <w:p>
      <w:pPr>
        <w:spacing w:after="0" w:line="86" w:lineRule="exact"/>
        <w:rPr>
          <w:rFonts w:ascii="Arial" w:cs="Arial" w:eastAsia="Arial" w:hAnsi="Arial"/>
          <w:sz w:val="16"/>
          <w:szCs w:val="16"/>
          <w:color w:val="auto"/>
        </w:rPr>
      </w:pPr>
    </w:p>
    <w:p>
      <w:pPr>
        <w:ind w:left="660" w:right="4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0.9 million and 1.4 million shares issuable under forward sales agreements for the three and six months ended June 30, 2021, respectively.</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10,441 unvested restricted stock units are excluded from the diluted EPS calculation as the market based performance criteria in the awards has not yet been achieved.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183"/>
        </w:trPr>
        <w:tc>
          <w:tcPr>
            <w:tcW w:w="6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48,059</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97,798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67,300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share dividends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 basic and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60,754</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75,377</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Open forward contracts for share issuances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r>
      <w:tr>
        <w:trPr>
          <w:trHeight w:val="21"/>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provided notice for the early repayment of the Montrose Crossing and The AVENUE at White Marsh mortgage loans, at par, on October 12, 2021 and November 2, 2021, respectively.</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2020 filed with the Securities and Exchange Commission (the “SEC”) on February 11, 2021.</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Quarterly Report on Form 10-Q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 w:lineRule="exact"/>
        <w:rPr>
          <w:sz w:val="20"/>
          <w:szCs w:val="20"/>
          <w:color w:val="auto"/>
        </w:rPr>
      </w:pPr>
    </w:p>
    <w:p>
      <w:pPr>
        <w:ind w:left="340" w:right="70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340" w:right="80" w:hanging="332"/>
        <w:spacing w:after="0" w:line="255" w:lineRule="auto"/>
        <w:tabs>
          <w:tab w:leader="none" w:pos="335" w:val="left"/>
        </w:tabs>
        <w:numPr>
          <w:ilvl w:val="0"/>
          <w:numId w:val="6"/>
        </w:numPr>
        <w:rPr>
          <w:rFonts w:ascii="Arial" w:cs="Arial" w:eastAsia="Arial" w:hAnsi="Arial"/>
          <w:sz w:val="18"/>
          <w:szCs w:val="18"/>
          <w:color w:val="212529"/>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right="20" w:hanging="332"/>
        <w:spacing w:after="0" w:line="253"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3"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26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8"/>
          <w:szCs w:val="18"/>
          <w:color w:val="auto"/>
        </w:rPr>
      </w:pPr>
    </w:p>
    <w:p>
      <w:pPr>
        <w:ind w:left="340" w:right="20" w:hanging="332"/>
        <w:spacing w:after="0" w:line="253"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You should carefully review the risks and the risk factors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under Part II, Item 1A in this Quarterly Report on Form 10-Q, before making any investments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June 30, 2021, we owned or had a majority interest in community and neighborhood shopping centers and mixed-use properties which are operated as 105 predominantly retail real estate projects comprising approximately 25.3 million square feet. In total, the real estate projects were 92.7% leased and 89.6% occupied at June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212529"/>
        </w:rPr>
        <w:t xml:space="preserve">We continue to monitor and address risks related to the novel coronavirus disease ("COVID-19") pandemic. Since March 2020 when the World Health Organization characterized COVID-19 as a global pandemic, we have been and continue to be impacted by COVID-19 and the actions taken by federal, state, and local government to prevent its spread. </w:t>
      </w:r>
      <w:r>
        <w:rPr>
          <w:rFonts w:ascii="Arial" w:cs="Arial" w:eastAsia="Arial" w:hAnsi="Arial"/>
          <w:sz w:val="17"/>
          <w:szCs w:val="17"/>
          <w:color w:val="000000"/>
        </w:rPr>
        <w:t>These actions range from closure of nonessential businesses and ordering residents to generally stay at</w:t>
      </w:r>
      <w:r>
        <w:rPr>
          <w:rFonts w:ascii="Arial" w:cs="Arial" w:eastAsia="Arial" w:hAnsi="Arial"/>
          <w:sz w:val="17"/>
          <w:szCs w:val="17"/>
          <w:color w:val="212529"/>
        </w:rPr>
        <w:t xml:space="preserve"> </w:t>
      </w:r>
      <w:r>
        <w:rPr>
          <w:rFonts w:ascii="Arial" w:cs="Arial" w:eastAsia="Arial" w:hAnsi="Arial"/>
          <w:sz w:val="17"/>
          <w:szCs w:val="17"/>
          <w:color w:val="000000"/>
        </w:rPr>
        <w:t>home at the onset of the pandemic to phased re-openings and capacity limitations and now to generally lifted restrictions as COVID-19 vaccination rates increase. These closures and restrictions, along with general concern over the spread of COVID-19, required a significant number of tenants to close their operations or to significantly limit the amount of business they are able to conduct, which impacted their ability to timely pay rent as required under our leases and also caused many tenants to close their business permanently. While improving, our cash flow and results of operations in the six months ended June 30, 2021 continued to be materially adversely impacted, with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will position many of our tenants to be able to return to payment of contractual rent as soon as possible after the impacts from the pandemic have subsided.</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and six months ended June 30, 2021, we recognized collectibility related adjustments of $6.4 million and $21.2 million, respectively. This includes not only the impact of tenants recognized on a cash basis but also changes in our collectibility assessments from probable to not probable, disputed rents, and any rent abatements directly related to COVID-19. As of June 30, 2021, the revenue from approximately 35% of our tenants (based on total commercial leases) is being recognized on a cash basis.</w:t>
      </w:r>
    </w:p>
    <w:p>
      <w:pPr>
        <w:spacing w:after="0" w:line="52" w:lineRule="exact"/>
        <w:rPr>
          <w:sz w:val="20"/>
          <w:szCs w:val="20"/>
          <w:color w:val="auto"/>
        </w:rPr>
      </w:pPr>
    </w:p>
    <w:p>
      <w:pPr>
        <w:ind w:right="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2020 Annual Report on </w:t>
      </w:r>
      <w:hyperlink r:id="rId25">
        <w:r>
          <w:rPr>
            <w:rFonts w:ascii="Arial" w:cs="Arial" w:eastAsia="Arial" w:hAnsi="Arial"/>
            <w:sz w:val="18"/>
            <w:szCs w:val="18"/>
            <w:u w:val="single" w:color="auto"/>
            <w:color w:val="0000FF"/>
          </w:rPr>
          <w:t>Form 10-K</w:t>
        </w:r>
      </w:hyperlink>
      <w:r>
        <w:rPr>
          <w:rFonts w:ascii="Arial" w:cs="Arial" w:eastAsia="Arial" w:hAnsi="Arial"/>
          <w:sz w:val="18"/>
          <w:szCs w:val="18"/>
          <w:color w:val="auto"/>
        </w:rPr>
        <w:t>, will continue to mitigate the impact to our cash flow caused by tenants not timely paying contractual 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of the impact of COVID-19 on our business throughout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Business Continuity</w:t>
      </w:r>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12529"/>
        </w:rPr>
        <w:t>We transitioned our entire workforce to remote work in March 2020 with the exception of those employees who were critical to providing the necessary day-to-day property management functions required to keep our properties open and operating for essential businesses such as grocery stores and drug stores, and a few employees who were needed to carry out critical corporate functions. Although all of our corporate offices have reopened, many of our employees continue to work remotely as we transition to a hybrid work model. We have not laid off, furloughed, or terminated any employees nor have we modified the compensation of any of our employees as a result of COVID-19, and the transition to a largely remote workforce has not had any material adverse impacts on our financial reporting systems, our internal controls, or disclosure controls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critical accounting policies disclosed in “Management’s Discussion and Analysis of Financial Condition and Results of Operations” in our 2020 Annual Report on </w:t>
      </w:r>
      <w:hyperlink r:id="rId25">
        <w:r>
          <w:rPr>
            <w:rFonts w:ascii="Arial" w:cs="Arial" w:eastAsia="Arial" w:hAnsi="Arial"/>
            <w:sz w:val="18"/>
            <w:szCs w:val="18"/>
            <w:u w:val="single" w:color="auto"/>
            <w:color w:val="0000FF"/>
          </w:rPr>
          <w:t>Form 10-K</w:t>
        </w:r>
      </w:hyperlink>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 and Disposition</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the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On March 19, 2021, we sold a portion of Graham Park Plaza in Falls Church, Virginia for $20.3 million, resulting in a gain on sale of $15.6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acquired the following properties: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Date Acquired</w:t>
            </w:r>
          </w:p>
        </w:tc>
        <w:tc>
          <w:tcPr>
            <w:tcW w:w="100" w:type="dxa"/>
            <w:vAlign w:val="bottom"/>
          </w:tcPr>
          <w:p>
            <w:pPr>
              <w:spacing w:after="0"/>
              <w:rPr>
                <w:sz w:val="17"/>
                <w:szCs w:val="17"/>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City/State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Gross Leasable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Joint Venture</w:t>
            </w:r>
          </w:p>
        </w:tc>
        <w:tc>
          <w:tcPr>
            <w:tcW w:w="200" w:type="dxa"/>
            <w:vAlign w:val="bottom"/>
          </w:tcPr>
          <w:p>
            <w:pPr>
              <w:spacing w:after="0"/>
              <w:rPr>
                <w:sz w:val="17"/>
                <w:szCs w:val="17"/>
                <w:color w:val="auto"/>
              </w:rPr>
            </w:pPr>
          </w:p>
        </w:tc>
        <w:tc>
          <w:tcPr>
            <w:tcW w:w="132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w w:val="95"/>
              </w:rPr>
              <w:t>Gross Value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Area (GLA)</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Interest (1)</w:t>
            </w: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1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June 1, 2021</w:t>
            </w: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Grossmont Center</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400" w:type="dxa"/>
            <w:vAlign w:val="bottom"/>
          </w:tcPr>
          <w:p>
            <w:pPr>
              <w:jc w:val="right"/>
              <w:spacing w:after="0"/>
              <w:rPr>
                <w:sz w:val="20"/>
                <w:szCs w:val="20"/>
                <w:color w:val="auto"/>
              </w:rPr>
            </w:pPr>
            <w:r>
              <w:rPr>
                <w:rFonts w:ascii="Arial" w:cs="Arial" w:eastAsia="Arial" w:hAnsi="Arial"/>
                <w:sz w:val="18"/>
                <w:szCs w:val="18"/>
                <w:color w:val="auto"/>
              </w:rPr>
              <w:t>933,000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14, 2021</w:t>
            </w: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Hilton Village</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40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20" w:hanging="332"/>
        <w:spacing w:after="0" w:line="258"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Arial" w:cs="Arial" w:eastAsia="Arial" w:hAnsi="Arial"/>
          <w:sz w:val="18"/>
          <w:szCs w:val="18"/>
          <w:color w:val="auto"/>
        </w:rPr>
      </w:pPr>
    </w:p>
    <w:p>
      <w:pPr>
        <w:ind w:left="340" w:right="60" w:hanging="332"/>
        <w:spacing w:after="0" w:line="25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1" w:lineRule="exact"/>
        <w:rPr>
          <w:rFonts w:ascii="Arial" w:cs="Arial" w:eastAsia="Arial" w:hAnsi="Arial"/>
          <w:sz w:val="18"/>
          <w:szCs w:val="18"/>
          <w:color w:val="auto"/>
        </w:rPr>
      </w:pPr>
    </w:p>
    <w:p>
      <w:pPr>
        <w:ind w:left="340" w:right="560" w:hanging="332"/>
        <w:spacing w:after="0" w:line="274" w:lineRule="auto"/>
        <w:tabs>
          <w:tab w:leader="none" w:pos="334"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ind w:left="340" w:right="240" w:hanging="332"/>
        <w:spacing w:after="0" w:line="258"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costs"and $28.3 million were allocated to other liabilities for "below market leases."</w:t>
      </w:r>
    </w:p>
    <w:p>
      <w:pPr>
        <w:ind w:left="340" w:right="40" w:hanging="332"/>
        <w:spacing w:after="0" w:line="259"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Debt and Equity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Towne Center, at par, prior to its original maturity date.</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24, 2021, we replaced our existing at-the-market (“ATM”) equity program with a new ATM equity program in which we may from time to time offer and sell common shares having an aggregate offering price of up to $500.0 million. On May 7, 2021, we amended this ATM equity program, which reset the limit to $500.0 million. The new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six months ended June 30, 2021, we issued 847,471 common shares at a weighted average price per share of $104.19 for net cash proceeds of $87.1 million including paying $0.9 million in commissions and $0.3 million in additional offering expenses related to the sales of these common shares. We also entered into forward sales contracts for the three and six months ended June 30, 2021 for 1,194,733 and 1,526,051 shares, respectively, under our ATM equity program at a weighted average offering price of $117.47 and $115.30, respectively. The forward price that we will receive upon physical settlement of the agreements is subject to the adjustment for (i) commissions, (ii) a floating interest rate factor equal to a specified daily rate less a spread, (iii) the forward purchasers' stock borrowing costs and (iv) scheduled dividends during the term of the forward sale agreements. The open forward shares may be settled at any time on or before multiple required settlement dates ranging from March 2022 to June 2022. We have remaining capacity to issue up to $359.7 million in common shares under our ATM equity program as of June 30, 2021.</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June 2020, we provided notice for the early repayment of the Plaza Del Sol mortgage loan, at par, on September 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$197 million and $5 million for the six months ended June 30, 2021, and $202 million and $5 million for the six months ended June 30, 2020. We capitalized external and internal costs related to other property improvements of $34 million and $2 million, respectively, for the six months ended June 30, 2021, and $27 million and $2 million for the six months ended June 30, 2020. We capitalized external and internal costs related to leasing activities of $7 million and $1 million, respectively, for the six months ended June 30, 2021, and $5 million and $1 million, respectively, for the six months ended June 30, 2020. The amount of capitalized internal costs for salaries and related benefits for development and redevelopment activities, other property improvements, and leasing activities were $5 million, $2 million, and $1 million, respectively, for the six months ended June 30, 2021 and $5 million, $1 million, and $1 million, respectively for the six months ended June 30, 2020. Total capitalized costs were $246 million and $242 million for the six months ended June 30,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our portfolio from property developments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the ongoing COVID-19 pandemic is impacting us in the short-term, our long-term focus has not changed. See our 10-K filed on February 11, 2021, for discussion of our long-term strategies.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12529"/>
        </w:rPr>
        <w:t>Federal, state, and local governments have taken various actions to mitigate the spread of COVID-19, including initially ordering closures of non-essential businesses and ordering residents to generally stay at home. While many of these restrictions have since been lifted, they required a significant number of tenants to close their operations or to significantly limit the amount of business they were able to conduct in their stores. These closures and restrictions, along with general concerns over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line="286" w:lineRule="auto"/>
        <w:rPr>
          <w:sz w:val="20"/>
          <w:szCs w:val="20"/>
          <w:color w:val="auto"/>
        </w:rPr>
      </w:pPr>
      <w:r>
        <w:rPr>
          <w:rFonts w:ascii="Arial" w:cs="Arial" w:eastAsia="Arial" w:hAnsi="Arial"/>
          <w:sz w:val="16"/>
          <w:szCs w:val="16"/>
          <w:color w:val="212529"/>
        </w:rPr>
        <w:t xml:space="preserve">spread of COVID-19 have impacted the tenants' ability to timely pay rent as required under our leases and also caused many tenants to close their business permanently. While we are seeing signs of considerable improvement in the past few months, these economic hardships have adversely impacted our business, and continue to have a negative effect on our financial results during the second quarter of </w:t>
      </w:r>
      <w:r>
        <w:rPr>
          <w:rFonts w:ascii="Arial" w:cs="Arial" w:eastAsia="Arial" w:hAnsi="Arial"/>
          <w:sz w:val="16"/>
          <w:szCs w:val="16"/>
          <w:color w:val="000000"/>
        </w:rPr>
        <w:t>2021</w:t>
      </w:r>
      <w:r>
        <w:rPr>
          <w:rFonts w:ascii="Arial" w:cs="Arial" w:eastAsia="Arial" w:hAnsi="Arial"/>
          <w:sz w:val="16"/>
          <w:szCs w:val="16"/>
          <w:color w:val="212529"/>
        </w:rPr>
        <w:t xml:space="preserve">. With very few exceptions, our leases require tenants to continue to pay rent even while closed as a result of the pandemic, and while many tenants did not pay rents and other charges during a portion of 2020, the majority of our tenants have resumed paying all or a portion of their rent and/or other charges as their businesses were able to reopen. Our percentage of contractual rent actually collected has continued to increase since the low point in April 2020, including some tenants paying past due amounts. As of </w:t>
      </w:r>
      <w:r>
        <w:rPr>
          <w:rFonts w:ascii="Arial" w:cs="Arial" w:eastAsia="Arial" w:hAnsi="Arial"/>
          <w:sz w:val="16"/>
          <w:szCs w:val="16"/>
          <w:color w:val="000000"/>
        </w:rPr>
        <w:t>June 30, 2021</w:t>
      </w:r>
      <w:r>
        <w:rPr>
          <w:rFonts w:ascii="Arial" w:cs="Arial" w:eastAsia="Arial" w:hAnsi="Arial"/>
          <w:sz w:val="16"/>
          <w:szCs w:val="16"/>
          <w:color w:val="212529"/>
        </w:rPr>
        <w:t xml:space="preserve">, we have entered into agreements with approximately 32% of our tenants (based on total commercial leases) to defer rent payments to later periods, largely throughout the remainder of 2021, although some extend beyond, and negotiations with other tenants are still ongoing. While increasing monthly cash collection rates is a positive trend driven by government mandated restrictions generally being lifted, we expect that our rent collections will continue to be below our tenants’ contractual rent obligations and historical levels, which will continue to adversely impact our results of operations. We are also experiencing a lower level of occupancy than in our past, largely due to the pandemic, which will adversely impact our results until we can release the space and the tenant commences paying rent as well as limit future vacancies caused by the pandemic. We are, however, experiencing strong demand for our commercial space as evidenced by the </w:t>
      </w:r>
      <w:r>
        <w:rPr>
          <w:rFonts w:ascii="Arial" w:cs="Arial" w:eastAsia="Arial" w:hAnsi="Arial"/>
          <w:sz w:val="16"/>
          <w:szCs w:val="16"/>
          <w:color w:val="000000"/>
        </w:rPr>
        <w:t>1.1 million</w:t>
      </w:r>
      <w:r>
        <w:rPr>
          <w:rFonts w:ascii="Arial" w:cs="Arial" w:eastAsia="Arial" w:hAnsi="Arial"/>
          <w:sz w:val="16"/>
          <w:szCs w:val="16"/>
          <w:color w:val="212529"/>
        </w:rPr>
        <w:t xml:space="preserve"> square feet of comparable space retail leasing we've completed in the first half of 2021, as well as our overall leased percentage at 92.7%, compared to our occupied percentage of only 89.6%.</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12529"/>
        </w:rPr>
        <w:t xml:space="preserve">The extent of the impact from COVID-19 will depend on future developments, which are highly uncertain and cannot be predicted. Depending upon the duration of tenant closures, future operating restrictions, and the overall economic downturn resulting from COVID-19, we may find that even deferred rents are difficult to collect, and we may experience higher vacancy levels. </w:t>
      </w:r>
      <w:r>
        <w:rPr>
          <w:rFonts w:ascii="Arial" w:cs="Arial" w:eastAsia="Arial" w:hAnsi="Arial"/>
          <w:sz w:val="17"/>
          <w:szCs w:val="17"/>
          <w:color w:val="000000"/>
        </w:rPr>
        <w:t>While the duration and severity of the economic impact resulting from COVID-19 is unknown, we seek to position the Trust to continue to participate in the resulting economic recovery.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several development projects in process being delivered as follows:</w:t>
      </w:r>
    </w:p>
    <w:p>
      <w:pPr>
        <w:spacing w:after="0" w:line="23" w:lineRule="exact"/>
        <w:rPr>
          <w:sz w:val="20"/>
          <w:szCs w:val="20"/>
          <w:color w:val="auto"/>
        </w:rPr>
      </w:pPr>
    </w:p>
    <w:p>
      <w:pPr>
        <w:ind w:left="660" w:right="2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phase of construction on Santana West includes an eight story 376,000 square foot office building, with over 1,700 parking spaces. The building is expected to cost between $250 million and $270 million with openings expected to begin in 2022.</w:t>
      </w:r>
    </w:p>
    <w:p>
      <w:pPr>
        <w:ind w:left="660" w:right="1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56,000 square feet of retail space, 500 residential units, and over 800 additional parking spaces. The expected costs for Phase III are between $465 million and $485 million, with spaces being delivered beginning in the second quarter of 2021. At June 30, 2021, 150,000 square feet of office space has been delivered and 13,000 square feet of retail space has opened.</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Phase III at Pike &amp; Rose includes a 212,000 square foot office building (which includes 7,000 square feet of ground floor retail space) and over 600 additional parking spaces. The building is expected to cost between $128 million and $135 million. At June 30, 2021, approximately 159,000 square feet has been leased, of which approximately 45,000 square feet is our new corporate headquarters.</w:t>
      </w:r>
    </w:p>
    <w:p>
      <w:pPr>
        <w:ind w:left="660" w:right="22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$274 million that we expect to stabilize over the next several years.</w:t>
      </w:r>
    </w:p>
    <w:p>
      <w:pPr>
        <w:spacing w:after="0" w:line="21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leasing and openings will be dependent upon the duration of governmental restrictions and the duration and severity of the economic impacts of COVID-19.</w:t>
      </w:r>
    </w:p>
    <w:p>
      <w:pPr>
        <w:spacing w:after="0" w:line="13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assumed mortgages and property sales.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June 30, 2021, the leasable square feet in our properties was 92.7% leased and 89.6% occupied. The leased rate is higher than the occupied rate due to leased spaces that are being redeveloped or improved or that are awaiting permits and, therefore,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108"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For the second quarter of 2021, we signed leases for a total of 577,000 square feet of retail space including 558,000 square feet of comparable space leases (leases for which there was a prior tenant) at an average rental increase of 8% on a cash basis. New leases for comparable spaces were signed for 415,000 square feet at an average rental increase of 11% on a cash basis. Renewals for comparable spaces were signed for 144,000 square feet at no average rental increase on a cash basis. Tenant improvements and incentives for comparable spaces were $51.35 per square foot, of which, $67.87 per square foot was for new leases and $3.74 per square foot was for renewals for the three months ended June 30, 2021.</w:t>
      </w:r>
    </w:p>
    <w:p>
      <w:pPr>
        <w:spacing w:after="0" w:line="2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For the six months ended June 30, 2021, we signed leases for a total of 1,091,000 square feet of retail space including 1,065,000 square feet of comparable space leases (leases for which there was a prior tenant) at an average rental increase of 8% on a cash basis. New leases for comparable spaces were signed for 635,000 square feet at an average rental increase of 13% on a cash basis. Renewals for comparable spaces were signed for 430,000 square feet at an average rental increase of 1% on a cash basis. Tenant improvements and incentives for comparable spaces were $42.20 per square foot, of which, $67.62 per square foot was for new leases and $4.70 per square foot was for renewals for the six months ended June 30, 2021.</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contractual rent on the expiring lease and annual market rent and in some instances, projections of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in 2020 and 2021 than in prior years in order to appropriately reflect the comparability of spaces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inducement to sign a lease that do not represent building improvements.</w:t>
      </w:r>
    </w:p>
    <w:p>
      <w:pPr>
        <w:spacing w:after="0" w:line="11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Historically, we have executed comparable space leases for 1.3 to 1.9 million square feet of retail space each year. We expect some rental rates to continue to be negatively impacted by the COVID-19 pandemic. Given the significant volume of leasing we've achieved during the first six months of 2021, we expect the overall volume in 2021 to be at the high end, or potentially exceed, our historical averages given a larger amount of vacancy as a result of COVID-19.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leases signed in 2021 generally become effective over the following two years though some may not become effective until 2024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10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2021, all or a portion of 98 properties were considered comparable properties and six properties were considered non-comparable properties. For the three months ended June 30, 2021, one portion of a property was moved from non-comparable properties to comparable properties and two portions of properties were moved from acquisitions to comparable properties. For the six months ended June 30, 2021, two portions of properties were moved from non-comparable properties to comparable properties, one property and two portions of properties were moved from acquisitions to comparable properties, and one portion of a property was removed from non-comparable properties, as it was sold, compared to the designations as of December 31, 2020.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2021 AND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8"/>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w:t>
            </w:r>
          </w:p>
        </w:tc>
      </w:tr>
      <w:tr>
        <w:trPr>
          <w:trHeight w:val="183"/>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920" w:type="dxa"/>
            <w:vAlign w:val="bottom"/>
          </w:tcPr>
          <w:p>
            <w:pPr>
              <w:spacing w:after="0"/>
              <w:rPr>
                <w:sz w:val="15"/>
                <w:szCs w:val="15"/>
                <w:color w:val="auto"/>
              </w:rPr>
            </w:pPr>
          </w:p>
        </w:tc>
      </w:tr>
      <w:tr>
        <w:trPr>
          <w:trHeight w:val="231"/>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55,316</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11.0 %</w:t>
            </w: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30.9 %</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6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30,568</w:t>
            </w:r>
          </w:p>
        </w:tc>
        <w:tc>
          <w:tcPr>
            <w:tcW w:w="5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partnerships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(103.2)%</w:t>
            </w: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37,200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342.6 %</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427.0 %</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339.7 %</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140" w:hanging="332"/>
        <w:spacing w:after="0" w:line="301" w:lineRule="auto"/>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June 30, 2021 and 2020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31"/>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48,295</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9,814</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62,784</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(11,682)</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Total property revenue increased $55.4 million, or 31.4%, to $231.6 million in the three months ended June 30, 2021 compared to $176.2 million in the three months ended June 30, 2020. The percentage occupied at our shopping centers was 89.6% at June 30, 2021 compared to 90.8% at June 30, 2020. The most significant driver of the increase in property revenues is the lifting of COVID-19 restrictions during the three months ended June 30, 2021 as compared to the three months ended June 30, 2020 when COVID-19 government imposed closures and restrictions were at their height. Changes in the components of property revenue are discussed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increased $55.3 million, or 31.5%, to $230.8 million in the three months ended June 30, 2021 compared to $175.5 million in the three months ended June 30, 2020 due primarily to the following:</w:t>
      </w:r>
    </w:p>
    <w:p>
      <w:pPr>
        <w:spacing w:after="0" w:line="22" w:lineRule="exact"/>
        <w:rPr>
          <w:sz w:val="20"/>
          <w:szCs w:val="20"/>
          <w:color w:val="auto"/>
        </w:rPr>
      </w:pPr>
    </w:p>
    <w:p>
      <w:pPr>
        <w:ind w:left="1140" w:right="160" w:hanging="241"/>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$48.8 million decrease in collectibility related impacts including rent abatements across all properties primarily due to moving a large number of tenants from accrual basis to cash basis in the second quarter of 2020 and higher collection rates in the second quarter of 2021, as tenants begin to recover from the initial impacts of COVID-19,</w:t>
      </w:r>
    </w:p>
    <w:p>
      <w:pPr>
        <w:spacing w:after="0" w:line="21" w:lineRule="exact"/>
        <w:rPr>
          <w:rFonts w:ascii="Arial" w:cs="Arial" w:eastAsia="Arial" w:hAnsi="Arial"/>
          <w:sz w:val="18"/>
          <w:szCs w:val="18"/>
          <w:color w:val="auto"/>
        </w:rPr>
      </w:pPr>
    </w:p>
    <w:p>
      <w:pPr>
        <w:ind w:left="1140" w:right="200" w:hanging="241"/>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$4.1 million from non-comparable properties primarily driven by redevelopment related occupancy increases at two of our properties, the opening of Phase III at Assembly Row in 2021, and the opening of Freedom Plaza in 2020,</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$3.6 million from acquisitions (see Note 3 to the consolidated financial statements for additional information), and</w:t>
      </w:r>
    </w:p>
    <w:p>
      <w:pPr>
        <w:spacing w:after="0" w:line="74" w:lineRule="exact"/>
        <w:rPr>
          <w:rFonts w:ascii="Arial" w:cs="Arial" w:eastAsia="Arial" w:hAnsi="Arial"/>
          <w:sz w:val="17"/>
          <w:szCs w:val="17"/>
          <w:color w:val="auto"/>
        </w:rPr>
      </w:pPr>
    </w:p>
    <w:p>
      <w:pPr>
        <w:ind w:left="1140" w:hanging="241"/>
        <w:spacing w:after="0" w:line="263"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$1.9 million from comparable properties primarily related to higher net termination fees and legal fee income of $3.4 million, higher percentage rent, specialty leasing, and parking income of $2.4 million primarily due to the impacts of COVID-19 related closures and restrictions in 2020, partially offset by lower average occupancy of approximately $4.6 million,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$3.3 million from 2020 property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property expenses increased $5.2 million, or 7.8%, to $72.2 million in the three months ended June 30, 2021 compared to $67.0 million in the three months ended June 30, 2020.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Rental expenses increased $6.5 million, or 17.9%, to $42.9 million in the three months ended June 30, 2021 compared to $36.4 million in the three months ended June 30, 2020. This increase is primarily due to the following:</w:t>
      </w:r>
    </w:p>
    <w:p>
      <w:pPr>
        <w:spacing w:after="0" w:line="8" w:lineRule="exact"/>
        <w:rPr>
          <w:sz w:val="20"/>
          <w:szCs w:val="20"/>
          <w:color w:val="auto"/>
        </w:rPr>
      </w:pPr>
    </w:p>
    <w:p>
      <w:pPr>
        <w:ind w:left="1140" w:right="360" w:hanging="241"/>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$6.4 million from comparable properties due primarily to higher repairs and maintenance costs and utilities, as 2020 had lower costs as a result of COVID-19 impacts,</w:t>
      </w:r>
    </w:p>
    <w:p>
      <w:pPr>
        <w:spacing w:after="0" w:line="8" w:lineRule="exact"/>
        <w:rPr>
          <w:rFonts w:ascii="Arial" w:cs="Arial" w:eastAsia="Arial" w:hAnsi="Arial"/>
          <w:sz w:val="18"/>
          <w:szCs w:val="18"/>
          <w:color w:val="auto"/>
        </w:rPr>
      </w:pPr>
    </w:p>
    <w:p>
      <w:pPr>
        <w:ind w:left="1140" w:right="140" w:hanging="241"/>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 million from non-comparable properties driven by the opening of the Phase III office building at Pike &amp; Rose in 2020, Phase III at Assembly Row in 2021, and one of our redevelopments in late 2020,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$0.7 million from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$1.0 million from 2020 property sales.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decreased to 18.6% in the three months ended June 30, 2021 from 20.8% in the three months ended June 30,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Real estate tax expense decreased $1.3 million, or 4.2%, to $29.3 million in the three months ended June 30, 2021 compared to $30.6 million in the three months ended June 30, 2020. This decrease is primarily due the following:</w:t>
      </w:r>
    </w:p>
    <w:p>
      <w:pPr>
        <w:spacing w:after="0" w:line="8" w:lineRule="exact"/>
        <w:rPr>
          <w:sz w:val="20"/>
          <w:szCs w:val="20"/>
          <w:color w:val="auto"/>
        </w:rPr>
      </w:pPr>
    </w:p>
    <w:p>
      <w:pPr>
        <w:ind w:left="1140" w:right="680" w:hanging="241"/>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$1.1 million from comparable properties primarily due to a true-up of supplemental taxes at several of our California properties billed in 2020,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$1.0 million from 2020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20" w:hanging="241"/>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$0.5 million from non-comparable properties due primarily to increases in assessments as a result of our redevelopment activities,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$0.4 million from acquisitions.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Property operating income increased $50.2 million, or 45.9%, to $159.4 million in the three months ended June 30, 2021 compared to $109.2 million in the three months ended June 30, 2020. This increase is primarily due to the lifting of COVID-19 restrictions, which resulted in lower collectibility related adjustments, higher percentage rent, specialty leasing, and parking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income compared to 2020. Also contributing to the increase were higher lease termination fees and legal fee income, 2021 acquisitions, redevelopment related occupancy increases at one of our properties, and the opening of Phase III at Assembly Row in 2021, partially offset by lower average occupancy from comparable properties, and 2020 property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2040"/>
        <w:spacing w:after="0" w:line="263" w:lineRule="auto"/>
        <w:rPr>
          <w:sz w:val="20"/>
          <w:szCs w:val="20"/>
          <w:color w:val="auto"/>
        </w:rPr>
      </w:pPr>
      <w:r>
        <w:rPr>
          <w:rFonts w:ascii="Arial" w:cs="Arial" w:eastAsia="Arial" w:hAnsi="Arial"/>
          <w:sz w:val="18"/>
          <w:szCs w:val="18"/>
          <w:color w:val="auto"/>
        </w:rPr>
        <w:t>General and administrative expense increased $3.0 million, or 30.9%, to $12.8 million in the three months ended June 30, 2021 from $9.8 million in the three months ended June 30, 2020. This increase is due primarily to higher personnel 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increased $4.9 million, or 7.8%, to $67.7 million in the three months ended June 30, 2021 from $62.8 million in the three months ended June 30, 2020. This increase is due primarily to accelerated depreciation related to a vacating tenant, placing redevelopment properties into service, the acquisition of the previously unconsolidated Pike &amp; Rose hotel joint venture in January 2021, and the opening of Phase III at Assembly Row and Pike &amp; Rose, partially offset by 2020 property sales.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$11.7 million gain on sale of real estate, net for the three months ended June 30, 2020 is due primarily to the sale of a building in Pasadena, California.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increased $30.6 million, or 63.3%, to $78.9 million in the three months ended June 30, 2021 compared to $48.3 million in the three months ended June 30, 2020. This increase is primarily due to the lifting of COVID-19 restrictions, which resulted in lower collectibility related adjustments, higher percentage rent, specialty leasing, and parking income compared to 2020. Also contributing to the increases were higher termination fees and legal fee income, 2021 acquisitions, redevelopment related occupancy increases at one of our properties, and the opening of Phase III at Assembly Row in 2021, partially offset by lower average occupancy at comparable properties, the prior year gain related to the sale of a building in Pasadena, California, higher personnel related costs, and 2020 property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decreased $2.9 million, or 8.5%, to $31.2 million in the three months ended June 30, 2021 compared to $34.1 million in the three months ended June 30, 2020. This decrease is due primarily to the following:</w:t>
      </w:r>
    </w:p>
    <w:p>
      <w:pPr>
        <w:spacing w:after="0" w:line="8" w:lineRule="exact"/>
        <w:rPr>
          <w:sz w:val="20"/>
          <w:szCs w:val="20"/>
          <w:color w:val="auto"/>
        </w:rPr>
      </w:pPr>
    </w:p>
    <w:p>
      <w:pPr>
        <w:ind w:left="1140" w:right="160" w:hanging="241"/>
        <w:spacing w:after="0" w:line="263"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$2.0 million from lower weighted average borrowings primarily from our revolving credit facility and the repayment of The Shops at Sunset Place mortgage loan in December 2020, partially offset by the May 2020 debt issuances in response to the COVID-19 pandemic, and</w:t>
      </w:r>
    </w:p>
    <w:p>
      <w:pPr>
        <w:spacing w:after="0" w:line="21" w:lineRule="exact"/>
        <w:rPr>
          <w:rFonts w:ascii="Arial" w:cs="Arial" w:eastAsia="Arial" w:hAnsi="Arial"/>
          <w:sz w:val="18"/>
          <w:szCs w:val="18"/>
          <w:color w:val="auto"/>
        </w:rPr>
      </w:pPr>
    </w:p>
    <w:p>
      <w:pPr>
        <w:ind w:left="1140" w:right="360" w:hanging="241"/>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$0.8 million in capitalized interest, primarily attributable to the development of Santana West and Phase III of Assembly Row.</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interest costs were $37.7 million and $39.8 million in the three months ended June 30, 2021 and June 30, 2020, respectively. Capitalized interest was $6.5 million and $5.7 million for the three months ended June 30, 2021 and June 30, 2020,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partnerships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partnerships increased $4.0 million, or 103.2%, to $0.1 million in the three months ended June 30, 2021 compared to a loss of $3.9 million in the three months ended June 30, 2020. This increase is due primarily to the acquisition of the previously unconsolidated Pike &amp; Rose hotel joint venture in January 2021 and improved operating results at our restaurant joint ventures and at our Assembly Row hotel joint venture, largely the result of the easing of COVID-19 closures and restrictions.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2021 AND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r>
      <w:tr>
        <w:trPr>
          <w:trHeight w:val="183"/>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5"/>
                <w:szCs w:val="15"/>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41,653</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23.2 %</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11,427</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31,495</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(3,039)</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49.2 %</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30,498</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44.7 %</w:t>
            </w: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301" w:lineRule="auto"/>
        <w:tabs>
          <w:tab w:leader="none" w:pos="3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six months ended June 30, 2021 and 2020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r>
      <w:tr>
        <w:trPr>
          <w:trHeight w:val="231"/>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134,037</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20,065</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124,972</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267,392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Total property revenue increased $42.0 million, or 10.3%, to $449.8 million in the six months ended June 30, 2021 compared to $407.8 million in the six months ended June 30, 2020. The percentage occupied at our shopping centers was 89.6% at June 30, 2021 compared to 90.8% at June 30, 2020. The most significant driver of the increase in property revenues is the the lifting of COVID-19 restrictions during the 2021 as compared to 2020 when COVID-19 government imposed closures and restrictions were at their height. Changes in the components of property revenue are discussed below.</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0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and is net of collectibility related adjustments. Rental income increased $41.7 million, or 10.3%, to $447.9 million in the six months ended June 30, 2021 compared to $406.3 million in the six months ended June 30, 2020 due primarily to the following:</w:t>
      </w:r>
    </w:p>
    <w:p>
      <w:pPr>
        <w:spacing w:after="0" w:line="22" w:lineRule="exact"/>
        <w:rPr>
          <w:sz w:val="20"/>
          <w:szCs w:val="20"/>
          <w:color w:val="auto"/>
        </w:rPr>
      </w:pPr>
    </w:p>
    <w:p>
      <w:pPr>
        <w:ind w:left="1140" w:right="120" w:hanging="241"/>
        <w:spacing w:after="0" w:line="263" w:lineRule="auto"/>
        <w:tabs>
          <w:tab w:leader="none" w:pos="1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$37.1 million decrease in collectibility related impacts including rent abatements across all properties, primarily due to moving a large number of tenants from accrual basis to cash basis in 2020, as well higher collection rates in 2021, as tenants begin to recover from the the initial impacts of COVID-19,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right="120" w:hanging="241"/>
        <w:spacing w:after="0" w:line="263"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$11.3 million from non-comparable properties driven by higher net termination fees, the opening of our new office building at Santana Row in early 2020, redevelopment related occupancy increases at one of our properties, the opening of Phase III at Assembly Row in 2021 and Pike &amp; Rose in 2020, and the opening of Freedom Plaza in 2020, and</w:t>
      </w:r>
    </w:p>
    <w:p>
      <w:pPr>
        <w:spacing w:after="0" w:line="21" w:lineRule="exact"/>
        <w:rPr>
          <w:rFonts w:ascii="Arial" w:cs="Arial" w:eastAsia="Arial" w:hAnsi="Arial"/>
          <w:sz w:val="18"/>
          <w:szCs w:val="18"/>
          <w:color w:val="auto"/>
        </w:rPr>
      </w:pPr>
    </w:p>
    <w:p>
      <w:pPr>
        <w:ind w:right="680" w:firstLine="899"/>
        <w:spacing w:after="0" w:line="313" w:lineRule="auto"/>
        <w:tabs>
          <w:tab w:leader="none" w:pos="11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$4.4 million from 2021 acquisitions (see Note 3 to the consolidated financial statements for additional information), partially offset by,</w:t>
      </w: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$8.0 million from property sales, and</w:t>
      </w:r>
    </w:p>
    <w:p>
      <w:pPr>
        <w:spacing w:after="0" w:line="63" w:lineRule="exact"/>
        <w:rPr>
          <w:rFonts w:ascii="Arial" w:cs="Arial" w:eastAsia="Arial" w:hAnsi="Arial"/>
          <w:sz w:val="18"/>
          <w:szCs w:val="18"/>
          <w:color w:val="auto"/>
        </w:rPr>
      </w:pPr>
    </w:p>
    <w:p>
      <w:pPr>
        <w:ind w:left="1140" w:right="120" w:hanging="241"/>
        <w:spacing w:after="0" w:line="259"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$3.4 million from comparable properties primarily due to lower average occupancy of approximately $11.3 million, partially offset by higher rental rates of $2.7 million, higher recoveries of $2.1 million primarily the result of higher snow removal expense, and higher percentage rent of $1.2 million driven by a larger number of tenants moving to percentage rent deals due to the impacts of COVID-19.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property expenses increased $10.5 million, or 7.5%, to $150.9 million in the six months ended June 30, 2021 compared to $140.4 million in the six months ended June 30, 2020. Changes in the components of property expenses are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Rental expenses increased $11.4 million, or 14.2%, to $92.2 million in the six months ended June 30, 2021 compared to $80.7 million in the six months ended June 30, 2020 due primarily to the following:</w:t>
      </w:r>
    </w:p>
    <w:p>
      <w:pPr>
        <w:spacing w:after="0" w:line="8" w:lineRule="exact"/>
        <w:rPr>
          <w:sz w:val="20"/>
          <w:szCs w:val="20"/>
          <w:color w:val="auto"/>
        </w:rPr>
      </w:pPr>
    </w:p>
    <w:p>
      <w:pPr>
        <w:ind w:left="1140" w:right="20" w:hanging="241"/>
        <w:spacing w:after="0" w:line="27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$11.9 million from comparable properties due to higher snow removal expense, repairs and maintenance costs and utilities as 2020 had lower costs as a result of COVID-19 impacts, demolition costs, and insurance costs,</w:t>
      </w:r>
    </w:p>
    <w:p>
      <w:pPr>
        <w:spacing w:after="0" w:line="8" w:lineRule="exact"/>
        <w:rPr>
          <w:rFonts w:ascii="Arial" w:cs="Arial" w:eastAsia="Arial" w:hAnsi="Arial"/>
          <w:sz w:val="18"/>
          <w:szCs w:val="18"/>
          <w:color w:val="auto"/>
        </w:rPr>
      </w:pPr>
    </w:p>
    <w:p>
      <w:pPr>
        <w:ind w:left="1140" w:right="80" w:hanging="241"/>
        <w:spacing w:after="0" w:line="27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$2.0 million from non-comparable properties, due primarily to the opening of the Phase III office building at Pike &amp; Rose in 2020, one of our redevelopments in late 2020, and our new office building at Santana Row,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$1.5 million from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$2.6 million from our property sales.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20.6% in the six months ended June 30, 2021 from 19.9% in the six months ended June 30,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Real estate tax expense decreased $0.9 million, or 1.5%, to $58.7 million in the six months ended June 30, 2021 compared to $59.7 million in the six months ended June 30, 2020. This increase is primarily due to the following:</w:t>
      </w:r>
    </w:p>
    <w:p>
      <w:pPr>
        <w:spacing w:after="0" w:line="8" w:lineRule="exact"/>
        <w:rPr>
          <w:sz w:val="20"/>
          <w:szCs w:val="20"/>
          <w:color w:val="auto"/>
        </w:rPr>
      </w:pPr>
    </w:p>
    <w:p>
      <w:pPr>
        <w:ind w:left="1140" w:hanging="241"/>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$1.7 million from our property sales, and</w:t>
      </w:r>
    </w:p>
    <w:p>
      <w:pPr>
        <w:spacing w:after="0" w:line="63" w:lineRule="exact"/>
        <w:rPr>
          <w:rFonts w:ascii="Arial" w:cs="Arial" w:eastAsia="Arial" w:hAnsi="Arial"/>
          <w:sz w:val="18"/>
          <w:szCs w:val="18"/>
          <w:color w:val="auto"/>
        </w:rPr>
      </w:pPr>
    </w:p>
    <w:p>
      <w:pPr>
        <w:ind w:left="1140" w:right="680" w:hanging="241"/>
        <w:spacing w:after="0" w:line="277"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$1.0 million from comparable properties primarily due to a true-up of supplemental taxes at several of our California properties billed in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line="277"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$1.3 million from non-comparable properties due primarily to the opening of our new office building at Santana Row in early 2020 and increases in assessments as a result of our redevelopment activities,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$0.5 million from 2021 acquisitions.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Property operating income increased $31.5 million, or 11.8%, to $298.9 million in the six months ended June 30, 2021 compared to $267.4 million in the six months ended June 30, 2020. This increase is primarily due to the lifting of COVID-19 restrictions during 2021, which resulted in lower collectibility related adjustments, and higher percentage rent. Also contributing to the increases were the opening of our new office building at Santana Row in early 2020, placing redevelopment properties into service, the opening of Phase III at Assembly Row in 2021, and property acquisitions, partially offset by lower average occupancy, higher snow removal expense at comparable properties, and property dispositions.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 increased $3.0 million, or 15.1%, to $23.1 million in the six months ended June 30, 2021 from $20.1 million in the six months ended June 30, 2020. This increase is due primarily to higher personnel related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increased $6.6 million, or 5.3%, to $131.5 million in the six months ended June 30, 2021 from $125.0 million in the six months ended June 30, 2020. This increase is due primarily to accelerated depreciation from a vacating tenant, placing redevelopment properties into service, the acquisition of the previously unconsolidated Pike &amp; Rose hotel joint venture in January 2021, and the opening of the Phase III office building at Pike &amp; Rose, partially offset by 2020 property sales.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$17.4 million gain on sale of real estate, net of tax for the six months ended June 30, 2021 is due primarily to a $15.6 million gain related to the sale of a portion of Graham Park Plaza in Falls Church, Virginia and a $2.1 million gain relating to the acquisition of the previously unconsolidated Pike &amp; Rose hotel joint venture (see Note 3 for additional disclosure).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$11.7 million gain on sale of real estate, net of tax for the six months ended June 30, 2020 is due to the sale of a building in Pasadena, California.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increased $27.6 million, or 20.6%, to $161.7 million in the six months ended June 30, 2021 compared to $134.0 million in the six months ended June 30, 2020. This increase is primarily due to the lifting of COVID-19 restrictions, which resulted in lower collectibility related adjustments and higher percentage rent compared to 2020. Also contributing to the increases were a higher net gain on the sale of real estate, the opening of our new office building at Santana Row in early 2020, placing redevelopment properties into service, the opening of Phase III at Assembly Row in 2021, and property acquisitions, partially offset by lower average occupancy, higher snow removal expense at comparable properties, property dispositions, and higher personnel related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$0.7 million, or 1.2%, to $63.3 million in the six months ended June 30, 2021 compared to $62.5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This increase is due primarily to the following:</w:t>
      </w:r>
    </w:p>
    <w:p>
      <w:pPr>
        <w:spacing w:after="0" w:line="49" w:lineRule="exact"/>
        <w:rPr>
          <w:sz w:val="20"/>
          <w:szCs w:val="20"/>
          <w:color w:val="auto"/>
        </w:rPr>
      </w:pPr>
    </w:p>
    <w:p>
      <w:pPr>
        <w:ind w:left="1140" w:right="120" w:hanging="241"/>
        <w:spacing w:after="0" w:line="263"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$5.0 million due to higher weighted average borrowings primarily from the May 2020 debt issuances in response to the COVID-19 pandemic, partially offset by no borrowings on our revolving credit facility in 2021, and the repayment of The Shops at Sunset Place mortgage loan in December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$2.7 million due to a lower overall weighted average borrowing rate, and</w:t>
      </w:r>
    </w:p>
    <w:p>
      <w:pPr>
        <w:spacing w:after="0" w:line="63" w:lineRule="exact"/>
        <w:rPr>
          <w:rFonts w:ascii="Arial" w:cs="Arial" w:eastAsia="Arial" w:hAnsi="Arial"/>
          <w:sz w:val="18"/>
          <w:szCs w:val="18"/>
          <w:color w:val="auto"/>
        </w:rPr>
      </w:pPr>
    </w:p>
    <w:p>
      <w:pPr>
        <w:ind w:left="1140" w:right="400" w:hanging="241"/>
        <w:spacing w:after="0" w:line="277"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$1.6 million in capitalized interest, primarily attributable to the development of Phase III of Assembly Row and Santana West.</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interest costs were $76.3 million and $73.9 million in the six months ended June 30, 2021 and June 30, 2020, respectively. Capitalized interest was $13.0 million and $11.4 million for the six months ended June 30, 2021 and June 30,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Loss from partnerships decreased $3.8 million, or 75.9%, to $1.2 million in the six months ended June 30, 2021 compared to $5.0 million in the six months ended June 30, 2020. This decrease is due primarily to the acquisition of the previously unconsolidated Pike &amp; Rose hotel joint venture in January 2021 and improved operating results at our restaurant joint ventures and at our Assembly Row hotel joint venture, largely the result of the easing of COVID-19 closures and restrictions.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(cash dividends paid in the six months ended June 30, 2021 were approximately $167.2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are seeing improvements in cash collections during 2021, we are still experiencing lower levels of cash from operations due to lower rent collections from tenants and lower occupancy, both a result of the COVID-19 pandemic (see further discussion under the "Outlook" section of this Item 2). While the overall economic impacts of the pandemic are unknown, we have taken multiple steps to strengthen our financial position, maximize liquidity, and to provide maximum flexibility during these uncertain times, including maintaining levels of cash significantly in excess of the cash balances we have historically maintained.</w:t>
      </w:r>
    </w:p>
    <w:p>
      <w:pPr>
        <w:spacing w:after="0" w:line="2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six months ended June 30, 2021, there were no borrowings on our $1.0 billion unsecured revolving credit facility, and as of June 30, 2021, we had cash and cash equivalents of $304.3 million. We also had outstanding forward sales agreements for net proceeds of $172.4 million as of June 30, 2021, and the capacity to issue up to $359.7 million in common shares both under our ATM equity program.</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 Subsequently, over the next 12 months, we have $124.2 million of secured debt maturing, which we intend to pay off prior to the maturity date, at par.</w:t>
      </w:r>
    </w:p>
    <w:p>
      <w:pPr>
        <w:spacing w:after="0" w:line="13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overall capital requirements for the remainder of 2021 will continue to be impacted by the extent and duration of COVID-19 related closures, impacts on our cash collections, and overall economic impacts that might occur. Cash requirements will also be impacted by acquisition opportunities and the level and general timing of our redevelopment and development activities. While the amount of future expenditures will depend on numerous factors, we expect to see higher levels of capital investments in our properties under development and redevelopment, as we continue to invest in the current phase of these projects and are not expecting COVID-19 related halts in construction activities similar to those experienced in 2020. With respect to other capital investments related to our existing properties, we expect to incur levels more consistent with prior years with an overall increase compared to 2020.</w:t>
      </w:r>
    </w:p>
    <w:p>
      <w:pPr>
        <w:spacing w:after="0" w:line="1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We believe that the cash </w:t>
      </w:r>
      <w:r>
        <w:rPr>
          <w:rFonts w:ascii="Arial" w:cs="Arial" w:eastAsia="Arial" w:hAnsi="Arial"/>
          <w:sz w:val="17"/>
          <w:szCs w:val="17"/>
          <w:color w:val="212529"/>
        </w:rPr>
        <w:t>on our balance sheet together with rents we collect, as well as our $1.0 billion revolving credit facility will allow us to continue to</w:t>
      </w:r>
      <w:r>
        <w:rPr>
          <w:rFonts w:ascii="Arial" w:cs="Arial" w:eastAsia="Arial" w:hAnsi="Arial"/>
          <w:sz w:val="17"/>
          <w:szCs w:val="17"/>
          <w:color w:val="auto"/>
        </w:rPr>
        <w:t xml:space="preserve"> </w:t>
      </w:r>
      <w:r>
        <w:rPr>
          <w:rFonts w:ascii="Arial" w:cs="Arial" w:eastAsia="Arial" w:hAnsi="Arial"/>
          <w:sz w:val="17"/>
          <w:szCs w:val="17"/>
          <w:color w:val="212529"/>
        </w:rPr>
        <w:t xml:space="preserve">operate our business through the remainder of the COVID-19 pandemic. </w:t>
      </w:r>
      <w:r>
        <w:rPr>
          <w:rFonts w:ascii="Arial" w:cs="Arial" w:eastAsia="Arial" w:hAnsi="Arial"/>
          <w:sz w:val="17"/>
          <w:szCs w:val="17"/>
          <w:color w:val="000000"/>
        </w:rPr>
        <w:t>Given our recent ability to access the capital markets, we also expect debt or</w:t>
      </w:r>
      <w:r>
        <w:rPr>
          <w:rFonts w:ascii="Arial" w:cs="Arial" w:eastAsia="Arial" w:hAnsi="Arial"/>
          <w:sz w:val="17"/>
          <w:szCs w:val="17"/>
          <w:color w:val="212529"/>
        </w:rPr>
        <w:t xml:space="preserve"> </w:t>
      </w:r>
      <w:r>
        <w:rPr>
          <w:rFonts w:ascii="Arial" w:cs="Arial" w:eastAsia="Arial" w:hAnsi="Arial"/>
          <w:sz w:val="17"/>
          <w:szCs w:val="17"/>
          <w:color w:val="000000"/>
        </w:rPr>
        <w:t>equity to be available to us. We also have the ability to delay the timing of certain development and redevelopment projects as well as limit future acquisitions, as well as limit future acquisitions, reduce our operating expenditures, or re-evaluate our dividend policy.</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we have seen improvements from the initial negative impacts of the COVID-19 pandemic, it has continued to affect our overall business during the quarter ended June 30, 2021, and we expect it will continue to negatively impact our business in the short term. We maintain our long term commitment to a conservative capital structure that will allow us to maintain strong debt service coverage and fixed-charge coverage ratios as part of our commitment to investment-grade debt ratings.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3"/>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196"/>
              <w:spacing w:after="0"/>
              <w:rPr>
                <w:sz w:val="20"/>
                <w:szCs w:val="20"/>
                <w:color w:val="auto"/>
              </w:rPr>
            </w:pPr>
            <w:r>
              <w:rPr>
                <w:rFonts w:ascii="Arial" w:cs="Arial" w:eastAsia="Arial" w:hAnsi="Arial"/>
                <w:sz w:val="18"/>
                <w:szCs w:val="18"/>
                <w:color w:val="auto"/>
                <w:w w:val="89"/>
              </w:rPr>
              <w:t>247,209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20" w:type="dxa"/>
            <w:vAlign w:val="bottom"/>
          </w:tcPr>
          <w:p>
            <w:pPr>
              <w:jc w:val="center"/>
              <w:ind w:left="176"/>
              <w:spacing w:after="0"/>
              <w:rPr>
                <w:sz w:val="20"/>
                <w:szCs w:val="20"/>
                <w:color w:val="auto"/>
              </w:rPr>
            </w:pPr>
            <w:r>
              <w:rPr>
                <w:rFonts w:ascii="Arial" w:cs="Arial" w:eastAsia="Arial" w:hAnsi="Arial"/>
                <w:sz w:val="18"/>
                <w:szCs w:val="18"/>
                <w:color w:val="auto"/>
                <w:w w:val="93"/>
              </w:rPr>
              <w:t>(509,974)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(257,198)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3"/>
              </w:rPr>
              <w:t>(237,195)</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923,439</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320" w:type="dxa"/>
            <w:vAlign w:val="bottom"/>
          </w:tcPr>
          <w:p>
            <w:pPr>
              <w:spacing w:after="0"/>
              <w:rPr>
                <w:sz w:val="19"/>
                <w:szCs w:val="19"/>
                <w:color w:val="auto"/>
              </w:rPr>
            </w:pPr>
          </w:p>
        </w:tc>
        <w:tc>
          <w:tcPr>
            <w:tcW w:w="1020" w:type="dxa"/>
            <w:vAlign w:val="bottom"/>
          </w:tcPr>
          <w:p>
            <w:pPr>
              <w:jc w:val="center"/>
              <w:ind w:left="176"/>
              <w:spacing w:after="0"/>
              <w:rPr>
                <w:sz w:val="20"/>
                <w:szCs w:val="20"/>
                <w:color w:val="auto"/>
              </w:rPr>
            </w:pPr>
            <w:r>
              <w:rPr>
                <w:rFonts w:ascii="Arial" w:cs="Arial" w:eastAsia="Arial" w:hAnsi="Arial"/>
                <w:sz w:val="18"/>
                <w:szCs w:val="18"/>
                <w:color w:val="auto"/>
                <w:w w:val="93"/>
              </w:rPr>
              <w:t>(499,960)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847,623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196"/>
              <w:spacing w:after="0"/>
              <w:rPr>
                <w:sz w:val="20"/>
                <w:szCs w:val="20"/>
                <w:color w:val="auto"/>
              </w:rPr>
            </w:pPr>
            <w:r>
              <w:rPr>
                <w:rFonts w:ascii="Arial" w:cs="Arial" w:eastAsia="Arial" w:hAnsi="Arial"/>
                <w:sz w:val="18"/>
                <w:szCs w:val="18"/>
                <w:color w:val="auto"/>
                <w:w w:val="89"/>
              </w:rPr>
              <w:t>816,896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196"/>
              <w:spacing w:after="0"/>
              <w:rPr>
                <w:sz w:val="20"/>
                <w:szCs w:val="20"/>
                <w:color w:val="auto"/>
              </w:rPr>
            </w:pPr>
            <w:r>
              <w:rPr>
                <w:rFonts w:ascii="Arial" w:cs="Arial" w:eastAsia="Arial" w:hAnsi="Arial"/>
                <w:sz w:val="18"/>
                <w:szCs w:val="18"/>
                <w:color w:val="auto"/>
                <w:w w:val="89"/>
              </w:rPr>
              <w:t>316,936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1,001,237</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operating activities increased $65.8 million to $247.2 million during the six months ended June 30, 2021 from $181.4 million during the six months ended June 30, 2020. The increase was primarily attributable to higher net income before non-cash items and timing of cash receipts including higher accounts receivable and lower prepaid rent balances in 2020 as a result of the COVID-19 pandemic.</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increased $252.8 million to $510.0 million during the six months ended June 30, 2021 from $257.2 million during the six months ended June 30, 2020. The increase was primarily attributable to:</w:t>
      </w:r>
    </w:p>
    <w:p>
      <w:pPr>
        <w:spacing w:after="0" w:line="8" w:lineRule="exact"/>
        <w:rPr>
          <w:sz w:val="20"/>
          <w:szCs w:val="20"/>
          <w:color w:val="auto"/>
        </w:rPr>
      </w:pPr>
    </w:p>
    <w:p>
      <w:pPr>
        <w:ind w:left="1140" w:hanging="241"/>
        <w:spacing w:after="0" w:line="263"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$323.2 million increase in acquisition of real estate primarily due to the June 2021 acquisitions of three shopping centers in California and Arizona and the April 2021 acquisition of a shopping center in Virginia (see Note 3 to the consolidated financial statements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$31.1 million payoff of two mortgage notes receivable in May 2021,</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$25.9 million decrease in capital expenditures due to timing of payments,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$12.9 million for net costs paid in 2020 relating to the partial sale under threat of condemnation at San Antonio Center in 2019.</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financing activities decreased $1.2 billion to $237.2 million used during the six months ended June 30, 2021 from $923.4 million provided in the six months ended June 30, 2020. The decrease was primarily attributable to:</w:t>
      </w:r>
    </w:p>
    <w:p>
      <w:pPr>
        <w:spacing w:after="0" w:line="8" w:lineRule="exact"/>
        <w:rPr>
          <w:sz w:val="20"/>
          <w:szCs w:val="20"/>
          <w:color w:val="auto"/>
        </w:rPr>
      </w:pPr>
    </w:p>
    <w:p>
      <w:pPr>
        <w:ind w:left="1140" w:right="260" w:hanging="241"/>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$700.1 million in net proceeds from the issuance of $400.0 million of 3.50% unsecured senior notes and the $300.0 million reopening of our 3.95% unsecured senior notes in May 2020,</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$398.7 million in net proceeds from our $400.0 million unsecured term loan issued in May 2020, and</w:t>
      </w:r>
    </w:p>
    <w:p>
      <w:pPr>
        <w:spacing w:after="0" w:line="63" w:lineRule="exact"/>
        <w:rPr>
          <w:rFonts w:ascii="Arial" w:cs="Arial" w:eastAsia="Arial" w:hAnsi="Arial"/>
          <w:sz w:val="18"/>
          <w:szCs w:val="18"/>
          <w:color w:val="auto"/>
        </w:rPr>
      </w:pPr>
    </w:p>
    <w:p>
      <w:pPr>
        <w:ind w:left="1140" w:right="40" w:hanging="241"/>
        <w:spacing w:after="0" w:line="286" w:lineRule="auto"/>
        <w:tabs>
          <w:tab w:leader="none" w:pos="11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$148.0 million increase in repayment of mortgages, finance leases, and notes payable primarily due to the $100.0 million repayment of our $400.0 term loan which was amended in April 2021, the $31.5 million repayment of the mortgage loan related to the Pike &amp; Rose hotel in January 2021, and the $16.2 million repayment of the mortgage loan on Sylmar Towne Center in February 2021,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5540" w:right="300" w:hanging="4641"/>
        <w:spacing w:after="0" w:line="919" w:lineRule="auto"/>
        <w:tabs>
          <w:tab w:leader="none" w:pos="11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$87.1 million in net proceeds from the issuance of common shares under our ATM program during the six months ended June 30, 2021.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8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Principal Balance</w:t>
            </w:r>
          </w:p>
        </w:tc>
        <w:tc>
          <w:tcPr>
            <w:tcW w:w="120" w:type="dxa"/>
            <w:vAlign w:val="bottom"/>
          </w:tcPr>
          <w:p>
            <w:pPr>
              <w:spacing w:after="0"/>
              <w:rPr>
                <w:sz w:val="14"/>
                <w:szCs w:val="14"/>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Stated Interest Rate as of</w:t>
            </w: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38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6"/>
              </w:rPr>
              <w:t>Debt</w:t>
            </w: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5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Maturity Date</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40" w:type="dxa"/>
            <w:vAlign w:val="bottom"/>
            <w:vMerge w:val="continue"/>
          </w:tcPr>
          <w:p>
            <w:pPr>
              <w:spacing w:after="0"/>
              <w:rPr>
                <w:sz w:val="16"/>
                <w:szCs w:val="16"/>
                <w:color w:val="auto"/>
              </w:rPr>
            </w:pPr>
          </w:p>
        </w:tc>
        <w:tc>
          <w:tcPr>
            <w:tcW w:w="138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Issued</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 of June 30, 2021</w:t>
            </w:r>
          </w:p>
        </w:tc>
        <w:tc>
          <w:tcPr>
            <w:tcW w:w="1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2021</w:t>
            </w: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2620" w:type="dxa"/>
            <w:vAlign w:val="bottom"/>
            <w:tcBorders>
              <w:top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Acquired</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 (6)</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The AVENUE at White Marsh</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52,705</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52,705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January 1,</w:t>
            </w:r>
          </w:p>
        </w:tc>
        <w:tc>
          <w:tcPr>
            <w:tcW w:w="720" w:type="dxa"/>
            <w:vAlign w:val="bottom"/>
            <w:gridSpan w:val="2"/>
          </w:tcPr>
          <w:p>
            <w:pPr>
              <w:ind w:left="20"/>
              <w:spacing w:after="0"/>
              <w:rPr>
                <w:sz w:val="20"/>
                <w:szCs w:val="20"/>
                <w:color w:val="auto"/>
              </w:rPr>
            </w:pPr>
            <w:r>
              <w:rPr>
                <w:rFonts w:ascii="Arial" w:cs="Arial" w:eastAsia="Arial" w:hAnsi="Arial"/>
                <w:sz w:val="16"/>
                <w:szCs w:val="16"/>
                <w:color w:val="auto"/>
              </w:rPr>
              <w:t>2022 (7)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64,618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10,</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(8)</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Azalea</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Acquired</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November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Acquired</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Plaza El Segundo</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125,000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June 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43,600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Brook 35</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11,500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July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Hoboken (24 Buildings) (1)</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56,450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LIBOR + 1.95%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Various Hoboken (14 Buildings) (2)</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Acquired</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32,263</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Various</w:t>
            </w:r>
          </w:p>
        </w:tc>
        <w:tc>
          <w:tcPr>
            <w:tcW w:w="1580" w:type="dxa"/>
            <w:vAlign w:val="bottom"/>
          </w:tcPr>
          <w:p>
            <w:pPr>
              <w:jc w:val="right"/>
              <w:spacing w:after="0"/>
              <w:rPr>
                <w:sz w:val="20"/>
                <w:szCs w:val="20"/>
                <w:color w:val="auto"/>
              </w:rPr>
            </w:pPr>
            <w:r>
              <w:rPr>
                <w:rFonts w:ascii="Arial" w:cs="Arial" w:eastAsia="Arial" w:hAnsi="Arial"/>
                <w:sz w:val="16"/>
                <w:szCs w:val="16"/>
                <w:color w:val="auto"/>
              </w:rPr>
              <w:t>Various through</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Acquired</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2031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Hoboken (1 Building) (3)</w:t>
            </w:r>
          </w:p>
        </w:tc>
        <w:tc>
          <w:tcPr>
            <w:tcW w:w="138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Acquired</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16,398</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July 1,</w:t>
            </w:r>
          </w:p>
        </w:tc>
        <w:tc>
          <w:tcPr>
            <w:tcW w:w="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89"/>
              </w:rPr>
              <w:t>2042</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467,790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w w:val="98"/>
              </w:rPr>
              <w:t>Net unamortized debt issuance costs and premium</w:t>
            </w: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466,026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Notes payable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Term loan (4)</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300,000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LIBOR + 0.80%</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16,</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Revolving credit facility (5)</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LIBOR + 0.775%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19,</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Various</w:t>
            </w:r>
          </w:p>
        </w:tc>
        <w:tc>
          <w:tcPr>
            <w:tcW w:w="138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7,239</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Various through</w:t>
            </w:r>
          </w:p>
        </w:tc>
        <w:tc>
          <w:tcPr>
            <w:tcW w:w="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89"/>
              </w:rPr>
              <w:t>2028</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303,043</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unamortized debt issuance costs</w:t>
            </w: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notes payable, net</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301,625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275,000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3.95% notes</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600,000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3.95 %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January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1.25% notes</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7.48% debentures</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7.48 %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August 15,</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475,000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6.82% medium term notes</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40,000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6.82 %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August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3.20% notes</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15,</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3.50% notes</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400,000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June 1,</w:t>
            </w: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550,000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2044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3.625% notes</w:t>
            </w:r>
          </w:p>
        </w:tc>
        <w:tc>
          <w:tcPr>
            <w:tcW w:w="138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250,000</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August 1,</w:t>
            </w:r>
          </w:p>
        </w:tc>
        <w:tc>
          <w:tcPr>
            <w:tcW w:w="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89"/>
              </w:rPr>
              <w:t>2046</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w w:val="98"/>
              </w:rPr>
              <w:t>Net unamortized debt issuance costs and premium</w:t>
            </w: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3,405,282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4,172,933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200" w:hanging="652"/>
        <w:spacing w:after="0" w:line="277"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right="40" w:hanging="652"/>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16, 2021, we repaid $100.0 million of the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21"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six months ended June 30, 2021, there were no borrowings on our $1.0 billion revolving credit facility.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submitted a prepayment notice for this mortgage loan to be repaid, at par, on September 1, 2021.</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submitted a prepayment notice for this mortgage loan to be repaid, at par, on November 2, 2021.</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submitted a prepayment notice for this mortgage loan to be repaid, at par, on October 12, 2021.</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June 30, 2021, we were in compliance with all financial and other covenants related to our revolving credit facility, term loan, and senior notes. Additionally,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Secured</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1"/>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400" w:type="dxa"/>
            <w:vAlign w:val="bottom"/>
            <w:shd w:val="clear" w:color="auto" w:fill="CCEEFF"/>
          </w:tcPr>
          <w:p>
            <w:pPr>
              <w:spacing w:after="0"/>
              <w:rPr>
                <w:sz w:val="20"/>
                <w:szCs w:val="20"/>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119,706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120,457</w:t>
            </w:r>
          </w:p>
        </w:tc>
        <w:tc>
          <w:tcPr>
            <w:tcW w:w="40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275,765</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40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900,656</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5"/>
              </w:rPr>
              <w:t>(2)(3)</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3,688</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904,344</w:t>
            </w:r>
          </w:p>
        </w:tc>
        <w:tc>
          <w:tcPr>
            <w:tcW w:w="40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400" w:type="dxa"/>
            <w:vAlign w:val="bottom"/>
            <w:shd w:val="clear" w:color="auto" w:fill="CCEEFF"/>
          </w:tcPr>
          <w:p>
            <w:pPr>
              <w:spacing w:after="0"/>
              <w:rPr>
                <w:sz w:val="19"/>
                <w:szCs w:val="19"/>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2,544,289</w:t>
            </w:r>
          </w:p>
        </w:tc>
        <w:tc>
          <w:tcPr>
            <w:tcW w:w="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282,958</w:t>
            </w: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2,827,247</w:t>
            </w:r>
          </w:p>
        </w:tc>
        <w:tc>
          <w:tcPr>
            <w:tcW w:w="400" w:type="dxa"/>
            <w:vAlign w:val="bottom"/>
            <w:tcBorders>
              <w:bottom w:val="single" w:sz="8" w:color="CCEEFF"/>
            </w:tcBorders>
          </w:tcPr>
          <w:p>
            <w:pPr>
              <w:spacing w:after="0"/>
              <w:rPr>
                <w:sz w:val="19"/>
                <w:szCs w:val="19"/>
                <w:color w:val="auto"/>
              </w:rPr>
            </w:pP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3,722,243</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467,790</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4,190,033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ind w:left="660" w:right="200" w:hanging="652"/>
        <w:spacing w:after="0" w:line="277" w:lineRule="auto"/>
        <w:tabs>
          <w:tab w:leader="none" w:pos="3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submitted prepayment notices to repay two mortgage loans, at par, in 2021, as compared to their stated maturity date, as referenced on page 28. These mortgage loans comprise $116.3 million of the scheduled principal repayments in 2022.</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$300.0 million term loan initially matures on April 16, 2024, along with two one-year extensions, at our option.</w:t>
      </w:r>
    </w:p>
    <w:p>
      <w:pPr>
        <w:spacing w:after="0" w:line="63" w:lineRule="exact"/>
        <w:rPr>
          <w:rFonts w:ascii="Arial" w:cs="Arial" w:eastAsia="Arial" w:hAnsi="Arial"/>
          <w:sz w:val="18"/>
          <w:szCs w:val="18"/>
          <w:color w:val="auto"/>
        </w:rPr>
      </w:pPr>
    </w:p>
    <w:p>
      <w:pPr>
        <w:ind w:left="660" w:right="100" w:hanging="652"/>
        <w:spacing w:after="0" w:line="277" w:lineRule="auto"/>
        <w:tabs>
          <w:tab w:leader="none" w:pos="3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June 30, 2021, there was no outstanding balance under this credit facility.</w:t>
      </w:r>
    </w:p>
    <w:p>
      <w:pPr>
        <w:spacing w:after="0" w:line="8" w:lineRule="exact"/>
        <w:rPr>
          <w:rFonts w:ascii="Arial" w:cs="Arial" w:eastAsia="Arial" w:hAnsi="Arial"/>
          <w:sz w:val="18"/>
          <w:szCs w:val="18"/>
          <w:color w:val="auto"/>
        </w:rPr>
      </w:pPr>
    </w:p>
    <w:p>
      <w:pPr>
        <w:ind w:left="660" w:right="900" w:hanging="652"/>
        <w:spacing w:after="0" w:line="277" w:lineRule="auto"/>
        <w:tabs>
          <w:tab w:leader="none" w:pos="3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2021, we have two interest rate swap agreements that effectively fix the rate on a mortgage payable associated with our Hoboken portfolio at 3.67%. Our Assembly Row hotel joint venture is also a party to two interest rate swap</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agreements that effectively fix their debt at 5.206%. All swaps were designated and qualify as cash flow hedges. Hedge ineffectiveness has not impacted earnings as of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9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(In thousands, except per share data)</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112,654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Funds from operations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175,951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preferred shares (1)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 (2)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110,147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201,254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172,961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 (1)(3)</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98" w:lineRule="auto"/>
        <w:tabs>
          <w:tab w:leader="none" w:pos="654"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three and six months ended June 30, 2021 and 2020, dividends on our Series 1 preferred stock were not deducted in the calculation of FFO available to common shareholders, as the related shares were dilutive and included in "weighted average common shares, diluted."</w:t>
      </w:r>
    </w:p>
    <w:p>
      <w:pPr>
        <w:jc w:val="both"/>
        <w:ind w:left="660" w:right="80" w:hanging="652"/>
        <w:spacing w:after="0" w:line="316" w:lineRule="auto"/>
        <w:tabs>
          <w:tab w:leader="none" w:pos="6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the three months ended June 30, 2020, income attributable to operating partnership units is not added back in the calculation of FFO available to common shareholders, as the related shares are not dilutive and are not included in "weighted average common shares, diluted" for this period.</w:t>
      </w:r>
    </w:p>
    <w:p>
      <w:pPr>
        <w:spacing w:after="0" w:line="1" w:lineRule="exact"/>
        <w:rPr>
          <w:rFonts w:ascii="Arial" w:cs="Arial" w:eastAsia="Arial" w:hAnsi="Arial"/>
          <w:sz w:val="16"/>
          <w:szCs w:val="16"/>
          <w:color w:val="auto"/>
        </w:rPr>
      </w:pPr>
    </w:p>
    <w:p>
      <w:pPr>
        <w:ind w:left="660" w:right="40" w:hanging="652"/>
        <w:spacing w:after="0" w:line="259"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common shares for the three months ended June 30, 2021 and 2020, and the six months ended June 30, 2020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0" w:lineRule="exact"/>
        <w:rPr>
          <w:sz w:val="20"/>
          <w:szCs w:val="20"/>
          <w:color w:val="auto"/>
        </w:rPr>
      </w:pPr>
    </w:p>
    <w:p>
      <w:pPr>
        <w:spacing w:after="0" w:line="3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rate environment could have on the overall level of economic activity or the action that our management might take to reduce our exposure to the change. This analysis assumes no change in our financial 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June 30, 2021, we had $3.9 billion of fixed-rate debt outstanding, including $56.5 million of mortgage payables for which the rate is effectively fixed by two interest rate swap agreements. If market interest rates used to calculate the fair value on our fixed-rate debt instruments at June 30, 2021 had been 1.0% higher, the fair value of those debt instruments on that date would have decreased by approximately $273.9 million. If market interest rates used to calculate the fair value on our fixed-rate debt instruments at June 30, 2021 had been 1.0% lower, the fair value of those debt instruments on that date would have increased by approximately $305.0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June 30, 2021, we had $300.0 million of variable rate debt outstanding (the principal balance on our unsecured term loan). Based upon this amount of variable rate debt and the specific terms, if market interest rates increased 1.0%, our annual interest expense would increase approximately $3.0 million with a corresponding decrease in our net income and cash flows for the year. Conversely, if market interest rates decreased 1.0%, our annual interest expense would decrease by approximately $3.0 million with a corresponding increase in our net income and cash flows for the year.</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2021. Based on this evaluation, our management, including our Chief Executive Officer and Chief Financial Officer, concluded that our disclosure controls and procedures were effective as of June 30, 2021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2020.</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to our Form 10-K for the year ended December 31, 2020 filed with the SEC on February 11, 2021. These factors include, but are not limited to, the following:</w:t>
      </w:r>
    </w:p>
    <w:p>
      <w:pPr>
        <w:spacing w:after="0" w:line="49" w:lineRule="exact"/>
        <w:rPr>
          <w:sz w:val="20"/>
          <w:szCs w:val="20"/>
          <w:color w:val="auto"/>
        </w:rPr>
      </w:pPr>
    </w:p>
    <w:p>
      <w:pPr>
        <w:ind w:left="660" w:right="3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3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costs associated with the periodic maintenance and repair or renovation of space, insurance and other operations may increase,</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03" w:lineRule="exact"/>
        <w:rPr>
          <w:rFonts w:ascii="Arial" w:cs="Arial" w:eastAsia="Arial" w:hAnsi="Arial"/>
          <w:sz w:val="18"/>
          <w:szCs w:val="18"/>
          <w:color w:val="auto"/>
        </w:rPr>
      </w:pPr>
    </w:p>
    <w:p>
      <w:pPr>
        <w:ind w:left="660" w:right="700" w:hanging="328"/>
        <w:spacing w:after="0" w:line="334"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6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ind w:right="780"/>
        <w:spacing w:after="0" w:line="258"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w:t>
      </w:r>
    </w:p>
    <w:p>
      <w:pPr>
        <w:spacing w:after="0" w:line="1"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During the three months ended June 30, 2021, we redeemed 44,468 downREIT operating partnership units for common shares and 1,000 downREIT operating partnership units for cash.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compensation related vesting event.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0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9100" w:type="dxa"/>
            <w:vAlign w:val="bottom"/>
          </w:tcPr>
          <w:p>
            <w:pPr>
              <w:spacing w:after="0"/>
              <w:rPr>
                <w:sz w:val="24"/>
                <w:szCs w:val="24"/>
                <w:color w:val="auto"/>
              </w:rPr>
            </w:pPr>
          </w:p>
        </w:tc>
      </w:tr>
      <w:tr>
        <w:trPr>
          <w:trHeight w:val="229"/>
        </w:trPr>
        <w:tc>
          <w:tcPr>
            <w:tcW w:w="340" w:type="dxa"/>
            <w:vAlign w:val="bottom"/>
            <w:tcBorders>
              <w:top w:val="single" w:sz="8" w:color="auto"/>
            </w:tcBorders>
            <w:gridSpan w:val="2"/>
          </w:tcPr>
          <w:p>
            <w:pPr>
              <w:ind w:left="20"/>
              <w:spacing w:after="0"/>
              <w:rPr>
                <w:rFonts w:ascii="Arial" w:cs="Arial" w:eastAsia="Arial" w:hAnsi="Arial"/>
                <w:sz w:val="18"/>
                <w:szCs w:val="18"/>
                <w:color w:val="0000FF"/>
                <w:w w:val="85"/>
              </w:rPr>
            </w:pPr>
            <w:hyperlink r:id="rId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First Amendment to the Term Loan Agreement, dated as of April 16, 2021, by and among the Trust, as Borrower, each of the Lenders party</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thereto, and PNC Bank, National Association, as Administrative Agent, (previously filed as Exhibit 10.1 to the Trust's Current Report on</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Form 8K (File No. 1-07533), filed on April 19, 2021 and incorporated here by reference)</w:t>
            </w:r>
          </w:p>
        </w:tc>
      </w:tr>
      <w:tr>
        <w:trPr>
          <w:trHeight w:val="242"/>
        </w:trPr>
        <w:tc>
          <w:tcPr>
            <w:tcW w:w="20" w:type="dxa"/>
            <w:vAlign w:val="bottom"/>
          </w:tcPr>
          <w:p>
            <w:pPr>
              <w:spacing w:after="0"/>
              <w:rPr>
                <w:sz w:val="21"/>
                <w:szCs w:val="21"/>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9"/>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bl>
    <w:p>
      <w:pPr>
        <w:spacing w:after="0" w:line="80" w:lineRule="exact"/>
        <w:rPr>
          <w:sz w:val="20"/>
          <w:szCs w:val="20"/>
          <w:color w:val="auto"/>
        </w:rPr>
      </w:pPr>
    </w:p>
    <w:p>
      <w:pPr>
        <w:ind w:left="1140" w:right="200" w:hanging="1114"/>
        <w:spacing w:after="0" w:line="219"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2021,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5" w:lineRule="exact"/>
        <w:rPr>
          <w:sz w:val="20"/>
          <w:szCs w:val="20"/>
          <w:color w:val="auto"/>
        </w:rPr>
      </w:pPr>
    </w:p>
    <w:p>
      <w:pPr>
        <w:ind w:left="1140" w:hanging="111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28"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FEDERAL REALTY INVESTMENT TRUST</w:t>
      </w:r>
    </w:p>
    <w:p>
      <w:pPr>
        <w:spacing w:after="0" w:line="81" w:lineRule="exact"/>
        <w:rPr>
          <w:sz w:val="20"/>
          <w:szCs w:val="20"/>
          <w:color w:val="auto"/>
        </w:rPr>
      </w:pPr>
    </w:p>
    <w:p>
      <w:pPr>
        <w:ind w:left="20"/>
        <w:spacing w:after="0"/>
        <w:tabs>
          <w:tab w:leader="none" w:pos="7520" w:val="left"/>
          <w:tab w:leader="none" w:pos="7860" w:val="left"/>
        </w:tabs>
        <w:rPr>
          <w:sz w:val="20"/>
          <w:szCs w:val="20"/>
          <w:color w:val="auto"/>
        </w:rPr>
      </w:pPr>
      <w:r>
        <w:rPr>
          <w:rFonts w:ascii="Arial" w:cs="Arial" w:eastAsia="Arial" w:hAnsi="Arial"/>
          <w:sz w:val="18"/>
          <w:szCs w:val="18"/>
          <w:color w:val="auto"/>
        </w:rPr>
        <w:t>August 4,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1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81" w:lineRule="exact"/>
        <w:rPr>
          <w:sz w:val="20"/>
          <w:szCs w:val="20"/>
          <w:color w:val="auto"/>
        </w:rPr>
      </w:pPr>
    </w:p>
    <w:p>
      <w:pPr>
        <w:ind w:left="60"/>
        <w:spacing w:after="0"/>
        <w:tabs>
          <w:tab w:leader="none" w:pos="7460" w:val="left"/>
          <w:tab w:leader="none" w:pos="7820" w:val="left"/>
        </w:tabs>
        <w:rPr>
          <w:sz w:val="20"/>
          <w:szCs w:val="20"/>
          <w:color w:val="auto"/>
        </w:rPr>
      </w:pPr>
      <w:r>
        <w:rPr>
          <w:rFonts w:ascii="Arial" w:cs="Arial" w:eastAsia="Arial" w:hAnsi="Arial"/>
          <w:sz w:val="18"/>
          <w:szCs w:val="18"/>
          <w:color w:val="auto"/>
        </w:rPr>
        <w:t>August 4,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Daniel Guglielmone,</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Executive Vice 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40"/>
          </w:cols>
          <w:pgMar w:left="320" w:top="126"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August 4, 2021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August 4, 2021</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2021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18"/>
          <w:szCs w:val="18"/>
          <w:color w:val="auto"/>
        </w:rPr>
        <w:t>August 4, 2021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2021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August 4, 2021</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6"/>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lvl w:ilvl="1">
      <w:lvlJc w:val="left"/>
      <w:lvlText w:val="◦"/>
      <w:numFmt w:val="bullet"/>
      <w:start w:val="1"/>
    </w:lvl>
  </w:abstractNum>
  <w:abstractNum w:abstractNumId="34">
    <w:nsid w:val="7724C67E"/>
    <w:multiLevelType w:val="hybridMultilevel"/>
    <w:lvl w:ilvl="0">
      <w:lvlJc w:val="left"/>
      <w:lvlText w:val="%1"/>
      <w:numFmt w:val="decimal"/>
      <w:start w:val="10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25" Type="http://schemas.openxmlformats.org/officeDocument/2006/relationships/hyperlink" Target="https://www.sec.gov/ix?doc=/Archives/edgar/data/34903/000003490321000020/frt-20201231.htm" TargetMode="External"/><Relationship Id="rId46" Type="http://schemas.openxmlformats.org/officeDocument/2006/relationships/hyperlink" Target="https://www.sec.gov/Archives/edgar/data/0000034903/000119312521121313/d1267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2021-08-04T15:51:21Z</dcterms:created>
  <dcterms:modified xsi:type="dcterms:W3CDTF">2021-08-04T15:51:21Z</dcterms:modified>
</cp:coreProperties>
</file>