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333-135159</w:t>
      </w:r>
    </w:p>
    <w:p>
      <w:pPr>
        <w:spacing w:after="0" w:line="9" w:lineRule="exact"/>
        <w:rPr>
          <w:sz w:val="24"/>
          <w:szCs w:val="24"/>
          <w:color w:val="auto"/>
        </w:rPr>
      </w:pPr>
    </w:p>
    <w:p>
      <w:pPr>
        <w:ind w:right="200"/>
        <w:spacing w:after="0" w:line="238" w:lineRule="auto"/>
        <w:rPr>
          <w:sz w:val="20"/>
          <w:szCs w:val="20"/>
          <w:color w:val="auto"/>
        </w:rPr>
      </w:pPr>
      <w:r>
        <w:rPr>
          <w:rFonts w:ascii="Arial" w:cs="Arial" w:eastAsia="Arial" w:hAnsi="Arial"/>
          <w:sz w:val="18"/>
          <w:szCs w:val="18"/>
          <w:b w:val="1"/>
          <w:bCs w:val="1"/>
          <w:color w:val="CC062A"/>
        </w:rPr>
        <w:t>The information in this preliminary prospectus supplement and the accompanying prospectus is not complete and may be changed. A registration statement relating to these securities has been filed with the Securities and Exchange Commission and declared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NOVEMBER 28, 2006</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(To Prospectus Dated June 20, 2006)</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$135,000,000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127000</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 Notes due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460"/>
        <w:spacing w:after="0"/>
        <w:tabs>
          <w:tab w:leader="none" w:pos="6220" w:val="left"/>
          <w:tab w:leader="none" w:pos="10240" w:val="left"/>
        </w:tabs>
        <w:rPr>
          <w:sz w:val="20"/>
          <w:szCs w:val="20"/>
          <w:color w:val="auto"/>
        </w:rPr>
      </w:pPr>
      <w:r>
        <w:rPr>
          <w:rFonts w:ascii="Arial" w:cs="Arial" w:eastAsia="Arial" w:hAnsi="Arial"/>
          <w:sz w:val="18"/>
          <w:szCs w:val="18"/>
          <w:color w:val="32406B"/>
        </w:rPr>
        <w:t>The notes offered by this prospectus supplement will bear interest at the rate of</w:t>
        <w:tab/>
        <w:t>% per year. Interest on the notes is payable on</w:t>
      </w:r>
      <w:r>
        <w:rPr>
          <w:sz w:val="20"/>
          <w:szCs w:val="20"/>
          <w:color w:val="auto"/>
        </w:rPr>
        <w:tab/>
      </w:r>
      <w:r>
        <w:rPr>
          <w:rFonts w:ascii="Arial" w:cs="Arial" w:eastAsia="Arial" w:hAnsi="Arial"/>
          <w:sz w:val="14"/>
          <w:szCs w:val="14"/>
          <w:color w:val="32406B"/>
        </w:rPr>
        <w:t>and</w:t>
      </w:r>
    </w:p>
    <w:p>
      <w:pPr>
        <w:spacing w:after="0" w:line="15" w:lineRule="exact"/>
        <w:rPr>
          <w:sz w:val="24"/>
          <w:szCs w:val="24"/>
          <w:color w:val="auto"/>
        </w:rPr>
      </w:pPr>
    </w:p>
    <w:p>
      <w:pPr>
        <w:spacing w:after="0"/>
        <w:tabs>
          <w:tab w:leader="none" w:pos="2780" w:val="left"/>
        </w:tabs>
        <w:rPr>
          <w:sz w:val="20"/>
          <w:szCs w:val="20"/>
          <w:color w:val="auto"/>
        </w:rPr>
      </w:pPr>
      <w:r>
        <w:rPr>
          <w:rFonts w:ascii="Arial" w:cs="Arial" w:eastAsia="Arial" w:hAnsi="Arial"/>
          <w:sz w:val="18"/>
          <w:szCs w:val="18"/>
          <w:color w:val="32406B"/>
        </w:rPr>
        <w:t>of each year, beginning on</w:t>
      </w:r>
      <w:r>
        <w:rPr>
          <w:sz w:val="20"/>
          <w:szCs w:val="20"/>
          <w:color w:val="auto"/>
        </w:rPr>
        <w:tab/>
      </w:r>
      <w:r>
        <w:rPr>
          <w:rFonts w:ascii="Arial" w:cs="Arial" w:eastAsia="Arial" w:hAnsi="Arial"/>
          <w:sz w:val="15"/>
          <w:szCs w:val="15"/>
          <w:color w:val="32406B"/>
        </w:rPr>
        <w:t>, 2007. The notes will mature on December 1, 2013. We may redeem some or all of the notes at any time before maturity.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32406B"/>
        </w:rPr>
        <w:t>The redemption price is discussed under the caption “Description of Notes — Optional Redemption.”</w:t>
      </w:r>
    </w:p>
    <w:p>
      <w:pPr>
        <w:spacing w:after="0" w:line="165" w:lineRule="exact"/>
        <w:rPr>
          <w:sz w:val="24"/>
          <w:szCs w:val="24"/>
          <w:color w:val="auto"/>
        </w:rPr>
      </w:pPr>
    </w:p>
    <w:p>
      <w:pPr>
        <w:ind w:left="460"/>
        <w:spacing w:after="0"/>
        <w:rPr>
          <w:sz w:val="20"/>
          <w:szCs w:val="20"/>
          <w:color w:val="auto"/>
        </w:rPr>
      </w:pPr>
      <w:r>
        <w:rPr>
          <w:rFonts w:ascii="Arial" w:cs="Arial" w:eastAsia="Arial" w:hAnsi="Arial"/>
          <w:sz w:val="18"/>
          <w:szCs w:val="18"/>
          <w:color w:val="32406B"/>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right="340"/>
        <w:spacing w:after="0" w:line="335" w:lineRule="auto"/>
        <w:rPr>
          <w:rFonts w:ascii="Arial" w:cs="Arial" w:eastAsia="Arial" w:hAnsi="Arial"/>
          <w:sz w:val="19"/>
          <w:szCs w:val="19"/>
          <w:b w:val="1"/>
          <w:bCs w:val="1"/>
          <w:color w:val="32406B"/>
        </w:rPr>
      </w:pPr>
      <w:r>
        <w:rPr>
          <w:rFonts w:ascii="Arial" w:cs="Arial" w:eastAsia="Arial" w:hAnsi="Arial"/>
          <w:sz w:val="19"/>
          <w:szCs w:val="19"/>
          <w:b w:val="1"/>
          <w:bCs w:val="1"/>
          <w:color w:val="32406B"/>
        </w:rPr>
        <w:t xml:space="preserve">Investing in the notes involves risks. See “ </w:t>
      </w:r>
      <w:hyperlink w:anchor="page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32406B"/>
        </w:rPr>
        <w:t>” beginning on page S-5 of this prospectus supplement and in our Annual Report on Form 10-K filed with the SEC on March 3, 2006 and amended on March 10, 2006.</w:t>
      </w:r>
    </w:p>
    <w:p>
      <w:pPr>
        <w:spacing w:after="0" w:line="81"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32406B"/>
                <w:w w:val="97"/>
              </w:rPr>
              <w:t>Per</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vMerge w:val="restart"/>
          </w:tcPr>
          <w:p>
            <w:pPr>
              <w:spacing w:after="0"/>
              <w:rPr>
                <w:sz w:val="20"/>
                <w:szCs w:val="20"/>
                <w:color w:val="auto"/>
              </w:rPr>
            </w:pPr>
            <w:r>
              <w:rPr>
                <w:rFonts w:ascii="Arial" w:cs="Arial" w:eastAsia="Arial" w:hAnsi="Arial"/>
                <w:sz w:val="18"/>
                <w:szCs w:val="18"/>
                <w:color w:val="32406B"/>
              </w:rPr>
              <w:t>Public Offering Price</w:t>
            </w:r>
          </w:p>
        </w:tc>
        <w:tc>
          <w:tcPr>
            <w:tcW w:w="6200" w:type="dxa"/>
            <w:vAlign w:val="bottom"/>
            <w:gridSpan w:val="2"/>
          </w:tcPr>
          <w:p>
            <w:pPr>
              <w:jc w:val="center"/>
              <w:ind w:left="5857"/>
              <w:spacing w:after="0"/>
              <w:rPr>
                <w:sz w:val="20"/>
                <w:szCs w:val="20"/>
                <w:color w:val="auto"/>
              </w:rPr>
            </w:pPr>
            <w:r>
              <w:rPr>
                <w:rFonts w:ascii="Arial" w:cs="Arial" w:eastAsia="Arial" w:hAnsi="Arial"/>
                <w:sz w:val="14"/>
                <w:szCs w:val="14"/>
                <w:b w:val="1"/>
                <w:bCs w:val="1"/>
                <w:color w:val="32406B"/>
                <w:w w:val="83"/>
              </w:rPr>
              <w:t>Note</w:t>
            </w:r>
          </w:p>
        </w:tc>
        <w:tc>
          <w:tcPr>
            <w:tcW w:w="5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32406B"/>
                <w:w w:val="89"/>
              </w:rPr>
              <w:t>Total</w:t>
            </w: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5940" w:type="dxa"/>
            <w:vAlign w:val="bottom"/>
          </w:tcPr>
          <w:p>
            <w:pPr>
              <w:spacing w:after="0"/>
              <w:rPr>
                <w:sz w:val="17"/>
                <w:szCs w:val="17"/>
                <w:color w:val="auto"/>
              </w:rPr>
            </w:pPr>
          </w:p>
        </w:tc>
        <w:tc>
          <w:tcPr>
            <w:tcW w:w="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32406B"/>
                <w:w w:val="87"/>
              </w:rPr>
              <w:t>%</w:t>
            </w:r>
          </w:p>
        </w:tc>
        <w:tc>
          <w:tcPr>
            <w:tcW w:w="500" w:type="dxa"/>
            <w:vAlign w:val="bottom"/>
          </w:tcPr>
          <w:p>
            <w:pPr>
              <w:spacing w:after="0"/>
              <w:rPr>
                <w:sz w:val="17"/>
                <w:szCs w:val="17"/>
                <w:color w:val="auto"/>
              </w:rPr>
            </w:pPr>
          </w:p>
        </w:tc>
        <w:tc>
          <w:tcPr>
            <w:tcW w:w="3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32406B"/>
                <w:w w:val="99"/>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32406B"/>
              </w:rPr>
              <w:t>Underwriting Discount</w:t>
            </w:r>
          </w:p>
        </w:tc>
        <w:tc>
          <w:tcPr>
            <w:tcW w:w="6200" w:type="dxa"/>
            <w:vAlign w:val="bottom"/>
            <w:gridSpan w:val="2"/>
          </w:tcPr>
          <w:p>
            <w:pPr>
              <w:jc w:val="center"/>
              <w:ind w:left="5857"/>
              <w:spacing w:after="0"/>
              <w:rPr>
                <w:sz w:val="20"/>
                <w:szCs w:val="20"/>
                <w:color w:val="auto"/>
              </w:rPr>
            </w:pPr>
            <w:r>
              <w:rPr>
                <w:rFonts w:ascii="Arial" w:cs="Arial" w:eastAsia="Arial" w:hAnsi="Arial"/>
                <w:sz w:val="18"/>
                <w:szCs w:val="18"/>
                <w:color w:val="32406B"/>
                <w:w w:val="87"/>
              </w:rPr>
              <w:t>%</w:t>
            </w:r>
          </w:p>
        </w:tc>
        <w:tc>
          <w:tcPr>
            <w:tcW w:w="800" w:type="dxa"/>
            <w:vAlign w:val="bottom"/>
            <w:gridSpan w:val="2"/>
          </w:tcPr>
          <w:p>
            <w:pPr>
              <w:jc w:val="center"/>
              <w:ind w:left="412"/>
              <w:spacing w:after="0"/>
              <w:rPr>
                <w:sz w:val="20"/>
                <w:szCs w:val="20"/>
                <w:color w:val="auto"/>
              </w:rPr>
            </w:pPr>
            <w:r>
              <w:rPr>
                <w:rFonts w:ascii="Arial" w:cs="Arial" w:eastAsia="Arial" w:hAnsi="Arial"/>
                <w:sz w:val="18"/>
                <w:szCs w:val="18"/>
                <w:color w:val="32406B"/>
                <w:w w:val="99"/>
              </w:rPr>
              <w:t>$</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32406B"/>
                <w:w w:val="94"/>
              </w:rPr>
              <w:t>Proceeds to Federal Realty (before expenses)</w:t>
            </w:r>
          </w:p>
        </w:tc>
        <w:tc>
          <w:tcPr>
            <w:tcW w:w="6200" w:type="dxa"/>
            <w:vAlign w:val="bottom"/>
            <w:gridSpan w:val="2"/>
          </w:tcPr>
          <w:p>
            <w:pPr>
              <w:jc w:val="center"/>
              <w:ind w:left="5857"/>
              <w:spacing w:after="0"/>
              <w:rPr>
                <w:sz w:val="20"/>
                <w:szCs w:val="20"/>
                <w:color w:val="auto"/>
              </w:rPr>
            </w:pPr>
            <w:r>
              <w:rPr>
                <w:rFonts w:ascii="Arial" w:cs="Arial" w:eastAsia="Arial" w:hAnsi="Arial"/>
                <w:sz w:val="18"/>
                <w:szCs w:val="18"/>
                <w:color w:val="32406B"/>
                <w:w w:val="87"/>
              </w:rPr>
              <w:t>%</w:t>
            </w:r>
          </w:p>
        </w:tc>
        <w:tc>
          <w:tcPr>
            <w:tcW w:w="800" w:type="dxa"/>
            <w:vAlign w:val="bottom"/>
            <w:gridSpan w:val="2"/>
          </w:tcPr>
          <w:p>
            <w:pPr>
              <w:jc w:val="center"/>
              <w:ind w:left="412"/>
              <w:spacing w:after="0"/>
              <w:rPr>
                <w:sz w:val="20"/>
                <w:szCs w:val="20"/>
                <w:color w:val="auto"/>
              </w:rPr>
            </w:pPr>
            <w:r>
              <w:rPr>
                <w:rFonts w:ascii="Arial" w:cs="Arial" w:eastAsia="Arial" w:hAnsi="Arial"/>
                <w:sz w:val="18"/>
                <w:szCs w:val="18"/>
                <w:color w:val="32406B"/>
                <w:w w:val="99"/>
              </w:rPr>
              <w:t>$</w:t>
            </w:r>
          </w:p>
        </w:tc>
        <w:tc>
          <w:tcPr>
            <w:tcW w:w="0" w:type="dxa"/>
            <w:vAlign w:val="bottom"/>
          </w:tcPr>
          <w:p>
            <w:pPr>
              <w:spacing w:after="0"/>
              <w:rPr>
                <w:sz w:val="1"/>
                <w:szCs w:val="1"/>
                <w:color w:val="auto"/>
              </w:rPr>
            </w:pPr>
          </w:p>
        </w:tc>
      </w:tr>
      <w:tr>
        <w:trPr>
          <w:trHeight w:val="378"/>
        </w:trPr>
        <w:tc>
          <w:tcPr>
            <w:tcW w:w="3500" w:type="dxa"/>
            <w:vAlign w:val="bottom"/>
          </w:tcPr>
          <w:p>
            <w:pPr>
              <w:spacing w:after="0"/>
              <w:rPr>
                <w:sz w:val="20"/>
                <w:szCs w:val="20"/>
                <w:color w:val="auto"/>
              </w:rPr>
            </w:pPr>
            <w:r>
              <w:rPr>
                <w:rFonts w:ascii="Arial" w:cs="Arial" w:eastAsia="Arial" w:hAnsi="Arial"/>
                <w:sz w:val="18"/>
                <w:szCs w:val="18"/>
                <w:color w:val="32406B"/>
                <w:w w:val="91"/>
              </w:rPr>
              <w:t>Interest on the notes will accrue from December</w:t>
            </w:r>
          </w:p>
        </w:tc>
        <w:tc>
          <w:tcPr>
            <w:tcW w:w="5940" w:type="dxa"/>
            <w:vAlign w:val="bottom"/>
          </w:tcPr>
          <w:p>
            <w:pPr>
              <w:jc w:val="right"/>
              <w:ind w:right="5257"/>
              <w:spacing w:after="0"/>
              <w:rPr>
                <w:sz w:val="20"/>
                <w:szCs w:val="20"/>
                <w:color w:val="auto"/>
              </w:rPr>
            </w:pPr>
            <w:r>
              <w:rPr>
                <w:rFonts w:ascii="Arial" w:cs="Arial" w:eastAsia="Arial" w:hAnsi="Arial"/>
                <w:sz w:val="18"/>
                <w:szCs w:val="18"/>
                <w:color w:val="32406B"/>
              </w:rPr>
              <w:t>, 2006.</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40" w:firstLine="456"/>
        <w:spacing w:after="0" w:line="268" w:lineRule="auto"/>
        <w:rPr>
          <w:sz w:val="20"/>
          <w:szCs w:val="20"/>
          <w:color w:val="auto"/>
        </w:rPr>
      </w:pPr>
      <w:r>
        <w:rPr>
          <w:rFonts w:ascii="Arial" w:cs="Arial" w:eastAsia="Arial" w:hAnsi="Arial"/>
          <w:sz w:val="18"/>
          <w:szCs w:val="18"/>
          <w:color w:val="32406B"/>
        </w:rPr>
        <w:t>The underwriters expect to deliver the notes to purchasers in book-entry only form through the facilities of The Depository Trust Company on or about December , 2006.</w:t>
      </w:r>
    </w:p>
    <w:p>
      <w:pPr>
        <w:spacing w:after="0" w:line="126"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32406B"/>
        </w:rPr>
        <w:t>Joint Book-Running Managers</w:t>
      </w:r>
    </w:p>
    <w:p>
      <w:pPr>
        <w:spacing w:after="0" w:line="179" w:lineRule="exact"/>
        <w:rPr>
          <w:sz w:val="24"/>
          <w:szCs w:val="24"/>
          <w:color w:val="auto"/>
        </w:rPr>
      </w:pPr>
    </w:p>
    <w:p>
      <w:pPr>
        <w:spacing w:after="0"/>
        <w:tabs>
          <w:tab w:leader="none" w:pos="10060" w:val="left"/>
        </w:tabs>
        <w:rPr>
          <w:sz w:val="20"/>
          <w:szCs w:val="20"/>
          <w:color w:val="auto"/>
        </w:rPr>
      </w:pPr>
      <w:r>
        <w:rPr>
          <w:rFonts w:ascii="Arial" w:cs="Arial" w:eastAsia="Arial" w:hAnsi="Arial"/>
          <w:sz w:val="32"/>
          <w:szCs w:val="32"/>
          <w:b w:val="1"/>
          <w:bCs w:val="1"/>
          <w:color w:val="32406B"/>
        </w:rPr>
        <w:t>Wachovia Securities</w:t>
      </w:r>
      <w:r>
        <w:rPr>
          <w:sz w:val="20"/>
          <w:szCs w:val="20"/>
          <w:color w:val="auto"/>
        </w:rPr>
        <w:tab/>
      </w:r>
      <w:r>
        <w:rPr>
          <w:rFonts w:ascii="Arial" w:cs="Arial" w:eastAsia="Arial" w:hAnsi="Arial"/>
          <w:sz w:val="30"/>
          <w:szCs w:val="30"/>
          <w:b w:val="1"/>
          <w:bCs w:val="1"/>
          <w:color w:val="32406B"/>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32"/>
          <w:szCs w:val="32"/>
          <w:b w:val="1"/>
          <w:bCs w:val="1"/>
          <w:color w:val="32406B"/>
        </w:rPr>
        <w:t>Banc of America Securities LLC</w:t>
      </w:r>
    </w:p>
    <w:p>
      <w:pPr>
        <w:spacing w:after="0" w:line="29" w:lineRule="exact"/>
        <w:rPr>
          <w:sz w:val="24"/>
          <w:szCs w:val="24"/>
          <w:color w:val="auto"/>
        </w:rPr>
      </w:pPr>
    </w:p>
    <w:p>
      <w:pPr>
        <w:ind w:left="800"/>
        <w:spacing w:after="0"/>
        <w:rPr>
          <w:sz w:val="20"/>
          <w:szCs w:val="20"/>
          <w:color w:val="auto"/>
        </w:rPr>
      </w:pPr>
      <w:r>
        <w:rPr>
          <w:rFonts w:ascii="Arial" w:cs="Arial" w:eastAsia="Arial" w:hAnsi="Arial"/>
          <w:sz w:val="32"/>
          <w:szCs w:val="32"/>
          <w:b w:val="1"/>
          <w:bCs w:val="1"/>
          <w:color w:val="32406B"/>
        </w:rPr>
        <w:t>Bear, Stearns &amp; Co. Inc.</w:t>
      </w:r>
    </w:p>
    <w:p>
      <w:pPr>
        <w:ind w:left="1720"/>
        <w:spacing w:after="0" w:line="237" w:lineRule="auto"/>
        <w:rPr>
          <w:sz w:val="20"/>
          <w:szCs w:val="20"/>
          <w:color w:val="auto"/>
        </w:rPr>
      </w:pPr>
      <w:r>
        <w:rPr>
          <w:rFonts w:ascii="Arial" w:cs="Arial" w:eastAsia="Arial" w:hAnsi="Arial"/>
          <w:sz w:val="32"/>
          <w:szCs w:val="32"/>
          <w:b w:val="1"/>
          <w:bCs w:val="1"/>
          <w:color w:val="32406B"/>
        </w:rPr>
        <w:t>Commerzbank Corporates &amp; Markets</w:t>
      </w:r>
    </w:p>
    <w:p>
      <w:pPr>
        <w:ind w:left="2640"/>
        <w:spacing w:after="0" w:line="238" w:lineRule="auto"/>
        <w:rPr>
          <w:sz w:val="20"/>
          <w:szCs w:val="20"/>
          <w:color w:val="auto"/>
        </w:rPr>
      </w:pPr>
      <w:r>
        <w:rPr>
          <w:rFonts w:ascii="Arial" w:cs="Arial" w:eastAsia="Arial" w:hAnsi="Arial"/>
          <w:sz w:val="32"/>
          <w:szCs w:val="32"/>
          <w:b w:val="1"/>
          <w:bCs w:val="1"/>
          <w:color w:val="32406B"/>
        </w:rPr>
        <w:t>JPMorgan</w:t>
      </w:r>
    </w:p>
    <w:p>
      <w:pPr>
        <w:ind w:left="3540"/>
        <w:spacing w:after="0" w:line="238" w:lineRule="auto"/>
        <w:rPr>
          <w:sz w:val="20"/>
          <w:szCs w:val="20"/>
          <w:color w:val="auto"/>
        </w:rPr>
      </w:pPr>
      <w:r>
        <w:rPr>
          <w:rFonts w:ascii="Arial" w:cs="Arial" w:eastAsia="Arial" w:hAnsi="Arial"/>
          <w:sz w:val="32"/>
          <w:szCs w:val="32"/>
          <w:b w:val="1"/>
          <w:bCs w:val="1"/>
          <w:color w:val="32406B"/>
        </w:rPr>
        <w:t>Piper Jaffray</w:t>
      </w:r>
    </w:p>
    <w:p>
      <w:pPr>
        <w:ind w:left="4460"/>
        <w:spacing w:after="0" w:line="238" w:lineRule="auto"/>
        <w:rPr>
          <w:sz w:val="20"/>
          <w:szCs w:val="20"/>
          <w:color w:val="auto"/>
        </w:rPr>
      </w:pPr>
      <w:r>
        <w:rPr>
          <w:rFonts w:ascii="Arial" w:cs="Arial" w:eastAsia="Arial" w:hAnsi="Arial"/>
          <w:sz w:val="32"/>
          <w:szCs w:val="32"/>
          <w:b w:val="1"/>
          <w:bCs w:val="1"/>
          <w:color w:val="32406B"/>
        </w:rPr>
        <w:t>PNC Capital Markets LLC</w:t>
      </w:r>
    </w:p>
    <w:p>
      <w:pPr>
        <w:jc w:val="right"/>
        <w:spacing w:after="0"/>
        <w:rPr>
          <w:sz w:val="20"/>
          <w:szCs w:val="20"/>
          <w:color w:val="auto"/>
        </w:rPr>
      </w:pPr>
      <w:r>
        <w:rPr>
          <w:rFonts w:ascii="Arial" w:cs="Arial" w:eastAsia="Arial" w:hAnsi="Arial"/>
          <w:sz w:val="32"/>
          <w:szCs w:val="32"/>
          <w:b w:val="1"/>
          <w:bCs w:val="1"/>
          <w:color w:val="32406B"/>
        </w:rPr>
        <w:t>SunTrust Robinson Humphrey</w:t>
      </w:r>
    </w:p>
    <w:p>
      <w:pPr>
        <w:sectPr>
          <w:pgSz w:w="11900" w:h="16838" w:orient="portrait"/>
          <w:cols w:equalWidth="0" w:num="1">
            <w:col w:w="11420"/>
          </w:cols>
          <w:pgMar w:left="240" w:top="230" w:right="239" w:bottom="653" w:gutter="0" w:footer="0" w:header="0"/>
        </w:sectPr>
      </w:pPr>
    </w:p>
    <w:p>
      <w:pPr>
        <w:spacing w:after="0" w:line="150"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32406B"/>
        </w:rPr>
        <w:t>The date of this prospectus supplement is November</w:t>
      </w:r>
      <w:r>
        <w:rPr>
          <w:sz w:val="20"/>
          <w:szCs w:val="20"/>
          <w:color w:val="auto"/>
        </w:rPr>
        <w:tab/>
      </w:r>
      <w:r>
        <w:rPr>
          <w:rFonts w:ascii="Arial" w:cs="Arial" w:eastAsia="Arial" w:hAnsi="Arial"/>
          <w:sz w:val="15"/>
          <w:szCs w:val="15"/>
          <w:b w:val="1"/>
          <w:bCs w:val="1"/>
          <w:color w:val="32406B"/>
        </w:rPr>
        <w:t>, 2006.</w:t>
      </w:r>
    </w:p>
    <w:p>
      <w:pPr>
        <w:sectPr>
          <w:pgSz w:w="11900" w:h="16838" w:orient="portrait"/>
          <w:cols w:equalWidth="0" w:num="1">
            <w:col w:w="11420"/>
          </w:cols>
          <w:pgMar w:left="240" w:top="230" w:right="239" w:bottom="65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4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Proposed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to</w:t>
            </w:r>
          </w:p>
        </w:tc>
        <w:tc>
          <w:tcPr>
            <w:tcW w:w="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44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Maximum</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4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w:t>
            </w:r>
          </w:p>
        </w:tc>
        <w:tc>
          <w:tcPr>
            <w:tcW w:w="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4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Aggregate</w:t>
            </w: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55"/>
        </w:trPr>
        <w:tc>
          <w:tcPr>
            <w:tcW w:w="6700" w:type="dxa"/>
            <w:vAlign w:val="bottom"/>
            <w:tcBorders>
              <w:bottom w:val="single" w:sz="8" w:color="auto"/>
            </w:tcBorders>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2"/>
              </w:rPr>
              <w:t>Registered</w:t>
            </w:r>
          </w:p>
        </w:tc>
        <w:tc>
          <w:tcPr>
            <w:tcW w:w="44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Security</w:t>
            </w:r>
          </w:p>
        </w:tc>
        <w:tc>
          <w:tcPr>
            <w:tcW w:w="4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44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Fee (1)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Notes due 2013</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$135,000,000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  14,445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5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Rules 456(b) and 457(r) of the Securities Act.</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state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40" w:type="dxa"/>
            <w:vAlign w:val="bottom"/>
            <w:gridSpan w:val="2"/>
          </w:tcPr>
          <w:p>
            <w:pPr>
              <w:jc w:val="center"/>
              <w:ind w:right="4000"/>
              <w:spacing w:after="0"/>
              <w:rPr>
                <w:sz w:val="20"/>
                <w:szCs w:val="20"/>
                <w:color w:val="auto"/>
              </w:rPr>
            </w:pPr>
            <w:r>
              <w:rPr>
                <w:rFonts w:ascii="Arial" w:cs="Arial" w:eastAsia="Arial" w:hAnsi="Arial"/>
                <w:sz w:val="18"/>
                <w:szCs w:val="18"/>
                <w:b w:val="1"/>
                <w:bCs w:val="1"/>
                <w:color w:val="auto"/>
                <w:w w:val="96"/>
              </w:rPr>
              <w:t>TABLE OF CONTENTS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40" w:type="dxa"/>
            <w:vAlign w:val="bottom"/>
            <w:gridSpan w:val="2"/>
          </w:tcPr>
          <w:p>
            <w:pPr>
              <w:jc w:val="center"/>
              <w:ind w:right="4000"/>
              <w:spacing w:after="0"/>
              <w:rPr>
                <w:sz w:val="20"/>
                <w:szCs w:val="20"/>
                <w:color w:val="auto"/>
              </w:rPr>
            </w:pPr>
            <w:r>
              <w:rPr>
                <w:rFonts w:ascii="Arial" w:cs="Arial" w:eastAsia="Arial" w:hAnsi="Arial"/>
                <w:sz w:val="18"/>
                <w:szCs w:val="18"/>
                <w:b w:val="1"/>
                <w:bCs w:val="1"/>
                <w:color w:val="auto"/>
                <w:w w:val="85"/>
              </w:rPr>
              <w:t>Prospectus Supplement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 Concerning Forward-Looking Statements</w:t>
              </w:r>
            </w:hyperlink>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8"/>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6"/>
          </w:tcPr>
          <w:p>
            <w:pPr>
              <w:spacing w:after="0"/>
              <w:rPr>
                <w:sz w:val="17"/>
                <w:szCs w:val="17"/>
                <w:color w:val="auto"/>
              </w:rPr>
            </w:pPr>
          </w:p>
        </w:tc>
        <w:tc>
          <w:tcPr>
            <w:tcW w:w="6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0040" w:type="dxa"/>
            <w:vAlign w:val="bottom"/>
            <w:gridSpan w:val="16"/>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Ratios of Earnings to Fixed Charges</w:t>
              </w:r>
            </w:hyperlink>
          </w:p>
        </w:tc>
        <w:tc>
          <w:tcPr>
            <w:tcW w:w="838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Description of Notes</w:t>
              </w:r>
            </w:hyperlink>
          </w:p>
        </w:tc>
        <w:tc>
          <w:tcPr>
            <w:tcW w:w="946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Certain Federal Income Tax Considerations</w:t>
              </w:r>
            </w:hyperlink>
          </w:p>
        </w:tc>
        <w:tc>
          <w:tcPr>
            <w:tcW w:w="7860" w:type="dxa"/>
            <w:vAlign w:val="bottom"/>
            <w:gridSpan w:val="3"/>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Underwriting</w:t>
              </w:r>
            </w:hyperlink>
          </w:p>
        </w:tc>
        <w:tc>
          <w:tcPr>
            <w:tcW w:w="9980" w:type="dxa"/>
            <w:vAlign w:val="bottom"/>
            <w:gridSpan w:val="15"/>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Legal Matters</w:t>
              </w:r>
            </w:hyperlink>
          </w:p>
        </w:tc>
        <w:tc>
          <w:tcPr>
            <w:tcW w:w="9940" w:type="dxa"/>
            <w:vAlign w:val="bottom"/>
            <w:gridSpan w:val="1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S-19</w:t>
            </w:r>
          </w:p>
        </w:tc>
        <w:tc>
          <w:tcPr>
            <w:tcW w:w="0" w:type="dxa"/>
            <w:vAlign w:val="bottom"/>
          </w:tcPr>
          <w:p>
            <w:pPr>
              <w:spacing w:after="0"/>
              <w:rPr>
                <w:sz w:val="1"/>
                <w:szCs w:val="1"/>
                <w:color w:val="auto"/>
              </w:rPr>
            </w:pPr>
          </w:p>
        </w:tc>
      </w:tr>
      <w:tr>
        <w:trPr>
          <w:trHeight w:val="34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40" w:type="dxa"/>
            <w:vAlign w:val="bottom"/>
            <w:gridSpan w:val="2"/>
          </w:tcPr>
          <w:p>
            <w:pPr>
              <w:jc w:val="center"/>
              <w:ind w:right="4020"/>
              <w:spacing w:after="0"/>
              <w:rPr>
                <w:sz w:val="20"/>
                <w:szCs w:val="20"/>
                <w:color w:val="auto"/>
              </w:rPr>
            </w:pPr>
            <w:r>
              <w:rPr>
                <w:rFonts w:ascii="Arial" w:cs="Arial" w:eastAsia="Arial" w:hAnsi="Arial"/>
                <w:sz w:val="18"/>
                <w:szCs w:val="18"/>
                <w:b w:val="1"/>
                <w:bCs w:val="1"/>
                <w:color w:val="auto"/>
                <w:w w:val="83"/>
              </w:rPr>
              <w:t>Prospectus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About this Prospectus</w:t>
              </w:r>
            </w:hyperlink>
          </w:p>
        </w:tc>
        <w:tc>
          <w:tcPr>
            <w:tcW w:w="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0940" w:type="dxa"/>
            <w:vAlign w:val="bottom"/>
            <w:gridSpan w:val="18"/>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Forward-Looking Information</w:t>
              </w:r>
            </w:hyperlink>
          </w:p>
        </w:tc>
        <w:tc>
          <w:tcPr>
            <w:tcW w:w="8800" w:type="dxa"/>
            <w:vAlign w:val="bottom"/>
            <w:gridSpan w:val="9"/>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The Company</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Ratios of Earnings to Combined Fixed Charges and Preferred Stock Dividends</w:t>
              </w:r>
            </w:hyperlink>
          </w:p>
        </w:tc>
        <w:tc>
          <w:tcPr>
            <w:tcW w:w="5400" w:type="dxa"/>
            <w:vAlign w:val="bottom"/>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Debt Securities</w:t>
              </w:r>
            </w:hyperlink>
          </w:p>
        </w:tc>
        <w:tc>
          <w:tcPr>
            <w:tcW w:w="8800" w:type="dxa"/>
            <w:vAlign w:val="bottom"/>
            <w:gridSpan w:val="9"/>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Description of Shares of Beneficial Interest</w:t>
              </w:r>
            </w:hyperlink>
          </w:p>
        </w:tc>
        <w:tc>
          <w:tcPr>
            <w:tcW w:w="7880" w:type="dxa"/>
            <w:vAlign w:val="bottom"/>
            <w:gridSpan w:val="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Federal Income Tax Consequences</w:t>
              </w:r>
            </w:hyperlink>
          </w:p>
        </w:tc>
        <w:tc>
          <w:tcPr>
            <w:tcW w:w="8480" w:type="dxa"/>
            <w:vAlign w:val="bottom"/>
            <w:gridSpan w:val="7"/>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Legal Matters</w:t>
              </w:r>
            </w:hyperlink>
          </w:p>
        </w:tc>
        <w:tc>
          <w:tcPr>
            <w:tcW w:w="9540" w:type="dxa"/>
            <w:vAlign w:val="bottom"/>
            <w:gridSpan w:val="12"/>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Experts</w:t>
              </w:r>
            </w:hyperlink>
          </w:p>
        </w:tc>
        <w:tc>
          <w:tcPr>
            <w:tcW w:w="9940" w:type="dxa"/>
            <w:vAlign w:val="bottom"/>
            <w:gridSpan w:val="1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14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Where You Can Find More Information</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or the Exchange Act, and the Private Securities Litigation Reform Act of 1995. In particular, the risk factors included or incorporated by reference in this prospectus supplement and the accompanying prospectus describe forward-looking information. The risk factors, including those contained in our Annual Report on Form 10-K filed with the Securities and Exchange Commission, or the SEC, on March 3, 2006 and amended on March 10, 2006,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780" w:right="500" w:hanging="326"/>
        <w:spacing w:after="0" w:line="33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780" w:right="42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that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high-quality retail and mixed-use properties. As of September 30, 2006, we owned or had an interest in 111 community and neighborhood shopping centers and mixed-use properties comprising approximately 18.6 million square feet, located primarily in densely populated and affluent communities throughout the Northeast and Mid-Atlantic United States, as well as California, and one apartment complex in Maryland. A joint venture in which we own a 30% interest owned six neighborhood shopping centers totaling approximately 0.7 million square feet as of September 30, 2006.</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Securities Offered</w:t>
            </w:r>
          </w:p>
        </w:tc>
        <w:tc>
          <w:tcPr>
            <w:tcW w:w="6100" w:type="dxa"/>
            <w:vAlign w:val="bottom"/>
            <w:gridSpan w:val="2"/>
          </w:tcPr>
          <w:p>
            <w:pPr>
              <w:ind w:left="860"/>
              <w:spacing w:after="0"/>
              <w:rPr>
                <w:sz w:val="20"/>
                <w:szCs w:val="20"/>
                <w:color w:val="auto"/>
              </w:rPr>
            </w:pPr>
            <w:r>
              <w:rPr>
                <w:rFonts w:ascii="Arial" w:cs="Arial" w:eastAsia="Arial" w:hAnsi="Arial"/>
                <w:sz w:val="18"/>
                <w:szCs w:val="18"/>
                <w:color w:val="auto"/>
              </w:rPr>
              <w:t>$135 million aggregate principal amount of   % notes due 2013.</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Maturity</w:t>
            </w: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92"/>
              </w:rPr>
              <w:t>Unless redeemed prior to maturity as described below, the notes will mature on December 1, 2013.</w:t>
            </w:r>
          </w:p>
        </w:tc>
      </w:tr>
      <w:tr>
        <w:trPr>
          <w:trHeight w:val="426"/>
        </w:trPr>
        <w:tc>
          <w:tcPr>
            <w:tcW w:w="32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100" w:type="dxa"/>
            <w:vAlign w:val="bottom"/>
            <w:gridSpan w:val="2"/>
          </w:tcPr>
          <w:p>
            <w:pPr>
              <w:ind w:left="860"/>
              <w:spacing w:after="0"/>
              <w:rPr>
                <w:sz w:val="20"/>
                <w:szCs w:val="20"/>
                <w:color w:val="auto"/>
              </w:rPr>
            </w:pPr>
            <w:r>
              <w:rPr>
                <w:rFonts w:ascii="Arial" w:cs="Arial" w:eastAsia="Arial" w:hAnsi="Arial"/>
                <w:sz w:val="18"/>
                <w:szCs w:val="18"/>
                <w:color w:val="auto"/>
              </w:rPr>
              <w:t>Interest on the notes will be payable semi-annually in arrears on</w:t>
            </w:r>
          </w:p>
        </w:tc>
        <w:tc>
          <w:tcPr>
            <w:tcW w:w="1360" w:type="dxa"/>
            <w:vAlign w:val="bottom"/>
          </w:tcPr>
          <w:p>
            <w:pPr>
              <w:ind w:left="220"/>
              <w:spacing w:after="0"/>
              <w:rPr>
                <w:sz w:val="20"/>
                <w:szCs w:val="20"/>
                <w:color w:val="auto"/>
              </w:rPr>
            </w:pPr>
            <w:r>
              <w:rPr>
                <w:rFonts w:ascii="Arial" w:cs="Arial" w:eastAsia="Arial" w:hAnsi="Arial"/>
                <w:sz w:val="18"/>
                <w:szCs w:val="18"/>
                <w:color w:val="auto"/>
              </w:rPr>
              <w:t>and</w:t>
            </w:r>
          </w:p>
        </w:tc>
        <w:tc>
          <w:tcPr>
            <w:tcW w:w="70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222"/>
        </w:trPr>
        <w:tc>
          <w:tcPr>
            <w:tcW w:w="3260" w:type="dxa"/>
            <w:vAlign w:val="bottom"/>
          </w:tcPr>
          <w:p>
            <w:pPr>
              <w:spacing w:after="0"/>
              <w:rPr>
                <w:sz w:val="19"/>
                <w:szCs w:val="19"/>
                <w:color w:val="auto"/>
              </w:rPr>
            </w:pPr>
          </w:p>
        </w:tc>
        <w:tc>
          <w:tcPr>
            <w:tcW w:w="2220" w:type="dxa"/>
            <w:vAlign w:val="bottom"/>
          </w:tcPr>
          <w:p>
            <w:pPr>
              <w:ind w:left="860"/>
              <w:spacing w:after="0"/>
              <w:rPr>
                <w:sz w:val="20"/>
                <w:szCs w:val="20"/>
                <w:color w:val="auto"/>
              </w:rPr>
            </w:pPr>
            <w:r>
              <w:rPr>
                <w:rFonts w:ascii="Arial" w:cs="Arial" w:eastAsia="Arial" w:hAnsi="Arial"/>
                <w:sz w:val="18"/>
                <w:szCs w:val="18"/>
                <w:color w:val="auto"/>
              </w:rPr>
              <w:t>commencing</w:t>
            </w:r>
          </w:p>
        </w:tc>
        <w:tc>
          <w:tcPr>
            <w:tcW w:w="3880" w:type="dxa"/>
            <w:vAlign w:val="bottom"/>
          </w:tcPr>
          <w:p>
            <w:pPr>
              <w:ind w:left="460"/>
              <w:spacing w:after="0"/>
              <w:rPr>
                <w:sz w:val="20"/>
                <w:szCs w:val="20"/>
                <w:color w:val="auto"/>
              </w:rPr>
            </w:pPr>
            <w:r>
              <w:rPr>
                <w:rFonts w:ascii="Arial" w:cs="Arial" w:eastAsia="Arial" w:hAnsi="Arial"/>
                <w:sz w:val="18"/>
                <w:szCs w:val="18"/>
                <w:color w:val="auto"/>
              </w:rPr>
              <w:t>, 2007, and at maturity.</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26"/>
        </w:trPr>
        <w:tc>
          <w:tcPr>
            <w:tcW w:w="3260" w:type="dxa"/>
            <w:vAlign w:val="bottom"/>
          </w:tcPr>
          <w:p>
            <w:pPr>
              <w:spacing w:after="0"/>
              <w:rPr>
                <w:sz w:val="20"/>
                <w:szCs w:val="20"/>
                <w:color w:val="auto"/>
              </w:rPr>
            </w:pPr>
            <w:r>
              <w:rPr>
                <w:rFonts w:ascii="Arial" w:cs="Arial" w:eastAsia="Arial" w:hAnsi="Arial"/>
                <w:sz w:val="18"/>
                <w:szCs w:val="18"/>
                <w:color w:val="auto"/>
              </w:rPr>
              <w:t>Ranking</w:t>
            </w:r>
          </w:p>
        </w:tc>
        <w:tc>
          <w:tcPr>
            <w:tcW w:w="7460" w:type="dxa"/>
            <w:vAlign w:val="bottom"/>
            <w:gridSpan w:val="3"/>
          </w:tcPr>
          <w:p>
            <w:pPr>
              <w:ind w:left="860"/>
              <w:spacing w:after="0"/>
              <w:rPr>
                <w:sz w:val="20"/>
                <w:szCs w:val="20"/>
                <w:color w:val="auto"/>
              </w:rPr>
            </w:pPr>
            <w:r>
              <w:rPr>
                <w:rFonts w:ascii="Arial" w:cs="Arial" w:eastAsia="Arial" w:hAnsi="Arial"/>
                <w:sz w:val="18"/>
                <w:szCs w:val="18"/>
                <w:color w:val="auto"/>
                <w:w w:val="88"/>
              </w:rPr>
              <w:t xml:space="preserve">The notes will rank </w:t>
            </w:r>
            <w:r>
              <w:rPr>
                <w:rFonts w:ascii="Arial" w:cs="Arial" w:eastAsia="Arial" w:hAnsi="Arial"/>
                <w:sz w:val="18"/>
                <w:szCs w:val="18"/>
                <w:i w:val="1"/>
                <w:iCs w:val="1"/>
                <w:color w:val="auto"/>
                <w:w w:val="88"/>
              </w:rPr>
              <w:t>pari passu</w:t>
            </w:r>
            <w:r>
              <w:rPr>
                <w:rFonts w:ascii="Arial" w:cs="Arial" w:eastAsia="Arial" w:hAnsi="Arial"/>
                <w:sz w:val="18"/>
                <w:szCs w:val="18"/>
                <w:color w:val="auto"/>
                <w:w w:val="88"/>
              </w:rPr>
              <w:t>, or equally, with all of our other unsecured and unsubordinated</w:t>
            </w:r>
          </w:p>
        </w:tc>
        <w:tc>
          <w:tcPr>
            <w:tcW w:w="70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96"/>
              </w:rPr>
              <w:t>indebtedness, and the notes will be effectively subordinated to the prior claims of each secured</w:t>
            </w:r>
          </w:p>
        </w:tc>
      </w:tr>
      <w:tr>
        <w:trPr>
          <w:trHeight w:val="216"/>
        </w:trPr>
        <w:tc>
          <w:tcPr>
            <w:tcW w:w="3260" w:type="dxa"/>
            <w:vAlign w:val="bottom"/>
          </w:tcPr>
          <w:p>
            <w:pPr>
              <w:spacing w:after="0"/>
              <w:rPr>
                <w:sz w:val="18"/>
                <w:szCs w:val="18"/>
                <w:color w:val="auto"/>
              </w:rPr>
            </w:pP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87"/>
              </w:rPr>
              <w:t>mortgage lender to any specific property that secures such lender’s mortgage and to all of the unsecured</w:t>
            </w:r>
          </w:p>
        </w:tc>
      </w:tr>
      <w:tr>
        <w:trPr>
          <w:trHeight w:val="216"/>
        </w:trPr>
        <w:tc>
          <w:tcPr>
            <w:tcW w:w="3260" w:type="dxa"/>
            <w:vAlign w:val="bottom"/>
          </w:tcPr>
          <w:p>
            <w:pPr>
              <w:spacing w:after="0"/>
              <w:rPr>
                <w:sz w:val="18"/>
                <w:szCs w:val="18"/>
                <w:color w:val="auto"/>
              </w:rPr>
            </w:pP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89"/>
              </w:rPr>
              <w:t>indebtedness of our subsidiaries. After giving effect to this offering and to the use of proceeds from this</w:t>
            </w:r>
          </w:p>
        </w:tc>
      </w:tr>
      <w:tr>
        <w:trPr>
          <w:trHeight w:val="216"/>
        </w:trPr>
        <w:tc>
          <w:tcPr>
            <w:tcW w:w="3260" w:type="dxa"/>
            <w:vAlign w:val="bottom"/>
          </w:tcPr>
          <w:p>
            <w:pPr>
              <w:spacing w:after="0"/>
              <w:rPr>
                <w:sz w:val="18"/>
                <w:szCs w:val="18"/>
                <w:color w:val="auto"/>
              </w:rPr>
            </w:pP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93"/>
              </w:rPr>
              <w:t>offering, we will have outstanding approximately $286 million (excluding unamortized premium) of</w:t>
            </w:r>
          </w:p>
        </w:tc>
      </w:tr>
      <w:tr>
        <w:trPr>
          <w:trHeight w:val="216"/>
        </w:trPr>
        <w:tc>
          <w:tcPr>
            <w:tcW w:w="3260" w:type="dxa"/>
            <w:vAlign w:val="bottom"/>
          </w:tcPr>
          <w:p>
            <w:pPr>
              <w:spacing w:after="0"/>
              <w:rPr>
                <w:sz w:val="18"/>
                <w:szCs w:val="18"/>
                <w:color w:val="auto"/>
              </w:rPr>
            </w:pP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93"/>
              </w:rPr>
              <w:t>secured indebtedness collateralized by all or parts of 15 properties, approximately $78.0 million of</w:t>
            </w:r>
          </w:p>
        </w:tc>
      </w:tr>
      <w:tr>
        <w:trPr>
          <w:trHeight w:val="216"/>
        </w:trPr>
        <w:tc>
          <w:tcPr>
            <w:tcW w:w="3260" w:type="dxa"/>
            <w:vAlign w:val="bottom"/>
          </w:tcPr>
          <w:p>
            <w:pPr>
              <w:spacing w:after="0"/>
              <w:rPr>
                <w:sz w:val="18"/>
                <w:szCs w:val="18"/>
                <w:color w:val="auto"/>
              </w:rPr>
            </w:pP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90"/>
              </w:rPr>
              <w:t>indebtedness issued by our subsidiaries (which will be senior to the notes) and approximately $1,093</w:t>
            </w:r>
          </w:p>
        </w:tc>
      </w:tr>
      <w:tr>
        <w:trPr>
          <w:trHeight w:val="222"/>
        </w:trPr>
        <w:tc>
          <w:tcPr>
            <w:tcW w:w="3260" w:type="dxa"/>
            <w:vAlign w:val="bottom"/>
          </w:tcPr>
          <w:p>
            <w:pPr>
              <w:spacing w:after="0"/>
              <w:rPr>
                <w:sz w:val="19"/>
                <w:szCs w:val="19"/>
                <w:color w:val="auto"/>
              </w:rPr>
            </w:pPr>
          </w:p>
        </w:tc>
        <w:tc>
          <w:tcPr>
            <w:tcW w:w="6100" w:type="dxa"/>
            <w:vAlign w:val="bottom"/>
            <w:gridSpan w:val="2"/>
          </w:tcPr>
          <w:p>
            <w:pPr>
              <w:ind w:left="860"/>
              <w:spacing w:after="0"/>
              <w:rPr>
                <w:sz w:val="20"/>
                <w:szCs w:val="20"/>
                <w:color w:val="auto"/>
              </w:rPr>
            </w:pPr>
            <w:r>
              <w:rPr>
                <w:rFonts w:ascii="Arial" w:cs="Arial" w:eastAsia="Arial" w:hAnsi="Arial"/>
                <w:sz w:val="18"/>
                <w:szCs w:val="18"/>
                <w:color w:val="auto"/>
                <w:w w:val="92"/>
              </w:rPr>
              <w:t>million of other unsecured indebtedness ranking equally with the notes.</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26"/>
        </w:trPr>
        <w:tc>
          <w:tcPr>
            <w:tcW w:w="3260" w:type="dxa"/>
            <w:vAlign w:val="bottom"/>
          </w:tcPr>
          <w:p>
            <w:pPr>
              <w:spacing w:after="0"/>
              <w:rPr>
                <w:sz w:val="20"/>
                <w:szCs w:val="20"/>
                <w:color w:val="auto"/>
              </w:rPr>
            </w:pPr>
            <w:r>
              <w:rPr>
                <w:rFonts w:ascii="Arial" w:cs="Arial" w:eastAsia="Arial" w:hAnsi="Arial"/>
                <w:sz w:val="18"/>
                <w:szCs w:val="18"/>
                <w:color w:val="auto"/>
              </w:rPr>
              <w:t>Use of Proceeds</w:t>
            </w: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89"/>
              </w:rPr>
              <w:t>Our net proceeds from this offering are estimated to be $134.0 million after deducting the underwriting</w:t>
            </w:r>
          </w:p>
        </w:tc>
      </w:tr>
      <w:tr>
        <w:trPr>
          <w:trHeight w:val="216"/>
        </w:trPr>
        <w:tc>
          <w:tcPr>
            <w:tcW w:w="3260" w:type="dxa"/>
            <w:vAlign w:val="bottom"/>
          </w:tcPr>
          <w:p>
            <w:pPr>
              <w:spacing w:after="0"/>
              <w:rPr>
                <w:sz w:val="18"/>
                <w:szCs w:val="18"/>
                <w:color w:val="auto"/>
              </w:rPr>
            </w:pP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87"/>
              </w:rPr>
              <w:t>discount and other estimated expenses of this offering. We expect to use these net proceeds for general</w:t>
            </w:r>
          </w:p>
        </w:tc>
      </w:tr>
      <w:tr>
        <w:trPr>
          <w:trHeight w:val="216"/>
        </w:trPr>
        <w:tc>
          <w:tcPr>
            <w:tcW w:w="3260" w:type="dxa"/>
            <w:vAlign w:val="bottom"/>
          </w:tcPr>
          <w:p>
            <w:pPr>
              <w:spacing w:after="0"/>
              <w:rPr>
                <w:sz w:val="18"/>
                <w:szCs w:val="18"/>
                <w:color w:val="auto"/>
              </w:rPr>
            </w:pPr>
          </w:p>
        </w:tc>
        <w:tc>
          <w:tcPr>
            <w:tcW w:w="8160" w:type="dxa"/>
            <w:vAlign w:val="bottom"/>
            <w:gridSpan w:val="4"/>
          </w:tcPr>
          <w:p>
            <w:pPr>
              <w:ind w:left="860"/>
              <w:spacing w:after="0"/>
              <w:rPr>
                <w:sz w:val="20"/>
                <w:szCs w:val="20"/>
                <w:color w:val="auto"/>
              </w:rPr>
            </w:pPr>
            <w:r>
              <w:rPr>
                <w:rFonts w:ascii="Arial" w:cs="Arial" w:eastAsia="Arial" w:hAnsi="Arial"/>
                <w:sz w:val="18"/>
                <w:szCs w:val="18"/>
                <w:color w:val="auto"/>
                <w:w w:val="92"/>
              </w:rPr>
              <w:t>corporate purposes, including repaying amounts outstanding under our revolving credit facility. See</w:t>
            </w:r>
          </w:p>
        </w:tc>
      </w:tr>
      <w:tr>
        <w:trPr>
          <w:trHeight w:val="222"/>
        </w:trPr>
        <w:tc>
          <w:tcPr>
            <w:tcW w:w="3260" w:type="dxa"/>
            <w:vAlign w:val="bottom"/>
          </w:tcPr>
          <w:p>
            <w:pPr>
              <w:spacing w:after="0"/>
              <w:rPr>
                <w:sz w:val="19"/>
                <w:szCs w:val="19"/>
                <w:color w:val="auto"/>
              </w:rPr>
            </w:pPr>
          </w:p>
        </w:tc>
        <w:tc>
          <w:tcPr>
            <w:tcW w:w="6100" w:type="dxa"/>
            <w:vAlign w:val="bottom"/>
            <w:gridSpan w:val="2"/>
          </w:tcPr>
          <w:p>
            <w:pPr>
              <w:ind w:left="860"/>
              <w:spacing w:after="0"/>
              <w:rPr>
                <w:sz w:val="20"/>
                <w:szCs w:val="20"/>
                <w:color w:val="auto"/>
              </w:rPr>
            </w:pPr>
            <w:r>
              <w:rPr>
                <w:rFonts w:ascii="Arial" w:cs="Arial" w:eastAsia="Arial" w:hAnsi="Arial"/>
                <w:sz w:val="18"/>
                <w:szCs w:val="18"/>
                <w:color w:val="auto"/>
              </w:rPr>
              <w:t>“Use of Proceeds” on page S-7 for more information.</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6100" w:type="dxa"/>
            <w:vAlign w:val="bottom"/>
            <w:gridSpan w:val="2"/>
          </w:tcPr>
          <w:p>
            <w:pPr>
              <w:ind w:left="860"/>
              <w:spacing w:after="0"/>
              <w:rPr>
                <w:sz w:val="20"/>
                <w:szCs w:val="20"/>
                <w:color w:val="auto"/>
              </w:rPr>
            </w:pPr>
            <w:r>
              <w:rPr>
                <w:rFonts w:ascii="Arial" w:cs="Arial" w:eastAsia="Arial" w:hAnsi="Arial"/>
                <w:sz w:val="18"/>
                <w:szCs w:val="18"/>
                <w:color w:val="auto"/>
              </w:rPr>
              <w:t>The notes contain various covenants, including the following:</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10" w:lineRule="exact"/>
        <w:rPr>
          <w:sz w:val="20"/>
          <w:szCs w:val="20"/>
          <w:color w:val="auto"/>
        </w:rPr>
      </w:pPr>
    </w:p>
    <w:p>
      <w:pPr>
        <w:ind w:left="4120" w:right="60" w:hanging="10"/>
        <w:spacing w:after="0" w:line="282" w:lineRule="auto"/>
        <w:tabs>
          <w:tab w:leader="none" w:pos="43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Wachovia Bank National Association, as successor to First Union National Bank, Trustee) prior to the incurrence of such additional Debt and</w:t>
      </w:r>
    </w:p>
    <w:p>
      <w:pPr>
        <w:spacing w:after="0" w:line="5" w:lineRule="exact"/>
        <w:rPr>
          <w:rFonts w:ascii="Arial" w:cs="Arial" w:eastAsia="Arial" w:hAnsi="Arial"/>
          <w:sz w:val="16"/>
          <w:szCs w:val="16"/>
          <w:color w:val="auto"/>
        </w:rPr>
      </w:pPr>
    </w:p>
    <w:p>
      <w:pPr>
        <w:ind w:left="4120" w:right="60"/>
        <w:spacing w:after="0" w:line="323" w:lineRule="auto"/>
        <w:rPr>
          <w:rFonts w:ascii="Arial" w:cs="Arial" w:eastAsia="Arial" w:hAnsi="Arial"/>
          <w:sz w:val="16"/>
          <w:szCs w:val="16"/>
          <w:color w:val="auto"/>
        </w:rPr>
      </w:pPr>
      <w:r>
        <w:rPr>
          <w:rFonts w:ascii="Arial" w:cs="Arial" w:eastAsia="Arial" w:hAnsi="Arial"/>
          <w:sz w:val="16"/>
          <w:szCs w:val="16"/>
          <w:color w:val="auto"/>
        </w:rPr>
        <w:t>(b) the purchase price of any real estate assets or mortgages receivable acquired, and the amount of any securities offering proceeds received (to the extent such proceeds were not used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120"/>
        <w:spacing w:after="0" w:line="259" w:lineRule="auto"/>
        <w:rPr>
          <w:sz w:val="20"/>
          <w:szCs w:val="20"/>
          <w:color w:val="auto"/>
        </w:rPr>
      </w:pPr>
      <w:r>
        <w:rPr>
          <w:rFonts w:ascii="Arial" w:cs="Arial" w:eastAsia="Arial" w:hAnsi="Arial"/>
          <w:sz w:val="18"/>
          <w:szCs w:val="18"/>
          <w:color w:val="auto"/>
        </w:rPr>
        <w:t>acquire real estate assets or mortgages receivable or used to reduce Debt), by us or any subsidiary since the end of such calendar quarter, including those proceeds obtained in connection with the incurrence of such additional Debt;</w:t>
      </w:r>
    </w:p>
    <w:p>
      <w:pPr>
        <w:spacing w:after="0" w:line="194" w:lineRule="exact"/>
        <w:rPr>
          <w:sz w:val="20"/>
          <w:szCs w:val="20"/>
          <w:color w:val="auto"/>
        </w:rPr>
      </w:pPr>
    </w:p>
    <w:p>
      <w:pPr>
        <w:ind w:left="4360" w:hanging="250"/>
        <w:spacing w:after="0"/>
        <w:tabs>
          <w:tab w:leader="none" w:pos="4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secured by any mortgage, lien,</w:t>
      </w:r>
    </w:p>
    <w:p>
      <w:pPr>
        <w:spacing w:after="0" w:line="38" w:lineRule="exact"/>
        <w:rPr>
          <w:rFonts w:ascii="Arial" w:cs="Arial" w:eastAsia="Arial" w:hAnsi="Arial"/>
          <w:sz w:val="16"/>
          <w:szCs w:val="16"/>
          <w:color w:val="auto"/>
        </w:rPr>
      </w:pPr>
    </w:p>
    <w:p>
      <w:pPr>
        <w:ind w:left="4120" w:right="20"/>
        <w:spacing w:after="0" w:line="300" w:lineRule="auto"/>
        <w:rPr>
          <w:rFonts w:ascii="Arial" w:cs="Arial" w:eastAsia="Arial" w:hAnsi="Arial"/>
          <w:sz w:val="16"/>
          <w:szCs w:val="16"/>
          <w:color w:val="auto"/>
        </w:rPr>
      </w:pPr>
      <w:r>
        <w:rPr>
          <w:rFonts w:ascii="Arial" w:cs="Arial" w:eastAsia="Arial" w:hAnsi="Arial"/>
          <w:sz w:val="15"/>
          <w:szCs w:val="15"/>
          <w:color w:val="auto"/>
        </w:rPr>
        <w:t>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w:t>
      </w:r>
    </w:p>
    <w:p>
      <w:pPr>
        <w:spacing w:after="0" w:line="2" w:lineRule="exact"/>
        <w:rPr>
          <w:rFonts w:ascii="Arial" w:cs="Arial" w:eastAsia="Arial" w:hAnsi="Arial"/>
          <w:sz w:val="16"/>
          <w:szCs w:val="16"/>
          <w:color w:val="auto"/>
        </w:rPr>
      </w:pPr>
    </w:p>
    <w:p>
      <w:pPr>
        <w:ind w:left="4120"/>
        <w:spacing w:after="0" w:line="286" w:lineRule="auto"/>
        <w:rPr>
          <w:rFonts w:ascii="Arial" w:cs="Arial" w:eastAsia="Arial" w:hAnsi="Arial"/>
          <w:sz w:val="16"/>
          <w:szCs w:val="16"/>
          <w:color w:val="auto"/>
        </w:rPr>
      </w:pPr>
      <w:r>
        <w:rPr>
          <w:rFonts w:ascii="Arial" w:cs="Arial" w:eastAsia="Arial" w:hAnsi="Arial"/>
          <w:sz w:val="16"/>
          <w:szCs w:val="16"/>
          <w:color w:val="auto"/>
        </w:rPr>
        <w:t>(a)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178" w:lineRule="exact"/>
        <w:rPr>
          <w:rFonts w:ascii="Arial" w:cs="Arial" w:eastAsia="Arial" w:hAnsi="Arial"/>
          <w:sz w:val="16"/>
          <w:szCs w:val="16"/>
          <w:color w:val="auto"/>
        </w:rPr>
      </w:pPr>
    </w:p>
    <w:p>
      <w:pPr>
        <w:ind w:left="4120" w:hanging="10"/>
        <w:spacing w:after="0" w:line="301" w:lineRule="auto"/>
        <w:tabs>
          <w:tab w:leader="none" w:pos="4369"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w:t>
      </w:r>
    </w:p>
    <w:p>
      <w:pPr>
        <w:spacing w:after="0" w:line="4" w:lineRule="exact"/>
        <w:rPr>
          <w:rFonts w:ascii="Arial" w:cs="Arial" w:eastAsia="Arial" w:hAnsi="Arial"/>
          <w:sz w:val="15"/>
          <w:szCs w:val="15"/>
          <w:color w:val="auto"/>
        </w:rPr>
      </w:pPr>
    </w:p>
    <w:p>
      <w:pPr>
        <w:ind w:left="4120" w:right="20"/>
        <w:spacing w:after="0" w:line="288" w:lineRule="auto"/>
        <w:rPr>
          <w:rFonts w:ascii="Arial" w:cs="Arial" w:eastAsia="Arial" w:hAnsi="Arial"/>
          <w:sz w:val="15"/>
          <w:szCs w:val="15"/>
          <w:color w:val="auto"/>
        </w:rPr>
      </w:pPr>
      <w:r>
        <w:rPr>
          <w:rFonts w:ascii="Arial" w:cs="Arial" w:eastAsia="Arial" w:hAnsi="Arial"/>
          <w:sz w:val="16"/>
          <w:szCs w:val="16"/>
          <w:color w:val="auto"/>
        </w:rPr>
        <w:t>(b)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120" w:right="80"/>
        <w:spacing w:after="0" w:line="254" w:lineRule="auto"/>
        <w:rPr>
          <w:sz w:val="20"/>
          <w:szCs w:val="20"/>
          <w:color w:val="auto"/>
        </w:rPr>
      </w:pPr>
      <w:r>
        <w:rPr>
          <w:rFonts w:ascii="Arial" w:cs="Arial" w:eastAsia="Arial" w:hAnsi="Arial"/>
          <w:sz w:val="18"/>
          <w:szCs w:val="18"/>
          <w:color w:val="auto"/>
        </w:rPr>
        <w:t>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198" w:lineRule="exact"/>
        <w:rPr>
          <w:sz w:val="20"/>
          <w:szCs w:val="20"/>
          <w:color w:val="auto"/>
        </w:rPr>
      </w:pPr>
    </w:p>
    <w:p>
      <w:pPr>
        <w:ind w:left="4120" w:right="80"/>
        <w:spacing w:after="0" w:line="259" w:lineRule="auto"/>
        <w:rPr>
          <w:sz w:val="20"/>
          <w:szCs w:val="20"/>
          <w:color w:val="auto"/>
        </w:rPr>
      </w:pPr>
      <w:r>
        <w:rPr>
          <w:rFonts w:ascii="Arial" w:cs="Arial" w:eastAsia="Arial" w:hAnsi="Arial"/>
          <w:sz w:val="18"/>
          <w:szCs w:val="18"/>
          <w:color w:val="auto"/>
        </w:rPr>
        <w:t>(4) we, together with our subsidiaries, will maintain an Unencumbered Total Asset Value in an amount not less than 150% of the aggregate outstanding principal amount of all of our and our subsidiaries’ unsecured Debt.</w:t>
      </w:r>
    </w:p>
    <w:p>
      <w:pPr>
        <w:sectPr>
          <w:pgSz w:w="11900" w:h="16838" w:orient="portrait"/>
          <w:cols w:equalWidth="0" w:num="1">
            <w:col w:w="11400"/>
          </w:cols>
          <w:pgMar w:left="240" w:top="459"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notes are redeemable at any time at our option, in whole or in part, at a redemption price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basis points, plus, in each case, accrued interest thereon to the redemption date. A detailed description is in “Description of Notes — Optional Redemption.”</w:t>
      </w:r>
    </w:p>
    <w:p>
      <w:pPr>
        <w:spacing w:after="0" w:line="12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Annual Report on Form 10-K filed with the SEC on March 3, 2006 and amended on March 10, 2006, before you decide to purchase the notes. The risks and uncertainties described below and in the referenced Form 10-K, as amended,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the subsidiaries’ preferred equity holders.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At September 30, 2006, after giving effect to this offering, and to the issuance of the notes and the application of the net proceeds of the offering, our subsidiaries had approximately $78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2006, after giving effect to this offering and the application of the net proceeds, we had approximately $286 million (excluding unamortized premium) of secured debt outstanding, all of which was effectively senior to the notes to the extent of the value of the securing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$134.0 million after deducting the underwriting discount and other estimated expenses of this offering payable by us. We intend to use these net proceeds for general corporate purposes, including repaying amounts outstanding under our revolving credit facility. As of October 31, 2006, we had approximately $85.0 million of debt outstanding on our revolving credit facility bearing interest at a weighted average annual rate, before amortization of debt fees, of 5.844% for the three month period ended October 31, 2006. Our revolving credit facility matures in July, 2010, subject to a one-year extension at our option. The borrowings under this facility were used for general corporate purposes, including working capital, property acquisitions and redevelopments. Affiliates of Wachovia Capital Markets, LLC, Citigroup Global Markets Inc. and affiliates of certain other underwriters are lenders under our revolving credit facility and will receive a pro rata portion of any proceeds used to reduce amounts outstanding under the credit facility.</w:t>
      </w:r>
    </w:p>
    <w:p>
      <w:pPr>
        <w:spacing w:after="0" w:line="19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For the Nine Months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2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Ended September 30,</w:t>
            </w:r>
          </w:p>
        </w:tc>
        <w:tc>
          <w:tcPr>
            <w:tcW w:w="480" w:type="dxa"/>
            <w:vAlign w:val="bottom"/>
          </w:tcPr>
          <w:p>
            <w:pPr>
              <w:spacing w:after="0"/>
              <w:rPr>
                <w:sz w:val="14"/>
                <w:szCs w:val="14"/>
                <w:color w:val="auto"/>
              </w:rPr>
            </w:pPr>
          </w:p>
        </w:tc>
        <w:tc>
          <w:tcPr>
            <w:tcW w:w="2440" w:type="dxa"/>
            <w:vAlign w:val="bottom"/>
            <w:gridSpan w:val="10"/>
          </w:tcPr>
          <w:p>
            <w:pPr>
              <w:ind w:left="200"/>
              <w:spacing w:after="0"/>
              <w:rPr>
                <w:sz w:val="20"/>
                <w:szCs w:val="20"/>
                <w:color w:val="auto"/>
              </w:rPr>
            </w:pPr>
            <w:r>
              <w:rPr>
                <w:rFonts w:ascii="Arial" w:cs="Arial" w:eastAsia="Arial" w:hAnsi="Arial"/>
                <w:sz w:val="14"/>
                <w:szCs w:val="14"/>
                <w:b w:val="1"/>
                <w:bCs w:val="1"/>
                <w:color w:val="auto"/>
                <w:w w:val="96"/>
              </w:rPr>
              <w:t>For the Years Ended December 31,</w:t>
            </w:r>
          </w:p>
        </w:tc>
      </w:tr>
      <w:tr>
        <w:trPr>
          <w:trHeight w:val="142"/>
        </w:trPr>
        <w:tc>
          <w:tcPr>
            <w:tcW w:w="7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2003</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1.9x</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1.8x</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1.8x</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1.7x</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1.6x</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1.2x</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1.4x</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420"/>
          </w:cols>
          <w:pgMar w:left="240" w:top="459" w:right="239" w:bottom="1440" w:gutter="0" w:footer="0" w:header="0"/>
        </w:sectPr>
      </w:pP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$135 million of our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notes maturing on December 1, 2013 , which may be redeemed prior to that date in accordance with their terms.</w:t>
      </w:r>
    </w:p>
    <w:p>
      <w:pPr>
        <w:spacing w:after="0" w:line="205" w:lineRule="exact"/>
        <w:rPr>
          <w:sz w:val="20"/>
          <w:szCs w:val="20"/>
          <w:color w:val="auto"/>
        </w:rPr>
      </w:pPr>
    </w:p>
    <w:p>
      <w:pPr>
        <w:sectPr>
          <w:pgSz w:w="11900" w:h="16838" w:orient="portrait"/>
          <w:cols w:equalWidth="0" w:num="2">
            <w:col w:w="2980" w:space="220"/>
            <w:col w:w="82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We will pay interest on the notes semi-annually in arrears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each year, commencing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2007, to the registered holders of</w:t>
      </w:r>
    </w:p>
    <w:p>
      <w:pPr>
        <w:spacing w:after="0" w:line="50" w:lineRule="exact"/>
        <w:rPr>
          <w:sz w:val="20"/>
          <w:szCs w:val="20"/>
          <w:color w:val="auto"/>
        </w:rPr>
      </w:pPr>
    </w:p>
    <w:p>
      <w:pPr>
        <w:sectPr>
          <w:pgSz w:w="11900" w:h="16838" w:orient="portrait"/>
          <w:cols w:equalWidth="0" w:num="4">
            <w:col w:w="4720" w:space="620"/>
            <w:col w:w="240" w:space="620"/>
            <w:col w:w="2060" w:space="720"/>
            <w:col w:w="2440"/>
          </w:cols>
          <w:pgMar w:left="240" w:top="459" w:right="239" w:bottom="1440" w:gutter="0" w:footer="0" w:header="0"/>
          <w:type w:val="continuous"/>
        </w:sectPr>
      </w:pPr>
    </w:p>
    <w:p>
      <w:pPr>
        <w:spacing w:after="0"/>
        <w:tabs>
          <w:tab w:leader="none" w:pos="2800" w:val="left"/>
          <w:tab w:leader="none" w:pos="3980" w:val="left"/>
        </w:tabs>
        <w:rPr>
          <w:sz w:val="20"/>
          <w:szCs w:val="20"/>
          <w:color w:val="auto"/>
        </w:rPr>
      </w:pPr>
      <w:r>
        <w:rPr>
          <w:rFonts w:ascii="Arial" w:cs="Arial" w:eastAsia="Arial" w:hAnsi="Arial"/>
          <w:sz w:val="18"/>
          <w:szCs w:val="18"/>
          <w:color w:val="auto"/>
        </w:rPr>
        <w:t>the notes on the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459" w:right="239" w:bottom="1440" w:gutter="0" w:footer="0" w:header="0"/>
          <w:type w:val="continuous"/>
        </w:sectPr>
      </w:pP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senior indenture apply to the notes. The notes will not be entitled to the benefit of any sinking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senior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senior indenture consisting of notes or other unsecured evidences of indebtedness.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that secures such lender’s mortgage and to all of the unsecured indebtedness of our subsidiaries. After giving effect to this offering and to the use of proceeds from this offering, we will have outstanding approximately $286 million (excluding unamortized premium) of secured indebtedness collateralized by all or parts of 15 properties, approximately $78 million of indebtedness issued by our subsidiaries (which will be senior to the notes) and approximately $1,093 million of other unsecured indebtedness ranking equally with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semi-annual basis (assuming a 360-day year consisting of twelve 30-day months) at the Adjusted Treasury Rate (as defined below) plus basis points plus, in each case, accrued interest thereon to the redemption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Citigroup Global Markets Inc. and other primary U.S. Government securities dealers in New York City selected by Wachovia Capital Markets,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Citigroup Global Markets Inc. ceases to be a primary U.S. Government securities dealer (a “Primary Treasury Dealer”), we will substitute therefor another Primary Treasury Dealer; and (2) any other Primary Treasury Dealer selected by us.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i w:val="1"/>
          <w:iCs w:val="1"/>
          <w:color w:val="auto"/>
        </w:rPr>
        <w:t>Limitations on Incurrence of Debt</w:t>
      </w:r>
      <w:r>
        <w:rPr>
          <w:rFonts w:ascii="Arial" w:cs="Arial" w:eastAsia="Arial" w:hAnsi="Arial"/>
          <w:sz w:val="16"/>
          <w:szCs w:val="16"/>
          <w:color w:val="auto"/>
        </w:rPr>
        <w:t>. The notes will provide that we will not, and will not permit any subsidiary to, incur any Debt if, immediately after</w:t>
      </w:r>
      <w:r>
        <w:rPr>
          <w:rFonts w:ascii="Arial" w:cs="Arial" w:eastAsia="Arial" w:hAnsi="Arial"/>
          <w:sz w:val="16"/>
          <w:szCs w:val="16"/>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color w:val="auto"/>
        </w:rPr>
        <w:t xml:space="preserve">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for purposes of this limitation, the amount of obligations under capital leases shown as a liability on our consolidated balance sheet shall be deducted from Debt and from Total Assets.</w:t>
      </w:r>
    </w:p>
    <w:p>
      <w:pPr>
        <w:spacing w:after="0" w:line="9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i w:val="1"/>
          <w:iCs w:val="1"/>
          <w:color w:val="auto"/>
        </w:rPr>
        <w:t>Maintenance of Unencumbered Total Asset Value</w:t>
      </w:r>
      <w:r>
        <w:rPr>
          <w:rFonts w:ascii="Arial" w:cs="Arial" w:eastAsia="Arial" w:hAnsi="Arial"/>
          <w:sz w:val="15"/>
          <w:szCs w:val="15"/>
          <w:color w:val="auto"/>
        </w:rPr>
        <w:t>. The notes will provide that we, together with our subsidiaries, will at all times maintain an</w:t>
      </w:r>
      <w:r>
        <w:rPr>
          <w:rFonts w:ascii="Arial" w:cs="Arial" w:eastAsia="Arial" w:hAnsi="Arial"/>
          <w:sz w:val="15"/>
          <w:szCs w:val="15"/>
          <w:i w:val="1"/>
          <w:iCs w:val="1"/>
          <w:color w:val="auto"/>
        </w:rPr>
        <w:t xml:space="preserve"> </w:t>
      </w:r>
      <w:r>
        <w:rPr>
          <w:rFonts w:ascii="Arial" w:cs="Arial" w:eastAsia="Arial" w:hAnsi="Arial"/>
          <w:sz w:val="15"/>
          <w:szCs w:val="15"/>
          <w:color w:val="auto"/>
        </w:rPr>
        <w:t>Unencumbered Total Asset Value in an amount not less than 150% of the aggregate outstanding principal amount of all our and our subsidiaries’ unsecured Debt.</w:t>
      </w:r>
    </w:p>
    <w:p>
      <w:pPr>
        <w:spacing w:after="0" w:line="6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notes will provide that we will, and will cause each of our subsidiaries to, maintain insurance with financially sound and reputable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2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43"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See “Description of Debt Securities — Certain Covenants” in the accompanying prospectus for a description of additional covenants applicable to us. 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(the “Depositary”) with respect to the notes, the terms of which are summarized below. Upon issuance, each of the notes will be represented by a single Global Security (as defined in the senior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senior indenture) of the notes for all purposes under the senior indenture. Except as otherwise provided in this section, the Beneficial Owners (as defined in the senior indenture) of the Global Security representing the notes will not be entitled to receive physical delivery of certificated notes and will not be considered the Holders thereof for any purpose under the senior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senior indenture)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maintain a custodial relationship with a Direct Participant, either directly or indirectly (“Indirect Participants”). The rules applicable to the Depositary and its Participants are on file with the SEC.</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177"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Subject to the preliminary considerations set forth in the prospectus, the following is a general discussion of the material U.S. federal income tax considerations applicable to initial holders of the notes.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does not address all the tax consequences that may be relevant to a particular holder or to holders subject to special treatment under the Code, such as financial institutions, broker dealers, insurance companies, former U.S. citizens or long-term residents, tax-exempt organizations, persons that are, or that hold their notes through, partnerships or other pass-through entities, U.S. Holders (as defined below) whose functional currency is not the U.S. dollar, or persons that hold notes as part of a straddle, hedge, conversion, synthetic security or constructive sale transaction for U.S. federal income tax purposes. Except as specifically provided below with respect to Non-U.S. Holders (as defined below), the discussion is limited to holders of notes that are U.S. Holders and that hold their notes as capital assets within the meaning of the Code.</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Holders are encouraged to consult their own tax advisors as to the particular U.S. federal income tax consequences to them of acquiring, owning and disposing of the notes, as well as the effects of state, local and non-U.S. tax laws.</w:t>
      </w:r>
    </w:p>
    <w:p>
      <w:pPr>
        <w:spacing w:after="0" w:line="13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 (A) a court in the United States is able to exercise primary supervision over the administration of the trust and one or more U.S. persons have the authority to control all substantial decisions of the trust, or (B) it has a valid election in place to be treated as a United States person. A “Non-U.S. Holder” means a beneficial owner of a note that is not a U.S. Holder or an entity or arrangement treated as a partnership for U.S. federal income tax purposes.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 of partnerships are encouraged to consult their tax advisors as to the particular U.S. federal income tax consequences applicable to them.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interest earned on the notes as ordinary income when received or accrued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U.S. Holder’s regular method of tax accounting. In general, if the terms of a debt instrument entitle a holder to receive payments other than certain fixed periodic interest that exceed the issue price of the instrument, the holder may be required to recognize additional interest as “original issue discount” over the term of the instrument. The notes are not expected to be issued with original issue discount for U.S. federal income tax purposes.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Upon the sale, exchange, redemption or other taxable disposition of a note, a U.S. Holder will generally recognize capital gain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equal to the difference (if any) between the amount realized (other than amounts attributable to accrued but unpaid stated interest, which will be taxable as ordinary income) and such U.S. Holder’s tax basis in the note. The U.S. Holder’s tax basis in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rules governing the United States federal income taxation of Non-U.S. Holders are complex and no attempt will be made herein to provide more than a summary of such rules. Prospective Non-U.S. Holders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encouraged to consult with their own tax advisors to determine the impact of federal, state, local and non-U.S. tax laws with regard to the notes.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tax on payments of interest on a note, provided that:</w:t>
      </w:r>
    </w:p>
    <w:p>
      <w:pPr>
        <w:spacing w:after="0" w:line="51" w:lineRule="exact"/>
        <w:rPr>
          <w:sz w:val="20"/>
          <w:szCs w:val="20"/>
          <w:color w:val="auto"/>
        </w:rPr>
      </w:pPr>
    </w:p>
    <w:p>
      <w:pPr>
        <w:ind w:left="780" w:right="2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IRS Form W-8ECI. To claim the benefit of an income tax treaty, the Non-U.S. Holder must timely provide the appropriate, properly executed IRS forms.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Subject to the discussion on backup withholding below, a Non-U.S. Holder generally will not be subject to U.S. federal income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tax on gain from the sale, exchange, redemption or other taxable disposition of a note unless:</w:t>
      </w:r>
    </w:p>
    <w:p>
      <w:pPr>
        <w:spacing w:after="0" w:line="51" w:lineRule="exact"/>
        <w:rPr>
          <w:sz w:val="20"/>
          <w:szCs w:val="20"/>
          <w:color w:val="auto"/>
        </w:rPr>
      </w:pPr>
    </w:p>
    <w:p>
      <w:pPr>
        <w:ind w:left="780" w:right="44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780" w:right="3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under an applicable tax treaty) 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amount by which capital gains from U.S. sources (including gains from the sale or other disposition of the notes) exceed capital losses allocable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sources. To claim the benefit of an income tax treaty, the Non-U.S. Holder must timely provide the appropriate, properly executed IRS forms.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may apply. Any amount withheld from a payment to a U.S. Holder under the backup withholding rules generally is allowable as a credit against the U.S. Holder’s U.S. federal income tax liability, provided that the required information is timely furnished to the IRS.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Payments to a Non-U.S. Holder of the principal of, interest on and any premium with respect to, or the proceeds of a sale or other disposition of, a note generally will not be subject to backup withholding or additional information reporting, provided that (i) the Non-U.S. Holder certifies under penalties of perjury on IRS Form W-8BEN that it is not a United States person and certain other conditions are satisfied, or (ii) the Non-U.S. Holder otherwise establishes an exemption; provided that, in either case, neither we nor any withholding agent knows or has reason to know that the holder is a United States person or that the conditions of any other exemptions are in fact not satisfied. Any amounts so withheld may be refunded or credited against the Non-U.S. Holder’s U.S. federal income tax liability, if any, provided that the required information is timely furnished to the IRS.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Wachovia Capital Markets, LLC and Citigroup Global Markets Inc. are acting as joint book-running managers of the offering and as representatives of the underwriters named below.</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and a related pricing agreement, each dated the date of this prospectus supplement, each underwriter named below has agreed to purchase, and we have agreed to sell to that underwriter, the principal amount of the notes set forth opposite the underwriter’s name.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9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4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55"/>
        </w:trPr>
        <w:tc>
          <w:tcPr>
            <w:tcW w:w="98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0"/>
              </w:rPr>
              <w:t>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4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Commerzbank Capital Markets Corp.</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4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center"/>
              <w:ind w:left="352"/>
              <w:spacing w:after="0"/>
              <w:rPr>
                <w:sz w:val="20"/>
                <w:szCs w:val="20"/>
                <w:color w:val="auto"/>
              </w:rPr>
            </w:pPr>
            <w:r>
              <w:rPr>
                <w:rFonts w:ascii="Arial" w:cs="Arial" w:eastAsia="Arial" w:hAnsi="Arial"/>
                <w:sz w:val="18"/>
                <w:szCs w:val="18"/>
                <w:color w:val="auto"/>
                <w:w w:val="96"/>
              </w:rPr>
              <w:t>$  135,000,000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must purchase all of the notes if they purchase any of the notes.</w:t>
      </w:r>
    </w:p>
    <w:p>
      <w:pPr>
        <w:spacing w:after="0" w:line="85"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underwriters have advised us that they propose to offer some of the notes directly to the public at the public offering price appearing on the cover page of this prospectus supplement and some of the notes to certain dealers at the public offering price less a concession not to exceed % of the principal amount of the notes. The underwriters may allow, and dealers may reallow, a concession not to exceed % of the principal amount of the notes on sales to other dealers. After the initial offering, the public offering price and concessions to dealers may be changed.</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8" w:lineRule="exact"/>
        <w:rPr>
          <w:sz w:val="20"/>
          <w:szCs w:val="20"/>
          <w:color w:val="auto"/>
        </w:rPr>
      </w:pPr>
    </w:p>
    <w:p>
      <w:pPr>
        <w:ind w:left="9480"/>
        <w:spacing w:after="0"/>
        <w:rPr>
          <w:sz w:val="20"/>
          <w:szCs w:val="20"/>
          <w:color w:val="auto"/>
        </w:rPr>
      </w:pPr>
      <w:r>
        <w:rPr>
          <w:rFonts w:ascii="Arial" w:cs="Arial" w:eastAsia="Arial" w:hAnsi="Arial"/>
          <w:sz w:val="14"/>
          <w:szCs w:val="14"/>
          <w:b w:val="1"/>
          <w:bCs w:val="1"/>
          <w:u w:val="single" w:color="auto"/>
          <w:color w:val="auto"/>
        </w:rPr>
        <w:t>Paid by Federal Realty</w:t>
      </w:r>
    </w:p>
    <w:p>
      <w:pPr>
        <w:spacing w:after="0" w:line="13" w:lineRule="exact"/>
        <w:rPr>
          <w:sz w:val="20"/>
          <w:szCs w:val="20"/>
          <w:color w:val="auto"/>
        </w:rPr>
      </w:pPr>
    </w:p>
    <w:p>
      <w:pPr>
        <w:ind w:left="460"/>
        <w:spacing w:after="0"/>
        <w:tabs>
          <w:tab w:leader="none" w:pos="10800" w:val="left"/>
        </w:tabs>
        <w:rPr>
          <w:sz w:val="20"/>
          <w:szCs w:val="20"/>
          <w:color w:val="auto"/>
        </w:rPr>
      </w:pPr>
      <w:r>
        <w:rPr>
          <w:rFonts w:ascii="Arial" w:cs="Arial" w:eastAsia="Arial" w:hAnsi="Arial"/>
          <w:sz w:val="18"/>
          <w:szCs w:val="18"/>
          <w:color w:val="auto"/>
        </w:rPr>
        <w:t>Per note</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connection with the offering, Wachovia Capital Markets, LLC and Citigroup Global Markets Inc.,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44"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underwriters also may impose penalty bids. Penalty bids permit the underwriters to reclaim a selling concession from a syndicate member when Wachovia Capital Markets, LLC and Citigroup Global Markets Inc., in covering syndicate short positions or making stabilizing purchases, repurchase notes originally sold by that syndicate member.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(excluding the underwriting discount) will be $150,000.</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of the underwriters and their affiliates have engaged in, and may in the future engage in, investment banking and other commercial dealings with us from time to time in the ordinary course of their business. In particular, affiliates of Wachovia Capital Markets, LLC, Citigroup Global Markets Inc. and affiliates of certain other underwriters are lenders under our existing revolving credit facility, and affiliates of Wachovia Capital Markets, LLC are the administrative agent, the syndication agent and the co-documentation agent, respectively, under such facility. In addition, an affiliate of Wachovia Capital Markets, LLC is the lender under a bridge facility we used recently to finance the acquisition of three properties in New England.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balance sheets as of December 31, 2005 and 2004 and the consolidated statements of operations, common shareholders’ equity and cash flows for the three years ended December 31, 2005, 2004 and 2003 appearing in our Annual Report on Form 10-K, as amended, for the fiscal year ended December 31, 2005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legality of the notes offered by this prospectus supplement will be passed upon for us by Pillsbury Winthrop Shaw Pittman LLP, Washington, DC.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Pillsbury Winthrop Shaw Pittman LLP. Sidley Austin LLP, New York, New York, will act as counsel to the underwriters.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Any statement contained in this prospectus supplement, the accompanying prospectus or a document incorporated or deemed to be incorporated by reference in this prospectus supplement or the accompanying prospectus will be deemed to have been modified or superseded to the extent that a statement contained in this prospectus supplement, or in any subsequently filed document that also is or is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 We do not incorporate by reference into this prospectus supplement or the accompanying prospectus any documents or portions of documents that, in accordance with SEC rules, we “furnish” to the SEC, as opposed to those documents or portions of documents that we “file” with the SEC. As a result, the information that we furnish to the SEC is not and will not be a part of this prospectus supplement or the accompanying prospectus.</w:t>
      </w:r>
    </w:p>
    <w:p>
      <w:pPr>
        <w:spacing w:after="0" w:line="12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(Exchange Act File No. 1-07533), from the date of this prospectus supplement until we terminate the offering hereunder.</w:t>
      </w:r>
    </w:p>
    <w:p>
      <w:pPr>
        <w:spacing w:after="0" w:line="4"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Report on Form 10-K, as amended, for the fiscal year ended December 31,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June 30,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September 30,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23,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13, 2006 (only with respect to Item 5.02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14,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August 7, 2006</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15,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October 2, 2006</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998-8100 or (800) 658-8980</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right="2460" w:firstLine="2064"/>
        <w:spacing w:after="0" w:line="444" w:lineRule="auto"/>
        <w:rPr>
          <w:sz w:val="20"/>
          <w:szCs w:val="20"/>
          <w:color w:val="auto"/>
        </w:rPr>
      </w:pPr>
      <w:r>
        <w:rPr>
          <w:rFonts w:ascii="Arial" w:cs="Arial" w:eastAsia="Arial" w:hAnsi="Arial"/>
          <w:sz w:val="16"/>
          <w:szCs w:val="16"/>
          <w:b w:val="1"/>
          <w:bCs w:val="1"/>
          <w:color w:val="auto"/>
        </w:rPr>
        <w:t xml:space="preserve">Debt Securities, Common Shares, Preferred Shares, Depositary Shares and Warrants </w:t>
      </w:r>
      <w:r>
        <w:rPr>
          <w:rFonts w:ascii="Arial" w:cs="Arial" w:eastAsia="Arial" w:hAnsi="Arial"/>
          <w:sz w:val="16"/>
          <w:szCs w:val="16"/>
          <w:color w:val="auto"/>
        </w:rPr>
        <w:t>We may from time to time offer, in one or more series, separately or together, the following:</w:t>
      </w:r>
    </w:p>
    <w:p>
      <w:pPr>
        <w:spacing w:after="0" w:line="1"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106045</wp:posOffset>
            </wp:positionV>
            <wp:extent cx="1534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20, 2006.</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1"/>
            <w:vMerge w:val="restart"/>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Description of Shares of Beneficial Interest</w:t>
              </w:r>
            </w:hyperlink>
          </w:p>
        </w:tc>
        <w:tc>
          <w:tcPr>
            <w:tcW w:w="80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Federal Income Tax Consequences</w:t>
              </w:r>
            </w:hyperlink>
          </w:p>
        </w:tc>
        <w:tc>
          <w:tcPr>
            <w:tcW w:w="86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high-quality retail and mixed-use properties. As of March 31,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2006, we owned or had a majority interest in 104 community and neighborhood shopping centers and mixed-use properties comprising approximately</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17.6 million square feet, located primarily in densely populated and affluent communities throughout the Northeast and Mid-Atlantic United States, as well as in California, and one apartment complex in Maryland.</w:t>
      </w:r>
    </w:p>
    <w:p>
      <w:pPr>
        <w:spacing w:after="0" w:line="13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32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6"/>
              </w:rPr>
              <w:t>For the Years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2002</w:t>
            </w: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59"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or dates.</w:t>
      </w:r>
    </w:p>
    <w:p>
      <w:pPr>
        <w:spacing w:after="0" w:line="5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780" w:right="100" w:hanging="326"/>
        <w:spacing w:after="0" w:line="298"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780" w:right="160" w:hanging="326"/>
        <w:spacing w:after="0" w:line="25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index or pursuant to a formula or other method, the manner in which such amounts will be determined.</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method by which such portion shall be determined.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Rights. </w:t>
      </w:r>
      <w:r>
        <w:rPr>
          <w:rFonts w:ascii="Arial" w:cs="Arial" w:eastAsia="Arial" w:hAnsi="Arial"/>
          <w:sz w:val="18"/>
          <w:szCs w:val="18"/>
          <w:color w:val="auto"/>
        </w:rPr>
        <w:t>Provisions, if any, granting special rights to the holders of the offered debt securities if certain specified events occur.</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780" w:right="70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780" w:right="28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the subordinated indenture, the relative degree to which the offered debt securities shall be senior to or junior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780" w:right="60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securities or property.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780" w:right="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issue debt securities in bearer form, we will issue those debt securities only to non-U.S. persons and may treat the bearer of the securities as the owner for all purposes, including payment, exchange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and transfer. If we issue debt securities in bearer form, we will describe special offering restrictions and material U.S. federal income tax consequences relating to the offered debt securities in a prospectus supplement.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00" w:firstLine="456"/>
        <w:spacing w:after="0" w:line="253"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63"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You may transfer or exchange debt securities without service charge, although we may require you to pay any related tax or other governmental charge.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jc w:val="both"/>
        <w:ind w:left="780" w:right="8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5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51"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90" w:lineRule="exact"/>
        <w:rPr>
          <w:rFonts w:ascii="Arial" w:cs="Arial" w:eastAsia="Arial" w:hAnsi="Arial"/>
          <w:sz w:val="18"/>
          <w:szCs w:val="18"/>
          <w:color w:val="auto"/>
        </w:rPr>
      </w:pPr>
    </w:p>
    <w:p>
      <w:pPr>
        <w:ind w:left="1260" w:right="160" w:hanging="455"/>
        <w:spacing w:after="0" w:line="259"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780" w:right="220" w:hanging="326"/>
        <w:spacing w:after="0" w:line="25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4"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ind w:left="1260" w:right="100" w:hanging="455"/>
        <w:spacing w:after="0" w:line="306" w:lineRule="auto"/>
        <w:tabs>
          <w:tab w:leader="none" w:pos="12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5680" w:right="4960" w:hanging="5226"/>
        <w:spacing w:after="0" w:line="525" w:lineRule="auto"/>
        <w:tabs>
          <w:tab w:leader="none" w:pos="788"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 any principal, premium, if any, or interest on subordinated debt securities; or 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59"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13"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160" w:firstLine="443"/>
        <w:spacing w:after="0" w:line="268" w:lineRule="auto"/>
        <w:tabs>
          <w:tab w:leader="none" w:pos="10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0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0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90" w:lineRule="exact"/>
        <w:rPr>
          <w:sz w:val="20"/>
          <w:szCs w:val="20"/>
          <w:color w:val="auto"/>
        </w:rPr>
      </w:pPr>
    </w:p>
    <w:p>
      <w:pPr>
        <w:ind w:left="1080" w:hanging="177"/>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920" w:right="80" w:firstLine="421"/>
        <w:spacing w:after="0" w:line="268" w:lineRule="auto"/>
        <w:tabs>
          <w:tab w:leader="none" w:pos="1579"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50" w:lineRule="exact"/>
        <w:rPr>
          <w:rFonts w:ascii="Arial" w:cs="Arial" w:eastAsia="Arial" w:hAnsi="Arial"/>
          <w:sz w:val="18"/>
          <w:szCs w:val="18"/>
          <w:color w:val="auto"/>
        </w:rPr>
      </w:pPr>
    </w:p>
    <w:p>
      <w:pPr>
        <w:ind w:left="920" w:right="40" w:firstLine="421"/>
        <w:spacing w:after="0" w:line="332" w:lineRule="auto"/>
        <w:tabs>
          <w:tab w:leader="none" w:pos="1588" w:val="left"/>
        </w:tabs>
        <w:numPr>
          <w:ilvl w:val="1"/>
          <w:numId w:val="34"/>
        </w:numPr>
        <w:rPr>
          <w:rFonts w:ascii="Arial" w:cs="Arial" w:eastAsia="Arial" w:hAnsi="Arial"/>
          <w:sz w:val="16"/>
          <w:szCs w:val="16"/>
          <w:color w:val="auto"/>
        </w:rPr>
      </w:pPr>
      <w:r>
        <w:rPr>
          <w:rFonts w:ascii="Arial" w:cs="Arial" w:eastAsia="Arial" w:hAnsi="Arial"/>
          <w:sz w:val="16"/>
          <w:szCs w:val="16"/>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spacing w:after="0" w:line="4" w:lineRule="exact"/>
        <w:rPr>
          <w:rFonts w:ascii="Arial" w:cs="Arial" w:eastAsia="Arial" w:hAnsi="Arial"/>
          <w:sz w:val="16"/>
          <w:szCs w:val="16"/>
          <w:color w:val="auto"/>
        </w:rPr>
      </w:pPr>
    </w:p>
    <w:p>
      <w:pPr>
        <w:ind w:left="920" w:right="620" w:firstLine="421"/>
        <w:spacing w:after="0" w:line="268" w:lineRule="auto"/>
        <w:tabs>
          <w:tab w:leader="none" w:pos="1579"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that if an event of default occurs and continues,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 or the holders of not less than 25% in aggregate principal amount of the debt securities of the applicable series outstanding may declare all unpaid principal of, premium, if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 before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59"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90" w:lineRule="exact"/>
        <w:rPr>
          <w:rFonts w:ascii="Arial" w:cs="Arial" w:eastAsia="Arial" w:hAnsi="Arial"/>
          <w:sz w:val="18"/>
          <w:szCs w:val="18"/>
          <w:color w:val="auto"/>
        </w:rPr>
      </w:pPr>
    </w:p>
    <w:p>
      <w:pPr>
        <w:ind w:left="1260" w:right="220" w:hanging="455"/>
        <w:spacing w:after="0" w:line="268"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90" w:lineRule="exact"/>
        <w:rPr>
          <w:rFonts w:ascii="Arial" w:cs="Arial" w:eastAsia="Arial" w:hAnsi="Arial"/>
          <w:sz w:val="18"/>
          <w:szCs w:val="18"/>
          <w:color w:val="auto"/>
        </w:rPr>
      </w:pPr>
    </w:p>
    <w:p>
      <w:pPr>
        <w:ind w:left="1260" w:right="260" w:hanging="455"/>
        <w:spacing w:after="0" w:line="268"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Limitation on Suits. </w:t>
      </w:r>
      <w:r>
        <w:rPr>
          <w:rFonts w:ascii="Arial" w:cs="Arial" w:eastAsia="Arial" w:hAnsi="Arial"/>
          <w:sz w:val="18"/>
          <w:szCs w:val="18"/>
          <w:color w:val="auto"/>
        </w:rPr>
        <w:t>Each indenture provides that no holders of debt securities of any series may institute any proceedings, judicial or otherwise,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 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4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780" w:right="34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780" w:right="100"/>
        <w:spacing w:after="0" w:line="253" w:lineRule="auto"/>
        <w:rPr>
          <w:rFonts w:ascii="Arial" w:cs="Arial" w:eastAsia="Arial" w:hAnsi="Arial"/>
          <w:sz w:val="16"/>
          <w:szCs w:val="16"/>
          <w:color w:val="auto"/>
        </w:rPr>
      </w:pPr>
      <w:r>
        <w:rPr>
          <w:rFonts w:ascii="Arial" w:cs="Arial" w:eastAsia="Arial" w:hAnsi="Arial"/>
          <w:sz w:val="18"/>
          <w:szCs w:val="18"/>
          <w:color w:val="auto"/>
        </w:rPr>
        <w:t>(i)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64"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90"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780" w:right="60" w:hanging="326"/>
        <w:spacing w:after="0" w:line="256"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26"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4"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780" w:right="52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spacing w:after="0" w:line="268" w:lineRule="auto"/>
        <w:rPr>
          <w:sz w:val="20"/>
          <w:szCs w:val="20"/>
          <w:color w:val="auto"/>
        </w:rPr>
      </w:pPr>
      <w:r>
        <w:rPr>
          <w:rFonts w:ascii="Arial" w:cs="Arial" w:eastAsia="Arial" w:hAnsi="Arial"/>
          <w:sz w:val="18"/>
          <w:szCs w:val="18"/>
          <w:color w:val="auto"/>
        </w:rPr>
        <w:t>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64"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50" w:lineRule="exact"/>
        <w:rPr>
          <w:rFonts w:ascii="Arial" w:cs="Arial" w:eastAsia="Arial" w:hAnsi="Arial"/>
          <w:sz w:val="18"/>
          <w:szCs w:val="18"/>
          <w:color w:val="auto"/>
        </w:rPr>
      </w:pPr>
    </w:p>
    <w:p>
      <w:pPr>
        <w:ind w:left="780" w:right="400" w:hanging="326"/>
        <w:spacing w:after="0" w:line="25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ind w:right="320" w:firstLine="456"/>
        <w:spacing w:after="0" w:line="317" w:lineRule="auto"/>
        <w:rPr>
          <w:sz w:val="20"/>
          <w:szCs w:val="20"/>
          <w:color w:val="auto"/>
        </w:rPr>
      </w:pPr>
      <w:r>
        <w:rPr>
          <w:rFonts w:ascii="Arial" w:cs="Arial" w:eastAsia="Arial" w:hAnsi="Arial"/>
          <w:sz w:val="16"/>
          <w:szCs w:val="16"/>
          <w:color w:val="auto"/>
        </w:rPr>
        <w:t xml:space="preserve">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 shares which were designated as 8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Series B Cumulative Redeemable Preferred Shares, which we refer to as the Series B preferred shares.</w:t>
      </w:r>
    </w:p>
    <w:p>
      <w:pPr>
        <w:spacing w:after="0" w:line="2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classify or reclassify any authorized but unissued common shares or preferred shares into one or more classes or series of shares of beneficial interest;</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59" w:lineRule="exact"/>
        <w:rPr>
          <w:sz w:val="20"/>
          <w:szCs w:val="20"/>
          <w:color w:val="auto"/>
        </w:rPr>
      </w:pPr>
    </w:p>
    <w:p>
      <w:pPr>
        <w:ind w:left="780" w:right="8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50" w:lineRule="exact"/>
        <w:rPr>
          <w:rFonts w:ascii="Arial" w:cs="Arial" w:eastAsia="Arial" w:hAnsi="Arial"/>
          <w:sz w:val="18"/>
          <w:szCs w:val="18"/>
          <w:color w:val="auto"/>
        </w:rPr>
      </w:pPr>
    </w:p>
    <w:p>
      <w:pPr>
        <w:ind w:left="780" w:right="20" w:hanging="326"/>
        <w:spacing w:after="0" w:line="25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780" w:right="180" w:hanging="326"/>
        <w:spacing w:after="0" w:line="306"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26"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Transfer Agent and Registrar. </w:t>
      </w:r>
      <w:r>
        <w:rPr>
          <w:rFonts w:ascii="Arial" w:cs="Arial" w:eastAsia="Arial" w:hAnsi="Arial"/>
          <w:sz w:val="16"/>
          <w:szCs w:val="16"/>
          <w:color w:val="auto"/>
        </w:rPr>
        <w:t>The transfer agent and registrar for the common shares is American Stock Transfer &amp; Trust Company, New York,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dividend rate(s), period(s), amounts and/or payment date(s) or method(s) of calculation of any of those terms that apply to those preferred shares;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7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shares are in arrears. 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holders of the Series B preferred shares have such voting rights as are required by applicable law or any applicable rules and regulations of the New York Stock Exchange.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 xml:space="preserve">Transfer Agent and Registrar. </w:t>
      </w:r>
      <w:r>
        <w:rPr>
          <w:rFonts w:ascii="Arial" w:cs="Arial" w:eastAsia="Arial" w:hAnsi="Arial"/>
          <w:sz w:val="15"/>
          <w:szCs w:val="15"/>
          <w:color w:val="auto"/>
        </w:rPr>
        <w:t>The transfer agent and registrar for the Series B preferred shares is American Stock Transfer &amp; Trust Company, New York,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York. We will identify the transfer agent and registrar for any additional series of preferred shares issued through this prospectus in a prospectus supplement.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332" w:lineRule="auto"/>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4" w:lineRule="exact"/>
        <w:rPr>
          <w:sz w:val="20"/>
          <w:szCs w:val="20"/>
          <w:color w:val="auto"/>
        </w:rPr>
      </w:pPr>
    </w:p>
    <w:p>
      <w:pPr>
        <w:ind w:left="780" w:right="200" w:hanging="326"/>
        <w:spacing w:after="0" w:line="306"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780" w:right="88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color w:val="auto"/>
        </w:rPr>
        <w:t>. 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26"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price per share equal to the market price (which is calculated as defined in our declaration of trust) on the date the shares were received, or</w:t>
      </w:r>
    </w:p>
    <w:p>
      <w:pPr>
        <w:spacing w:after="0" w:line="124" w:lineRule="exact"/>
        <w:rPr>
          <w:rFonts w:ascii="Arial" w:cs="Arial" w:eastAsia="Arial" w:hAnsi="Arial"/>
          <w:sz w:val="15"/>
          <w:szCs w:val="15"/>
          <w:color w:val="auto"/>
        </w:rPr>
      </w:pPr>
    </w:p>
    <w:p>
      <w:pPr>
        <w:ind w:left="1260" w:hanging="455"/>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must both give us immediate written notice of such event and provide us such other information as requested in order to determine the effect, if any, of such transfer on our status as a REIT.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62"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“Control Shares” are shares that, if added to all other shares previously acquired, would entitle that person to vote, in electing trustees:</w:t>
      </w:r>
    </w:p>
    <w:p>
      <w:pPr>
        <w:spacing w:after="0" w:line="90" w:lineRule="exact"/>
        <w:rPr>
          <w:sz w:val="20"/>
          <w:szCs w:val="20"/>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On April 13, 1989, we adopted a shareholder rights plan and declared a dividend distribution of one right for each outstanding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90" w:lineRule="exact"/>
        <w:rPr>
          <w:sz w:val="20"/>
          <w:szCs w:val="20"/>
          <w:color w:val="auto"/>
        </w:rPr>
      </w:pPr>
    </w:p>
    <w:p>
      <w:pPr>
        <w:ind w:left="780" w:right="48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90"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color w:val="auto"/>
        </w:rPr>
        <w:t>. 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Number of Trustees; Classified Board</w:t>
      </w:r>
      <w:r>
        <w:rPr>
          <w:rFonts w:ascii="Arial" w:cs="Arial" w:eastAsia="Arial" w:hAnsi="Arial"/>
          <w:sz w:val="18"/>
          <w:szCs w:val="18"/>
          <w:color w:val="auto"/>
        </w:rPr>
        <w:t>. The number of trustees may be increased or decreased pursuant to the bylaws, provided that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color w:val="auto"/>
        </w:rPr>
        <w:t>. Under the declaration of trust, and subject to the rights of any holders of preferred shares, our shareholders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51" w:lineRule="exact"/>
        <w:rPr>
          <w:sz w:val="20"/>
          <w:szCs w:val="20"/>
          <w:color w:val="auto"/>
        </w:rPr>
      </w:pPr>
    </w:p>
    <w:p>
      <w:pPr>
        <w:ind w:left="780" w:right="22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Vacancies on the Board of Trustees.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Meetings of Shareholders. </w:t>
      </w:r>
      <w:r>
        <w:rPr>
          <w:rFonts w:ascii="Arial" w:cs="Arial" w:eastAsia="Arial" w:hAnsi="Arial"/>
          <w:sz w:val="18"/>
          <w:szCs w:val="18"/>
          <w:color w:val="auto"/>
        </w:rPr>
        <w:t>Our bylaws provide for an annual meeting of shareholders, to be held in May after delivery of the annual report to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40"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b w:val="1"/>
          <w:bCs w:val="1"/>
          <w:i w:val="1"/>
          <w:iCs w:val="1"/>
          <w:color w:val="auto"/>
        </w:rPr>
        <w:t xml:space="preserve">Advance Notice for Shareholder Nominations and Shareholder New Business Proposals.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55" w:lineRule="exact"/>
        <w:rPr>
          <w:sz w:val="20"/>
          <w:szCs w:val="20"/>
          <w:color w:val="auto"/>
        </w:rPr>
      </w:pPr>
    </w:p>
    <w:p>
      <w:pPr>
        <w:ind w:right="20" w:firstLine="456"/>
        <w:spacing w:after="0" w:line="239"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5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CONSEQUENCES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 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59" w:lineRule="exact"/>
        <w:rPr>
          <w:sz w:val="20"/>
          <w:szCs w:val="20"/>
          <w:color w:val="auto"/>
        </w:rPr>
      </w:pPr>
    </w:p>
    <w:p>
      <w:pPr>
        <w:ind w:left="780" w:right="4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780" w:right="180" w:hanging="326"/>
        <w:spacing w:after="0" w:line="332"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4"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780" w:right="1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40"/>
        <w:spacing w:after="0" w:line="259" w:lineRule="auto"/>
        <w:rPr>
          <w:sz w:val="20"/>
          <w:szCs w:val="20"/>
          <w:color w:val="auto"/>
        </w:rPr>
      </w:pPr>
      <w:r>
        <w:rPr>
          <w:rFonts w:ascii="Arial" w:cs="Arial" w:eastAsia="Arial" w:hAnsi="Arial"/>
          <w:sz w:val="18"/>
          <w:szCs w:val="18"/>
          <w:color w:val="auto"/>
        </w:rPr>
        <w:t>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3" w:lineRule="exact"/>
        <w:rPr>
          <w:sz w:val="20"/>
          <w:szCs w:val="20"/>
          <w:color w:val="auto"/>
        </w:rPr>
      </w:pPr>
    </w:p>
    <w:p>
      <w:pPr>
        <w:jc w:val="both"/>
        <w:ind w:left="780" w:right="160" w:hanging="326"/>
        <w:spacing w:after="0" w:line="25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9"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90" w:lineRule="exact"/>
        <w:rPr>
          <w:sz w:val="20"/>
          <w:szCs w:val="20"/>
          <w:color w:val="auto"/>
        </w:rPr>
      </w:pPr>
    </w:p>
    <w:p>
      <w:pPr>
        <w:ind w:left="780" w:right="60" w:hanging="326"/>
        <w:spacing w:after="0" w:line="255"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61" w:lineRule="exact"/>
        <w:rPr>
          <w:rFonts w:ascii="Arial" w:cs="Arial" w:eastAsia="Arial" w:hAnsi="Arial"/>
          <w:sz w:val="18"/>
          <w:szCs w:val="18"/>
          <w:color w:val="auto"/>
        </w:rPr>
      </w:pPr>
    </w:p>
    <w:p>
      <w:pPr>
        <w:ind w:left="780" w:right="200" w:hanging="326"/>
        <w:spacing w:after="0" w:line="30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Rental Income. </w:t>
      </w:r>
      <w:r>
        <w:rPr>
          <w:rFonts w:ascii="Arial" w:cs="Arial" w:eastAsia="Arial" w:hAnsi="Arial"/>
          <w:sz w:val="18"/>
          <w:szCs w:val="18"/>
          <w:color w:val="auto"/>
        </w:rPr>
        <w:t>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59" w:lineRule="exact"/>
        <w:rPr>
          <w:sz w:val="20"/>
          <w:szCs w:val="20"/>
          <w:color w:val="auto"/>
        </w:rPr>
      </w:pPr>
    </w:p>
    <w:p>
      <w:pPr>
        <w:ind w:left="780" w:right="8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rent must not be based, in whole or in part, on the income or profits of any person although, generally, rent may be based on a fixed percentage or percentages of receipts or sales. We have not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spacing w:after="0" w:line="268" w:lineRule="auto"/>
        <w:rPr>
          <w:sz w:val="20"/>
          <w:szCs w:val="20"/>
          <w:color w:val="auto"/>
        </w:rPr>
      </w:pPr>
      <w:r>
        <w:rPr>
          <w:rFonts w:ascii="Arial" w:cs="Arial" w:eastAsia="Arial" w:hAnsi="Arial"/>
          <w:sz w:val="18"/>
          <w:szCs w:val="18"/>
          <w:color w:val="auto"/>
        </w:rPr>
        <w:t>entered into any lease based in whole or part on the net income of any person and do not anticipate entering into such arrangements (except where we have determined that the rent received will not jeopardize our status as a REIT);</w:t>
      </w:r>
    </w:p>
    <w:p>
      <w:pPr>
        <w:spacing w:after="0" w:line="64" w:lineRule="exact"/>
        <w:rPr>
          <w:sz w:val="20"/>
          <w:szCs w:val="20"/>
          <w:color w:val="auto"/>
        </w:rPr>
      </w:pPr>
    </w:p>
    <w:p>
      <w:pPr>
        <w:ind w:left="780" w:hanging="326"/>
        <w:spacing w:after="0" w:line="287"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41" w:lineRule="exact"/>
        <w:rPr>
          <w:rFonts w:ascii="Arial" w:cs="Arial" w:eastAsia="Arial" w:hAnsi="Arial"/>
          <w:sz w:val="16"/>
          <w:szCs w:val="16"/>
          <w:color w:val="auto"/>
        </w:rPr>
      </w:pPr>
    </w:p>
    <w:p>
      <w:pPr>
        <w:ind w:left="780" w:right="40" w:hanging="326"/>
        <w:spacing w:after="0" w:line="254"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63" w:lineRule="exact"/>
        <w:rPr>
          <w:rFonts w:ascii="Arial" w:cs="Arial" w:eastAsia="Arial" w:hAnsi="Arial"/>
          <w:sz w:val="18"/>
          <w:szCs w:val="18"/>
          <w:color w:val="auto"/>
        </w:rPr>
      </w:pPr>
    </w:p>
    <w:p>
      <w:pPr>
        <w:ind w:left="780" w:right="240" w:hanging="326"/>
        <w:spacing w:after="0" w:line="298"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31" w:lineRule="exact"/>
        <w:rPr>
          <w:rFonts w:ascii="Arial" w:cs="Arial" w:eastAsia="Arial" w:hAnsi="Arial"/>
          <w:sz w:val="16"/>
          <w:szCs w:val="16"/>
          <w:color w:val="auto"/>
        </w:rPr>
      </w:pPr>
    </w:p>
    <w:p>
      <w:pPr>
        <w:ind w:left="780" w:right="20" w:hanging="326"/>
        <w:spacing w:after="0" w:line="290"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90" w:lineRule="exact"/>
        <w:rPr>
          <w:sz w:val="20"/>
          <w:szCs w:val="20"/>
          <w:color w:val="auto"/>
        </w:rPr>
      </w:pPr>
    </w:p>
    <w:p>
      <w:pPr>
        <w:ind w:left="78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60" w:hanging="326"/>
        <w:spacing w:after="0" w:line="259"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59"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50" w:lineRule="exact"/>
        <w:rPr>
          <w:rFonts w:ascii="Arial" w:cs="Arial" w:eastAsia="Arial" w:hAnsi="Arial"/>
          <w:sz w:val="18"/>
          <w:szCs w:val="18"/>
          <w:color w:val="auto"/>
        </w:rPr>
      </w:pPr>
    </w:p>
    <w:p>
      <w:pPr>
        <w:jc w:val="both"/>
        <w:ind w:left="780" w:right="20" w:hanging="326"/>
        <w:spacing w:after="0" w:line="259"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26" w:lineRule="exact"/>
        <w:rPr>
          <w:sz w:val="20"/>
          <w:szCs w:val="20"/>
          <w:color w:val="auto"/>
        </w:rPr>
      </w:pPr>
    </w:p>
    <w:p>
      <w:pPr>
        <w:ind w:left="780" w:hanging="326"/>
        <w:spacing w:after="0" w:line="332" w:lineRule="auto"/>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780" w:right="30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0" w:lineRule="exact"/>
        <w:rPr>
          <w:rFonts w:ascii="Arial" w:cs="Arial" w:eastAsia="Arial" w:hAnsi="Arial"/>
          <w:sz w:val="18"/>
          <w:szCs w:val="18"/>
          <w:color w:val="auto"/>
        </w:rPr>
      </w:pPr>
    </w:p>
    <w:p>
      <w:pPr>
        <w:ind w:left="780" w:right="240" w:hanging="326"/>
        <w:spacing w:after="0" w:line="370" w:lineRule="auto"/>
        <w:tabs>
          <w:tab w:leader="none" w:pos="7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23" w:lineRule="auto"/>
        <w:rPr>
          <w:sz w:val="20"/>
          <w:szCs w:val="20"/>
          <w:color w:val="auto"/>
        </w:rPr>
      </w:pPr>
      <w:r>
        <w:rPr>
          <w:rFonts w:ascii="Arial" w:cs="Arial" w:eastAsia="Arial" w:hAnsi="Arial"/>
          <w:sz w:val="15"/>
          <w:szCs w:val="15"/>
          <w:color w:val="auto"/>
        </w:rPr>
        <w:t>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13" w:lineRule="exact"/>
        <w:rPr>
          <w:sz w:val="20"/>
          <w:szCs w:val="20"/>
          <w:color w:val="auto"/>
        </w:rPr>
      </w:pPr>
    </w:p>
    <w:p>
      <w:pPr>
        <w:ind w:left="780" w:right="44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260" w:right="460" w:hanging="455"/>
        <w:spacing w:after="0" w:line="268" w:lineRule="auto"/>
        <w:tabs>
          <w:tab w:leader="none" w:pos="1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50" w:lineRule="exact"/>
        <w:rPr>
          <w:rFonts w:ascii="Arial" w:cs="Arial" w:eastAsia="Arial" w:hAnsi="Arial"/>
          <w:sz w:val="18"/>
          <w:szCs w:val="18"/>
          <w:color w:val="auto"/>
        </w:rPr>
      </w:pPr>
    </w:p>
    <w:p>
      <w:pPr>
        <w:ind w:left="1260" w:right="60" w:hanging="455"/>
        <w:spacing w:after="0" w:line="259" w:lineRule="auto"/>
        <w:tabs>
          <w:tab w:leader="none" w:pos="1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260" w:right="120" w:hanging="455"/>
        <w:spacing w:after="0" w:line="268" w:lineRule="auto"/>
        <w:tabs>
          <w:tab w:leader="none" w:pos="1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50" w:lineRule="exact"/>
        <w:rPr>
          <w:rFonts w:ascii="Arial" w:cs="Arial" w:eastAsia="Arial" w:hAnsi="Arial"/>
          <w:sz w:val="18"/>
          <w:szCs w:val="18"/>
          <w:color w:val="auto"/>
        </w:rPr>
      </w:pPr>
    </w:p>
    <w:p>
      <w:pPr>
        <w:ind w:left="780" w:hanging="326"/>
        <w:spacing w:after="0" w:line="288" w:lineRule="auto"/>
        <w:tabs>
          <w:tab w:leader="none" w:pos="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88" w:lineRule="auto"/>
        <w:tabs>
          <w:tab w:leader="none" w:pos="25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assest tests within 6 months following the quarter in which it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holder of common or preferred shares that for U.S. federal income tax purposes is</w:t>
      </w:r>
    </w:p>
    <w:p>
      <w:pPr>
        <w:spacing w:after="0" w:line="113"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9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 such as, for example, the holder’s ceasing to actually or constructively own any shares. There can be no assurance that the Proposed Treasury Regulations will be adopted, or that they will be adopted in their current form.</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If a nonqualifying adjustment were made, the holders of preferred shares might be deemed to have received a taxable stock dividend.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35"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Without legislation,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We will report to our shareholders and to the IRS the amount of dividends we pay during each calendar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780" w:right="620" w:hanging="326"/>
        <w:spacing w:after="0" w:line="332" w:lineRule="auto"/>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Backup withholding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62" w:lineRule="exact"/>
        <w:rPr>
          <w:sz w:val="20"/>
          <w:szCs w:val="20"/>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 are held by U.S. persons or if it is engaged in the conduct of a trade or business in the U.S.,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780" w:right="46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4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You may also read and copy any document we file at the SEC’s Public Reference Room at 100 F Street, N.E., Washington, D.C. 20549.</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37"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23,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10,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40" w:hanging="326"/>
        <w:spacing w:after="0" w:line="259"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direct your request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 or (301) 658-8980</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32406B"/>
        </w:rPr>
        <w:t>$135,000,000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217170</wp:posOffset>
            </wp:positionV>
            <wp:extent cx="2143760" cy="814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32406B"/>
        </w:rPr>
        <w:t>% Notes due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1263015</wp:posOffset>
            </wp:positionV>
            <wp:extent cx="15347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32406B"/>
        </w:rPr>
        <w:t>PROSPECTUS SUPPLEMENT</w:t>
      </w:r>
    </w:p>
    <w:p>
      <w:pPr>
        <w:spacing w:after="0" w:line="117" w:lineRule="exact"/>
        <w:rPr>
          <w:sz w:val="20"/>
          <w:szCs w:val="20"/>
          <w:color w:val="auto"/>
        </w:rPr>
      </w:pPr>
    </w:p>
    <w:p>
      <w:pPr>
        <w:jc w:val="center"/>
        <w:ind w:left="1960"/>
        <w:spacing w:after="0"/>
        <w:tabs>
          <w:tab w:leader="none" w:pos="200" w:val="left"/>
        </w:tabs>
        <w:rPr>
          <w:sz w:val="20"/>
          <w:szCs w:val="20"/>
          <w:color w:val="auto"/>
        </w:rPr>
      </w:pPr>
      <w:r>
        <w:rPr>
          <w:rFonts w:ascii="Arial" w:cs="Arial" w:eastAsia="Arial" w:hAnsi="Arial"/>
          <w:sz w:val="18"/>
          <w:szCs w:val="18"/>
          <w:b w:val="1"/>
          <w:bCs w:val="1"/>
          <w:color w:val="32406B"/>
        </w:rPr>
        <w:t>November</w:t>
        <w:tab/>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212090</wp:posOffset>
            </wp:positionV>
            <wp:extent cx="15347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Wachovia Securities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Citigroup</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Banc of America Securities LLC</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Bear, Stearns &amp; Co. Inc.</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0"/>
          <w:szCs w:val="30"/>
          <w:b w:val="1"/>
          <w:bCs w:val="1"/>
          <w:color w:val="32406B"/>
        </w:rPr>
        <w:t>Commerzbank Corporates &amp; Markets</w:t>
      </w:r>
    </w:p>
    <w:p>
      <w:pPr>
        <w:spacing w:after="0" w:line="18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JPMorgan</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Piper Jaffray</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PNC Capital Markets LLC</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SunTrust Robinson Humphrey</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
      <w:numFmt w:val="bullet"/>
      <w:start w:val="1"/>
    </w:lvl>
    <w:lvl w:ilvl="1">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lvl w:ilvl="1">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lvl w:ilvl="1">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4"/>
    </w:lvl>
    <w:lvl w:ilvl="1">
      <w:lvlJc w:val="left"/>
      <w:lvlText w:val="(%2)"/>
      <w:numFmt w:val="lowerLetter"/>
      <w:start w:val="1"/>
    </w:lvl>
  </w:abstractNum>
  <w:abstractNum w:abstractNumId="33">
    <w:nsid w:val="15B5AF5C"/>
    <w:multiLevelType w:val="hybridMultilevel"/>
    <w:lvl w:ilvl="0">
      <w:lvlJc w:val="left"/>
      <w:lvlText w:val="%1."/>
      <w:numFmt w:val="decimal"/>
      <w:start w:val="7"/>
    </w:lvl>
    <w:lvl w:ilvl="1">
      <w:lvlJc w:val="left"/>
      <w:lvlText w:val="(%2)"/>
      <w:numFmt w:val="lowerLetter"/>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lvl w:ilvl="1">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lvl w:ilvl="1">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lvl w:ilvl="1">
      <w:lvlJc w:val="left"/>
      <w:lvlText w:val="•"/>
      <w:numFmt w:val="bullet"/>
      <w:start w:val="1"/>
    </w:lvl>
  </w:abstractNum>
  <w:abstractNum w:abstractNumId="75">
    <w:nsid w:val="4962813B"/>
    <w:multiLevelType w:val="hybridMultilevel"/>
    <w:lvl w:ilvl="0">
      <w:lvlJc w:val="left"/>
      <w:lvlText w:val="(%1)"/>
      <w:numFmt w:val="lowerRoman"/>
      <w:start w:val="2"/>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2019-12-12T09:22:39Z</dcterms:created>
  <dcterms:modified xsi:type="dcterms:W3CDTF">2019-12-12T09:22:39Z</dcterms:modified>
</cp:coreProperties>
</file>